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pPr>
    </w:p>
    <w:p>
      <w:pPr>
        <w:adjustRightInd w:val="0"/>
        <w:snapToGrid w:val="0"/>
        <w:jc w:val="center"/>
        <w:outlineLvl w:val="0"/>
        <w:rPr>
          <w:rFonts w:ascii="Times New Roman" w:hAnsi="Times New Roman" w:eastAsia="方正小标宋_GBK"/>
          <w:bCs/>
          <w:sz w:val="72"/>
          <w:szCs w:val="72"/>
        </w:rPr>
      </w:pPr>
    </w:p>
    <w:p>
      <w:pPr>
        <w:adjustRightInd w:val="0"/>
        <w:snapToGrid w:val="0"/>
        <w:jc w:val="center"/>
        <w:outlineLvl w:val="0"/>
        <w:rPr>
          <w:rFonts w:ascii="Times New Roman" w:hAnsi="Times New Roman" w:eastAsia="方正小标宋_GBK"/>
          <w:bCs/>
          <w:sz w:val="72"/>
          <w:szCs w:val="72"/>
        </w:rPr>
      </w:pPr>
      <w:r>
        <w:rPr>
          <w:rFonts w:ascii="Times New Roman" w:hAnsi="Times New Roman" w:eastAsia="方正小标宋_GBK"/>
          <w:bCs/>
          <w:sz w:val="72"/>
          <w:szCs w:val="72"/>
        </w:rPr>
        <w:t>建设项目环境影响报告表</w:t>
      </w:r>
    </w:p>
    <w:p>
      <w:pPr>
        <w:adjustRightInd w:val="0"/>
        <w:snapToGrid w:val="0"/>
        <w:spacing w:before="249" w:beforeLines="80"/>
        <w:jc w:val="center"/>
        <w:rPr>
          <w:rFonts w:ascii="Times New Roman" w:hAnsi="Times New Roman" w:eastAsia="楷体_GB2312"/>
          <w:bCs/>
          <w:sz w:val="48"/>
          <w:szCs w:val="48"/>
        </w:rPr>
      </w:pPr>
      <w:r>
        <w:rPr>
          <w:rFonts w:ascii="Times New Roman" w:hAnsi="Times New Roman" w:eastAsia="楷体_GB2312"/>
          <w:bCs/>
          <w:sz w:val="48"/>
          <w:szCs w:val="48"/>
        </w:rPr>
        <w:t>（污染影响类）</w:t>
      </w:r>
    </w:p>
    <w:p>
      <w:pPr>
        <w:rPr>
          <w:rFonts w:ascii="Times New Roman" w:hAnsi="Times New Roman"/>
        </w:rPr>
      </w:pPr>
      <w:bookmarkStart w:id="0" w:name="_Hlk57883728"/>
    </w:p>
    <w:p>
      <w:pPr>
        <w:jc w:val="center"/>
        <w:rPr>
          <w:rFonts w:ascii="Times New Roman" w:hAnsi="Times New Roman" w:eastAsia="仿宋"/>
          <w:sz w:val="52"/>
          <w:szCs w:val="52"/>
        </w:rPr>
      </w:pPr>
    </w:p>
    <w:p>
      <w:pPr>
        <w:ind w:firstLine="1040"/>
        <w:rPr>
          <w:rFonts w:ascii="Times New Roman" w:hAnsi="Times New Roman" w:eastAsia="仿宋"/>
          <w:sz w:val="44"/>
          <w:szCs w:val="44"/>
        </w:rPr>
      </w:pPr>
    </w:p>
    <w:p>
      <w:pPr>
        <w:ind w:firstLine="1040"/>
        <w:rPr>
          <w:rFonts w:ascii="Times New Roman" w:hAnsi="Times New Roman" w:eastAsia="仿宋"/>
          <w:sz w:val="44"/>
          <w:szCs w:val="44"/>
        </w:rPr>
      </w:pPr>
    </w:p>
    <w:p>
      <w:pPr>
        <w:ind w:firstLine="1040"/>
        <w:rPr>
          <w:rFonts w:ascii="Times New Roman" w:hAnsi="Times New Roman" w:eastAsia="仿宋"/>
          <w:sz w:val="44"/>
          <w:szCs w:val="44"/>
        </w:rPr>
      </w:pPr>
    </w:p>
    <w:bookmarkEnd w:id="0"/>
    <w:p>
      <w:pPr>
        <w:adjustRightInd w:val="0"/>
        <w:snapToGrid w:val="0"/>
        <w:spacing w:line="288" w:lineRule="auto"/>
        <w:ind w:left="2876" w:leftChars="684" w:hanging="1440" w:hangingChars="400"/>
        <w:rPr>
          <w:rFonts w:ascii="Times New Roman" w:hAnsi="Times New Roman" w:eastAsia="仿宋_GB2312"/>
          <w:sz w:val="36"/>
          <w:szCs w:val="36"/>
          <w:u w:val="single"/>
        </w:rPr>
      </w:pPr>
    </w:p>
    <w:tbl>
      <w:tblPr>
        <w:tblStyle w:val="25"/>
        <w:tblW w:w="87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22"/>
        <w:gridCol w:w="5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2" w:type="dxa"/>
            <w:tcBorders>
              <w:tl2br w:val="nil"/>
              <w:tr2bl w:val="nil"/>
            </w:tcBorders>
          </w:tcPr>
          <w:p>
            <w:pPr>
              <w:adjustRightInd w:val="0"/>
              <w:snapToGrid w:val="0"/>
              <w:spacing w:line="288" w:lineRule="auto"/>
              <w:jc w:val="left"/>
              <w:rPr>
                <w:rFonts w:ascii="Times New Roman" w:hAnsi="Times New Roman"/>
                <w:sz w:val="36"/>
                <w:szCs w:val="36"/>
              </w:rPr>
            </w:pPr>
            <w:r>
              <w:rPr>
                <w:rFonts w:ascii="Times New Roman" w:hAnsi="Times New Roman"/>
                <w:sz w:val="36"/>
                <w:szCs w:val="36"/>
              </w:rPr>
              <w:t>项目名称：</w:t>
            </w:r>
          </w:p>
        </w:tc>
        <w:tc>
          <w:tcPr>
            <w:tcW w:w="5730" w:type="dxa"/>
            <w:tcBorders>
              <w:tl2br w:val="nil"/>
              <w:tr2bl w:val="nil"/>
            </w:tcBorders>
          </w:tcPr>
          <w:p>
            <w:pPr>
              <w:adjustRightInd w:val="0"/>
              <w:snapToGrid w:val="0"/>
              <w:spacing w:line="288" w:lineRule="auto"/>
              <w:jc w:val="left"/>
              <w:rPr>
                <w:rFonts w:ascii="Times New Roman" w:hAnsi="Times New Roman"/>
                <w:sz w:val="36"/>
                <w:szCs w:val="36"/>
                <w:u w:val="single"/>
              </w:rPr>
            </w:pPr>
            <w:r>
              <w:rPr>
                <w:rFonts w:ascii="Times New Roman" w:hAnsi="Times New Roman"/>
                <w:sz w:val="36"/>
                <w:szCs w:val="36"/>
                <w:u w:val="single"/>
              </w:rPr>
              <w:t>托克逊县鸿益源机械租赁有限公司水稳站建设项目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3022" w:type="dxa"/>
            <w:tcBorders>
              <w:tl2br w:val="nil"/>
              <w:tr2bl w:val="nil"/>
            </w:tcBorders>
          </w:tcPr>
          <w:p>
            <w:pPr>
              <w:adjustRightInd w:val="0"/>
              <w:snapToGrid w:val="0"/>
              <w:spacing w:line="288" w:lineRule="auto"/>
              <w:jc w:val="left"/>
              <w:rPr>
                <w:rFonts w:ascii="Times New Roman" w:hAnsi="Times New Roman"/>
                <w:sz w:val="36"/>
                <w:szCs w:val="36"/>
              </w:rPr>
            </w:pPr>
            <w:r>
              <w:rPr>
                <w:rFonts w:ascii="Times New Roman" w:hAnsi="Times New Roman"/>
                <w:sz w:val="36"/>
                <w:szCs w:val="36"/>
              </w:rPr>
              <w:t>建设单位（盖章）：</w:t>
            </w:r>
          </w:p>
        </w:tc>
        <w:tc>
          <w:tcPr>
            <w:tcW w:w="5730" w:type="dxa"/>
            <w:tcBorders>
              <w:tl2br w:val="nil"/>
              <w:tr2bl w:val="nil"/>
            </w:tcBorders>
          </w:tcPr>
          <w:p>
            <w:pPr>
              <w:adjustRightInd w:val="0"/>
              <w:snapToGrid w:val="0"/>
              <w:spacing w:line="288" w:lineRule="auto"/>
              <w:jc w:val="left"/>
              <w:rPr>
                <w:rFonts w:ascii="Times New Roman" w:hAnsi="Times New Roman"/>
                <w:sz w:val="36"/>
                <w:szCs w:val="36"/>
                <w:u w:val="single"/>
              </w:rPr>
            </w:pPr>
            <w:r>
              <w:rPr>
                <w:rFonts w:ascii="Times New Roman" w:hAnsi="Times New Roman"/>
                <w:sz w:val="36"/>
                <w:szCs w:val="36"/>
                <w:u w:val="single"/>
              </w:rPr>
              <w:t>托克逊县鸿益源机械租赁有限公司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2" w:type="dxa"/>
            <w:tcBorders>
              <w:tl2br w:val="nil"/>
              <w:tr2bl w:val="nil"/>
            </w:tcBorders>
          </w:tcPr>
          <w:p>
            <w:pPr>
              <w:adjustRightInd w:val="0"/>
              <w:snapToGrid w:val="0"/>
              <w:spacing w:line="288" w:lineRule="auto"/>
              <w:jc w:val="left"/>
              <w:rPr>
                <w:rFonts w:ascii="Times New Roman" w:hAnsi="Times New Roman"/>
                <w:sz w:val="36"/>
                <w:szCs w:val="36"/>
              </w:rPr>
            </w:pPr>
            <w:r>
              <w:rPr>
                <w:rFonts w:ascii="Times New Roman" w:hAnsi="Times New Roman"/>
                <w:sz w:val="36"/>
                <w:szCs w:val="36"/>
              </w:rPr>
              <w:t>编制日期：</w:t>
            </w:r>
          </w:p>
        </w:tc>
        <w:tc>
          <w:tcPr>
            <w:tcW w:w="5730" w:type="dxa"/>
            <w:tcBorders>
              <w:tl2br w:val="nil"/>
              <w:tr2bl w:val="nil"/>
            </w:tcBorders>
          </w:tcPr>
          <w:p>
            <w:pPr>
              <w:adjustRightInd w:val="0"/>
              <w:snapToGrid w:val="0"/>
              <w:spacing w:line="288" w:lineRule="auto"/>
              <w:jc w:val="left"/>
              <w:rPr>
                <w:rFonts w:ascii="Times New Roman" w:hAnsi="Times New Roman"/>
                <w:sz w:val="36"/>
                <w:szCs w:val="36"/>
                <w:u w:val="single"/>
              </w:rPr>
            </w:pPr>
            <w:r>
              <w:rPr>
                <w:rFonts w:ascii="Times New Roman" w:hAnsi="Times New Roman"/>
                <w:sz w:val="36"/>
                <w:szCs w:val="36"/>
                <w:u w:val="single"/>
              </w:rPr>
              <w:t>2024年3月</w:t>
            </w:r>
          </w:p>
        </w:tc>
      </w:tr>
    </w:tbl>
    <w:p>
      <w:pPr>
        <w:rPr>
          <w:rFonts w:ascii="Times New Roman" w:hAnsi="Times New Roman" w:eastAsia="黑体"/>
          <w:snapToGrid w:val="0"/>
          <w:sz w:val="30"/>
          <w:szCs w:val="30"/>
        </w:rPr>
      </w:pPr>
    </w:p>
    <w:p>
      <w:pPr>
        <w:rPr>
          <w:rFonts w:ascii="Times New Roman" w:hAnsi="Times New Roman" w:eastAsia="黑体"/>
          <w:snapToGrid w:val="0"/>
          <w:sz w:val="30"/>
          <w:szCs w:val="30"/>
        </w:rPr>
      </w:pPr>
    </w:p>
    <w:p>
      <w:pPr>
        <w:jc w:val="center"/>
        <w:rPr>
          <w:rFonts w:ascii="Times New Roman" w:hAnsi="Times New Roman" w:eastAsia="黑体"/>
          <w:snapToGrid w:val="0"/>
          <w:sz w:val="30"/>
          <w:szCs w:val="30"/>
        </w:rPr>
      </w:pPr>
    </w:p>
    <w:p>
      <w:pPr>
        <w:jc w:val="center"/>
        <w:rPr>
          <w:rFonts w:ascii="Times New Roman" w:hAnsi="Times New Roman" w:eastAsia="黑体"/>
          <w:snapToGrid w:val="0"/>
          <w:sz w:val="30"/>
          <w:szCs w:val="30"/>
        </w:rPr>
      </w:pPr>
    </w:p>
    <w:p>
      <w:pPr>
        <w:jc w:val="center"/>
        <w:sectPr>
          <w:footerReference r:id="rId3" w:type="default"/>
          <w:pgSz w:w="11906" w:h="16838"/>
          <w:pgMar w:top="1440" w:right="1800" w:bottom="1440" w:left="1800" w:header="851" w:footer="992" w:gutter="0"/>
          <w:pgNumType w:fmt="numberInDash"/>
          <w:cols w:space="720" w:num="1"/>
          <w:docGrid w:type="lines" w:linePitch="312" w:charSpace="0"/>
        </w:sectPr>
      </w:pPr>
      <w:r>
        <w:rPr>
          <w:rFonts w:ascii="Times New Roman" w:hAnsi="Times New Roman" w:eastAsia="黑体"/>
          <w:snapToGrid w:val="0"/>
          <w:sz w:val="32"/>
          <w:szCs w:val="32"/>
        </w:rPr>
        <w:t>中华人民共和国生态环境部制</w:t>
      </w:r>
    </w:p>
    <w:p>
      <w:pPr>
        <w:pStyle w:val="21"/>
      </w:pPr>
      <w:r>
        <w:t>一、建设项目基本情况</w:t>
      </w:r>
    </w:p>
    <w:tbl>
      <w:tblPr>
        <w:tblStyle w:val="24"/>
        <w:tblW w:w="8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09"/>
        <w:gridCol w:w="1530"/>
        <w:gridCol w:w="2340"/>
        <w:gridCol w:w="36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009"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建设项目名称</w:t>
            </w:r>
          </w:p>
        </w:tc>
        <w:tc>
          <w:tcPr>
            <w:tcW w:w="7532" w:type="dxa"/>
            <w:gridSpan w:val="3"/>
            <w:vAlign w:val="center"/>
          </w:tcPr>
          <w:p>
            <w:pPr>
              <w:pStyle w:val="21"/>
            </w:pPr>
            <w:r>
              <w:rPr>
                <w:rFonts w:eastAsia="宋体"/>
                <w:snapToGrid/>
                <w:kern w:val="2"/>
              </w:rPr>
              <w:t>托克逊县鸿益源机械租赁有限公司水稳站建设项目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1009"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项目代码</w:t>
            </w:r>
          </w:p>
        </w:tc>
        <w:tc>
          <w:tcPr>
            <w:tcW w:w="7532" w:type="dxa"/>
            <w:gridSpan w:val="3"/>
            <w:vAlign w:val="center"/>
          </w:tcPr>
          <w:p>
            <w:pPr>
              <w:adjustRightInd w:val="0"/>
              <w:snapToGrid w:val="0"/>
              <w:jc w:val="center"/>
              <w:rPr>
                <w:rFonts w:ascii="Times New Roman" w:hAnsi="Times New Roman"/>
                <w:sz w:val="24"/>
              </w:rPr>
            </w:pPr>
            <w:r>
              <w:rPr>
                <w:rFonts w:ascii="Times New Roman" w:hAnsi="Times New Roman"/>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9"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建设地点</w:t>
            </w:r>
          </w:p>
        </w:tc>
        <w:tc>
          <w:tcPr>
            <w:tcW w:w="7532" w:type="dxa"/>
            <w:gridSpan w:val="3"/>
            <w:vAlign w:val="center"/>
          </w:tcPr>
          <w:p>
            <w:pPr>
              <w:adjustRightInd w:val="0"/>
              <w:snapToGrid w:val="0"/>
              <w:jc w:val="center"/>
              <w:rPr>
                <w:rFonts w:ascii="Times New Roman" w:hAnsi="Times New Roman"/>
                <w:sz w:val="24"/>
              </w:rPr>
            </w:pPr>
            <w:r>
              <w:rPr>
                <w:rFonts w:ascii="Times New Roman" w:hAnsi="Times New Roman"/>
                <w:sz w:val="24"/>
              </w:rPr>
              <w:t>托克逊县郭勒布依乡克尔碱路以西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96" w:hRule="atLeast"/>
          <w:jc w:val="center"/>
        </w:trPr>
        <w:tc>
          <w:tcPr>
            <w:tcW w:w="1009"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国民经济</w:t>
            </w:r>
          </w:p>
          <w:p>
            <w:pPr>
              <w:adjustRightInd w:val="0"/>
              <w:snapToGrid w:val="0"/>
              <w:jc w:val="center"/>
              <w:rPr>
                <w:rFonts w:ascii="Times New Roman" w:hAnsi="Times New Roman"/>
                <w:sz w:val="24"/>
              </w:rPr>
            </w:pPr>
            <w:r>
              <w:rPr>
                <w:rFonts w:ascii="Times New Roman" w:hAnsi="Times New Roman"/>
                <w:sz w:val="24"/>
              </w:rPr>
              <w:t>行业类别</w:t>
            </w:r>
          </w:p>
        </w:tc>
        <w:tc>
          <w:tcPr>
            <w:tcW w:w="1530" w:type="dxa"/>
            <w:vAlign w:val="center"/>
          </w:tcPr>
          <w:p>
            <w:pPr>
              <w:adjustRightInd w:val="0"/>
              <w:snapToGrid w:val="0"/>
              <w:jc w:val="center"/>
              <w:rPr>
                <w:rFonts w:ascii="Times New Roman" w:hAnsi="Times New Roman"/>
                <w:sz w:val="24"/>
              </w:rPr>
            </w:pPr>
            <w:r>
              <w:rPr>
                <w:rFonts w:ascii="Times New Roman" w:hAnsi="Times New Roman"/>
                <w:sz w:val="24"/>
              </w:rPr>
              <w:t>C3021水泥制品制造</w:t>
            </w:r>
          </w:p>
        </w:tc>
        <w:tc>
          <w:tcPr>
            <w:tcW w:w="2340" w:type="dxa"/>
            <w:vAlign w:val="center"/>
          </w:tcPr>
          <w:p>
            <w:pPr>
              <w:adjustRightInd w:val="0"/>
              <w:snapToGrid w:val="0"/>
              <w:jc w:val="center"/>
              <w:rPr>
                <w:rFonts w:ascii="Times New Roman" w:hAnsi="Times New Roman"/>
                <w:sz w:val="24"/>
              </w:rPr>
            </w:pPr>
            <w:bookmarkStart w:id="1" w:name="_Hlk49843745"/>
            <w:r>
              <w:rPr>
                <w:rFonts w:ascii="Times New Roman" w:hAnsi="Times New Roman"/>
                <w:sz w:val="24"/>
              </w:rPr>
              <w:t>建设项目</w:t>
            </w:r>
          </w:p>
          <w:p>
            <w:pPr>
              <w:adjustRightInd w:val="0"/>
              <w:snapToGrid w:val="0"/>
              <w:jc w:val="center"/>
              <w:rPr>
                <w:rFonts w:ascii="Times New Roman" w:hAnsi="Times New Roman"/>
                <w:sz w:val="24"/>
              </w:rPr>
            </w:pPr>
            <w:r>
              <w:rPr>
                <w:rFonts w:ascii="Times New Roman" w:hAnsi="Times New Roman"/>
                <w:sz w:val="24"/>
              </w:rPr>
              <w:t>行业类别</w:t>
            </w:r>
            <w:bookmarkEnd w:id="1"/>
          </w:p>
        </w:tc>
        <w:tc>
          <w:tcPr>
            <w:tcW w:w="3662" w:type="dxa"/>
            <w:vAlign w:val="center"/>
          </w:tcPr>
          <w:p>
            <w:pPr>
              <w:adjustRightInd w:val="0"/>
              <w:snapToGrid w:val="0"/>
              <w:rPr>
                <w:rFonts w:ascii="Times New Roman" w:hAnsi="Times New Roman"/>
                <w:sz w:val="24"/>
              </w:rPr>
            </w:pPr>
            <w:r>
              <w:rPr>
                <w:rFonts w:ascii="Times New Roman" w:hAnsi="Times New Roman"/>
                <w:sz w:val="24"/>
              </w:rPr>
              <w:t>二十七、非金属矿物制品业55商品混凝土；砼结构构件制造；水泥制品制造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09"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建设性质</w:t>
            </w:r>
          </w:p>
        </w:tc>
        <w:tc>
          <w:tcPr>
            <w:tcW w:w="1530" w:type="dxa"/>
            <w:vAlign w:val="center"/>
          </w:tcPr>
          <w:p>
            <w:pPr>
              <w:jc w:val="left"/>
              <w:rPr>
                <w:rFonts w:ascii="宋体" w:hAnsi="宋体" w:cs="宋体"/>
                <w:sz w:val="24"/>
              </w:rPr>
            </w:pPr>
            <w:r>
              <w:rPr>
                <w:rFonts w:hint="eastAsia" w:ascii="宋体" w:hAnsi="宋体" w:cs="宋体"/>
                <w:sz w:val="24"/>
              </w:rPr>
              <w:t>☑新建（迁建）</w:t>
            </w:r>
          </w:p>
          <w:p>
            <w:pPr>
              <w:jc w:val="left"/>
              <w:rPr>
                <w:rFonts w:ascii="宋体" w:hAnsi="宋体" w:cs="宋体"/>
                <w:sz w:val="24"/>
              </w:rPr>
            </w:pPr>
            <w:r>
              <w:rPr>
                <w:rFonts w:hint="eastAsia" w:ascii="宋体" w:hAnsi="宋体" w:cs="宋体"/>
                <w:sz w:val="24"/>
              </w:rPr>
              <w:t>□改建</w:t>
            </w:r>
          </w:p>
          <w:p>
            <w:pPr>
              <w:jc w:val="left"/>
              <w:rPr>
                <w:rFonts w:ascii="宋体" w:hAnsi="宋体" w:cs="宋体"/>
                <w:sz w:val="24"/>
              </w:rPr>
            </w:pPr>
            <w:r>
              <w:rPr>
                <w:rFonts w:hint="eastAsia" w:ascii="宋体" w:hAnsi="宋体" w:cs="宋体"/>
                <w:sz w:val="24"/>
              </w:rPr>
              <w:t>□扩建</w:t>
            </w:r>
          </w:p>
          <w:p>
            <w:pPr>
              <w:jc w:val="left"/>
              <w:rPr>
                <w:rFonts w:ascii="宋体" w:hAnsi="宋体" w:cs="宋体"/>
                <w:sz w:val="24"/>
              </w:rPr>
            </w:pPr>
            <w:r>
              <w:rPr>
                <w:rFonts w:hint="eastAsia" w:ascii="宋体" w:hAnsi="宋体" w:cs="宋体"/>
                <w:sz w:val="24"/>
              </w:rPr>
              <w:t>□技术改造</w:t>
            </w:r>
          </w:p>
        </w:tc>
        <w:tc>
          <w:tcPr>
            <w:tcW w:w="2340" w:type="dxa"/>
            <w:vAlign w:val="center"/>
          </w:tcPr>
          <w:p>
            <w:pPr>
              <w:adjustRightInd w:val="0"/>
              <w:snapToGrid w:val="0"/>
              <w:jc w:val="center"/>
              <w:rPr>
                <w:rFonts w:ascii="宋体" w:hAnsi="宋体" w:cs="宋体"/>
                <w:sz w:val="24"/>
              </w:rPr>
            </w:pPr>
            <w:r>
              <w:rPr>
                <w:rFonts w:hint="eastAsia" w:ascii="宋体" w:hAnsi="宋体" w:cs="宋体"/>
                <w:sz w:val="24"/>
              </w:rPr>
              <w:t>建设项目</w:t>
            </w:r>
          </w:p>
          <w:p>
            <w:pPr>
              <w:adjustRightInd w:val="0"/>
              <w:snapToGrid w:val="0"/>
              <w:jc w:val="center"/>
              <w:rPr>
                <w:rFonts w:ascii="宋体" w:hAnsi="宋体" w:cs="宋体"/>
                <w:sz w:val="24"/>
              </w:rPr>
            </w:pPr>
            <w:r>
              <w:rPr>
                <w:rFonts w:hint="eastAsia" w:ascii="宋体" w:hAnsi="宋体" w:cs="宋体"/>
                <w:sz w:val="24"/>
              </w:rPr>
              <w:t>申报情形</w:t>
            </w:r>
          </w:p>
        </w:tc>
        <w:tc>
          <w:tcPr>
            <w:tcW w:w="3662" w:type="dxa"/>
            <w:vAlign w:val="center"/>
          </w:tcPr>
          <w:p>
            <w:pPr>
              <w:jc w:val="left"/>
              <w:rPr>
                <w:rFonts w:ascii="宋体" w:hAnsi="宋体" w:cs="宋体"/>
                <w:sz w:val="24"/>
              </w:rPr>
            </w:pPr>
            <w:r>
              <w:rPr>
                <w:rFonts w:hint="eastAsia" w:ascii="宋体" w:hAnsi="宋体" w:cs="宋体"/>
                <w:sz w:val="24"/>
              </w:rPr>
              <w:t>☑首次申报项目</w:t>
            </w:r>
          </w:p>
          <w:p>
            <w:pPr>
              <w:jc w:val="left"/>
              <w:rPr>
                <w:rFonts w:ascii="宋体" w:hAnsi="宋体" w:cs="宋体"/>
                <w:sz w:val="24"/>
              </w:rPr>
            </w:pPr>
            <w:r>
              <w:rPr>
                <w:rFonts w:hint="eastAsia" w:ascii="宋体" w:hAnsi="宋体" w:cs="宋体"/>
                <w:sz w:val="24"/>
              </w:rPr>
              <w:t>□不予批准后再次申报项目</w:t>
            </w:r>
          </w:p>
          <w:p>
            <w:pPr>
              <w:jc w:val="left"/>
              <w:rPr>
                <w:rFonts w:ascii="宋体" w:hAnsi="宋体" w:cs="宋体"/>
                <w:sz w:val="24"/>
              </w:rPr>
            </w:pPr>
            <w:r>
              <w:rPr>
                <w:rFonts w:hint="eastAsia" w:ascii="宋体" w:hAnsi="宋体" w:cs="宋体"/>
                <w:sz w:val="24"/>
              </w:rPr>
              <w:t>□超五年重新审核项目</w:t>
            </w:r>
          </w:p>
          <w:p>
            <w:pPr>
              <w:jc w:val="left"/>
              <w:rPr>
                <w:rFonts w:ascii="宋体" w:hAnsi="宋体" w:cs="宋体"/>
                <w:sz w:val="24"/>
              </w:rPr>
            </w:pPr>
            <w:r>
              <w:rPr>
                <w:rFonts w:hint="eastAsia" w:ascii="宋体" w:hAnsi="宋体" w:cs="宋体"/>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009"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项目审批（核准/</w:t>
            </w:r>
          </w:p>
          <w:p>
            <w:pPr>
              <w:adjustRightInd w:val="0"/>
              <w:snapToGrid w:val="0"/>
              <w:jc w:val="center"/>
              <w:rPr>
                <w:rFonts w:ascii="Times New Roman" w:hAnsi="Times New Roman"/>
                <w:sz w:val="24"/>
              </w:rPr>
            </w:pPr>
            <w:r>
              <w:rPr>
                <w:rFonts w:ascii="Times New Roman" w:hAnsi="Times New Roman"/>
                <w:sz w:val="24"/>
              </w:rPr>
              <w:t>备案）部门（选填）</w:t>
            </w:r>
          </w:p>
        </w:tc>
        <w:tc>
          <w:tcPr>
            <w:tcW w:w="1530" w:type="dxa"/>
            <w:vAlign w:val="center"/>
          </w:tcPr>
          <w:p>
            <w:pPr>
              <w:pStyle w:val="21"/>
            </w:pPr>
            <w:r>
              <w:t>/</w:t>
            </w:r>
          </w:p>
        </w:tc>
        <w:tc>
          <w:tcPr>
            <w:tcW w:w="2340" w:type="dxa"/>
            <w:vAlign w:val="center"/>
          </w:tcPr>
          <w:p>
            <w:pPr>
              <w:adjustRightInd w:val="0"/>
              <w:snapToGrid w:val="0"/>
              <w:jc w:val="center"/>
              <w:rPr>
                <w:rFonts w:ascii="Times New Roman" w:hAnsi="Times New Roman"/>
                <w:sz w:val="24"/>
              </w:rPr>
            </w:pPr>
            <w:r>
              <w:rPr>
                <w:rFonts w:ascii="Times New Roman" w:hAnsi="Times New Roman"/>
                <w:sz w:val="24"/>
              </w:rPr>
              <w:t>项目审批（核准/</w:t>
            </w:r>
          </w:p>
          <w:p>
            <w:pPr>
              <w:adjustRightInd w:val="0"/>
              <w:snapToGrid w:val="0"/>
              <w:jc w:val="center"/>
              <w:rPr>
                <w:rFonts w:ascii="Times New Roman" w:hAnsi="Times New Roman"/>
                <w:sz w:val="24"/>
              </w:rPr>
            </w:pPr>
            <w:r>
              <w:rPr>
                <w:rFonts w:ascii="Times New Roman" w:hAnsi="Times New Roman"/>
                <w:sz w:val="24"/>
              </w:rPr>
              <w:t>备案）文号（选填）</w:t>
            </w:r>
          </w:p>
        </w:tc>
        <w:tc>
          <w:tcPr>
            <w:tcW w:w="3662" w:type="dxa"/>
            <w:vAlign w:val="center"/>
          </w:tcPr>
          <w:p>
            <w:pPr>
              <w:pStyle w:val="21"/>
            </w:pP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009"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总投资（万元）</w:t>
            </w:r>
          </w:p>
        </w:tc>
        <w:tc>
          <w:tcPr>
            <w:tcW w:w="1530" w:type="dxa"/>
            <w:vAlign w:val="center"/>
          </w:tcPr>
          <w:p>
            <w:pPr>
              <w:adjustRightInd w:val="0"/>
              <w:snapToGrid w:val="0"/>
              <w:jc w:val="center"/>
              <w:rPr>
                <w:rFonts w:ascii="Times New Roman" w:hAnsi="Times New Roman"/>
                <w:sz w:val="24"/>
              </w:rPr>
            </w:pPr>
            <w:r>
              <w:rPr>
                <w:rFonts w:ascii="Times New Roman" w:hAnsi="Times New Roman"/>
                <w:sz w:val="24"/>
              </w:rPr>
              <w:t>30</w:t>
            </w:r>
          </w:p>
        </w:tc>
        <w:tc>
          <w:tcPr>
            <w:tcW w:w="2340"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环保投资（万元）</w:t>
            </w:r>
          </w:p>
        </w:tc>
        <w:tc>
          <w:tcPr>
            <w:tcW w:w="3662" w:type="dxa"/>
            <w:vAlign w:val="center"/>
          </w:tcPr>
          <w:p>
            <w:pPr>
              <w:adjustRightInd w:val="0"/>
              <w:snapToGrid w:val="0"/>
              <w:jc w:val="center"/>
              <w:rPr>
                <w:rFonts w:ascii="Times New Roman" w:hAnsi="Times New Roman"/>
                <w:sz w:val="24"/>
              </w:rPr>
            </w:pPr>
            <w:r>
              <w:rPr>
                <w:rFonts w:ascii="Times New Roman" w:hAnsi="Times New Roman"/>
                <w:sz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9"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环保投资占比（%）</w:t>
            </w:r>
          </w:p>
        </w:tc>
        <w:tc>
          <w:tcPr>
            <w:tcW w:w="1530" w:type="dxa"/>
            <w:vAlign w:val="center"/>
          </w:tcPr>
          <w:p>
            <w:pPr>
              <w:adjustRightInd w:val="0"/>
              <w:snapToGrid w:val="0"/>
              <w:jc w:val="center"/>
              <w:rPr>
                <w:rFonts w:ascii="Times New Roman" w:hAnsi="Times New Roman"/>
                <w:sz w:val="24"/>
              </w:rPr>
            </w:pPr>
            <w:r>
              <w:rPr>
                <w:rFonts w:ascii="Times New Roman" w:hAnsi="Times New Roman"/>
                <w:sz w:val="24"/>
              </w:rPr>
              <w:t>20</w:t>
            </w:r>
          </w:p>
        </w:tc>
        <w:tc>
          <w:tcPr>
            <w:tcW w:w="2340"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施工工期</w:t>
            </w:r>
          </w:p>
        </w:tc>
        <w:tc>
          <w:tcPr>
            <w:tcW w:w="3662" w:type="dxa"/>
            <w:vAlign w:val="center"/>
          </w:tcPr>
          <w:p>
            <w:pPr>
              <w:adjustRightInd w:val="0"/>
              <w:snapToGrid w:val="0"/>
              <w:jc w:val="center"/>
              <w:rPr>
                <w:rFonts w:ascii="Times New Roman" w:hAnsi="Times New Roman"/>
                <w:sz w:val="24"/>
              </w:rPr>
            </w:pPr>
            <w:r>
              <w:rPr>
                <w:rFonts w:ascii="Times New Roman" w:hAnsi="Times New Roman"/>
                <w:sz w:val="24"/>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9" w:type="dxa"/>
            <w:tcMar>
              <w:top w:w="16" w:type="dxa"/>
              <w:left w:w="16" w:type="dxa"/>
              <w:right w:w="16" w:type="dxa"/>
            </w:tcMar>
            <w:vAlign w:val="center"/>
          </w:tcPr>
          <w:p>
            <w:pPr>
              <w:adjustRightInd w:val="0"/>
              <w:snapToGrid w:val="0"/>
              <w:jc w:val="center"/>
              <w:rPr>
                <w:rFonts w:ascii="Times New Roman" w:hAnsi="Times New Roman"/>
                <w:sz w:val="24"/>
              </w:rPr>
            </w:pPr>
            <w:r>
              <w:rPr>
                <w:rFonts w:ascii="Times New Roman" w:hAnsi="Times New Roman"/>
                <w:sz w:val="24"/>
              </w:rPr>
              <w:t>是否开工建设</w:t>
            </w:r>
          </w:p>
        </w:tc>
        <w:tc>
          <w:tcPr>
            <w:tcW w:w="1530" w:type="dxa"/>
            <w:vAlign w:val="center"/>
          </w:tcPr>
          <w:p>
            <w:pPr>
              <w:adjustRightInd w:val="0"/>
              <w:snapToGrid w:val="0"/>
              <w:rPr>
                <w:rFonts w:ascii="Times New Roman" w:hAnsi="Times New Roman"/>
                <w:sz w:val="24"/>
              </w:rPr>
            </w:pPr>
            <w:r>
              <w:rPr>
                <w:rFonts w:ascii="Times New Roman" w:hAnsi="Times New Roman"/>
                <w:sz w:val="24"/>
              </w:rPr>
              <w:sym w:font="Wingdings" w:char="00FE"/>
            </w:r>
            <w:r>
              <w:rPr>
                <w:rFonts w:ascii="Times New Roman" w:hAnsi="Times New Roman"/>
                <w:sz w:val="24"/>
              </w:rPr>
              <w:t>否</w:t>
            </w:r>
          </w:p>
          <w:p>
            <w:pPr>
              <w:widowControl/>
              <w:jc w:val="left"/>
              <w:rPr>
                <w:rFonts w:ascii="Times New Roman" w:hAnsi="Times New Roman"/>
                <w:sz w:val="24"/>
                <w:u w:val="single"/>
              </w:rPr>
            </w:pPr>
            <w:r>
              <w:rPr>
                <w:rFonts w:ascii="Times New Roman" w:hAnsi="Times New Roman"/>
                <w:sz w:val="24"/>
              </w:rPr>
              <w:sym w:font="Wingdings" w:char="00A8"/>
            </w:r>
            <w:r>
              <w:rPr>
                <w:rFonts w:ascii="Times New Roman" w:hAnsi="Times New Roman"/>
                <w:sz w:val="24"/>
              </w:rPr>
              <w:t>是</w:t>
            </w:r>
          </w:p>
        </w:tc>
        <w:tc>
          <w:tcPr>
            <w:tcW w:w="2340" w:type="dxa"/>
            <w:tcMar>
              <w:top w:w="16" w:type="dxa"/>
              <w:left w:w="16" w:type="dxa"/>
              <w:right w:w="16" w:type="dxa"/>
            </w:tcMar>
            <w:vAlign w:val="center"/>
          </w:tcPr>
          <w:p>
            <w:pPr>
              <w:adjustRightInd w:val="0"/>
              <w:snapToGrid w:val="0"/>
              <w:rPr>
                <w:rFonts w:ascii="Times New Roman" w:hAnsi="Times New Roman"/>
                <w:sz w:val="24"/>
              </w:rPr>
            </w:pPr>
            <w:r>
              <w:rPr>
                <w:rFonts w:ascii="Times New Roman" w:hAnsi="Times New Roman"/>
                <w:spacing w:val="-6"/>
                <w:sz w:val="24"/>
              </w:rPr>
              <w:t>用地（用海）面积（m</w:t>
            </w:r>
            <w:r>
              <w:rPr>
                <w:rFonts w:ascii="Times New Roman" w:hAnsi="Times New Roman"/>
                <w:spacing w:val="-6"/>
                <w:sz w:val="24"/>
                <w:vertAlign w:val="superscript"/>
              </w:rPr>
              <w:t>2</w:t>
            </w:r>
            <w:r>
              <w:rPr>
                <w:rFonts w:ascii="Times New Roman" w:hAnsi="Times New Roman"/>
                <w:spacing w:val="-6"/>
                <w:sz w:val="24"/>
              </w:rPr>
              <w:t>）</w:t>
            </w:r>
          </w:p>
        </w:tc>
        <w:tc>
          <w:tcPr>
            <w:tcW w:w="3662" w:type="dxa"/>
            <w:vAlign w:val="center"/>
          </w:tcPr>
          <w:p>
            <w:pPr>
              <w:jc w:val="center"/>
              <w:rPr>
                <w:rFonts w:ascii="Times New Roman" w:hAnsi="Times New Roman"/>
                <w:sz w:val="24"/>
              </w:rPr>
            </w:pPr>
            <w:r>
              <w:rPr>
                <w:rFonts w:ascii="Times New Roman" w:hAnsi="Times New Roman"/>
                <w:sz w:val="24"/>
              </w:rPr>
              <w:t>666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autoSpaceDE w:val="0"/>
              <w:autoSpaceDN w:val="0"/>
              <w:adjustRightInd w:val="0"/>
              <w:snapToGrid w:val="0"/>
              <w:jc w:val="center"/>
              <w:rPr>
                <w:rFonts w:ascii="Times New Roman" w:hAnsi="Times New Roman"/>
                <w:kern w:val="0"/>
                <w:sz w:val="24"/>
              </w:rPr>
            </w:pPr>
            <w:r>
              <w:rPr>
                <w:rFonts w:ascii="Times New Roman" w:hAnsi="Times New Roman"/>
                <w:kern w:val="0"/>
                <w:sz w:val="24"/>
              </w:rPr>
              <w:t>专项评价设置情况</w:t>
            </w:r>
          </w:p>
        </w:tc>
        <w:tc>
          <w:tcPr>
            <w:tcW w:w="7532" w:type="dxa"/>
            <w:gridSpan w:val="3"/>
            <w:vAlign w:val="center"/>
          </w:tcPr>
          <w:p>
            <w:pPr>
              <w:autoSpaceDE w:val="0"/>
              <w:autoSpaceDN w:val="0"/>
              <w:adjustRightInd w:val="0"/>
              <w:snapToGrid w:val="0"/>
              <w:jc w:val="center"/>
              <w:rPr>
                <w:rFonts w:ascii="Times New Roman" w:hAnsi="Times New Roman"/>
                <w:kern w:val="0"/>
                <w:sz w:val="24"/>
              </w:rPr>
            </w:pPr>
            <w:r>
              <w:rPr>
                <w:rFonts w:ascii="Times New Roman" w:hAnsi="Times New Roman"/>
                <w:kern w:val="0"/>
                <w:sz w:val="24"/>
              </w:rPr>
              <w:t>不设置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autoSpaceDE w:val="0"/>
              <w:autoSpaceDN w:val="0"/>
              <w:adjustRightInd w:val="0"/>
              <w:snapToGrid w:val="0"/>
              <w:jc w:val="center"/>
              <w:rPr>
                <w:rFonts w:ascii="Times New Roman" w:hAnsi="Times New Roman"/>
                <w:kern w:val="0"/>
                <w:sz w:val="24"/>
              </w:rPr>
            </w:pPr>
            <w:r>
              <w:rPr>
                <w:rFonts w:ascii="Times New Roman" w:hAnsi="Times New Roman"/>
                <w:sz w:val="24"/>
              </w:rPr>
              <w:t>规划情况</w:t>
            </w:r>
          </w:p>
        </w:tc>
        <w:tc>
          <w:tcPr>
            <w:tcW w:w="7532" w:type="dxa"/>
            <w:gridSpan w:val="3"/>
            <w:vAlign w:val="center"/>
          </w:tcPr>
          <w:p>
            <w:pPr>
              <w:pStyle w:val="20"/>
              <w:spacing w:after="0" w:line="480" w:lineRule="exact"/>
              <w:jc w:val="center"/>
              <w:rPr>
                <w:rFonts w:ascii="Times New Roman" w:hAnsi="Times New Roman"/>
                <w:kern w:val="0"/>
                <w:sz w:val="24"/>
              </w:rPr>
            </w:pPr>
            <w:r>
              <w:rPr>
                <w:rFonts w:ascii="Times New Roman" w:hAnsi="Times New Roman"/>
                <w:b/>
                <w:bCs/>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adjustRightInd w:val="0"/>
              <w:snapToGrid w:val="0"/>
              <w:jc w:val="center"/>
              <w:rPr>
                <w:rFonts w:ascii="Times New Roman" w:hAnsi="Times New Roman"/>
                <w:kern w:val="0"/>
                <w:sz w:val="24"/>
              </w:rPr>
            </w:pPr>
            <w:r>
              <w:rPr>
                <w:rFonts w:ascii="Times New Roman" w:hAnsi="Times New Roman"/>
                <w:sz w:val="24"/>
              </w:rPr>
              <w:t>规划环境影响评价情况</w:t>
            </w:r>
          </w:p>
        </w:tc>
        <w:tc>
          <w:tcPr>
            <w:tcW w:w="7532" w:type="dxa"/>
            <w:gridSpan w:val="3"/>
            <w:vAlign w:val="center"/>
          </w:tcPr>
          <w:p>
            <w:pPr>
              <w:pStyle w:val="20"/>
              <w:spacing w:after="0" w:line="480" w:lineRule="exact"/>
              <w:jc w:val="center"/>
              <w:rPr>
                <w:rFonts w:ascii="Times New Roman" w:hAnsi="Times New Roman"/>
                <w:kern w:val="0"/>
                <w:sz w:val="24"/>
              </w:rPr>
            </w:pPr>
            <w:r>
              <w:rPr>
                <w:rFonts w:ascii="Times New Roman" w:hAnsi="Times New Roman"/>
                <w:b/>
                <w:bCs/>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 w:val="24"/>
              </w:rPr>
              <w:t>规划及规划环境影响评价符合性分析</w:t>
            </w:r>
          </w:p>
        </w:tc>
        <w:tc>
          <w:tcPr>
            <w:tcW w:w="7532" w:type="dxa"/>
            <w:gridSpan w:val="3"/>
            <w:vAlign w:val="center"/>
          </w:tcPr>
          <w:p>
            <w:pPr>
              <w:widowControl/>
              <w:ind w:firstLine="420" w:firstLineChars="200"/>
              <w:jc w:val="center"/>
              <w:rPr>
                <w:rFonts w:ascii="Times New Roman" w:hAnsi="Times New Roman"/>
                <w:kern w:val="0"/>
                <w:szCs w:val="21"/>
              </w:rPr>
            </w:pPr>
            <w:r>
              <w:rPr>
                <w:rFonts w:ascii="Times New Roman" w:hAnsi="Times New Roman"/>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58" w:hRule="atLeast"/>
          <w:jc w:val="center"/>
        </w:trPr>
        <w:tc>
          <w:tcPr>
            <w:tcW w:w="1009" w:type="dxa"/>
            <w:vAlign w:val="center"/>
          </w:tcPr>
          <w:p>
            <w:pPr>
              <w:autoSpaceDE w:val="0"/>
              <w:autoSpaceDN w:val="0"/>
              <w:adjustRightInd w:val="0"/>
              <w:snapToGrid w:val="0"/>
              <w:jc w:val="center"/>
              <w:rPr>
                <w:rFonts w:ascii="Times New Roman" w:hAnsi="Times New Roman"/>
                <w:kern w:val="0"/>
                <w:szCs w:val="21"/>
              </w:rPr>
            </w:pPr>
            <w:r>
              <w:rPr>
                <w:rFonts w:ascii="Times New Roman" w:hAnsi="Times New Roman"/>
                <w:kern w:val="0"/>
                <w:sz w:val="24"/>
              </w:rPr>
              <w:t>其他符合性分析</w:t>
            </w:r>
          </w:p>
        </w:tc>
        <w:tc>
          <w:tcPr>
            <w:tcW w:w="7532" w:type="dxa"/>
            <w:gridSpan w:val="3"/>
            <w:vAlign w:val="center"/>
          </w:tcPr>
          <w:p>
            <w:pPr>
              <w:pStyle w:val="33"/>
              <w:adjustRightInd/>
              <w:spacing w:line="360" w:lineRule="auto"/>
              <w:ind w:firstLineChars="200"/>
              <w:rPr>
                <w:rFonts w:ascii="Times New Roman" w:hAnsi="Times New Roman"/>
                <w:b/>
                <w:bCs/>
              </w:rPr>
            </w:pPr>
            <w:r>
              <w:rPr>
                <w:rFonts w:ascii="Times New Roman" w:hAnsi="Times New Roman"/>
                <w:b/>
                <w:bCs/>
              </w:rPr>
              <w:t>1、政策符合性分析</w:t>
            </w:r>
          </w:p>
          <w:p>
            <w:pPr>
              <w:autoSpaceDE w:val="0"/>
              <w:autoSpaceDN w:val="0"/>
              <w:adjustRightInd w:val="0"/>
              <w:snapToGrid w:val="0"/>
              <w:spacing w:line="360" w:lineRule="auto"/>
              <w:ind w:firstLine="480" w:firstLineChars="200"/>
              <w:rPr>
                <w:rFonts w:ascii="Times New Roman" w:hAnsi="Times New Roman"/>
                <w:sz w:val="24"/>
              </w:rPr>
            </w:pPr>
            <w:r>
              <w:rPr>
                <w:rFonts w:ascii="Times New Roman" w:hAnsi="Times New Roman"/>
                <w:sz w:val="24"/>
              </w:rPr>
              <w:t>本项目产品为水泥稳定碎石，属于《国民经济行业分类》（GB/T4754-2017）中的“C类3039其他建筑材料制造”。经查阅国家发改委第21号令</w:t>
            </w:r>
            <w:r>
              <w:rPr>
                <w:rFonts w:ascii="Times New Roman" w:hAnsi="Times New Roman"/>
                <w:kern w:val="0"/>
                <w:sz w:val="24"/>
              </w:rPr>
              <w:t>《产业结构调整指导目录（2024年本）》</w:t>
            </w:r>
            <w:r>
              <w:rPr>
                <w:rFonts w:ascii="Times New Roman" w:hAnsi="Times New Roman"/>
                <w:sz w:val="24"/>
              </w:rPr>
              <w:t>，本项目不属于限制类，也不属于鼓励类、淘汰类，因此本项目的建设符合国家产业政策。</w:t>
            </w:r>
          </w:p>
          <w:p>
            <w:pPr>
              <w:autoSpaceDE w:val="0"/>
              <w:autoSpaceDN w:val="0"/>
              <w:adjustRightInd w:val="0"/>
              <w:snapToGrid w:val="0"/>
              <w:spacing w:line="360" w:lineRule="auto"/>
              <w:ind w:firstLine="482" w:firstLineChars="200"/>
              <w:jc w:val="left"/>
              <w:rPr>
                <w:rFonts w:ascii="Times New Roman" w:hAnsi="Times New Roman"/>
                <w:b/>
                <w:bCs/>
                <w:sz w:val="24"/>
              </w:rPr>
            </w:pPr>
            <w:r>
              <w:rPr>
                <w:rFonts w:ascii="Times New Roman" w:hAnsi="Times New Roman"/>
                <w:b/>
                <w:bCs/>
                <w:sz w:val="24"/>
              </w:rPr>
              <w:t>2、三线一单符合性</w:t>
            </w:r>
          </w:p>
          <w:p>
            <w:pPr>
              <w:spacing w:line="360" w:lineRule="auto"/>
              <w:ind w:firstLine="480" w:firstLineChars="200"/>
              <w:rPr>
                <w:rFonts w:ascii="Times New Roman" w:hAnsi="Times New Roman"/>
                <w:sz w:val="24"/>
                <w:szCs w:val="32"/>
              </w:rPr>
            </w:pPr>
            <w:r>
              <w:rPr>
                <w:rFonts w:ascii="Times New Roman" w:hAnsi="Times New Roman"/>
                <w:sz w:val="24"/>
                <w:szCs w:val="32"/>
              </w:rPr>
              <w:t>为贯彻落实《中共中央国务院关于全面加强生态环境保护坚决打好污染防治攻坚战的意见》和《自治区党委自治区人民政府关于全面加强生态环境保护坚决打好污染防治攻坚战实施方案》,按照生态环境部统一部署,自治区组织编制了“生态保护红线、环境质量底线、资源利用上线和生态环境准入清单”（以下简称“三线一单”）,现就实施“三线一单”生态环境分区管控。根据新疆维吾尔自治区人民政府办公厅新政发〔2021]18号《关于印发《新疆维吾尔自治区“三线一单”生态环境分区管控方案》的通知》要求和</w:t>
            </w:r>
            <w:bookmarkStart w:id="8" w:name="_GoBack"/>
            <w:r>
              <w:rPr>
                <w:rFonts w:ascii="Times New Roman" w:hAnsi="Times New Roman"/>
                <w:sz w:val="24"/>
                <w:szCs w:val="32"/>
                <w:highlight w:val="none"/>
              </w:rPr>
              <w:t>《</w:t>
            </w:r>
            <w:bookmarkStart w:id="2" w:name="bookmark4"/>
            <w:bookmarkStart w:id="3" w:name="bookmark5"/>
            <w:bookmarkStart w:id="4" w:name="bookmark3"/>
            <w:r>
              <w:rPr>
                <w:rFonts w:ascii="Times New Roman" w:hAnsi="Times New Roman"/>
                <w:sz w:val="24"/>
                <w:szCs w:val="32"/>
                <w:highlight w:val="none"/>
              </w:rPr>
              <w:t>关于印发塔城地区</w:t>
            </w:r>
            <w:r>
              <w:rPr>
                <w:rFonts w:ascii="Times New Roman" w:hAnsi="Times New Roman"/>
                <w:sz w:val="24"/>
                <w:szCs w:val="32"/>
                <w:highlight w:val="none"/>
                <w:lang w:val="zh-CN"/>
              </w:rPr>
              <w:t>“三线</w:t>
            </w:r>
            <w:r>
              <w:rPr>
                <w:rFonts w:ascii="Times New Roman" w:hAnsi="Times New Roman"/>
                <w:sz w:val="24"/>
                <w:szCs w:val="32"/>
                <w:highlight w:val="none"/>
              </w:rPr>
              <w:t>一单"生态环境分区管控方案的通知</w:t>
            </w:r>
            <w:bookmarkEnd w:id="2"/>
            <w:bookmarkEnd w:id="3"/>
            <w:bookmarkEnd w:id="4"/>
            <w:r>
              <w:rPr>
                <w:rFonts w:ascii="Times New Roman" w:hAnsi="Times New Roman"/>
                <w:sz w:val="24"/>
                <w:szCs w:val="32"/>
                <w:highlight w:val="none"/>
              </w:rPr>
              <w:t>》</w:t>
            </w:r>
            <w:bookmarkEnd w:id="8"/>
            <w:r>
              <w:rPr>
                <w:rFonts w:ascii="Times New Roman" w:hAnsi="Times New Roman"/>
                <w:sz w:val="24"/>
                <w:szCs w:val="32"/>
              </w:rPr>
              <w:t>，本项目建设与“三线一单”的符合性分析见表1-1、1-2。</w:t>
            </w:r>
          </w:p>
          <w:p>
            <w:pPr>
              <w:autoSpaceDE w:val="0"/>
              <w:autoSpaceDN w:val="0"/>
              <w:adjustRightInd w:val="0"/>
              <w:jc w:val="center"/>
              <w:rPr>
                <w:rFonts w:ascii="Times New Roman" w:hAnsi="Times New Roman"/>
                <w:sz w:val="24"/>
              </w:rPr>
            </w:pPr>
            <w:r>
              <w:rPr>
                <w:rFonts w:ascii="Times New Roman" w:hAnsi="Times New Roman"/>
                <w:b/>
                <w:bCs/>
                <w:szCs w:val="21"/>
              </w:rPr>
              <w:t>表1-1“三线一单”符合性分析一览表</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5215"/>
              <w:gridCol w:w="7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pct"/>
                  <w:tcBorders>
                    <w:tl2br w:val="nil"/>
                    <w:tr2bl w:val="nil"/>
                  </w:tcBorders>
                  <w:vAlign w:val="center"/>
                </w:tcPr>
                <w:p>
                  <w:pPr>
                    <w:wordWrap w:val="0"/>
                    <w:topLinePunct/>
                    <w:snapToGrid w:val="0"/>
                    <w:jc w:val="center"/>
                    <w:rPr>
                      <w:rFonts w:ascii="Times New Roman" w:hAnsi="Times New Roman"/>
                      <w:b/>
                      <w:bCs/>
                      <w:szCs w:val="21"/>
                    </w:rPr>
                  </w:pPr>
                  <w:r>
                    <w:rPr>
                      <w:rFonts w:ascii="Times New Roman" w:hAnsi="Times New Roman"/>
                      <w:b/>
                      <w:bCs/>
                      <w:szCs w:val="21"/>
                    </w:rPr>
                    <w:t>内容</w:t>
                  </w:r>
                </w:p>
              </w:tc>
              <w:tc>
                <w:tcPr>
                  <w:tcW w:w="3564" w:type="pct"/>
                  <w:tcBorders>
                    <w:tl2br w:val="nil"/>
                    <w:tr2bl w:val="nil"/>
                  </w:tcBorders>
                  <w:vAlign w:val="center"/>
                </w:tcPr>
                <w:p>
                  <w:pPr>
                    <w:wordWrap w:val="0"/>
                    <w:topLinePunct/>
                    <w:snapToGrid w:val="0"/>
                    <w:jc w:val="center"/>
                    <w:rPr>
                      <w:rFonts w:ascii="Times New Roman" w:hAnsi="Times New Roman"/>
                      <w:b/>
                      <w:bCs/>
                      <w:szCs w:val="21"/>
                    </w:rPr>
                  </w:pPr>
                  <w:r>
                    <w:rPr>
                      <w:rFonts w:ascii="Times New Roman" w:hAnsi="Times New Roman"/>
                      <w:b/>
                      <w:bCs/>
                      <w:szCs w:val="21"/>
                    </w:rPr>
                    <w:t>本项目工程概况</w:t>
                  </w:r>
                </w:p>
              </w:tc>
              <w:tc>
                <w:tcPr>
                  <w:tcW w:w="508" w:type="pct"/>
                  <w:tcBorders>
                    <w:tl2br w:val="nil"/>
                    <w:tr2bl w:val="nil"/>
                  </w:tcBorders>
                  <w:vAlign w:val="center"/>
                </w:tcPr>
                <w:p>
                  <w:pPr>
                    <w:wordWrap w:val="0"/>
                    <w:topLinePunct/>
                    <w:snapToGrid w:val="0"/>
                    <w:jc w:val="center"/>
                    <w:rPr>
                      <w:rFonts w:ascii="Times New Roman" w:hAnsi="Times New Roman"/>
                      <w:b/>
                      <w:bCs/>
                      <w:szCs w:val="21"/>
                    </w:rPr>
                  </w:pPr>
                  <w:r>
                    <w:rPr>
                      <w:rFonts w:ascii="Times New Roman" w:hAnsi="Times New Roman"/>
                      <w:b/>
                      <w:bCs/>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pct"/>
                  <w:tcBorders>
                    <w:tl2br w:val="nil"/>
                    <w:tr2bl w:val="nil"/>
                  </w:tcBorders>
                  <w:vAlign w:val="center"/>
                </w:tcPr>
                <w:p>
                  <w:pPr>
                    <w:wordWrap w:val="0"/>
                    <w:topLinePunct/>
                    <w:snapToGrid w:val="0"/>
                    <w:jc w:val="center"/>
                    <w:rPr>
                      <w:rFonts w:ascii="Times New Roman" w:hAnsi="Times New Roman"/>
                      <w:szCs w:val="21"/>
                    </w:rPr>
                  </w:pPr>
                  <w:r>
                    <w:rPr>
                      <w:rFonts w:ascii="Times New Roman" w:hAnsi="Times New Roman"/>
                      <w:szCs w:val="21"/>
                    </w:rPr>
                    <w:t>生态保护红线</w:t>
                  </w:r>
                </w:p>
              </w:tc>
              <w:tc>
                <w:tcPr>
                  <w:tcW w:w="3564" w:type="pct"/>
                  <w:tcBorders>
                    <w:tl2br w:val="nil"/>
                    <w:tr2bl w:val="nil"/>
                  </w:tcBorders>
                  <w:vAlign w:val="center"/>
                </w:tcPr>
                <w:p>
                  <w:pPr>
                    <w:wordWrap w:val="0"/>
                    <w:topLinePunct/>
                    <w:snapToGrid w:val="0"/>
                    <w:jc w:val="left"/>
                    <w:rPr>
                      <w:rFonts w:ascii="Times New Roman" w:hAnsi="Times New Roman"/>
                      <w:szCs w:val="21"/>
                    </w:rPr>
                  </w:pPr>
                  <w:r>
                    <w:rPr>
                      <w:rFonts w:ascii="Times New Roman" w:hAnsi="Times New Roman"/>
                      <w:kern w:val="0"/>
                      <w:szCs w:val="21"/>
                    </w:rPr>
                    <w:t>根据目前新疆维吾尔自治区生态保护红线成果，本项目周边无自然保护区、饮用水水源地等生态保护目标，符合生态红线要求。</w:t>
                  </w:r>
                </w:p>
              </w:tc>
              <w:tc>
                <w:tcPr>
                  <w:tcW w:w="508" w:type="pct"/>
                  <w:tcBorders>
                    <w:tl2br w:val="nil"/>
                    <w:tr2bl w:val="nil"/>
                  </w:tcBorders>
                  <w:vAlign w:val="center"/>
                </w:tcPr>
                <w:p>
                  <w:pPr>
                    <w:wordWrap w:val="0"/>
                    <w:topLinePunct/>
                    <w:snapToGrid w:val="0"/>
                    <w:jc w:val="center"/>
                    <w:rPr>
                      <w:rFonts w:ascii="Times New Roman" w:hAnsi="Times New Roman"/>
                      <w:szCs w:val="21"/>
                    </w:rPr>
                  </w:pPr>
                  <w:r>
                    <w:rPr>
                      <w:rFonts w:ascii="Times New Roman" w:hAnsi="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pct"/>
                  <w:tcBorders>
                    <w:tl2br w:val="nil"/>
                    <w:tr2bl w:val="nil"/>
                  </w:tcBorders>
                  <w:vAlign w:val="center"/>
                </w:tcPr>
                <w:p>
                  <w:pPr>
                    <w:wordWrap w:val="0"/>
                    <w:topLinePunct/>
                    <w:snapToGrid w:val="0"/>
                    <w:jc w:val="center"/>
                    <w:rPr>
                      <w:rFonts w:ascii="Times New Roman" w:hAnsi="Times New Roman"/>
                      <w:szCs w:val="21"/>
                    </w:rPr>
                  </w:pPr>
                  <w:r>
                    <w:rPr>
                      <w:rFonts w:ascii="Times New Roman" w:hAnsi="Times New Roman"/>
                      <w:szCs w:val="21"/>
                    </w:rPr>
                    <w:t>资源利用上线</w:t>
                  </w:r>
                </w:p>
              </w:tc>
              <w:tc>
                <w:tcPr>
                  <w:tcW w:w="3564" w:type="pct"/>
                  <w:tcBorders>
                    <w:tl2br w:val="nil"/>
                    <w:tr2bl w:val="nil"/>
                  </w:tcBorders>
                  <w:vAlign w:val="center"/>
                </w:tcPr>
                <w:p>
                  <w:pPr>
                    <w:wordWrap w:val="0"/>
                    <w:topLinePunct/>
                    <w:snapToGrid w:val="0"/>
                    <w:jc w:val="left"/>
                    <w:rPr>
                      <w:rFonts w:ascii="Times New Roman" w:hAnsi="Times New Roman"/>
                      <w:szCs w:val="21"/>
                    </w:rPr>
                  </w:pPr>
                  <w:r>
                    <w:rPr>
                      <w:rFonts w:ascii="Times New Roman" w:hAnsi="Times New Roman"/>
                      <w:kern w:val="0"/>
                      <w:szCs w:val="21"/>
                    </w:rPr>
                    <w:t>项目建设过程中所利用的资源主要为水、电，均为清洁能源，项目建成后通过多方面管理，采取合理可行的防治措施，以“节能、降耗、减污”为目标，有</w:t>
                  </w:r>
                  <w:r>
                    <w:rPr>
                      <w:rFonts w:ascii="Times New Roman" w:hAnsi="Times New Roman"/>
                      <w:spacing w:val="-6"/>
                      <w:kern w:val="0"/>
                      <w:szCs w:val="21"/>
                    </w:rPr>
                    <w:t>效的控制污染。项目的水、电等资源利用不会突破区域的资源利用上线。</w:t>
                  </w:r>
                </w:p>
              </w:tc>
              <w:tc>
                <w:tcPr>
                  <w:tcW w:w="508" w:type="pct"/>
                  <w:tcBorders>
                    <w:tl2br w:val="nil"/>
                    <w:tr2bl w:val="nil"/>
                  </w:tcBorders>
                  <w:vAlign w:val="center"/>
                </w:tcPr>
                <w:p>
                  <w:pPr>
                    <w:wordWrap w:val="0"/>
                    <w:topLinePunct/>
                    <w:snapToGrid w:val="0"/>
                    <w:jc w:val="center"/>
                    <w:rPr>
                      <w:rFonts w:ascii="Times New Roman" w:hAnsi="Times New Roman"/>
                      <w:szCs w:val="21"/>
                    </w:rPr>
                  </w:pPr>
                  <w:r>
                    <w:rPr>
                      <w:rFonts w:ascii="Times New Roman" w:hAnsi="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pct"/>
                  <w:tcBorders>
                    <w:tl2br w:val="nil"/>
                    <w:tr2bl w:val="nil"/>
                  </w:tcBorders>
                  <w:vAlign w:val="center"/>
                </w:tcPr>
                <w:p>
                  <w:pPr>
                    <w:wordWrap w:val="0"/>
                    <w:topLinePunct/>
                    <w:snapToGrid w:val="0"/>
                    <w:jc w:val="center"/>
                    <w:rPr>
                      <w:rFonts w:ascii="Times New Roman" w:hAnsi="Times New Roman"/>
                      <w:szCs w:val="21"/>
                    </w:rPr>
                  </w:pPr>
                  <w:r>
                    <w:rPr>
                      <w:rFonts w:ascii="Times New Roman" w:hAnsi="Times New Roman"/>
                      <w:szCs w:val="21"/>
                    </w:rPr>
                    <w:t>环境质量底线</w:t>
                  </w:r>
                </w:p>
              </w:tc>
              <w:tc>
                <w:tcPr>
                  <w:tcW w:w="3564" w:type="pct"/>
                  <w:tcBorders>
                    <w:tl2br w:val="nil"/>
                    <w:tr2bl w:val="nil"/>
                  </w:tcBorders>
                  <w:vAlign w:val="center"/>
                </w:tcPr>
                <w:p>
                  <w:pPr>
                    <w:wordWrap w:val="0"/>
                    <w:topLinePunct/>
                    <w:snapToGrid w:val="0"/>
                    <w:jc w:val="left"/>
                    <w:rPr>
                      <w:rFonts w:ascii="Times New Roman" w:hAnsi="Times New Roman"/>
                      <w:szCs w:val="21"/>
                    </w:rPr>
                  </w:pPr>
                  <w:r>
                    <w:rPr>
                      <w:rFonts w:ascii="Times New Roman" w:hAnsi="Times New Roman"/>
                      <w:szCs w:val="21"/>
                    </w:rPr>
                    <w:t>大气环境：本项目生产过程中大气污染物达标排放，排放总量少，对周围环境影响小。</w:t>
                  </w:r>
                </w:p>
                <w:p>
                  <w:pPr>
                    <w:wordWrap w:val="0"/>
                    <w:topLinePunct/>
                    <w:snapToGrid w:val="0"/>
                    <w:jc w:val="left"/>
                    <w:rPr>
                      <w:rFonts w:ascii="Times New Roman" w:hAnsi="Times New Roman"/>
                      <w:szCs w:val="21"/>
                    </w:rPr>
                  </w:pPr>
                  <w:r>
                    <w:rPr>
                      <w:rFonts w:ascii="Times New Roman" w:hAnsi="Times New Roman"/>
                      <w:szCs w:val="21"/>
                    </w:rPr>
                    <w:t>水环境：</w:t>
                  </w:r>
                  <w:r>
                    <w:rPr>
                      <w:rFonts w:ascii="Times New Roman" w:hAnsi="Times New Roman"/>
                      <w:spacing w:val="-9"/>
                      <w:szCs w:val="21"/>
                    </w:rPr>
                    <w:t>车辆清洗废水经沉淀池沉淀后循环使</w:t>
                  </w:r>
                  <w:r>
                    <w:rPr>
                      <w:rFonts w:ascii="Times New Roman" w:hAnsi="Times New Roman"/>
                      <w:spacing w:val="-3"/>
                      <w:szCs w:val="21"/>
                    </w:rPr>
                    <w:t>用不外排</w:t>
                  </w:r>
                  <w:r>
                    <w:rPr>
                      <w:rFonts w:ascii="Times New Roman" w:hAnsi="Times New Roman"/>
                      <w:szCs w:val="21"/>
                    </w:rPr>
                    <w:t>。</w:t>
                  </w:r>
                </w:p>
                <w:p>
                  <w:pPr>
                    <w:wordWrap w:val="0"/>
                    <w:topLinePunct/>
                    <w:snapToGrid w:val="0"/>
                    <w:jc w:val="left"/>
                    <w:rPr>
                      <w:rFonts w:ascii="Times New Roman" w:hAnsi="Times New Roman"/>
                      <w:szCs w:val="21"/>
                    </w:rPr>
                  </w:pPr>
                  <w:r>
                    <w:rPr>
                      <w:rFonts w:ascii="Times New Roman" w:hAnsi="Times New Roman"/>
                      <w:szCs w:val="21"/>
                    </w:rPr>
                    <w:t>声环境：项目无较大的噪声源，声环境质量良好。</w:t>
                  </w:r>
                </w:p>
                <w:p>
                  <w:pPr>
                    <w:wordWrap w:val="0"/>
                    <w:topLinePunct/>
                    <w:snapToGrid w:val="0"/>
                    <w:jc w:val="left"/>
                    <w:rPr>
                      <w:rFonts w:ascii="Times New Roman" w:hAnsi="Times New Roman"/>
                      <w:szCs w:val="21"/>
                    </w:rPr>
                  </w:pPr>
                  <w:r>
                    <w:rPr>
                      <w:rFonts w:ascii="Times New Roman" w:hAnsi="Times New Roman"/>
                      <w:szCs w:val="21"/>
                    </w:rPr>
                    <w:t>综上，本项目符合当地环境质量底线要求。</w:t>
                  </w:r>
                </w:p>
              </w:tc>
              <w:tc>
                <w:tcPr>
                  <w:tcW w:w="508" w:type="pct"/>
                  <w:tcBorders>
                    <w:tl2br w:val="nil"/>
                    <w:tr2bl w:val="nil"/>
                  </w:tcBorders>
                  <w:vAlign w:val="center"/>
                </w:tcPr>
                <w:p>
                  <w:pPr>
                    <w:wordWrap w:val="0"/>
                    <w:topLinePunct/>
                    <w:snapToGrid w:val="0"/>
                    <w:jc w:val="center"/>
                    <w:rPr>
                      <w:rFonts w:ascii="Times New Roman" w:hAnsi="Times New Roman"/>
                      <w:szCs w:val="21"/>
                    </w:rPr>
                  </w:pPr>
                  <w:r>
                    <w:rPr>
                      <w:rFonts w:ascii="Times New Roman" w:hAnsi="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pct"/>
                  <w:tcBorders>
                    <w:tl2br w:val="nil"/>
                    <w:tr2bl w:val="nil"/>
                  </w:tcBorders>
                  <w:vAlign w:val="center"/>
                </w:tcPr>
                <w:p>
                  <w:pPr>
                    <w:wordWrap w:val="0"/>
                    <w:topLinePunct/>
                    <w:snapToGrid w:val="0"/>
                    <w:jc w:val="center"/>
                    <w:rPr>
                      <w:rFonts w:ascii="Times New Roman" w:hAnsi="Times New Roman"/>
                      <w:szCs w:val="21"/>
                    </w:rPr>
                  </w:pPr>
                  <w:r>
                    <w:rPr>
                      <w:rFonts w:ascii="Times New Roman" w:hAnsi="Times New Roman"/>
                      <w:szCs w:val="21"/>
                    </w:rPr>
                    <w:t>生态环境准入清单</w:t>
                  </w:r>
                </w:p>
              </w:tc>
              <w:tc>
                <w:tcPr>
                  <w:tcW w:w="3564" w:type="pct"/>
                  <w:tcBorders>
                    <w:tl2br w:val="nil"/>
                    <w:tr2bl w:val="nil"/>
                  </w:tcBorders>
                  <w:vAlign w:val="center"/>
                </w:tcPr>
                <w:p>
                  <w:pPr>
                    <w:wordWrap w:val="0"/>
                    <w:topLinePunct/>
                    <w:snapToGrid w:val="0"/>
                    <w:jc w:val="left"/>
                    <w:rPr>
                      <w:rFonts w:ascii="Times New Roman" w:hAnsi="Times New Roman"/>
                      <w:szCs w:val="21"/>
                    </w:rPr>
                  </w:pPr>
                  <w:r>
                    <w:rPr>
                      <w:rFonts w:ascii="Times New Roman" w:hAnsi="Times New Roman"/>
                      <w:szCs w:val="21"/>
                    </w:rPr>
                    <w:t>本项目产生的废气、废水、噪声及固废均能得到妥善处置，符合新疆托克逊县环保政策。</w:t>
                  </w:r>
                </w:p>
              </w:tc>
              <w:tc>
                <w:tcPr>
                  <w:tcW w:w="508" w:type="pct"/>
                  <w:tcBorders>
                    <w:tl2br w:val="nil"/>
                    <w:tr2bl w:val="nil"/>
                  </w:tcBorders>
                  <w:vAlign w:val="center"/>
                </w:tcPr>
                <w:p>
                  <w:pPr>
                    <w:wordWrap w:val="0"/>
                    <w:topLinePunct/>
                    <w:snapToGrid w:val="0"/>
                    <w:jc w:val="center"/>
                    <w:rPr>
                      <w:rFonts w:ascii="Times New Roman" w:hAnsi="Times New Roman"/>
                      <w:szCs w:val="21"/>
                    </w:rPr>
                  </w:pPr>
                  <w:r>
                    <w:rPr>
                      <w:rFonts w:ascii="Times New Roman" w:hAnsi="Times New Roman"/>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26" w:type="pct"/>
                  <w:tcBorders>
                    <w:tl2br w:val="nil"/>
                    <w:tr2bl w:val="nil"/>
                  </w:tcBorders>
                  <w:vAlign w:val="center"/>
                </w:tcPr>
                <w:p>
                  <w:pPr>
                    <w:wordWrap w:val="0"/>
                    <w:topLinePunct/>
                    <w:snapToGrid w:val="0"/>
                    <w:jc w:val="center"/>
                    <w:rPr>
                      <w:rFonts w:ascii="Times New Roman" w:hAnsi="Times New Roman"/>
                      <w:szCs w:val="21"/>
                    </w:rPr>
                  </w:pPr>
                  <w:r>
                    <w:rPr>
                      <w:rFonts w:ascii="Times New Roman" w:hAnsi="Times New Roman"/>
                    </w:rPr>
                    <w:t>《新疆维吾尔自治区“三线一单”生态环境分区管控方案》</w:t>
                  </w:r>
                </w:p>
              </w:tc>
              <w:tc>
                <w:tcPr>
                  <w:tcW w:w="3564" w:type="pct"/>
                  <w:tcBorders>
                    <w:tl2br w:val="nil"/>
                    <w:tr2bl w:val="nil"/>
                  </w:tcBorders>
                  <w:vAlign w:val="center"/>
                </w:tcPr>
                <w:p>
                  <w:pPr>
                    <w:rPr>
                      <w:rFonts w:ascii="Times New Roman" w:hAnsi="Times New Roman"/>
                      <w:szCs w:val="21"/>
                    </w:rPr>
                  </w:pPr>
                  <w:r>
                    <w:rPr>
                      <w:rFonts w:ascii="Times New Roman" w:hAnsi="Times New Roman"/>
                    </w:rPr>
                    <w:t>本项目选址位于新疆托克逊县，对照《新疆维吾尔自治区“三线一单”生态环境分区管控方案》，本项目所在区域属于重点管控单元范围内，因此本次评价应落实生态环境保护基本要求，推动区域环境质量持续改善。符合《新疆维吾尔自治区“三线一单”生态环境分区管控方案》的要求。</w:t>
                  </w:r>
                </w:p>
              </w:tc>
              <w:tc>
                <w:tcPr>
                  <w:tcW w:w="508" w:type="pct"/>
                  <w:tcBorders>
                    <w:tl2br w:val="nil"/>
                    <w:tr2bl w:val="nil"/>
                  </w:tcBorders>
                  <w:vAlign w:val="center"/>
                </w:tcPr>
                <w:p>
                  <w:pPr>
                    <w:wordWrap w:val="0"/>
                    <w:topLinePunct/>
                    <w:snapToGrid w:val="0"/>
                    <w:jc w:val="center"/>
                    <w:rPr>
                      <w:rFonts w:ascii="Times New Roman" w:hAnsi="Times New Roman"/>
                      <w:szCs w:val="21"/>
                    </w:rPr>
                  </w:pPr>
                  <w:r>
                    <w:rPr>
                      <w:rFonts w:ascii="Times New Roman" w:hAnsi="Times New Roman"/>
                    </w:rPr>
                    <w:t>符合</w:t>
                  </w:r>
                </w:p>
              </w:tc>
            </w:tr>
          </w:tbl>
          <w:p>
            <w:pPr>
              <w:pStyle w:val="34"/>
              <w:adjustRightInd/>
              <w:snapToGrid/>
              <w:spacing w:beforeLines="0" w:after="31" w:line="240" w:lineRule="auto"/>
              <w:ind w:left="0" w:firstLine="0" w:firstLineChars="0"/>
              <w:rPr>
                <w:rFonts w:ascii="Times New Roman" w:hAnsi="Times New Roman" w:eastAsia="黑体"/>
                <w:b w:val="0"/>
                <w:color w:val="auto"/>
                <w:sz w:val="24"/>
                <w:szCs w:val="24"/>
              </w:rPr>
            </w:pPr>
            <w:r>
              <w:rPr>
                <w:rFonts w:ascii="Times New Roman" w:hAnsi="Times New Roman" w:eastAsia="黑体"/>
                <w:b w:val="0"/>
                <w:color w:val="auto"/>
                <w:sz w:val="24"/>
                <w:szCs w:val="24"/>
              </w:rPr>
              <w:t>表1-2项目与“吐鲁番地区“三线一单”生态环境分区管控方案”符合性分析一览表</w:t>
            </w:r>
          </w:p>
          <w:tbl>
            <w:tblPr>
              <w:tblStyle w:val="24"/>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89"/>
              <w:gridCol w:w="539"/>
              <w:gridCol w:w="592"/>
              <w:gridCol w:w="3170"/>
              <w:gridCol w:w="14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6" w:type="pct"/>
                  <w:vMerge w:val="restart"/>
                  <w:tcBorders>
                    <w:tl2br w:val="nil"/>
                    <w:tr2bl w:val="nil"/>
                  </w:tcBorders>
                  <w:shd w:val="clear" w:color="auto" w:fill="auto"/>
                  <w:vAlign w:val="center"/>
                </w:tcPr>
                <w:p>
                  <w:pPr>
                    <w:adjustRightInd w:val="0"/>
                    <w:snapToGrid w:val="0"/>
                    <w:jc w:val="center"/>
                    <w:rPr>
                      <w:rFonts w:ascii="Times New Roman" w:hAnsi="Times New Roman"/>
                      <w:lang w:bidi="en-US"/>
                    </w:rPr>
                  </w:pPr>
                  <w:r>
                    <w:rPr>
                      <w:rFonts w:ascii="Times New Roman" w:hAnsi="Times New Roman"/>
                      <w:lang w:bidi="en-US"/>
                    </w:rPr>
                    <w:t>ZH65042230003</w:t>
                  </w:r>
                </w:p>
              </w:tc>
              <w:tc>
                <w:tcPr>
                  <w:tcW w:w="539" w:type="pct"/>
                  <w:vMerge w:val="restart"/>
                  <w:tcBorders>
                    <w:tl2br w:val="nil"/>
                    <w:tr2bl w:val="nil"/>
                  </w:tcBorders>
                  <w:shd w:val="clear" w:color="auto" w:fill="auto"/>
                  <w:vAlign w:val="center"/>
                </w:tcPr>
                <w:p>
                  <w:pPr>
                    <w:adjustRightInd w:val="0"/>
                    <w:snapToGrid w:val="0"/>
                    <w:jc w:val="center"/>
                    <w:rPr>
                      <w:rFonts w:ascii="Times New Roman" w:hAnsi="Times New Roman"/>
                      <w:lang w:bidi="en-US"/>
                    </w:rPr>
                  </w:pPr>
                  <w:r>
                    <w:rPr>
                      <w:rFonts w:ascii="Times New Roman" w:hAnsi="Times New Roman"/>
                      <w:lang w:bidi="en-US"/>
                    </w:rPr>
                    <w:t>托克逊县其他一般管控单元02</w:t>
                  </w:r>
                </w:p>
              </w:tc>
              <w:tc>
                <w:tcPr>
                  <w:tcW w:w="368" w:type="pct"/>
                  <w:vMerge w:val="restart"/>
                  <w:tcBorders>
                    <w:tl2br w:val="nil"/>
                    <w:tr2bl w:val="nil"/>
                  </w:tcBorders>
                  <w:shd w:val="clear" w:color="auto" w:fill="auto"/>
                  <w:vAlign w:val="center"/>
                </w:tcPr>
                <w:p>
                  <w:pPr>
                    <w:adjustRightInd w:val="0"/>
                    <w:snapToGrid w:val="0"/>
                    <w:jc w:val="center"/>
                    <w:rPr>
                      <w:rFonts w:ascii="Times New Roman" w:hAnsi="Times New Roman"/>
                      <w:lang w:bidi="en-US"/>
                    </w:rPr>
                  </w:pPr>
                  <w:r>
                    <w:rPr>
                      <w:rFonts w:ascii="Times New Roman" w:hAnsi="Times New Roman"/>
                      <w:lang w:bidi="en-US"/>
                    </w:rPr>
                    <w:t>一般管控单元</w:t>
                  </w:r>
                </w:p>
              </w:tc>
              <w:tc>
                <w:tcPr>
                  <w:tcW w:w="405" w:type="pct"/>
                  <w:tcBorders>
                    <w:tl2br w:val="nil"/>
                    <w:tr2bl w:val="nil"/>
                  </w:tcBorders>
                  <w:shd w:val="clear" w:color="auto" w:fill="auto"/>
                  <w:vAlign w:val="center"/>
                </w:tcPr>
                <w:p>
                  <w:pPr>
                    <w:adjustRightInd w:val="0"/>
                    <w:snapToGrid w:val="0"/>
                    <w:rPr>
                      <w:rFonts w:ascii="Times New Roman" w:hAnsi="Times New Roman"/>
                      <w:lang w:bidi="en-US"/>
                    </w:rPr>
                  </w:pPr>
                  <w:r>
                    <w:rPr>
                      <w:rFonts w:ascii="Times New Roman" w:hAnsi="Times New Roman"/>
                      <w:lang w:bidi="en-US"/>
                    </w:rPr>
                    <w:t>空间布局约束</w:t>
                  </w:r>
                </w:p>
              </w:tc>
              <w:tc>
                <w:tcPr>
                  <w:tcW w:w="2167" w:type="pct"/>
                  <w:tcBorders>
                    <w:tl2br w:val="nil"/>
                    <w:tr2bl w:val="nil"/>
                  </w:tcBorders>
                  <w:shd w:val="clear" w:color="auto" w:fill="auto"/>
                  <w:vAlign w:val="center"/>
                </w:tcPr>
                <w:p>
                  <w:pPr>
                    <w:adjustRightInd w:val="0"/>
                    <w:snapToGrid w:val="0"/>
                    <w:rPr>
                      <w:rFonts w:ascii="Times New Roman" w:hAnsi="Times New Roman"/>
                      <w:lang w:bidi="en-US"/>
                    </w:rPr>
                  </w:pPr>
                  <w:r>
                    <w:rPr>
                      <w:rFonts w:ascii="Times New Roman" w:hAnsi="Times New Roman"/>
                      <w:lang w:bidi="en-US"/>
                    </w:rPr>
                    <w:t>1.原则上禁止建设涉及一类重金属、持久性有机污染物排放的工业项目。</w:t>
                  </w:r>
                </w:p>
                <w:p>
                  <w:pPr>
                    <w:adjustRightInd w:val="0"/>
                    <w:snapToGrid w:val="0"/>
                    <w:rPr>
                      <w:rFonts w:ascii="Times New Roman" w:hAnsi="Times New Roman"/>
                      <w:lang w:bidi="en-US"/>
                    </w:rPr>
                  </w:pPr>
                  <w:r>
                    <w:rPr>
                      <w:rFonts w:ascii="Times New Roman" w:hAnsi="Times New Roman"/>
                      <w:lang w:bidi="en-US"/>
                    </w:rPr>
                    <w:t>2.限制进行大规模高强度工业化、城镇化开发，严格控制金属冶炼、石油化工、焦化等“高污染、高环境风险产品”工业项目，原则上不增加产能。现有“高污染、高环境风险产品”工业项目持续削减污染物排放总量并严格控制环境风险。</w:t>
                  </w:r>
                </w:p>
                <w:p>
                  <w:pPr>
                    <w:adjustRightInd w:val="0"/>
                    <w:snapToGrid w:val="0"/>
                    <w:rPr>
                      <w:rFonts w:ascii="Times New Roman" w:hAnsi="Times New Roman"/>
                      <w:lang w:bidi="en-US"/>
                    </w:rPr>
                  </w:pPr>
                  <w:r>
                    <w:rPr>
                      <w:rFonts w:ascii="Times New Roman" w:hAnsi="Times New Roman"/>
                      <w:lang w:bidi="en-US"/>
                    </w:rPr>
                    <w:t>3.推进新能源的开发和利用，鼓励发展风力发电和太阳能发电。</w:t>
                  </w:r>
                </w:p>
                <w:p>
                  <w:pPr>
                    <w:adjustRightInd w:val="0"/>
                    <w:snapToGrid w:val="0"/>
                    <w:rPr>
                      <w:rFonts w:ascii="Times New Roman" w:hAnsi="Times New Roman"/>
                      <w:lang w:bidi="en-US"/>
                    </w:rPr>
                  </w:pPr>
                  <w:r>
                    <w:rPr>
                      <w:rFonts w:ascii="Times New Roman" w:hAnsi="Times New Roman"/>
                      <w:lang w:bidi="en-US"/>
                    </w:rPr>
                    <w:t>4.建立集镇居住商业区、耕地保护区与工业功能区等集聚区块之间的防护带。</w:t>
                  </w:r>
                </w:p>
                <w:p>
                  <w:pPr>
                    <w:adjustRightInd w:val="0"/>
                    <w:snapToGrid w:val="0"/>
                    <w:rPr>
                      <w:rFonts w:ascii="Times New Roman" w:hAnsi="Times New Roman"/>
                      <w:lang w:bidi="en-US"/>
                    </w:rPr>
                  </w:pPr>
                  <w:r>
                    <w:rPr>
                      <w:rFonts w:ascii="Times New Roman" w:hAnsi="Times New Roman"/>
                      <w:lang w:bidi="en-US"/>
                    </w:rPr>
                    <w:t>5.严格执行畜禽养殖禁养区规定，根据区域用地和消纳水平，合理确定养殖规模。加强基本农田保护，严格限制非农项目占用耕地。</w:t>
                  </w:r>
                </w:p>
              </w:tc>
              <w:tc>
                <w:tcPr>
                  <w:tcW w:w="1012" w:type="pct"/>
                  <w:tcBorders>
                    <w:tl2br w:val="nil"/>
                    <w:tr2bl w:val="nil"/>
                  </w:tcBorders>
                  <w:shd w:val="clear" w:color="auto" w:fill="auto"/>
                  <w:vAlign w:val="center"/>
                </w:tcPr>
                <w:p>
                  <w:pPr>
                    <w:adjustRightInd w:val="0"/>
                    <w:snapToGrid w:val="0"/>
                    <w:rPr>
                      <w:rFonts w:ascii="Times New Roman" w:hAnsi="Times New Roman"/>
                      <w:lang w:bidi="en-US"/>
                    </w:rPr>
                  </w:pPr>
                  <w:r>
                    <w:rPr>
                      <w:rFonts w:ascii="Times New Roman" w:hAnsi="Times New Roman"/>
                      <w:lang w:bidi="en-US"/>
                    </w:rPr>
                    <w:t>本项目不涉及“高污染、高环境风险产品”工业项目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6" w:type="pct"/>
                  <w:vMerge w:val="continue"/>
                  <w:tcBorders>
                    <w:tl2br w:val="nil"/>
                    <w:tr2bl w:val="nil"/>
                  </w:tcBorders>
                  <w:shd w:val="clear" w:color="auto" w:fill="auto"/>
                  <w:vAlign w:val="center"/>
                </w:tcPr>
                <w:p>
                  <w:pPr>
                    <w:adjustRightInd w:val="0"/>
                    <w:snapToGrid w:val="0"/>
                    <w:jc w:val="center"/>
                    <w:rPr>
                      <w:rFonts w:ascii="Times New Roman" w:hAnsi="Times New Roman"/>
                      <w:lang w:bidi="en-US"/>
                    </w:rPr>
                  </w:pPr>
                </w:p>
              </w:tc>
              <w:tc>
                <w:tcPr>
                  <w:tcW w:w="539" w:type="pct"/>
                  <w:vMerge w:val="continue"/>
                  <w:tcBorders>
                    <w:tl2br w:val="nil"/>
                    <w:tr2bl w:val="nil"/>
                  </w:tcBorders>
                  <w:shd w:val="clear" w:color="auto" w:fill="auto"/>
                  <w:vAlign w:val="center"/>
                </w:tcPr>
                <w:p>
                  <w:pPr>
                    <w:adjustRightInd w:val="0"/>
                    <w:snapToGrid w:val="0"/>
                    <w:jc w:val="center"/>
                    <w:rPr>
                      <w:rFonts w:ascii="Times New Roman" w:hAnsi="Times New Roman"/>
                      <w:lang w:bidi="en-US"/>
                    </w:rPr>
                  </w:pPr>
                </w:p>
              </w:tc>
              <w:tc>
                <w:tcPr>
                  <w:tcW w:w="368" w:type="pct"/>
                  <w:vMerge w:val="continue"/>
                  <w:tcBorders>
                    <w:tl2br w:val="nil"/>
                    <w:tr2bl w:val="nil"/>
                  </w:tcBorders>
                  <w:shd w:val="clear" w:color="auto" w:fill="auto"/>
                  <w:vAlign w:val="center"/>
                </w:tcPr>
                <w:p>
                  <w:pPr>
                    <w:adjustRightInd w:val="0"/>
                    <w:snapToGrid w:val="0"/>
                    <w:jc w:val="center"/>
                    <w:rPr>
                      <w:rFonts w:ascii="Times New Roman" w:hAnsi="Times New Roman"/>
                      <w:lang w:bidi="en-US"/>
                    </w:rPr>
                  </w:pPr>
                </w:p>
              </w:tc>
              <w:tc>
                <w:tcPr>
                  <w:tcW w:w="405" w:type="pct"/>
                  <w:tcBorders>
                    <w:tl2br w:val="nil"/>
                    <w:tr2bl w:val="nil"/>
                  </w:tcBorders>
                  <w:shd w:val="clear" w:color="auto" w:fill="auto"/>
                  <w:vAlign w:val="center"/>
                </w:tcPr>
                <w:p>
                  <w:pPr>
                    <w:adjustRightInd w:val="0"/>
                    <w:snapToGrid w:val="0"/>
                    <w:rPr>
                      <w:rFonts w:ascii="Times New Roman" w:hAnsi="Times New Roman"/>
                      <w:lang w:bidi="en-US"/>
                    </w:rPr>
                  </w:pPr>
                  <w:r>
                    <w:rPr>
                      <w:rFonts w:ascii="Times New Roman" w:hAnsi="Times New Roman"/>
                      <w:lang w:bidi="en-US"/>
                    </w:rPr>
                    <w:t>污染物排放管控</w:t>
                  </w:r>
                </w:p>
              </w:tc>
              <w:tc>
                <w:tcPr>
                  <w:tcW w:w="2167" w:type="pct"/>
                  <w:tcBorders>
                    <w:tl2br w:val="nil"/>
                    <w:tr2bl w:val="nil"/>
                  </w:tcBorders>
                  <w:shd w:val="clear" w:color="auto" w:fill="auto"/>
                  <w:vAlign w:val="center"/>
                </w:tcPr>
                <w:p>
                  <w:pPr>
                    <w:adjustRightInd w:val="0"/>
                    <w:snapToGrid w:val="0"/>
                    <w:rPr>
                      <w:rFonts w:ascii="Times New Roman" w:hAnsi="Times New Roman"/>
                      <w:lang w:bidi="en-US"/>
                    </w:rPr>
                  </w:pPr>
                  <w:r>
                    <w:rPr>
                      <w:rFonts w:ascii="Times New Roman" w:hAnsi="Times New Roman"/>
                      <w:bCs/>
                    </w:rPr>
                    <w:t>1.加强农业面源污染治理，严格控制化肥农药施加量，逐步削减农业面源污染物排放量</w:t>
                  </w:r>
                  <w:r>
                    <w:rPr>
                      <w:rFonts w:ascii="Times New Roman" w:hAnsi="Times New Roman"/>
                      <w:lang w:bidi="en-US"/>
                    </w:rPr>
                    <w:t>。</w:t>
                  </w:r>
                </w:p>
                <w:p>
                  <w:pPr>
                    <w:adjustRightInd w:val="0"/>
                    <w:snapToGrid w:val="0"/>
                    <w:rPr>
                      <w:rFonts w:ascii="Times New Roman" w:hAnsi="Times New Roman"/>
                      <w:lang w:bidi="en-US"/>
                    </w:rPr>
                  </w:pPr>
                  <w:r>
                    <w:rPr>
                      <w:rFonts w:ascii="Times New Roman" w:hAnsi="Times New Roman"/>
                      <w:lang w:bidi="en-US"/>
                    </w:rPr>
                    <w:t>2.加强矿产资源开采的环境保护工作。</w:t>
                  </w:r>
                </w:p>
              </w:tc>
              <w:tc>
                <w:tcPr>
                  <w:tcW w:w="1012" w:type="pct"/>
                  <w:tcBorders>
                    <w:tl2br w:val="nil"/>
                    <w:tr2bl w:val="nil"/>
                  </w:tcBorders>
                  <w:shd w:val="clear" w:color="auto" w:fill="auto"/>
                  <w:vAlign w:val="center"/>
                </w:tcPr>
                <w:p>
                  <w:pPr>
                    <w:adjustRightInd w:val="0"/>
                    <w:snapToGrid w:val="0"/>
                    <w:rPr>
                      <w:rFonts w:ascii="Times New Roman" w:hAnsi="Times New Roman"/>
                      <w:lang w:bidi="en-US"/>
                    </w:rPr>
                  </w:pPr>
                  <w:r>
                    <w:rPr>
                      <w:rFonts w:ascii="Times New Roman" w:hAnsi="Times New Roman"/>
                      <w:lang w:bidi="en-US"/>
                    </w:rPr>
                    <w:t>本项目不涉及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6" w:type="pct"/>
                  <w:vMerge w:val="continue"/>
                  <w:tcBorders>
                    <w:tl2br w:val="nil"/>
                    <w:tr2bl w:val="nil"/>
                  </w:tcBorders>
                  <w:shd w:val="clear" w:color="auto" w:fill="auto"/>
                  <w:vAlign w:val="center"/>
                </w:tcPr>
                <w:p>
                  <w:pPr>
                    <w:adjustRightInd w:val="0"/>
                    <w:snapToGrid w:val="0"/>
                    <w:jc w:val="center"/>
                    <w:rPr>
                      <w:rFonts w:ascii="Times New Roman" w:hAnsi="Times New Roman"/>
                      <w:lang w:bidi="en-US"/>
                    </w:rPr>
                  </w:pPr>
                </w:p>
              </w:tc>
              <w:tc>
                <w:tcPr>
                  <w:tcW w:w="539" w:type="pct"/>
                  <w:vMerge w:val="continue"/>
                  <w:tcBorders>
                    <w:tl2br w:val="nil"/>
                    <w:tr2bl w:val="nil"/>
                  </w:tcBorders>
                  <w:shd w:val="clear" w:color="auto" w:fill="auto"/>
                  <w:vAlign w:val="center"/>
                </w:tcPr>
                <w:p>
                  <w:pPr>
                    <w:adjustRightInd w:val="0"/>
                    <w:snapToGrid w:val="0"/>
                    <w:jc w:val="center"/>
                    <w:rPr>
                      <w:rFonts w:ascii="Times New Roman" w:hAnsi="Times New Roman"/>
                      <w:lang w:bidi="en-US"/>
                    </w:rPr>
                  </w:pPr>
                </w:p>
              </w:tc>
              <w:tc>
                <w:tcPr>
                  <w:tcW w:w="368" w:type="pct"/>
                  <w:vMerge w:val="continue"/>
                  <w:tcBorders>
                    <w:tl2br w:val="nil"/>
                    <w:tr2bl w:val="nil"/>
                  </w:tcBorders>
                  <w:shd w:val="clear" w:color="auto" w:fill="auto"/>
                  <w:vAlign w:val="center"/>
                </w:tcPr>
                <w:p>
                  <w:pPr>
                    <w:adjustRightInd w:val="0"/>
                    <w:snapToGrid w:val="0"/>
                    <w:jc w:val="center"/>
                    <w:rPr>
                      <w:rFonts w:ascii="Times New Roman" w:hAnsi="Times New Roman"/>
                      <w:lang w:bidi="en-US"/>
                    </w:rPr>
                  </w:pPr>
                </w:p>
              </w:tc>
              <w:tc>
                <w:tcPr>
                  <w:tcW w:w="405" w:type="pct"/>
                  <w:tcBorders>
                    <w:tl2br w:val="nil"/>
                    <w:tr2bl w:val="nil"/>
                  </w:tcBorders>
                  <w:shd w:val="clear" w:color="auto" w:fill="auto"/>
                  <w:vAlign w:val="center"/>
                </w:tcPr>
                <w:p>
                  <w:pPr>
                    <w:adjustRightInd w:val="0"/>
                    <w:snapToGrid w:val="0"/>
                    <w:rPr>
                      <w:rFonts w:ascii="Times New Roman" w:hAnsi="Times New Roman"/>
                      <w:lang w:bidi="en-US"/>
                    </w:rPr>
                  </w:pPr>
                  <w:r>
                    <w:rPr>
                      <w:rFonts w:ascii="Times New Roman" w:hAnsi="Times New Roman"/>
                      <w:lang w:bidi="en-US"/>
                    </w:rPr>
                    <w:t>环境风险防控</w:t>
                  </w:r>
                </w:p>
              </w:tc>
              <w:tc>
                <w:tcPr>
                  <w:tcW w:w="2167" w:type="pct"/>
                  <w:tcBorders>
                    <w:tl2br w:val="nil"/>
                    <w:tr2bl w:val="nil"/>
                  </w:tcBorders>
                  <w:shd w:val="clear" w:color="auto" w:fill="auto"/>
                  <w:vAlign w:val="center"/>
                </w:tcPr>
                <w:p>
                  <w:pPr>
                    <w:adjustRightInd w:val="0"/>
                    <w:snapToGrid w:val="0"/>
                    <w:rPr>
                      <w:rFonts w:ascii="Times New Roman" w:hAnsi="Times New Roman"/>
                      <w:lang w:bidi="en-US"/>
                    </w:rPr>
                  </w:pPr>
                  <w:r>
                    <w:rPr>
                      <w:rFonts w:ascii="Times New Roman" w:hAnsi="Times New Roman"/>
                      <w:bCs/>
                    </w:rPr>
                    <w:t>禁止向农用地排放重金属或者其他有毒有害物质含量超标的污水、污泥，以及可能造成土壤污染的尾矿、矿渣等。加强农田土壤、灌溉水的监测及评价，对周边或区域环境风险源进行评估。</w:t>
                  </w:r>
                </w:p>
              </w:tc>
              <w:tc>
                <w:tcPr>
                  <w:tcW w:w="1012" w:type="pct"/>
                  <w:tcBorders>
                    <w:tl2br w:val="nil"/>
                    <w:tr2bl w:val="nil"/>
                  </w:tcBorders>
                  <w:shd w:val="clear" w:color="auto" w:fill="auto"/>
                  <w:vAlign w:val="center"/>
                </w:tcPr>
                <w:p>
                  <w:pPr>
                    <w:adjustRightInd w:val="0"/>
                    <w:snapToGrid w:val="0"/>
                    <w:rPr>
                      <w:rFonts w:ascii="Times New Roman" w:hAnsi="Times New Roman"/>
                      <w:bCs/>
                    </w:rPr>
                  </w:pPr>
                  <w:r>
                    <w:rPr>
                      <w:rFonts w:ascii="Times New Roman" w:hAnsi="Times New Roman"/>
                      <w:lang w:bidi="en-US"/>
                    </w:rPr>
                    <w:t>本项目不涉及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506" w:type="pct"/>
                  <w:vMerge w:val="continue"/>
                  <w:tcBorders>
                    <w:tl2br w:val="nil"/>
                    <w:tr2bl w:val="nil"/>
                  </w:tcBorders>
                  <w:shd w:val="clear" w:color="auto" w:fill="auto"/>
                  <w:vAlign w:val="center"/>
                </w:tcPr>
                <w:p>
                  <w:pPr>
                    <w:adjustRightInd w:val="0"/>
                    <w:snapToGrid w:val="0"/>
                    <w:jc w:val="center"/>
                    <w:rPr>
                      <w:rFonts w:ascii="Times New Roman" w:hAnsi="Times New Roman"/>
                      <w:lang w:bidi="en-US"/>
                    </w:rPr>
                  </w:pPr>
                </w:p>
              </w:tc>
              <w:tc>
                <w:tcPr>
                  <w:tcW w:w="539" w:type="pct"/>
                  <w:vMerge w:val="continue"/>
                  <w:tcBorders>
                    <w:tl2br w:val="nil"/>
                    <w:tr2bl w:val="nil"/>
                  </w:tcBorders>
                  <w:shd w:val="clear" w:color="auto" w:fill="auto"/>
                  <w:vAlign w:val="center"/>
                </w:tcPr>
                <w:p>
                  <w:pPr>
                    <w:adjustRightInd w:val="0"/>
                    <w:snapToGrid w:val="0"/>
                    <w:jc w:val="center"/>
                    <w:rPr>
                      <w:rFonts w:ascii="Times New Roman" w:hAnsi="Times New Roman"/>
                      <w:lang w:bidi="en-US"/>
                    </w:rPr>
                  </w:pPr>
                </w:p>
              </w:tc>
              <w:tc>
                <w:tcPr>
                  <w:tcW w:w="368" w:type="pct"/>
                  <w:vMerge w:val="continue"/>
                  <w:tcBorders>
                    <w:tl2br w:val="nil"/>
                    <w:tr2bl w:val="nil"/>
                  </w:tcBorders>
                  <w:shd w:val="clear" w:color="auto" w:fill="auto"/>
                  <w:vAlign w:val="center"/>
                </w:tcPr>
                <w:p>
                  <w:pPr>
                    <w:adjustRightInd w:val="0"/>
                    <w:snapToGrid w:val="0"/>
                    <w:jc w:val="center"/>
                    <w:rPr>
                      <w:rFonts w:ascii="Times New Roman" w:hAnsi="Times New Roman"/>
                      <w:lang w:bidi="en-US"/>
                    </w:rPr>
                  </w:pPr>
                </w:p>
              </w:tc>
              <w:tc>
                <w:tcPr>
                  <w:tcW w:w="405" w:type="pct"/>
                  <w:tcBorders>
                    <w:tl2br w:val="nil"/>
                    <w:tr2bl w:val="nil"/>
                  </w:tcBorders>
                  <w:shd w:val="clear" w:color="auto" w:fill="auto"/>
                  <w:vAlign w:val="center"/>
                </w:tcPr>
                <w:p>
                  <w:pPr>
                    <w:adjustRightInd w:val="0"/>
                    <w:snapToGrid w:val="0"/>
                    <w:rPr>
                      <w:rFonts w:ascii="Times New Roman" w:hAnsi="Times New Roman"/>
                      <w:lang w:bidi="en-US"/>
                    </w:rPr>
                  </w:pPr>
                  <w:r>
                    <w:rPr>
                      <w:rFonts w:ascii="Times New Roman" w:hAnsi="Times New Roman"/>
                      <w:lang w:bidi="en-US"/>
                    </w:rPr>
                    <w:t>资源利用效率</w:t>
                  </w:r>
                </w:p>
              </w:tc>
              <w:tc>
                <w:tcPr>
                  <w:tcW w:w="2167" w:type="pct"/>
                  <w:tcBorders>
                    <w:tl2br w:val="nil"/>
                    <w:tr2bl w:val="nil"/>
                  </w:tcBorders>
                  <w:shd w:val="clear" w:color="auto" w:fill="auto"/>
                  <w:vAlign w:val="center"/>
                </w:tcPr>
                <w:p>
                  <w:pPr>
                    <w:adjustRightInd w:val="0"/>
                    <w:snapToGrid w:val="0"/>
                    <w:rPr>
                      <w:rFonts w:ascii="Times New Roman" w:hAnsi="Times New Roman"/>
                      <w:lang w:bidi="en-US"/>
                    </w:rPr>
                  </w:pPr>
                  <w:r>
                    <w:rPr>
                      <w:rFonts w:ascii="Times New Roman" w:hAnsi="Times New Roman"/>
                      <w:bCs/>
                    </w:rPr>
                    <w:t>实行水资源消耗总量和强度双控，推进农业节水，提高农业用水效率。优化能源结构，加强能源清洁利用。</w:t>
                  </w:r>
                </w:p>
              </w:tc>
              <w:tc>
                <w:tcPr>
                  <w:tcW w:w="1012" w:type="pct"/>
                  <w:tcBorders>
                    <w:tl2br w:val="nil"/>
                    <w:tr2bl w:val="nil"/>
                  </w:tcBorders>
                  <w:shd w:val="clear" w:color="auto" w:fill="auto"/>
                  <w:vAlign w:val="center"/>
                </w:tcPr>
                <w:p>
                  <w:pPr>
                    <w:adjustRightInd w:val="0"/>
                    <w:snapToGrid w:val="0"/>
                    <w:rPr>
                      <w:rFonts w:ascii="Times New Roman" w:hAnsi="Times New Roman"/>
                      <w:bCs/>
                    </w:rPr>
                  </w:pPr>
                  <w:r>
                    <w:rPr>
                      <w:rFonts w:ascii="Times New Roman" w:hAnsi="Times New Roman"/>
                      <w:bCs/>
                    </w:rPr>
                    <w:t>清洗废水循环使用，满足相关要求</w:t>
                  </w:r>
                </w:p>
              </w:tc>
            </w:tr>
          </w:tbl>
          <w:p>
            <w:pPr>
              <w:widowControl/>
              <w:spacing w:line="360" w:lineRule="auto"/>
              <w:ind w:firstLine="482" w:firstLineChars="200"/>
              <w:jc w:val="left"/>
              <w:rPr>
                <w:rFonts w:ascii="Times New Roman" w:hAnsi="Times New Roman"/>
                <w:b/>
                <w:bCs/>
                <w:sz w:val="24"/>
              </w:rPr>
            </w:pPr>
            <w:r>
              <w:rPr>
                <w:rFonts w:ascii="Times New Roman" w:hAnsi="Times New Roman"/>
                <w:b/>
                <w:bCs/>
                <w:sz w:val="24"/>
              </w:rPr>
              <w:t>3、《新疆维吾尔自治区重点行业环境准入条件（修订）》符合性分析</w:t>
            </w:r>
          </w:p>
          <w:p>
            <w:pPr>
              <w:spacing w:line="360" w:lineRule="auto"/>
              <w:ind w:firstLine="480" w:firstLineChars="200"/>
              <w:jc w:val="left"/>
              <w:rPr>
                <w:rFonts w:ascii="Times New Roman" w:hAnsi="Times New Roman"/>
                <w:sz w:val="24"/>
              </w:rPr>
            </w:pPr>
            <w:r>
              <w:rPr>
                <w:rFonts w:ascii="Times New Roman" w:hAnsi="Times New Roman"/>
                <w:sz w:val="24"/>
              </w:rPr>
              <w:t>本项目符合《新疆维吾尔自治区重点行业环境准入条件（修订）》中规定：“建设项目须符合国家、自治区相关产业政策、法律法规、条例等要求，不得采用国家和自治区淘汰或禁止使用的工艺、技术和设备，采用的工艺、技术和设备应符合《产业结构调整指导目录》。”</w:t>
            </w:r>
          </w:p>
          <w:p>
            <w:pPr>
              <w:widowControl/>
              <w:spacing w:line="360" w:lineRule="auto"/>
              <w:ind w:firstLine="482" w:firstLineChars="200"/>
              <w:jc w:val="left"/>
              <w:rPr>
                <w:rFonts w:ascii="Times New Roman" w:hAnsi="Times New Roman"/>
                <w:b/>
                <w:bCs/>
                <w:sz w:val="24"/>
              </w:rPr>
            </w:pPr>
            <w:r>
              <w:rPr>
                <w:rFonts w:ascii="Times New Roman" w:hAnsi="Times New Roman"/>
                <w:b/>
                <w:bCs/>
                <w:sz w:val="24"/>
              </w:rPr>
              <w:t>5、与《环境空气细颗粒物污染综合防治技术政策》（2013-9-25实施）符合性分析</w:t>
            </w:r>
          </w:p>
          <w:p>
            <w:pPr>
              <w:widowControl/>
              <w:spacing w:line="360" w:lineRule="auto"/>
              <w:ind w:firstLine="480" w:firstLineChars="200"/>
              <w:jc w:val="left"/>
              <w:rPr>
                <w:rFonts w:ascii="Times New Roman" w:hAnsi="Times New Roman"/>
                <w:sz w:val="24"/>
              </w:rPr>
            </w:pPr>
            <w:r>
              <w:rPr>
                <w:rFonts w:ascii="Times New Roman" w:hAnsi="Times New Roman"/>
                <w:sz w:val="24"/>
              </w:rPr>
              <w:t>三、防治工业污染</w:t>
            </w:r>
          </w:p>
          <w:p>
            <w:pPr>
              <w:widowControl/>
              <w:spacing w:line="360" w:lineRule="auto"/>
              <w:ind w:firstLine="480" w:firstLineChars="200"/>
              <w:jc w:val="left"/>
              <w:rPr>
                <w:rFonts w:ascii="Times New Roman" w:hAnsi="Times New Roman"/>
                <w:sz w:val="24"/>
              </w:rPr>
            </w:pPr>
            <w:r>
              <w:rPr>
                <w:rFonts w:ascii="Times New Roman" w:hAnsi="Times New Roman"/>
                <w:sz w:val="24"/>
              </w:rPr>
              <w:t>（十）应将排放细颗粒物和前体污染物排放量较大的行业作为工业污染源治理的重点，包括：火电、冶金、建材、石油化工、合成材料、制药、塑料加工、表面涂装、电子产品与设备制造、包装印刷等。工业污染源的污染防治，应参照燃煤二氧化硫、火电厂氮氧化物和冶金、建材、化工等污染防治技术政策的具体内容，开展相关工作。</w:t>
            </w:r>
          </w:p>
          <w:p>
            <w:pPr>
              <w:widowControl/>
              <w:spacing w:line="360" w:lineRule="auto"/>
              <w:ind w:firstLine="480" w:firstLineChars="200"/>
              <w:jc w:val="left"/>
              <w:rPr>
                <w:rFonts w:ascii="Times New Roman" w:hAnsi="Times New Roman"/>
                <w:sz w:val="24"/>
              </w:rPr>
            </w:pPr>
            <w:r>
              <w:rPr>
                <w:rFonts w:ascii="Times New Roman" w:hAnsi="Times New Roman"/>
                <w:sz w:val="24"/>
              </w:rPr>
              <w:t>（十一）应加强对各类污染源的监管，确保污染治理设施稳定运行，切实落实企业环保责任。鼓励采用低能耗、低污染的生产工艺，提高各个行业的清洁生产水平，降低污染物产生量。</w:t>
            </w:r>
          </w:p>
          <w:p>
            <w:pPr>
              <w:widowControl/>
              <w:spacing w:line="360" w:lineRule="auto"/>
              <w:ind w:firstLine="480" w:firstLineChars="200"/>
              <w:jc w:val="left"/>
              <w:rPr>
                <w:rFonts w:ascii="Times New Roman" w:hAnsi="Times New Roman"/>
                <w:sz w:val="24"/>
              </w:rPr>
            </w:pPr>
            <w:r>
              <w:rPr>
                <w:rFonts w:ascii="Times New Roman" w:hAnsi="Times New Roman"/>
                <w:sz w:val="24"/>
              </w:rPr>
              <w:t>（十二）应制定严格、完善的国家和地方工业污染物排放标准，明确各行业排放控制要求。在环境污染严重、污染物排放量大的地区，应制定实施严格的地方排放标准或国家排放标准特别排放限值。</w:t>
            </w:r>
          </w:p>
          <w:p>
            <w:pPr>
              <w:widowControl/>
              <w:spacing w:line="360" w:lineRule="auto"/>
              <w:ind w:firstLine="480" w:firstLineChars="200"/>
              <w:jc w:val="left"/>
              <w:rPr>
                <w:rFonts w:ascii="Times New Roman" w:hAnsi="Times New Roman"/>
                <w:sz w:val="24"/>
              </w:rPr>
            </w:pPr>
            <w:r>
              <w:rPr>
                <w:rFonts w:ascii="Times New Roman" w:hAnsi="Times New Roman"/>
                <w:sz w:val="24"/>
              </w:rPr>
              <w:t>（十三）对于排放细颗粒物的工业污染源，应按照生产工艺、排放方式和烟（废）气组成的特点，选取适用的污染防治技术。工业污染源有组织排放的颗粒物，宜采取布袋除尘、电除尘、电袋除尘等高效除尘技术，鼓励火电机组和大型燃煤锅炉采用湿式电除尘等新技术。</w:t>
            </w:r>
          </w:p>
          <w:p>
            <w:pPr>
              <w:widowControl/>
              <w:spacing w:line="360" w:lineRule="auto"/>
              <w:ind w:firstLine="480" w:firstLineChars="200"/>
              <w:jc w:val="left"/>
              <w:rPr>
                <w:rFonts w:ascii="Times New Roman" w:hAnsi="Times New Roman"/>
                <w:sz w:val="24"/>
              </w:rPr>
            </w:pPr>
            <w:r>
              <w:rPr>
                <w:rFonts w:ascii="Times New Roman" w:hAnsi="Times New Roman"/>
                <w:sz w:val="24"/>
              </w:rPr>
              <w:t>（十四）对于排放前体污染物的工业污染源，应分别采用去除硫氧化物、氮氧化物、挥发性有机物和氨的治理技术。对于排放废气中的挥发性有机物应尽量进行回收处理，若无法回收，应采用焚烧等方式销毁（含卤素的有机物除外）。采用氨作为还原剂的氮氧化物净化装置，应在保证氮氧化物达标排放的前提下，合理设置氨的加注工艺参数，防止氨过量造成污染。鼓励在各类生产中采用挥发性有机物替代技术。</w:t>
            </w:r>
          </w:p>
          <w:p>
            <w:pPr>
              <w:widowControl/>
              <w:spacing w:line="360" w:lineRule="auto"/>
              <w:ind w:firstLine="480" w:firstLineChars="200"/>
              <w:jc w:val="left"/>
              <w:rPr>
                <w:rFonts w:ascii="Times New Roman" w:hAnsi="Times New Roman"/>
                <w:sz w:val="24"/>
              </w:rPr>
            </w:pPr>
            <w:r>
              <w:rPr>
                <w:rFonts w:ascii="Times New Roman" w:hAnsi="Times New Roman"/>
                <w:sz w:val="24"/>
              </w:rPr>
              <w:t>（十五）产生大气颗粒物及其前体物污染物的生产活动应尽量采用密闭装置，避免无组织排放；无法完全密闭的，应安装集气装置收集逸散的污染物，经净化后排放。</w:t>
            </w:r>
          </w:p>
          <w:p>
            <w:pPr>
              <w:widowControl/>
              <w:spacing w:line="360" w:lineRule="auto"/>
              <w:ind w:firstLine="480" w:firstLineChars="200"/>
              <w:jc w:val="left"/>
              <w:rPr>
                <w:rFonts w:ascii="Times New Roman" w:hAnsi="Times New Roman"/>
                <w:sz w:val="24"/>
              </w:rPr>
            </w:pPr>
            <w:r>
              <w:rPr>
                <w:rFonts w:ascii="Times New Roman" w:hAnsi="Times New Roman"/>
                <w:sz w:val="24"/>
              </w:rPr>
              <w:t>本项目砂石料直接从托克逊县天马建材有限责任公司拉运，进入设备；水泥储罐配备1套仓顶袋式除尘器，符合相关要求。</w:t>
            </w:r>
          </w:p>
          <w:p>
            <w:pPr>
              <w:pStyle w:val="15"/>
              <w:ind w:firstLine="482" w:firstLineChars="200"/>
              <w:rPr>
                <w:rFonts w:ascii="Times New Roman" w:hAnsi="Times New Roman"/>
                <w:b/>
                <w:bCs/>
                <w:sz w:val="24"/>
              </w:rPr>
            </w:pPr>
            <w:r>
              <w:rPr>
                <w:rFonts w:ascii="Times New Roman" w:hAnsi="Times New Roman"/>
                <w:b/>
                <w:bCs/>
                <w:sz w:val="24"/>
              </w:rPr>
              <w:t>6、与《工业料堆场扬尘整治规范》（DB65/T4061-2017）的符合性分析</w:t>
            </w:r>
          </w:p>
          <w:p>
            <w:pPr>
              <w:spacing w:line="360" w:lineRule="auto"/>
              <w:ind w:firstLine="480" w:firstLineChars="200"/>
              <w:rPr>
                <w:rFonts w:ascii="Times New Roman" w:hAnsi="Times New Roman"/>
                <w:sz w:val="24"/>
              </w:rPr>
            </w:pPr>
            <w:r>
              <w:rPr>
                <w:rFonts w:ascii="Times New Roman" w:hAnsi="Times New Roman"/>
                <w:sz w:val="24"/>
              </w:rPr>
              <w:t>工业料堆场与生产车间布置，应根据HJ/T55的要求，作业程序合理设置。原料堆场及全厂性仓库（棚）宜集中布置在原、燃料进厂处或靠近主要用户的一个区域内。</w:t>
            </w:r>
          </w:p>
          <w:p>
            <w:pPr>
              <w:spacing w:line="360" w:lineRule="auto"/>
              <w:ind w:firstLine="480" w:firstLineChars="200"/>
              <w:rPr>
                <w:rFonts w:ascii="Times New Roman" w:hAnsi="Times New Roman"/>
                <w:sz w:val="24"/>
              </w:rPr>
            </w:pPr>
            <w:r>
              <w:rPr>
                <w:rFonts w:ascii="Times New Roman" w:hAnsi="Times New Roman"/>
                <w:sz w:val="24"/>
              </w:rPr>
              <w:t>工业料堆场应布置在厂区的最小风频方向上，其长边应平行于厂区的主导风向。</w:t>
            </w:r>
          </w:p>
          <w:p>
            <w:pPr>
              <w:spacing w:line="360" w:lineRule="auto"/>
              <w:ind w:firstLine="480" w:firstLineChars="200"/>
              <w:rPr>
                <w:rFonts w:ascii="Times New Roman" w:hAnsi="Times New Roman"/>
                <w:sz w:val="24"/>
              </w:rPr>
            </w:pPr>
            <w:r>
              <w:rPr>
                <w:rFonts w:ascii="Times New Roman" w:hAnsi="Times New Roman"/>
                <w:sz w:val="24"/>
              </w:rPr>
              <w:t>工业料堆场的污染防治应从源头控制，减少堆存量，通过优化生产原料配置、厂区布置，提高管理水平、改善污染防治技术工艺、加强综合利用等措施减少环境污染。</w:t>
            </w:r>
          </w:p>
          <w:p>
            <w:pPr>
              <w:spacing w:line="360" w:lineRule="auto"/>
              <w:ind w:firstLine="480" w:firstLineChars="200"/>
              <w:rPr>
                <w:rFonts w:ascii="Times New Roman" w:hAnsi="Times New Roman"/>
                <w:sz w:val="24"/>
              </w:rPr>
            </w:pPr>
            <w:r>
              <w:rPr>
                <w:rFonts w:ascii="Times New Roman" w:hAnsi="Times New Roman"/>
                <w:sz w:val="24"/>
              </w:rPr>
              <w:t>工业料堆场内应采用连续输送设备将物料送往用户，避免二次中转倒运。</w:t>
            </w:r>
          </w:p>
          <w:p>
            <w:pPr>
              <w:spacing w:line="360" w:lineRule="auto"/>
              <w:ind w:firstLine="480" w:firstLineChars="200"/>
              <w:rPr>
                <w:rFonts w:ascii="Times New Roman" w:hAnsi="Times New Roman"/>
                <w:sz w:val="24"/>
              </w:rPr>
            </w:pPr>
            <w:r>
              <w:rPr>
                <w:rFonts w:ascii="Times New Roman" w:hAnsi="Times New Roman"/>
                <w:sz w:val="24"/>
              </w:rPr>
              <w:t>对工业料堆场内装卸、运输等作业过程中，易产生扬尘污染的物料必须采取封闭、遮盖、洒水降尘措施，密闭输送物料必须在装料、卸料处配备吸尘、喷淋防尘措施。</w:t>
            </w:r>
          </w:p>
          <w:p>
            <w:pPr>
              <w:spacing w:line="360" w:lineRule="auto"/>
              <w:ind w:firstLine="480" w:firstLineChars="200"/>
              <w:rPr>
                <w:rFonts w:ascii="Times New Roman" w:hAnsi="Times New Roman"/>
                <w:sz w:val="24"/>
              </w:rPr>
            </w:pPr>
            <w:r>
              <w:rPr>
                <w:rFonts w:ascii="Times New Roman" w:hAnsi="Times New Roman"/>
                <w:sz w:val="24"/>
              </w:rPr>
              <w:t>露天工业料堆场存放袋装、桶装及箱装件物品时，应加盖篷布遮护。</w:t>
            </w:r>
          </w:p>
          <w:p>
            <w:pPr>
              <w:spacing w:line="360" w:lineRule="auto"/>
              <w:ind w:firstLine="480" w:firstLineChars="200"/>
              <w:rPr>
                <w:rFonts w:ascii="Times New Roman" w:hAnsi="Times New Roman"/>
                <w:sz w:val="24"/>
              </w:rPr>
            </w:pPr>
            <w:r>
              <w:rPr>
                <w:rFonts w:ascii="Times New Roman" w:hAnsi="Times New Roman"/>
                <w:sz w:val="24"/>
              </w:rPr>
              <w:t>应管理和维护好料堆场堆存、装卸、输送和扬尘污染防治的设施、设备和场所，保证其正常运行和使用，并设立图形标志牌。宜在工业料堆场周边进行绿化，减少扬尘污染对环境的影响。</w:t>
            </w:r>
          </w:p>
          <w:p>
            <w:pPr>
              <w:widowControl/>
              <w:spacing w:line="360" w:lineRule="auto"/>
              <w:ind w:firstLine="480" w:firstLineChars="200"/>
              <w:jc w:val="left"/>
              <w:rPr>
                <w:rFonts w:ascii="Times New Roman" w:hAnsi="Times New Roman"/>
                <w:b/>
                <w:bCs/>
                <w:sz w:val="24"/>
              </w:rPr>
            </w:pPr>
            <w:r>
              <w:rPr>
                <w:rFonts w:ascii="Times New Roman" w:hAnsi="Times New Roman"/>
                <w:sz w:val="24"/>
              </w:rPr>
              <w:t>本项目直接从托克逊县商品砂石料厂拉运，进入设备生产不储存；符合《工业料堆场扬尘整治规范》（DB65/T4061-2017）的要求。</w:t>
            </w:r>
          </w:p>
          <w:p>
            <w:pPr>
              <w:spacing w:line="360" w:lineRule="auto"/>
              <w:ind w:firstLine="482" w:firstLineChars="200"/>
              <w:rPr>
                <w:rFonts w:ascii="Times New Roman" w:hAnsi="Times New Roman"/>
                <w:b/>
                <w:bCs/>
                <w:sz w:val="24"/>
              </w:rPr>
            </w:pPr>
            <w:r>
              <w:rPr>
                <w:rFonts w:ascii="Times New Roman" w:hAnsi="Times New Roman"/>
                <w:b/>
                <w:bCs/>
                <w:sz w:val="24"/>
              </w:rPr>
              <w:t>7、与《新疆维吾尔自治区大气污染防治条例》符合性</w:t>
            </w:r>
          </w:p>
          <w:p>
            <w:pPr>
              <w:spacing w:line="360" w:lineRule="auto"/>
              <w:ind w:firstLine="480" w:firstLineChars="200"/>
              <w:rPr>
                <w:rFonts w:ascii="Times New Roman" w:hAnsi="Times New Roman"/>
                <w:sz w:val="24"/>
              </w:rPr>
            </w:pPr>
            <w:r>
              <w:rPr>
                <w:rFonts w:ascii="Times New Roman" w:hAnsi="Times New Roman"/>
                <w:sz w:val="24"/>
              </w:rPr>
              <w:t>第二节工业污染防治</w:t>
            </w:r>
          </w:p>
          <w:p>
            <w:pPr>
              <w:spacing w:line="360" w:lineRule="auto"/>
              <w:ind w:firstLine="480" w:firstLineChars="200"/>
              <w:rPr>
                <w:rFonts w:ascii="Times New Roman" w:hAnsi="Times New Roman"/>
                <w:sz w:val="24"/>
              </w:rPr>
            </w:pPr>
            <w:r>
              <w:rPr>
                <w:rFonts w:ascii="Times New Roman" w:hAnsi="Times New Roman"/>
                <w:sz w:val="24"/>
              </w:rPr>
              <w:t>第二十七条禁止在自治区行政区域内引进能（水）耗不符合相关国家标准中准入值要求且污染物排放和环境风险防控不符合国家（地方）标准及有关产业准入条件的高污染（排放）、高能（水）耗、高环境风险的工业项目。</w:t>
            </w:r>
          </w:p>
          <w:p>
            <w:pPr>
              <w:spacing w:line="360" w:lineRule="auto"/>
              <w:ind w:firstLine="480" w:firstLineChars="200"/>
              <w:rPr>
                <w:rFonts w:ascii="Times New Roman" w:hAnsi="Times New Roman"/>
                <w:sz w:val="24"/>
              </w:rPr>
            </w:pPr>
            <w:r>
              <w:rPr>
                <w:rFonts w:ascii="Times New Roman" w:hAnsi="Times New Roman"/>
                <w:sz w:val="24"/>
              </w:rPr>
              <w:t>自治区人民政府应当制定或者适时修订高污染（排放）、高能（水）耗、高环境风险项目认定标准，并向社会公布。</w:t>
            </w:r>
          </w:p>
          <w:p>
            <w:pPr>
              <w:spacing w:line="360" w:lineRule="auto"/>
              <w:ind w:firstLine="480" w:firstLineChars="200"/>
              <w:rPr>
                <w:rFonts w:ascii="Times New Roman" w:hAnsi="Times New Roman"/>
                <w:sz w:val="24"/>
              </w:rPr>
            </w:pPr>
            <w:r>
              <w:rPr>
                <w:rFonts w:ascii="Times New Roman" w:hAnsi="Times New Roman"/>
                <w:sz w:val="24"/>
              </w:rPr>
              <w:t>第二十八条自治区人民政府工业和信息化、发展和改革、生态环境等部门制定产业结构调整目录时，应当将严重污染大气的工艺、设备、产品列入淘汰目录。</w:t>
            </w:r>
          </w:p>
          <w:p>
            <w:pPr>
              <w:spacing w:line="360" w:lineRule="auto"/>
              <w:ind w:firstLine="480" w:firstLineChars="200"/>
              <w:rPr>
                <w:rFonts w:ascii="Times New Roman" w:hAnsi="Times New Roman"/>
                <w:sz w:val="24"/>
              </w:rPr>
            </w:pPr>
            <w:r>
              <w:rPr>
                <w:rFonts w:ascii="Times New Roman" w:hAnsi="Times New Roman"/>
                <w:sz w:val="24"/>
              </w:rPr>
              <w:t>州、市（地）、县（市、区）人民政府（行政公署）应当组织制定现有高污染工业项目标准改造或者关停计划，并组织实施。</w:t>
            </w:r>
          </w:p>
          <w:p>
            <w:pPr>
              <w:spacing w:line="360" w:lineRule="auto"/>
              <w:ind w:firstLine="480" w:firstLineChars="200"/>
              <w:rPr>
                <w:rFonts w:ascii="Times New Roman" w:hAnsi="Times New Roman"/>
                <w:sz w:val="24"/>
              </w:rPr>
            </w:pPr>
            <w:r>
              <w:rPr>
                <w:rFonts w:ascii="Times New Roman" w:hAnsi="Times New Roman"/>
                <w:sz w:val="24"/>
              </w:rPr>
              <w:t>禁止新建、改建、扩建列入淘汰类目录的高污染工业项目。禁止使用列入淘汰类目录的工艺、设备、产品。</w:t>
            </w:r>
          </w:p>
          <w:p>
            <w:pPr>
              <w:spacing w:line="360" w:lineRule="auto"/>
              <w:ind w:firstLine="480" w:firstLineChars="200"/>
              <w:rPr>
                <w:rFonts w:ascii="Times New Roman" w:hAnsi="Times New Roman"/>
                <w:sz w:val="24"/>
              </w:rPr>
            </w:pPr>
            <w:r>
              <w:rPr>
                <w:rFonts w:ascii="Times New Roman" w:hAnsi="Times New Roman"/>
                <w:sz w:val="24"/>
              </w:rPr>
              <w:t>第二十九条县级以上人民政府应当鼓励产业集聚发展，按照主体功能区划合理规划工业园区的布局，引导工业企业入驻工业园区。</w:t>
            </w:r>
          </w:p>
          <w:p>
            <w:pPr>
              <w:spacing w:line="360" w:lineRule="auto"/>
              <w:ind w:firstLine="480" w:firstLineChars="200"/>
              <w:rPr>
                <w:rFonts w:ascii="Times New Roman" w:hAnsi="Times New Roman"/>
                <w:sz w:val="24"/>
              </w:rPr>
            </w:pPr>
            <w:r>
              <w:rPr>
                <w:rFonts w:ascii="Times New Roman" w:hAnsi="Times New Roman"/>
                <w:sz w:val="24"/>
              </w:rPr>
              <w:t>第三十条下列产生含挥发性有机物废气的生产和服务活动，应当按照国家规定在密闭空间或者设备中进行，并安装、使用污染防治设施；无法密闭的，应当采取措施减少废气排放：</w:t>
            </w:r>
          </w:p>
          <w:p>
            <w:pPr>
              <w:spacing w:line="360" w:lineRule="auto"/>
              <w:ind w:firstLine="480" w:firstLineChars="200"/>
              <w:rPr>
                <w:rFonts w:ascii="Times New Roman" w:hAnsi="Times New Roman"/>
                <w:sz w:val="24"/>
              </w:rPr>
            </w:pPr>
            <w:r>
              <w:rPr>
                <w:rFonts w:ascii="Times New Roman" w:hAnsi="Times New Roman"/>
                <w:sz w:val="24"/>
              </w:rPr>
              <w:t>（一）石油、化工等含挥发性有机物原料的生产；</w:t>
            </w:r>
          </w:p>
          <w:p>
            <w:pPr>
              <w:spacing w:line="360" w:lineRule="auto"/>
              <w:ind w:firstLine="480" w:firstLineChars="200"/>
              <w:rPr>
                <w:rFonts w:ascii="Times New Roman" w:hAnsi="Times New Roman"/>
                <w:sz w:val="24"/>
              </w:rPr>
            </w:pPr>
            <w:r>
              <w:rPr>
                <w:rFonts w:ascii="Times New Roman" w:hAnsi="Times New Roman"/>
                <w:sz w:val="24"/>
              </w:rPr>
              <w:t>（二）燃油、溶剂的储存、运输和销售；</w:t>
            </w:r>
          </w:p>
          <w:p>
            <w:pPr>
              <w:spacing w:line="360" w:lineRule="auto"/>
              <w:ind w:firstLine="480" w:firstLineChars="200"/>
              <w:rPr>
                <w:rFonts w:ascii="Times New Roman" w:hAnsi="Times New Roman"/>
                <w:sz w:val="24"/>
              </w:rPr>
            </w:pPr>
            <w:r>
              <w:rPr>
                <w:rFonts w:ascii="Times New Roman" w:hAnsi="Times New Roman"/>
                <w:sz w:val="24"/>
              </w:rPr>
              <w:t>（三）涂料、油墨、胶粘剂、农药等以挥发性有机物为原料的生产；</w:t>
            </w:r>
          </w:p>
          <w:p>
            <w:pPr>
              <w:spacing w:line="360" w:lineRule="auto"/>
              <w:ind w:firstLine="480" w:firstLineChars="200"/>
              <w:rPr>
                <w:rFonts w:ascii="Times New Roman" w:hAnsi="Times New Roman"/>
                <w:sz w:val="24"/>
              </w:rPr>
            </w:pPr>
            <w:r>
              <w:rPr>
                <w:rFonts w:ascii="Times New Roman" w:hAnsi="Times New Roman"/>
                <w:sz w:val="24"/>
              </w:rPr>
              <w:t>（四）涂装、印刷、粘合、工业清洗等含挥发性有机物的产品使用；</w:t>
            </w:r>
          </w:p>
          <w:p>
            <w:pPr>
              <w:spacing w:line="360" w:lineRule="auto"/>
              <w:ind w:firstLine="480" w:firstLineChars="200"/>
              <w:rPr>
                <w:rFonts w:ascii="Times New Roman" w:hAnsi="Times New Roman"/>
                <w:sz w:val="24"/>
              </w:rPr>
            </w:pPr>
            <w:r>
              <w:rPr>
                <w:rFonts w:ascii="Times New Roman" w:hAnsi="Times New Roman"/>
                <w:sz w:val="24"/>
              </w:rPr>
              <w:t>（五）其他产生挥发性有机物的生产和服务活动。</w:t>
            </w:r>
          </w:p>
          <w:p>
            <w:pPr>
              <w:spacing w:line="360" w:lineRule="auto"/>
              <w:ind w:firstLine="480" w:firstLineChars="200"/>
              <w:rPr>
                <w:rFonts w:ascii="Times New Roman" w:hAnsi="Times New Roman"/>
                <w:sz w:val="24"/>
              </w:rPr>
            </w:pPr>
            <w:r>
              <w:rPr>
                <w:rFonts w:ascii="Times New Roman" w:hAnsi="Times New Roman"/>
                <w:sz w:val="24"/>
              </w:rPr>
              <w:t>石油、化工等排放挥发性有机物的企业事业单位和其他生产经营者在维修、检修时，应当按照技术规范，对生产装置系统的停运、倒空、清洗等环节实施挥发性有机物排放控制。</w:t>
            </w:r>
          </w:p>
          <w:p>
            <w:pPr>
              <w:spacing w:line="360" w:lineRule="auto"/>
              <w:ind w:firstLine="480" w:firstLineChars="200"/>
              <w:rPr>
                <w:rFonts w:ascii="Times New Roman" w:hAnsi="Times New Roman"/>
                <w:sz w:val="24"/>
              </w:rPr>
            </w:pPr>
            <w:r>
              <w:rPr>
                <w:rFonts w:ascii="Times New Roman" w:hAnsi="Times New Roman"/>
                <w:sz w:val="24"/>
              </w:rPr>
              <w:t>第三十一条新建储油库、储气库、加油加气站以及新登记油罐车、气罐车，应当按照国家有关规定安装油气回收装置并正常使用；已建储油库、储气库、加油加气站以及在用油罐车、气罐车，不符合国家有关规定的，应当限期完成回收治理。</w:t>
            </w:r>
          </w:p>
          <w:p>
            <w:pPr>
              <w:spacing w:line="360" w:lineRule="auto"/>
              <w:ind w:firstLine="480" w:firstLineChars="200"/>
              <w:rPr>
                <w:rFonts w:ascii="Times New Roman" w:hAnsi="Times New Roman"/>
                <w:sz w:val="24"/>
              </w:rPr>
            </w:pPr>
            <w:r>
              <w:rPr>
                <w:rFonts w:ascii="Times New Roman" w:hAnsi="Times New Roman"/>
                <w:sz w:val="24"/>
              </w:rPr>
              <w:t>第三十二条向大气排放恶臭气体的排污单位、垃圾处置场、污水处理厂，应当设置合理的防护距离，安装净化装置或者采取其他措施，防止恶臭气体排放。</w:t>
            </w:r>
          </w:p>
          <w:p>
            <w:pPr>
              <w:spacing w:line="360" w:lineRule="auto"/>
              <w:ind w:firstLine="480" w:firstLineChars="200"/>
              <w:rPr>
                <w:rFonts w:ascii="Times New Roman" w:hAnsi="Times New Roman"/>
                <w:sz w:val="24"/>
              </w:rPr>
            </w:pPr>
            <w:r>
              <w:rPr>
                <w:rFonts w:ascii="Times New Roman" w:hAnsi="Times New Roman"/>
                <w:sz w:val="24"/>
              </w:rPr>
              <w:t>在居民住宅区等人口密集区域和机关、医院、学校、幼儿园、养老院等其他需要特殊保护的区域及其周边，不得新建、改建和扩建石化、焦化、制药、油漆、塑料、橡胶、造纸、饲料等易产生恶臭气体的生产项目，或者从事其他产生恶臭气体的生产经营活动。已建成的，应当逐步搬迁或者升级改造。</w:t>
            </w:r>
          </w:p>
          <w:p>
            <w:pPr>
              <w:spacing w:line="360" w:lineRule="auto"/>
              <w:ind w:firstLine="480" w:firstLineChars="200"/>
              <w:rPr>
                <w:rFonts w:ascii="Times New Roman" w:hAnsi="Times New Roman"/>
                <w:sz w:val="24"/>
              </w:rPr>
            </w:pPr>
            <w:r>
              <w:rPr>
                <w:rFonts w:ascii="Times New Roman" w:hAnsi="Times New Roman"/>
                <w:sz w:val="24"/>
              </w:rPr>
              <w:t>本项目为水稳拌合站，不属于高排放、高污染、高耗能项目，符合《新疆维吾尔自治区大气污染防治条例》要求。</w:t>
            </w:r>
          </w:p>
          <w:p>
            <w:pPr>
              <w:widowControl/>
              <w:spacing w:line="360" w:lineRule="auto"/>
              <w:ind w:firstLine="482" w:firstLineChars="200"/>
              <w:jc w:val="left"/>
              <w:rPr>
                <w:rFonts w:ascii="Times New Roman" w:hAnsi="Times New Roman"/>
                <w:b/>
                <w:bCs/>
                <w:sz w:val="24"/>
              </w:rPr>
            </w:pPr>
            <w:r>
              <w:rPr>
                <w:rFonts w:ascii="Times New Roman" w:hAnsi="Times New Roman"/>
                <w:b/>
                <w:bCs/>
                <w:sz w:val="24"/>
              </w:rPr>
              <w:t>8、与《环境空气细颗粒物污染综合防治技术政策》（2013-9-25实施）符合性分析</w:t>
            </w:r>
          </w:p>
          <w:p>
            <w:pPr>
              <w:widowControl/>
              <w:spacing w:line="360" w:lineRule="auto"/>
              <w:ind w:firstLine="480" w:firstLineChars="200"/>
              <w:jc w:val="left"/>
              <w:rPr>
                <w:rFonts w:ascii="Times New Roman" w:hAnsi="Times New Roman"/>
                <w:sz w:val="24"/>
              </w:rPr>
            </w:pPr>
            <w:r>
              <w:rPr>
                <w:rFonts w:ascii="Times New Roman" w:hAnsi="Times New Roman"/>
                <w:sz w:val="24"/>
              </w:rPr>
              <w:t>二、综合防治</w:t>
            </w:r>
          </w:p>
          <w:p>
            <w:pPr>
              <w:widowControl/>
              <w:spacing w:line="360" w:lineRule="auto"/>
              <w:ind w:firstLine="480" w:firstLineChars="200"/>
              <w:jc w:val="left"/>
              <w:rPr>
                <w:rFonts w:ascii="Times New Roman" w:hAnsi="Times New Roman"/>
                <w:sz w:val="24"/>
              </w:rPr>
            </w:pPr>
            <w:r>
              <w:rPr>
                <w:rFonts w:ascii="Times New Roman" w:hAnsi="Times New Roman"/>
                <w:sz w:val="24"/>
              </w:rPr>
              <w:t>（六）应将能源合理开发利用作为防治细颗粒物污染的优先领域，实行煤炭消费总量控制，大力发展清洁能源。天然气等清洁能源应优先供应居民日常生活使用。在大型城市应不断减少煤炭在能源供应中的比重。限制高硫份或高灰份煤炭的开采、使用和进口，提高煤炭洗选比例，研究推广煤炭清洁化利用技术，减少燃烧煤炭造成的污染物排放。</w:t>
            </w:r>
          </w:p>
          <w:p>
            <w:pPr>
              <w:widowControl/>
              <w:spacing w:line="360" w:lineRule="auto"/>
              <w:ind w:firstLine="480" w:firstLineChars="200"/>
              <w:jc w:val="left"/>
              <w:rPr>
                <w:rFonts w:ascii="Times New Roman" w:hAnsi="Times New Roman"/>
                <w:sz w:val="24"/>
              </w:rPr>
            </w:pPr>
            <w:r>
              <w:rPr>
                <w:rFonts w:ascii="Times New Roman" w:hAnsi="Times New Roman"/>
                <w:sz w:val="24"/>
              </w:rPr>
              <w:t>（七）应将防治细颗粒物污染作为制定和实施城市建设规划的目的之一，优化城市功能布局，开展城市生态建设，不断提高环境承载力，适当控制城市规模，大力发展公共交通系统。</w:t>
            </w:r>
          </w:p>
          <w:p>
            <w:pPr>
              <w:widowControl/>
              <w:spacing w:line="360" w:lineRule="auto"/>
              <w:ind w:firstLine="480" w:firstLineChars="200"/>
              <w:jc w:val="left"/>
              <w:rPr>
                <w:rFonts w:ascii="Times New Roman" w:hAnsi="Times New Roman"/>
                <w:sz w:val="24"/>
              </w:rPr>
            </w:pPr>
            <w:r>
              <w:rPr>
                <w:rFonts w:ascii="Times New Roman" w:hAnsi="Times New Roman"/>
                <w:sz w:val="24"/>
              </w:rPr>
              <w:t>（八）应调整产业结构，强化规划环评和项目环评，严格实施准入制度，必要时对重点区域和重点行业采取限批措施；淘汰落后产能，形成合理的产业分布空间格局。</w:t>
            </w:r>
          </w:p>
          <w:p>
            <w:pPr>
              <w:widowControl/>
              <w:spacing w:line="360" w:lineRule="auto"/>
              <w:ind w:firstLine="480" w:firstLineChars="200"/>
              <w:jc w:val="left"/>
              <w:rPr>
                <w:rFonts w:ascii="Times New Roman" w:hAnsi="Times New Roman"/>
                <w:sz w:val="24"/>
              </w:rPr>
            </w:pPr>
            <w:r>
              <w:rPr>
                <w:rFonts w:ascii="Times New Roman" w:hAnsi="Times New Roman"/>
                <w:sz w:val="24"/>
              </w:rPr>
              <w:t>（九）环境空气中细颗粒物浓度超标的城市，应按照相关法律规定，制定达标规划，明确各年度或各阶段工作目标，并予以落实。应完善环境质量监测工作，开展污染来源解析，编制各地重点污染源清单，采取针对性的污染排放控制措施。应以环境质量变化趋势为依据，建立污染排放控制措施有效性评估和改善工作机制。</w:t>
            </w:r>
          </w:p>
          <w:p>
            <w:pPr>
              <w:widowControl/>
              <w:spacing w:line="360" w:lineRule="auto"/>
              <w:ind w:firstLine="480" w:firstLineChars="200"/>
              <w:jc w:val="left"/>
              <w:rPr>
                <w:rFonts w:ascii="Times New Roman" w:hAnsi="Times New Roman"/>
                <w:sz w:val="24"/>
              </w:rPr>
            </w:pPr>
            <w:r>
              <w:rPr>
                <w:rFonts w:ascii="Times New Roman" w:hAnsi="Times New Roman"/>
                <w:sz w:val="24"/>
              </w:rPr>
              <w:t>三、防治工业污染</w:t>
            </w:r>
          </w:p>
          <w:p>
            <w:pPr>
              <w:widowControl/>
              <w:spacing w:line="360" w:lineRule="auto"/>
              <w:ind w:firstLine="480" w:firstLineChars="200"/>
              <w:jc w:val="left"/>
              <w:rPr>
                <w:rFonts w:ascii="Times New Roman" w:hAnsi="Times New Roman"/>
                <w:sz w:val="24"/>
              </w:rPr>
            </w:pPr>
            <w:r>
              <w:rPr>
                <w:rFonts w:ascii="Times New Roman" w:hAnsi="Times New Roman"/>
                <w:sz w:val="24"/>
              </w:rPr>
              <w:t>（十）应将排放细颗粒物和前体污染物排放量较大的行业作为工业污染源治理的重点，包括：火电、冶金、建材、石油化工、合成材料、制药、塑料加工、表面涂装、电子产品与设备制造、包装印刷等。工业污染源的污染防治，应参照燃煤二氧化硫、火电厂氮氧化物和冶金、建材、化工等污染防治技术政策的具体内容，开展相关工作。</w:t>
            </w:r>
          </w:p>
          <w:p>
            <w:pPr>
              <w:widowControl/>
              <w:spacing w:line="360" w:lineRule="auto"/>
              <w:ind w:firstLine="480" w:firstLineChars="200"/>
              <w:jc w:val="left"/>
              <w:rPr>
                <w:rFonts w:ascii="Times New Roman" w:hAnsi="Times New Roman"/>
                <w:sz w:val="24"/>
              </w:rPr>
            </w:pPr>
            <w:r>
              <w:rPr>
                <w:rFonts w:ascii="Times New Roman" w:hAnsi="Times New Roman"/>
                <w:sz w:val="24"/>
              </w:rPr>
              <w:t>（十一）应加强对各类污染源的监管，确保污染治理设施稳定运行，切实落实企业环保责任。鼓励采用低能耗、低污染的生产工艺，提高各个行业的清洁生产水平，降低污染物产生量。</w:t>
            </w:r>
          </w:p>
          <w:p>
            <w:pPr>
              <w:widowControl/>
              <w:spacing w:line="360" w:lineRule="auto"/>
              <w:ind w:firstLine="480" w:firstLineChars="200"/>
              <w:jc w:val="left"/>
              <w:rPr>
                <w:rFonts w:ascii="Times New Roman" w:hAnsi="Times New Roman"/>
                <w:sz w:val="24"/>
              </w:rPr>
            </w:pPr>
            <w:r>
              <w:rPr>
                <w:rFonts w:ascii="Times New Roman" w:hAnsi="Times New Roman"/>
                <w:sz w:val="24"/>
              </w:rPr>
              <w:t>（十二）应制定严格、完善的国家和地方工业污染物排放标准，明确各行业排放控制要求。在环境污染严重、污染物排放量大的地区，应制定实施严格的地方排放标准或国家排放标准特别排放限值。</w:t>
            </w:r>
          </w:p>
          <w:p>
            <w:pPr>
              <w:widowControl/>
              <w:spacing w:line="360" w:lineRule="auto"/>
              <w:ind w:firstLine="480" w:firstLineChars="200"/>
              <w:jc w:val="left"/>
              <w:rPr>
                <w:rFonts w:ascii="Times New Roman" w:hAnsi="Times New Roman"/>
                <w:sz w:val="24"/>
              </w:rPr>
            </w:pPr>
            <w:r>
              <w:rPr>
                <w:rFonts w:ascii="Times New Roman" w:hAnsi="Times New Roman"/>
                <w:sz w:val="24"/>
              </w:rPr>
              <w:t>（十三）对于排放细颗粒物的工业污染源，应按照生产工艺、排放方式和烟（废）气组成的特点，选取适用的污染防治技术。工业污染源有组织排放的颗粒物，宜采取袋除尘、电除尘、电袋除尘等高效除尘技术，鼓励火电机组和大型燃煤锅炉采用湿式电除尘等新技术。</w:t>
            </w:r>
          </w:p>
          <w:p>
            <w:pPr>
              <w:widowControl/>
              <w:spacing w:line="360" w:lineRule="auto"/>
              <w:ind w:firstLine="480" w:firstLineChars="200"/>
              <w:jc w:val="left"/>
              <w:rPr>
                <w:rFonts w:ascii="Times New Roman" w:hAnsi="Times New Roman"/>
                <w:sz w:val="24"/>
              </w:rPr>
            </w:pPr>
            <w:r>
              <w:rPr>
                <w:rFonts w:ascii="Times New Roman" w:hAnsi="Times New Roman"/>
                <w:sz w:val="24"/>
              </w:rPr>
              <w:t>（十四）对于排放前体污染物的工业污染源，应分别采用去除硫氧化物、氮氧化物、挥发性有机物和氨的治理技术。对于排放废气中的挥发性有机物应尽量进行回收处理，若无法回收，应采用焚烧等方式销毁（含卤素的有机物除外）。采用氨作为还原剂的氮氧化物净化装置，应在保证氮氧化物达标排放的前提下，合理设置氨的加注工艺参数，防止氨过量造成污染。鼓励在各类生产中采用挥发性有机物替代技术。</w:t>
            </w:r>
          </w:p>
          <w:p>
            <w:pPr>
              <w:widowControl/>
              <w:spacing w:line="360" w:lineRule="auto"/>
              <w:ind w:firstLine="480" w:firstLineChars="200"/>
              <w:jc w:val="left"/>
              <w:rPr>
                <w:rFonts w:ascii="Times New Roman" w:hAnsi="Times New Roman"/>
                <w:sz w:val="24"/>
              </w:rPr>
            </w:pPr>
            <w:r>
              <w:rPr>
                <w:rFonts w:ascii="Times New Roman" w:hAnsi="Times New Roman"/>
                <w:sz w:val="24"/>
              </w:rPr>
              <w:t>（十五）产生大气颗粒物及其前体物污染物的生产活动应尽量采用密闭装置，避免无组织排放；无法完全密闭的，应安装集气装置收集逸散的污染物，经净化后排放。</w:t>
            </w:r>
          </w:p>
          <w:p>
            <w:pPr>
              <w:widowControl/>
              <w:spacing w:line="360" w:lineRule="auto"/>
              <w:ind w:firstLine="480" w:firstLineChars="200"/>
              <w:jc w:val="left"/>
              <w:rPr>
                <w:rFonts w:ascii="Times New Roman" w:hAnsi="Times New Roman"/>
                <w:sz w:val="24"/>
              </w:rPr>
            </w:pPr>
            <w:r>
              <w:rPr>
                <w:rFonts w:ascii="Times New Roman" w:hAnsi="Times New Roman"/>
                <w:sz w:val="24"/>
              </w:rPr>
              <w:t>本项目为水稳拌合站，砂石料直接从商品砂石料厂拉运，进入设备，生产后直接拉走；无需设置堆场，水泥筒仓呼吸口粉尘通过仓顶自带布袋除尘器处理后排放车间地面、进厂道路全部硬化，对道路洒水抑尘</w:t>
            </w:r>
          </w:p>
          <w:p>
            <w:pPr>
              <w:widowControl/>
              <w:spacing w:line="360" w:lineRule="auto"/>
              <w:ind w:firstLine="482" w:firstLineChars="200"/>
              <w:jc w:val="left"/>
              <w:rPr>
                <w:rFonts w:ascii="Times New Roman" w:hAnsi="Times New Roman"/>
                <w:sz w:val="24"/>
              </w:rPr>
            </w:pPr>
            <w:r>
              <w:rPr>
                <w:rFonts w:ascii="Times New Roman" w:hAnsi="Times New Roman"/>
                <w:b/>
                <w:bCs/>
                <w:sz w:val="24"/>
              </w:rPr>
              <w:t>9、选址合理合法性分析</w:t>
            </w:r>
          </w:p>
          <w:p>
            <w:pPr>
              <w:spacing w:line="360" w:lineRule="auto"/>
              <w:ind w:firstLine="480" w:firstLineChars="200"/>
              <w:rPr>
                <w:rFonts w:ascii="Times New Roman" w:hAnsi="Times New Roman"/>
                <w:sz w:val="24"/>
              </w:rPr>
            </w:pPr>
            <w:r>
              <w:rPr>
                <w:rFonts w:ascii="Times New Roman" w:hAnsi="Times New Roman"/>
                <w:sz w:val="24"/>
              </w:rPr>
              <w:t>本项目位于托克逊县郭勒布依乡。本项目企业用地为工业用地。本项目为重点管控区，不在生态红线内；符合该生态环境准入条件。</w:t>
            </w:r>
          </w:p>
          <w:p>
            <w:pPr>
              <w:adjustRightInd w:val="0"/>
              <w:snapToGrid w:val="0"/>
              <w:spacing w:line="360" w:lineRule="auto"/>
              <w:ind w:firstLine="480" w:firstLineChars="200"/>
              <w:rPr>
                <w:rFonts w:ascii="Times New Roman" w:hAnsi="Times New Roman"/>
                <w:sz w:val="24"/>
                <w:szCs w:val="22"/>
              </w:rPr>
            </w:pPr>
            <w:r>
              <w:rPr>
                <w:rFonts w:ascii="Times New Roman" w:hAnsi="Times New Roman"/>
                <w:sz w:val="24"/>
                <w:szCs w:val="22"/>
              </w:rPr>
              <w:t>本项目所在地无生态敏感区、风景名胜区、自然保护区、文化和自然遗产地、文物古迹、军事基地等环境敏感保护目标，本项目所产生的污染物经相关措施处理后均能达标排放，不会对周边环境产生较大影响。周边区域内植被覆盖率较低，植被群落较单一，野生动物数量较少且种类较单一，无国家和自治区级珍稀濒危保护动植物，项目区及所在区域环境质量现状较好。本项目外环境关系单纯，没有明显的外环境制约因素，且与区域环境具有相容性。</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本项目租用现有租用托克逊县天马建材有限责任公司用地，该区块较为平坦，地质条件良好，交通便利，区位条件优越，周边环境良好，项目区位于常年主导下风向，平面布置合理，综上分析，本项目选址基本合理可行。</w:t>
            </w:r>
          </w:p>
          <w:p>
            <w:pPr>
              <w:widowControl/>
              <w:spacing w:line="360" w:lineRule="auto"/>
              <w:ind w:firstLine="420" w:firstLineChars="200"/>
              <w:jc w:val="left"/>
              <w:rPr>
                <w:rFonts w:ascii="Times New Roman" w:hAnsi="Times New Roman"/>
              </w:rPr>
            </w:pPr>
          </w:p>
          <w:p>
            <w:pPr>
              <w:pStyle w:val="3"/>
              <w:numPr>
                <w:ilvl w:val="0"/>
                <w:numId w:val="0"/>
              </w:numPr>
              <w:ind w:left="575"/>
              <w:rPr>
                <w:lang w:val="en-US" w:bidi="ar-SA"/>
              </w:rPr>
            </w:pPr>
          </w:p>
          <w:p>
            <w:pPr>
              <w:rPr>
                <w:rFonts w:ascii="Times New Roman" w:hAnsi="Times New Roman"/>
              </w:rPr>
            </w:pPr>
          </w:p>
          <w:p>
            <w:pPr>
              <w:pStyle w:val="3"/>
              <w:numPr>
                <w:ilvl w:val="0"/>
                <w:numId w:val="0"/>
              </w:numPr>
              <w:ind w:left="575"/>
              <w:rPr>
                <w:lang w:val="en-US" w:bidi="ar-SA"/>
              </w:rPr>
            </w:pPr>
          </w:p>
          <w:p>
            <w:pPr>
              <w:rPr>
                <w:rFonts w:ascii="Times New Roman" w:hAnsi="Times New Roman"/>
              </w:rPr>
            </w:pPr>
          </w:p>
          <w:p>
            <w:pPr>
              <w:pStyle w:val="3"/>
              <w:numPr>
                <w:ilvl w:val="0"/>
                <w:numId w:val="0"/>
              </w:numPr>
              <w:ind w:left="575"/>
              <w:rPr>
                <w:lang w:val="en-US" w:bidi="ar-SA"/>
              </w:rPr>
            </w:pPr>
          </w:p>
          <w:p>
            <w:pPr>
              <w:rPr>
                <w:rFonts w:ascii="Times New Roman" w:hAnsi="Times New Roman"/>
              </w:rPr>
            </w:pPr>
          </w:p>
        </w:tc>
      </w:tr>
    </w:tbl>
    <w:p>
      <w:pPr>
        <w:pStyle w:val="21"/>
        <w:rPr>
          <w:sz w:val="30"/>
          <w:szCs w:val="30"/>
        </w:rPr>
      </w:pPr>
      <w:r>
        <w:br w:type="page"/>
      </w:r>
      <w:r>
        <w:t>二、建设项目工程分析</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666" w:hRule="atLeast"/>
          <w:jc w:val="center"/>
        </w:trPr>
        <w:tc>
          <w:tcPr>
            <w:tcW w:w="823" w:type="dxa"/>
            <w:vAlign w:val="center"/>
          </w:tcPr>
          <w:p>
            <w:pPr>
              <w:pStyle w:val="21"/>
              <w:rPr>
                <w:sz w:val="21"/>
                <w:szCs w:val="21"/>
              </w:rPr>
            </w:pPr>
            <w:r>
              <w:t>建设内容</w:t>
            </w:r>
          </w:p>
        </w:tc>
        <w:tc>
          <w:tcPr>
            <w:tcW w:w="8161" w:type="dxa"/>
          </w:tcPr>
          <w:p>
            <w:pPr>
              <w:adjustRightInd w:val="0"/>
              <w:snapToGrid w:val="0"/>
              <w:spacing w:before="156" w:beforeLines="50" w:line="360" w:lineRule="auto"/>
              <w:ind w:firstLine="482" w:firstLineChars="200"/>
              <w:rPr>
                <w:rFonts w:ascii="Times New Roman" w:hAnsi="Times New Roman"/>
              </w:rPr>
            </w:pPr>
            <w:r>
              <w:rPr>
                <w:rFonts w:ascii="Times New Roman" w:hAnsi="Times New Roman"/>
                <w:b/>
                <w:kern w:val="0"/>
                <w:sz w:val="24"/>
                <w:lang w:bidi="ar"/>
              </w:rPr>
              <w:t>1、项目概况</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本项目位于托克逊县克尔碱镇英阿瓦提村，厂区占地面积666m</w:t>
            </w:r>
            <w:r>
              <w:rPr>
                <w:rFonts w:ascii="Times New Roman" w:hAnsi="Times New Roman"/>
                <w:sz w:val="24"/>
                <w:vertAlign w:val="superscript"/>
              </w:rPr>
              <w:t>2</w:t>
            </w:r>
            <w:r>
              <w:rPr>
                <w:rFonts w:ascii="Times New Roman" w:hAnsi="Times New Roman"/>
                <w:sz w:val="24"/>
              </w:rPr>
              <w:t>，租用</w:t>
            </w:r>
            <w:r>
              <w:rPr>
                <w:rFonts w:hint="eastAsia" w:ascii="Times New Roman" w:hAnsi="Times New Roman"/>
                <w:sz w:val="24"/>
              </w:rPr>
              <w:t>托克逊</w:t>
            </w:r>
            <w:r>
              <w:rPr>
                <w:rFonts w:ascii="Times New Roman" w:hAnsi="Times New Roman"/>
                <w:sz w:val="24"/>
              </w:rPr>
              <w:t>天马建材有限责任公司用地；新建1条水稳生产线及控制室，年产8万t水稳料。</w:t>
            </w:r>
            <w:r>
              <w:rPr>
                <w:rFonts w:hint="eastAsia" w:ascii="Times New Roman" w:hAnsi="Times New Roman"/>
                <w:sz w:val="24"/>
              </w:rPr>
              <w:t>详见图2-1项目地理位置图。</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建设规模：项目建成后年产8万t水稳料。</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项目组成见表2-1。</w:t>
            </w:r>
          </w:p>
          <w:p>
            <w:pPr>
              <w:adjustRightInd w:val="0"/>
              <w:snapToGrid w:val="0"/>
              <w:ind w:firstLine="422" w:firstLineChars="200"/>
              <w:jc w:val="center"/>
              <w:rPr>
                <w:rFonts w:ascii="Times New Roman" w:hAnsi="Times New Roman"/>
                <w:b/>
                <w:bCs/>
              </w:rPr>
            </w:pPr>
            <w:r>
              <w:rPr>
                <w:rFonts w:ascii="Times New Roman" w:hAnsi="Times New Roman"/>
                <w:b/>
                <w:bCs/>
              </w:rPr>
              <w:t>表2-1项目工程组成一览表</w:t>
            </w:r>
          </w:p>
          <w:tbl>
            <w:tblPr>
              <w:tblStyle w:val="37"/>
              <w:tblW w:w="4998"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566"/>
              <w:gridCol w:w="805"/>
              <w:gridCol w:w="886"/>
              <w:gridCol w:w="3955"/>
              <w:gridCol w:w="1730"/>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tcBorders>
                    <w:tl2br w:val="nil"/>
                    <w:tr2bl w:val="nil"/>
                  </w:tcBorders>
                  <w:vAlign w:val="center"/>
                </w:tcPr>
                <w:p>
                  <w:pPr>
                    <w:jc w:val="center"/>
                    <w:rPr>
                      <w:rFonts w:ascii="Times New Roman" w:hAnsi="Times New Roman"/>
                      <w:b/>
                      <w:bCs/>
                      <w:szCs w:val="21"/>
                    </w:rPr>
                  </w:pPr>
                  <w:r>
                    <w:rPr>
                      <w:rFonts w:ascii="Times New Roman" w:hAnsi="Times New Roman"/>
                      <w:b/>
                      <w:bCs/>
                      <w:spacing w:val="-7"/>
                      <w:szCs w:val="21"/>
                    </w:rPr>
                    <w:t>工程</w:t>
                  </w:r>
                  <w:r>
                    <w:rPr>
                      <w:rFonts w:ascii="Times New Roman" w:hAnsi="Times New Roman"/>
                      <w:b/>
                      <w:bCs/>
                      <w:spacing w:val="-6"/>
                      <w:szCs w:val="21"/>
                    </w:rPr>
                    <w:t>类别</w:t>
                  </w:r>
                </w:p>
              </w:tc>
              <w:tc>
                <w:tcPr>
                  <w:tcW w:w="1064" w:type="pct"/>
                  <w:gridSpan w:val="2"/>
                  <w:tcBorders>
                    <w:tl2br w:val="nil"/>
                    <w:tr2bl w:val="nil"/>
                  </w:tcBorders>
                  <w:vAlign w:val="center"/>
                </w:tcPr>
                <w:p>
                  <w:pPr>
                    <w:jc w:val="center"/>
                    <w:rPr>
                      <w:rFonts w:ascii="Times New Roman" w:hAnsi="Times New Roman"/>
                      <w:b/>
                      <w:bCs/>
                      <w:szCs w:val="21"/>
                    </w:rPr>
                  </w:pPr>
                  <w:r>
                    <w:rPr>
                      <w:rFonts w:ascii="Times New Roman" w:hAnsi="Times New Roman"/>
                      <w:b/>
                      <w:bCs/>
                      <w:spacing w:val="-3"/>
                      <w:szCs w:val="21"/>
                    </w:rPr>
                    <w:t>建筑类别</w:t>
                  </w:r>
                </w:p>
              </w:tc>
              <w:tc>
                <w:tcPr>
                  <w:tcW w:w="2489" w:type="pct"/>
                  <w:tcBorders>
                    <w:tl2br w:val="nil"/>
                    <w:tr2bl w:val="nil"/>
                  </w:tcBorders>
                  <w:vAlign w:val="center"/>
                </w:tcPr>
                <w:p>
                  <w:pPr>
                    <w:jc w:val="center"/>
                    <w:rPr>
                      <w:rFonts w:ascii="Times New Roman" w:hAnsi="Times New Roman"/>
                      <w:b/>
                      <w:bCs/>
                      <w:szCs w:val="21"/>
                    </w:rPr>
                  </w:pPr>
                  <w:r>
                    <w:rPr>
                      <w:rFonts w:ascii="Times New Roman" w:hAnsi="Times New Roman"/>
                      <w:b/>
                      <w:bCs/>
                      <w:spacing w:val="-3"/>
                      <w:szCs w:val="21"/>
                    </w:rPr>
                    <w:t>建设内容</w:t>
                  </w:r>
                </w:p>
              </w:tc>
              <w:tc>
                <w:tcPr>
                  <w:tcW w:w="1089" w:type="pct"/>
                  <w:tcBorders>
                    <w:tl2br w:val="nil"/>
                    <w:tr2bl w:val="nil"/>
                  </w:tcBorders>
                  <w:vAlign w:val="center"/>
                </w:tcPr>
                <w:p>
                  <w:pPr>
                    <w:jc w:val="center"/>
                    <w:rPr>
                      <w:rFonts w:ascii="Times New Roman" w:hAnsi="Times New Roman"/>
                      <w:b/>
                      <w:bCs/>
                      <w:szCs w:val="21"/>
                    </w:rPr>
                  </w:pPr>
                  <w:r>
                    <w:rPr>
                      <w:rFonts w:ascii="Times New Roman" w:hAnsi="Times New Roman"/>
                      <w:b/>
                      <w:bCs/>
                      <w:spacing w:val="-6"/>
                      <w:szCs w:val="21"/>
                    </w:rPr>
                    <w:t>备注</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tcBorders>
                    <w:tl2br w:val="nil"/>
                    <w:tr2bl w:val="nil"/>
                  </w:tcBorders>
                  <w:vAlign w:val="center"/>
                </w:tcPr>
                <w:p>
                  <w:pPr>
                    <w:jc w:val="center"/>
                    <w:rPr>
                      <w:rFonts w:ascii="Times New Roman" w:hAnsi="Times New Roman"/>
                      <w:spacing w:val="-2"/>
                      <w:szCs w:val="21"/>
                    </w:rPr>
                  </w:pPr>
                  <w:r>
                    <w:rPr>
                      <w:rFonts w:ascii="Times New Roman" w:hAnsi="Times New Roman"/>
                      <w:spacing w:val="-2"/>
                      <w:szCs w:val="21"/>
                    </w:rPr>
                    <w:t>主体工程</w:t>
                  </w:r>
                </w:p>
              </w:tc>
              <w:tc>
                <w:tcPr>
                  <w:tcW w:w="1064" w:type="pct"/>
                  <w:gridSpan w:val="2"/>
                  <w:tcBorders>
                    <w:tl2br w:val="nil"/>
                    <w:tr2bl w:val="nil"/>
                  </w:tcBorders>
                  <w:vAlign w:val="center"/>
                </w:tcPr>
                <w:p>
                  <w:pPr>
                    <w:jc w:val="center"/>
                    <w:rPr>
                      <w:rFonts w:ascii="Times New Roman" w:hAnsi="Times New Roman"/>
                      <w:spacing w:val="-2"/>
                      <w:szCs w:val="21"/>
                    </w:rPr>
                  </w:pPr>
                  <w:r>
                    <w:rPr>
                      <w:rFonts w:ascii="Times New Roman" w:hAnsi="Times New Roman"/>
                      <w:spacing w:val="-2"/>
                      <w:szCs w:val="21"/>
                    </w:rPr>
                    <w:t>水稳生产线</w:t>
                  </w:r>
                </w:p>
              </w:tc>
              <w:tc>
                <w:tcPr>
                  <w:tcW w:w="2489" w:type="pct"/>
                  <w:tcBorders>
                    <w:tl2br w:val="nil"/>
                    <w:tr2bl w:val="nil"/>
                  </w:tcBorders>
                  <w:vAlign w:val="center"/>
                </w:tcPr>
                <w:p>
                  <w:pPr>
                    <w:jc w:val="center"/>
                    <w:rPr>
                      <w:rFonts w:ascii="Times New Roman" w:hAnsi="Times New Roman"/>
                      <w:spacing w:val="-2"/>
                      <w:szCs w:val="21"/>
                    </w:rPr>
                  </w:pPr>
                  <w:r>
                    <w:rPr>
                      <w:rFonts w:ascii="Times New Roman" w:hAnsi="Times New Roman"/>
                      <w:spacing w:val="-2"/>
                      <w:szCs w:val="21"/>
                    </w:rPr>
                    <w:t>新建1条水稳生产线及控制室，占地面积约400m</w:t>
                  </w:r>
                  <w:r>
                    <w:rPr>
                      <w:rFonts w:ascii="Times New Roman" w:hAnsi="Times New Roman"/>
                      <w:spacing w:val="-2"/>
                      <w:szCs w:val="21"/>
                      <w:vertAlign w:val="superscript"/>
                    </w:rPr>
                    <w:t>2</w:t>
                  </w:r>
                  <w:r>
                    <w:rPr>
                      <w:rFonts w:ascii="Times New Roman" w:hAnsi="Times New Roman"/>
                      <w:spacing w:val="-2"/>
                      <w:szCs w:val="21"/>
                    </w:rPr>
                    <w:t>，包括砂石料配料系统、粉料供给系统、搅拌装置等，为本项目的主要生产单元</w:t>
                  </w:r>
                </w:p>
              </w:tc>
              <w:tc>
                <w:tcPr>
                  <w:tcW w:w="1089" w:type="pct"/>
                  <w:tcBorders>
                    <w:tl2br w:val="nil"/>
                    <w:tr2bl w:val="nil"/>
                  </w:tcBorders>
                  <w:vAlign w:val="center"/>
                </w:tcPr>
                <w:p>
                  <w:pPr>
                    <w:jc w:val="center"/>
                    <w:rPr>
                      <w:rFonts w:ascii="Times New Roman" w:hAnsi="Times New Roman"/>
                      <w:szCs w:val="21"/>
                    </w:rPr>
                  </w:pPr>
                  <w:r>
                    <w:rPr>
                      <w:rFonts w:ascii="Times New Roman" w:hAnsi="Times New Roman"/>
                      <w:szCs w:val="21"/>
                    </w:rPr>
                    <w:t>新建</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tcBorders>
                    <w:tl2br w:val="nil"/>
                    <w:tr2bl w:val="nil"/>
                  </w:tcBorders>
                  <w:vAlign w:val="center"/>
                </w:tcPr>
                <w:p>
                  <w:pPr>
                    <w:jc w:val="center"/>
                    <w:rPr>
                      <w:rFonts w:ascii="Times New Roman" w:hAnsi="Times New Roman"/>
                      <w:spacing w:val="-2"/>
                      <w:szCs w:val="21"/>
                    </w:rPr>
                  </w:pPr>
                  <w:r>
                    <w:rPr>
                      <w:rFonts w:ascii="Times New Roman" w:hAnsi="Times New Roman"/>
                      <w:spacing w:val="-2"/>
                      <w:szCs w:val="21"/>
                    </w:rPr>
                    <w:t>储运工程</w:t>
                  </w:r>
                </w:p>
              </w:tc>
              <w:tc>
                <w:tcPr>
                  <w:tcW w:w="1064" w:type="pct"/>
                  <w:gridSpan w:val="2"/>
                  <w:tcBorders>
                    <w:tl2br w:val="nil"/>
                    <w:tr2bl w:val="nil"/>
                  </w:tcBorders>
                  <w:vAlign w:val="center"/>
                </w:tcPr>
                <w:p>
                  <w:pPr>
                    <w:jc w:val="center"/>
                    <w:rPr>
                      <w:rFonts w:ascii="Times New Roman" w:hAnsi="Times New Roman"/>
                      <w:spacing w:val="-2"/>
                      <w:szCs w:val="21"/>
                    </w:rPr>
                  </w:pPr>
                  <w:r>
                    <w:rPr>
                      <w:rFonts w:ascii="Times New Roman" w:hAnsi="Times New Roman"/>
                      <w:spacing w:val="-2"/>
                      <w:szCs w:val="21"/>
                    </w:rPr>
                    <w:t>砂石料存放区</w:t>
                  </w:r>
                </w:p>
              </w:tc>
              <w:tc>
                <w:tcPr>
                  <w:tcW w:w="2489" w:type="pct"/>
                  <w:tcBorders>
                    <w:tl2br w:val="nil"/>
                    <w:tr2bl w:val="nil"/>
                  </w:tcBorders>
                  <w:vAlign w:val="center"/>
                </w:tcPr>
                <w:p>
                  <w:pPr>
                    <w:jc w:val="center"/>
                    <w:rPr>
                      <w:rFonts w:ascii="Times New Roman" w:hAnsi="Times New Roman"/>
                      <w:spacing w:val="-2"/>
                      <w:szCs w:val="21"/>
                    </w:rPr>
                  </w:pPr>
                  <w:r>
                    <w:rPr>
                      <w:rFonts w:ascii="Times New Roman" w:hAnsi="Times New Roman"/>
                      <w:spacing w:val="-2"/>
                      <w:szCs w:val="21"/>
                    </w:rPr>
                    <w:t>直接从</w:t>
                  </w:r>
                  <w:r>
                    <w:rPr>
                      <w:rFonts w:ascii="Times New Roman" w:hAnsi="Times New Roman"/>
                      <w:szCs w:val="21"/>
                    </w:rPr>
                    <w:t>托克逊县天马建材有限责任公司拉运，进入设备生产，不设存放区</w:t>
                  </w:r>
                </w:p>
              </w:tc>
              <w:tc>
                <w:tcPr>
                  <w:tcW w:w="1089" w:type="pct"/>
                  <w:tcBorders>
                    <w:tl2br w:val="nil"/>
                    <w:tr2bl w:val="nil"/>
                  </w:tcBorders>
                  <w:vAlign w:val="center"/>
                </w:tcPr>
                <w:p>
                  <w:pPr>
                    <w:jc w:val="center"/>
                    <w:rPr>
                      <w:rFonts w:ascii="Times New Roman" w:hAnsi="Times New Roman"/>
                      <w:szCs w:val="21"/>
                    </w:rPr>
                  </w:pPr>
                  <w:r>
                    <w:rPr>
                      <w:rFonts w:ascii="Times New Roman" w:hAnsi="Times New Roman"/>
                      <w:szCs w:val="21"/>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tcBorders>
                    <w:tl2br w:val="nil"/>
                    <w:tr2bl w:val="nil"/>
                  </w:tcBorders>
                  <w:vAlign w:val="center"/>
                </w:tcPr>
                <w:p>
                  <w:pPr>
                    <w:jc w:val="center"/>
                    <w:rPr>
                      <w:rFonts w:ascii="Times New Roman" w:hAnsi="Times New Roman"/>
                      <w:szCs w:val="21"/>
                    </w:rPr>
                  </w:pPr>
                  <w:r>
                    <w:rPr>
                      <w:rFonts w:ascii="Times New Roman" w:hAnsi="Times New Roman"/>
                      <w:spacing w:val="-7"/>
                      <w:szCs w:val="21"/>
                    </w:rPr>
                    <w:t>辅助工程</w:t>
                  </w:r>
                </w:p>
              </w:tc>
              <w:tc>
                <w:tcPr>
                  <w:tcW w:w="1064" w:type="pct"/>
                  <w:gridSpan w:val="2"/>
                  <w:tcBorders>
                    <w:tl2br w:val="nil"/>
                    <w:tr2bl w:val="nil"/>
                  </w:tcBorders>
                  <w:vAlign w:val="center"/>
                </w:tcPr>
                <w:p>
                  <w:pPr>
                    <w:jc w:val="center"/>
                    <w:rPr>
                      <w:rFonts w:ascii="Times New Roman" w:hAnsi="Times New Roman"/>
                      <w:szCs w:val="21"/>
                    </w:rPr>
                  </w:pPr>
                  <w:r>
                    <w:rPr>
                      <w:rFonts w:ascii="Times New Roman" w:hAnsi="Times New Roman"/>
                      <w:spacing w:val="-5"/>
                      <w:szCs w:val="21"/>
                    </w:rPr>
                    <w:t>办公、</w:t>
                  </w:r>
                  <w:r>
                    <w:rPr>
                      <w:rFonts w:ascii="Times New Roman" w:hAnsi="Times New Roman"/>
                      <w:spacing w:val="-4"/>
                      <w:szCs w:val="21"/>
                    </w:rPr>
                    <w:t>生活区</w:t>
                  </w:r>
                </w:p>
              </w:tc>
              <w:tc>
                <w:tcPr>
                  <w:tcW w:w="2489"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依托</w:t>
                  </w:r>
                  <w:r>
                    <w:rPr>
                      <w:rFonts w:ascii="Times New Roman" w:hAnsi="Times New Roman"/>
                      <w:szCs w:val="21"/>
                    </w:rPr>
                    <w:t>托克逊县天马建材有限责任公司</w:t>
                  </w:r>
                  <w:r>
                    <w:rPr>
                      <w:rFonts w:ascii="Times New Roman" w:hAnsi="Times New Roman"/>
                      <w:spacing w:val="-2"/>
                      <w:szCs w:val="21"/>
                    </w:rPr>
                    <w:t>办公、生活区</w:t>
                  </w:r>
                </w:p>
              </w:tc>
              <w:tc>
                <w:tcPr>
                  <w:tcW w:w="1089" w:type="pct"/>
                  <w:tcBorders>
                    <w:tl2br w:val="nil"/>
                    <w:tr2bl w:val="nil"/>
                  </w:tcBorders>
                  <w:vAlign w:val="center"/>
                </w:tcPr>
                <w:p>
                  <w:pPr>
                    <w:jc w:val="center"/>
                    <w:rPr>
                      <w:rFonts w:ascii="Times New Roman" w:hAnsi="Times New Roman"/>
                      <w:szCs w:val="21"/>
                    </w:rPr>
                  </w:pPr>
                  <w:r>
                    <w:rPr>
                      <w:rFonts w:ascii="Times New Roman" w:hAnsi="Times New Roman"/>
                      <w:szCs w:val="21"/>
                    </w:rPr>
                    <w:t>依托托克逊县天马建材有限责任公司</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vMerge w:val="restart"/>
                  <w:tcBorders>
                    <w:tl2br w:val="nil"/>
                    <w:tr2bl w:val="nil"/>
                  </w:tcBorders>
                  <w:vAlign w:val="center"/>
                </w:tcPr>
                <w:p>
                  <w:pPr>
                    <w:jc w:val="center"/>
                    <w:rPr>
                      <w:rFonts w:ascii="Times New Roman" w:hAnsi="Times New Roman"/>
                      <w:szCs w:val="21"/>
                    </w:rPr>
                  </w:pPr>
                  <w:r>
                    <w:rPr>
                      <w:rFonts w:ascii="Times New Roman" w:hAnsi="Times New Roman"/>
                      <w:spacing w:val="-9"/>
                      <w:szCs w:val="21"/>
                    </w:rPr>
                    <w:t>公用</w:t>
                  </w:r>
                  <w:r>
                    <w:rPr>
                      <w:rFonts w:ascii="Times New Roman" w:hAnsi="Times New Roman"/>
                      <w:spacing w:val="-7"/>
                      <w:szCs w:val="21"/>
                    </w:rPr>
                    <w:t>工程</w:t>
                  </w:r>
                </w:p>
              </w:tc>
              <w:tc>
                <w:tcPr>
                  <w:tcW w:w="1064" w:type="pct"/>
                  <w:gridSpan w:val="2"/>
                  <w:tcBorders>
                    <w:tl2br w:val="nil"/>
                    <w:tr2bl w:val="nil"/>
                  </w:tcBorders>
                  <w:vAlign w:val="center"/>
                </w:tcPr>
                <w:p>
                  <w:pPr>
                    <w:jc w:val="center"/>
                    <w:rPr>
                      <w:rFonts w:ascii="Times New Roman" w:hAnsi="Times New Roman"/>
                      <w:szCs w:val="21"/>
                    </w:rPr>
                  </w:pPr>
                  <w:r>
                    <w:rPr>
                      <w:rFonts w:ascii="Times New Roman" w:hAnsi="Times New Roman"/>
                      <w:spacing w:val="-5"/>
                      <w:szCs w:val="21"/>
                    </w:rPr>
                    <w:t>供电</w:t>
                  </w:r>
                </w:p>
              </w:tc>
              <w:tc>
                <w:tcPr>
                  <w:tcW w:w="2489"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依托</w:t>
                  </w:r>
                  <w:r>
                    <w:rPr>
                      <w:rFonts w:ascii="Times New Roman" w:hAnsi="Times New Roman"/>
                      <w:szCs w:val="21"/>
                    </w:rPr>
                    <w:t>托克逊县天马建材有限责任公司</w:t>
                  </w:r>
                </w:p>
              </w:tc>
              <w:tc>
                <w:tcPr>
                  <w:tcW w:w="1089" w:type="pct"/>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依托</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vMerge w:val="continue"/>
                  <w:tcBorders>
                    <w:tl2br w:val="nil"/>
                    <w:tr2bl w:val="nil"/>
                  </w:tcBorders>
                  <w:vAlign w:val="center"/>
                </w:tcPr>
                <w:p>
                  <w:pPr>
                    <w:jc w:val="center"/>
                    <w:rPr>
                      <w:rFonts w:ascii="Times New Roman" w:hAnsi="Times New Roman"/>
                      <w:szCs w:val="21"/>
                    </w:rPr>
                  </w:pPr>
                </w:p>
              </w:tc>
              <w:tc>
                <w:tcPr>
                  <w:tcW w:w="1064" w:type="pct"/>
                  <w:gridSpan w:val="2"/>
                  <w:tcBorders>
                    <w:tl2br w:val="nil"/>
                    <w:tr2bl w:val="nil"/>
                  </w:tcBorders>
                  <w:vAlign w:val="center"/>
                </w:tcPr>
                <w:p>
                  <w:pPr>
                    <w:jc w:val="center"/>
                    <w:rPr>
                      <w:rFonts w:ascii="Times New Roman" w:hAnsi="Times New Roman"/>
                      <w:szCs w:val="21"/>
                    </w:rPr>
                  </w:pPr>
                  <w:r>
                    <w:rPr>
                      <w:rFonts w:ascii="Times New Roman" w:hAnsi="Times New Roman"/>
                      <w:spacing w:val="-5"/>
                      <w:szCs w:val="21"/>
                    </w:rPr>
                    <w:t>给水</w:t>
                  </w:r>
                </w:p>
              </w:tc>
              <w:tc>
                <w:tcPr>
                  <w:tcW w:w="2489"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依托</w:t>
                  </w:r>
                  <w:r>
                    <w:rPr>
                      <w:rFonts w:ascii="Times New Roman" w:hAnsi="Times New Roman"/>
                      <w:szCs w:val="21"/>
                    </w:rPr>
                    <w:t>托克逊县天马建材有限责任公司</w:t>
                  </w:r>
                </w:p>
              </w:tc>
              <w:tc>
                <w:tcPr>
                  <w:tcW w:w="1089" w:type="pct"/>
                  <w:vMerge w:val="continue"/>
                  <w:tcBorders>
                    <w:tl2br w:val="nil"/>
                    <w:tr2bl w:val="nil"/>
                  </w:tcBorders>
                  <w:vAlign w:val="center"/>
                </w:tcPr>
                <w:p>
                  <w:pPr>
                    <w:jc w:val="center"/>
                    <w:rPr>
                      <w:rFonts w:ascii="Times New Roman" w:hAnsi="Times New Roman"/>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vMerge w:val="continue"/>
                  <w:tcBorders>
                    <w:tl2br w:val="nil"/>
                    <w:tr2bl w:val="nil"/>
                  </w:tcBorders>
                  <w:vAlign w:val="center"/>
                </w:tcPr>
                <w:p>
                  <w:pPr>
                    <w:jc w:val="center"/>
                    <w:rPr>
                      <w:rFonts w:ascii="Times New Roman" w:hAnsi="Times New Roman"/>
                      <w:szCs w:val="21"/>
                    </w:rPr>
                  </w:pPr>
                </w:p>
              </w:tc>
              <w:tc>
                <w:tcPr>
                  <w:tcW w:w="1064" w:type="pct"/>
                  <w:gridSpan w:val="2"/>
                  <w:tcBorders>
                    <w:tl2br w:val="nil"/>
                    <w:tr2bl w:val="nil"/>
                  </w:tcBorders>
                  <w:vAlign w:val="center"/>
                </w:tcPr>
                <w:p>
                  <w:pPr>
                    <w:jc w:val="center"/>
                    <w:rPr>
                      <w:rFonts w:ascii="Times New Roman" w:hAnsi="Times New Roman"/>
                      <w:szCs w:val="21"/>
                    </w:rPr>
                  </w:pPr>
                  <w:r>
                    <w:rPr>
                      <w:rFonts w:ascii="Times New Roman" w:hAnsi="Times New Roman"/>
                      <w:spacing w:val="-5"/>
                      <w:szCs w:val="21"/>
                    </w:rPr>
                    <w:t>排水</w:t>
                  </w:r>
                </w:p>
              </w:tc>
              <w:tc>
                <w:tcPr>
                  <w:tcW w:w="2489" w:type="pct"/>
                  <w:tcBorders>
                    <w:tl2br w:val="nil"/>
                    <w:tr2bl w:val="nil"/>
                  </w:tcBorders>
                  <w:vAlign w:val="center"/>
                </w:tcPr>
                <w:p>
                  <w:pPr>
                    <w:jc w:val="center"/>
                    <w:rPr>
                      <w:rFonts w:ascii="Times New Roman" w:hAnsi="Times New Roman"/>
                      <w:szCs w:val="21"/>
                    </w:rPr>
                  </w:pPr>
                  <w:r>
                    <w:rPr>
                      <w:rFonts w:ascii="Times New Roman" w:hAnsi="Times New Roman"/>
                      <w:spacing w:val="-9"/>
                      <w:szCs w:val="21"/>
                    </w:rPr>
                    <w:t>车辆清洗废水经沉淀池沉淀后循环使</w:t>
                  </w:r>
                  <w:r>
                    <w:rPr>
                      <w:rFonts w:ascii="Times New Roman" w:hAnsi="Times New Roman"/>
                      <w:spacing w:val="-3"/>
                      <w:szCs w:val="21"/>
                    </w:rPr>
                    <w:t>用不外排，生活污水依托托克逊县天马建材有限责任公司生活处理设施。</w:t>
                  </w:r>
                </w:p>
              </w:tc>
              <w:tc>
                <w:tcPr>
                  <w:tcW w:w="1089" w:type="pct"/>
                  <w:tcBorders>
                    <w:tl2br w:val="nil"/>
                    <w:tr2bl w:val="nil"/>
                  </w:tcBorders>
                  <w:vAlign w:val="center"/>
                </w:tcPr>
                <w:p>
                  <w:pPr>
                    <w:jc w:val="center"/>
                    <w:rPr>
                      <w:rFonts w:ascii="Times New Roman" w:hAnsi="Times New Roman"/>
                      <w:szCs w:val="21"/>
                    </w:rPr>
                  </w:pPr>
                  <w:r>
                    <w:rPr>
                      <w:rFonts w:ascii="Times New Roman" w:hAnsi="Times New Roman"/>
                      <w:szCs w:val="21"/>
                    </w:rPr>
                    <w:t>依托托克逊县天马建材有限责任公司内</w:t>
                  </w:r>
                  <w:r>
                    <w:rPr>
                      <w:rFonts w:ascii="Times New Roman" w:hAnsi="Times New Roman"/>
                      <w:spacing w:val="-1"/>
                      <w:szCs w:val="21"/>
                    </w:rPr>
                    <w:t>沉淀池</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vMerge w:val="restar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环保工程</w:t>
                  </w:r>
                </w:p>
              </w:tc>
              <w:tc>
                <w:tcPr>
                  <w:tcW w:w="1064" w:type="pct"/>
                  <w:gridSpan w:val="2"/>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废水处理措施</w:t>
                  </w:r>
                </w:p>
              </w:tc>
              <w:tc>
                <w:tcPr>
                  <w:tcW w:w="2489"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车辆清洗废水经沉淀池沉淀后循环使用不外排，生活污水依托托克逊县天马建材有限责任公司生活处理设施。</w:t>
                  </w:r>
                </w:p>
              </w:tc>
              <w:tc>
                <w:tcPr>
                  <w:tcW w:w="1089" w:type="pct"/>
                  <w:tcBorders>
                    <w:tl2br w:val="nil"/>
                    <w:tr2bl w:val="nil"/>
                  </w:tcBorders>
                  <w:vAlign w:val="center"/>
                </w:tcPr>
                <w:p>
                  <w:pPr>
                    <w:jc w:val="center"/>
                    <w:rPr>
                      <w:rFonts w:ascii="Times New Roman" w:hAnsi="Times New Roman"/>
                      <w:szCs w:val="21"/>
                    </w:rPr>
                  </w:pPr>
                  <w:r>
                    <w:rPr>
                      <w:rFonts w:ascii="Times New Roman" w:hAnsi="Times New Roman"/>
                      <w:szCs w:val="21"/>
                    </w:rPr>
                    <w:t>依托托克逊县天马建材有限责任公司内</w:t>
                  </w:r>
                  <w:r>
                    <w:rPr>
                      <w:rFonts w:ascii="Times New Roman" w:hAnsi="Times New Roman"/>
                      <w:spacing w:val="-1"/>
                      <w:szCs w:val="21"/>
                    </w:rPr>
                    <w:t>沉淀池</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vMerge w:val="continue"/>
                  <w:tcBorders>
                    <w:tl2br w:val="nil"/>
                    <w:tr2bl w:val="nil"/>
                  </w:tcBorders>
                  <w:vAlign w:val="center"/>
                </w:tcPr>
                <w:p>
                  <w:pPr>
                    <w:jc w:val="center"/>
                    <w:rPr>
                      <w:rFonts w:ascii="Times New Roman" w:hAnsi="Times New Roman"/>
                      <w:spacing w:val="-1"/>
                      <w:szCs w:val="21"/>
                    </w:rPr>
                  </w:pPr>
                </w:p>
              </w:tc>
              <w:tc>
                <w:tcPr>
                  <w:tcW w:w="506" w:type="pct"/>
                  <w:vMerge w:val="restar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废气治理措施</w:t>
                  </w:r>
                </w:p>
              </w:tc>
              <w:tc>
                <w:tcPr>
                  <w:tcW w:w="557"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筒仓粉尘</w:t>
                  </w:r>
                </w:p>
              </w:tc>
              <w:tc>
                <w:tcPr>
                  <w:tcW w:w="2489"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水泥筒仓呼吸口粉尘通过仓顶配套滤芯除尘器处理后排放</w:t>
                  </w:r>
                </w:p>
              </w:tc>
              <w:tc>
                <w:tcPr>
                  <w:tcW w:w="1089" w:type="pct"/>
                  <w:tcBorders>
                    <w:tl2br w:val="nil"/>
                    <w:tr2bl w:val="nil"/>
                  </w:tcBorders>
                  <w:vAlign w:val="center"/>
                </w:tcPr>
                <w:p>
                  <w:pPr>
                    <w:jc w:val="center"/>
                    <w:rPr>
                      <w:rFonts w:ascii="Times New Roman" w:hAnsi="Times New Roman"/>
                      <w:szCs w:val="21"/>
                    </w:rPr>
                  </w:pPr>
                  <w:r>
                    <w:rPr>
                      <w:rFonts w:ascii="Times New Roman" w:hAnsi="Times New Roman"/>
                      <w:szCs w:val="21"/>
                    </w:rPr>
                    <w:t>新建</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vMerge w:val="continue"/>
                  <w:tcBorders>
                    <w:tl2br w:val="nil"/>
                    <w:tr2bl w:val="nil"/>
                  </w:tcBorders>
                  <w:vAlign w:val="center"/>
                </w:tcPr>
                <w:p>
                  <w:pPr>
                    <w:jc w:val="center"/>
                    <w:rPr>
                      <w:rFonts w:ascii="Times New Roman" w:hAnsi="Times New Roman"/>
                      <w:spacing w:val="-1"/>
                      <w:szCs w:val="21"/>
                    </w:rPr>
                  </w:pPr>
                </w:p>
              </w:tc>
              <w:tc>
                <w:tcPr>
                  <w:tcW w:w="506" w:type="pct"/>
                  <w:vMerge w:val="continue"/>
                  <w:tcBorders>
                    <w:tl2br w:val="nil"/>
                    <w:tr2bl w:val="nil"/>
                  </w:tcBorders>
                  <w:textDirection w:val="tbRlV"/>
                  <w:vAlign w:val="center"/>
                </w:tcPr>
                <w:p>
                  <w:pPr>
                    <w:jc w:val="center"/>
                    <w:rPr>
                      <w:rFonts w:ascii="Times New Roman" w:hAnsi="Times New Roman"/>
                      <w:spacing w:val="-1"/>
                      <w:szCs w:val="21"/>
                    </w:rPr>
                  </w:pPr>
                </w:p>
              </w:tc>
              <w:tc>
                <w:tcPr>
                  <w:tcW w:w="557"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运输车辆扬尘</w:t>
                  </w:r>
                </w:p>
              </w:tc>
              <w:tc>
                <w:tcPr>
                  <w:tcW w:w="2489"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车间地面、进厂道路全部硬化，对道路洒水抑尘</w:t>
                  </w:r>
                </w:p>
              </w:tc>
              <w:tc>
                <w:tcPr>
                  <w:tcW w:w="1089" w:type="pct"/>
                  <w:tcBorders>
                    <w:tl2br w:val="nil"/>
                    <w:tr2bl w:val="nil"/>
                  </w:tcBorders>
                  <w:vAlign w:val="center"/>
                </w:tcPr>
                <w:p>
                  <w:pPr>
                    <w:jc w:val="center"/>
                    <w:rPr>
                      <w:rFonts w:ascii="Times New Roman" w:hAnsi="Times New Roman"/>
                      <w:szCs w:val="21"/>
                    </w:rPr>
                  </w:pPr>
                  <w:r>
                    <w:rPr>
                      <w:rFonts w:ascii="Times New Roman" w:hAnsi="Times New Roman"/>
                      <w:szCs w:val="21"/>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vMerge w:val="continue"/>
                  <w:tcBorders>
                    <w:tl2br w:val="nil"/>
                    <w:tr2bl w:val="nil"/>
                  </w:tcBorders>
                  <w:vAlign w:val="center"/>
                </w:tcPr>
                <w:p>
                  <w:pPr>
                    <w:jc w:val="center"/>
                    <w:rPr>
                      <w:rFonts w:ascii="Times New Roman" w:hAnsi="Times New Roman"/>
                      <w:spacing w:val="-1"/>
                      <w:szCs w:val="21"/>
                    </w:rPr>
                  </w:pPr>
                </w:p>
              </w:tc>
              <w:tc>
                <w:tcPr>
                  <w:tcW w:w="1064" w:type="pct"/>
                  <w:gridSpan w:val="2"/>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噪声治理措施</w:t>
                  </w:r>
                </w:p>
              </w:tc>
              <w:tc>
                <w:tcPr>
                  <w:tcW w:w="2489"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基础减振等</w:t>
                  </w:r>
                </w:p>
              </w:tc>
              <w:tc>
                <w:tcPr>
                  <w:tcW w:w="1089" w:type="pct"/>
                  <w:tcBorders>
                    <w:tl2br w:val="nil"/>
                    <w:tr2bl w:val="nil"/>
                  </w:tcBorders>
                  <w:vAlign w:val="center"/>
                </w:tcPr>
                <w:p>
                  <w:pPr>
                    <w:jc w:val="center"/>
                    <w:rPr>
                      <w:rFonts w:ascii="Times New Roman" w:hAnsi="Times New Roman"/>
                      <w:szCs w:val="21"/>
                    </w:rPr>
                  </w:pPr>
                  <w:r>
                    <w:rPr>
                      <w:rFonts w:ascii="Times New Roman" w:hAnsi="Times New Roman"/>
                      <w:szCs w:val="21"/>
                    </w:rPr>
                    <w:t>新建</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vMerge w:val="continue"/>
                  <w:tcBorders>
                    <w:tl2br w:val="nil"/>
                    <w:tr2bl w:val="nil"/>
                  </w:tcBorders>
                  <w:vAlign w:val="center"/>
                </w:tcPr>
                <w:p>
                  <w:pPr>
                    <w:jc w:val="center"/>
                    <w:rPr>
                      <w:rFonts w:ascii="Times New Roman" w:hAnsi="Times New Roman"/>
                      <w:spacing w:val="-1"/>
                      <w:szCs w:val="21"/>
                    </w:rPr>
                  </w:pPr>
                </w:p>
              </w:tc>
              <w:tc>
                <w:tcPr>
                  <w:tcW w:w="506" w:type="pct"/>
                  <w:vMerge w:val="restar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固废处置措施</w:t>
                  </w:r>
                </w:p>
              </w:tc>
              <w:tc>
                <w:tcPr>
                  <w:tcW w:w="557"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除尘器收集的粉尘</w:t>
                  </w:r>
                </w:p>
              </w:tc>
              <w:tc>
                <w:tcPr>
                  <w:tcW w:w="2489"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收集后回用于生产</w:t>
                  </w:r>
                </w:p>
              </w:tc>
              <w:tc>
                <w:tcPr>
                  <w:tcW w:w="1089" w:type="pct"/>
                  <w:tcBorders>
                    <w:tl2br w:val="nil"/>
                    <w:tr2bl w:val="nil"/>
                  </w:tcBorders>
                  <w:vAlign w:val="center"/>
                </w:tcPr>
                <w:p>
                  <w:pPr>
                    <w:jc w:val="center"/>
                    <w:rPr>
                      <w:rFonts w:ascii="Times New Roman" w:hAnsi="Times New Roman"/>
                      <w:szCs w:val="21"/>
                    </w:rPr>
                  </w:pPr>
                  <w:r>
                    <w:rPr>
                      <w:rFonts w:ascii="Times New Roman" w:hAnsi="Times New Roman"/>
                      <w:szCs w:val="21"/>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56" w:type="pct"/>
                  <w:vMerge w:val="continue"/>
                  <w:tcBorders>
                    <w:tl2br w:val="nil"/>
                    <w:tr2bl w:val="nil"/>
                  </w:tcBorders>
                  <w:vAlign w:val="center"/>
                </w:tcPr>
                <w:p>
                  <w:pPr>
                    <w:jc w:val="center"/>
                    <w:rPr>
                      <w:rFonts w:ascii="Times New Roman" w:hAnsi="Times New Roman"/>
                      <w:spacing w:val="-1"/>
                      <w:szCs w:val="21"/>
                    </w:rPr>
                  </w:pPr>
                </w:p>
              </w:tc>
              <w:tc>
                <w:tcPr>
                  <w:tcW w:w="506" w:type="pct"/>
                  <w:vMerge w:val="continue"/>
                  <w:tcBorders>
                    <w:tl2br w:val="nil"/>
                    <w:tr2bl w:val="nil"/>
                  </w:tcBorders>
                  <w:textDirection w:val="tbRlV"/>
                  <w:vAlign w:val="center"/>
                </w:tcPr>
                <w:p>
                  <w:pPr>
                    <w:jc w:val="center"/>
                    <w:rPr>
                      <w:rFonts w:ascii="Times New Roman" w:hAnsi="Times New Roman"/>
                      <w:spacing w:val="-1"/>
                      <w:szCs w:val="21"/>
                    </w:rPr>
                  </w:pPr>
                </w:p>
              </w:tc>
              <w:tc>
                <w:tcPr>
                  <w:tcW w:w="557"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清洗固废</w:t>
                  </w:r>
                </w:p>
              </w:tc>
              <w:tc>
                <w:tcPr>
                  <w:tcW w:w="2489"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收集后回用于生产</w:t>
                  </w:r>
                </w:p>
              </w:tc>
              <w:tc>
                <w:tcPr>
                  <w:tcW w:w="1089" w:type="pct"/>
                  <w:tcBorders>
                    <w:tl2br w:val="nil"/>
                    <w:tr2bl w:val="nil"/>
                  </w:tcBorders>
                  <w:vAlign w:val="center"/>
                </w:tcPr>
                <w:p>
                  <w:pPr>
                    <w:jc w:val="center"/>
                    <w:rPr>
                      <w:rFonts w:ascii="Times New Roman" w:hAnsi="Times New Roman"/>
                      <w:szCs w:val="21"/>
                    </w:rPr>
                  </w:pPr>
                  <w:r>
                    <w:rPr>
                      <w:rFonts w:ascii="Times New Roman" w:hAnsi="Times New Roman"/>
                      <w:szCs w:val="21"/>
                    </w:rPr>
                    <w:t>/</w:t>
                  </w:r>
                </w:p>
              </w:tc>
            </w:tr>
          </w:tbl>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2、主要生产设备</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本项目主要生产设备详见表2-2。</w:t>
            </w:r>
          </w:p>
          <w:p>
            <w:pPr>
              <w:adjustRightInd w:val="0"/>
              <w:snapToGrid w:val="0"/>
              <w:jc w:val="center"/>
              <w:rPr>
                <w:rFonts w:ascii="Times New Roman" w:hAnsi="Times New Roman"/>
                <w:b/>
                <w:bCs/>
                <w:szCs w:val="21"/>
              </w:rPr>
            </w:pPr>
            <w:r>
              <w:rPr>
                <w:rFonts w:ascii="Times New Roman" w:hAnsi="Times New Roman"/>
                <w:b/>
                <w:bCs/>
                <w:szCs w:val="21"/>
              </w:rPr>
              <w:t>表2-2主要生产设备表</w:t>
            </w:r>
          </w:p>
          <w:tbl>
            <w:tblPr>
              <w:tblStyle w:val="37"/>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61"/>
              <w:gridCol w:w="2508"/>
              <w:gridCol w:w="2387"/>
              <w:gridCol w:w="238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17" w:type="pct"/>
                  <w:tcBorders>
                    <w:tl2br w:val="nil"/>
                    <w:tr2bl w:val="nil"/>
                  </w:tcBorders>
                  <w:vAlign w:val="center"/>
                </w:tcPr>
                <w:p>
                  <w:pPr>
                    <w:jc w:val="center"/>
                    <w:rPr>
                      <w:rFonts w:ascii="Times New Roman" w:hAnsi="Times New Roman"/>
                      <w:b/>
                      <w:bCs/>
                      <w:szCs w:val="21"/>
                    </w:rPr>
                  </w:pPr>
                  <w:r>
                    <w:rPr>
                      <w:rFonts w:ascii="Times New Roman" w:hAnsi="Times New Roman"/>
                      <w:b/>
                      <w:bCs/>
                      <w:spacing w:val="-5"/>
                      <w:szCs w:val="21"/>
                    </w:rPr>
                    <w:t>序号</w:t>
                  </w:r>
                </w:p>
              </w:tc>
              <w:tc>
                <w:tcPr>
                  <w:tcW w:w="1578" w:type="pct"/>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设备名称</w:t>
                  </w:r>
                </w:p>
              </w:tc>
              <w:tc>
                <w:tcPr>
                  <w:tcW w:w="1502" w:type="pct"/>
                  <w:tcBorders>
                    <w:tl2br w:val="nil"/>
                    <w:tr2bl w:val="nil"/>
                  </w:tcBorders>
                  <w:vAlign w:val="center"/>
                </w:tcPr>
                <w:p>
                  <w:pPr>
                    <w:jc w:val="center"/>
                    <w:rPr>
                      <w:rFonts w:ascii="Times New Roman" w:hAnsi="Times New Roman"/>
                      <w:b/>
                      <w:bCs/>
                      <w:spacing w:val="-3"/>
                      <w:szCs w:val="21"/>
                    </w:rPr>
                  </w:pPr>
                  <w:r>
                    <w:rPr>
                      <w:rFonts w:ascii="Times New Roman" w:hAnsi="Times New Roman"/>
                      <w:b/>
                      <w:bCs/>
                      <w:spacing w:val="-3"/>
                      <w:szCs w:val="21"/>
                    </w:rPr>
                    <w:t>数量（台）</w:t>
                  </w:r>
                </w:p>
              </w:tc>
              <w:tc>
                <w:tcPr>
                  <w:tcW w:w="1501" w:type="pct"/>
                  <w:tcBorders>
                    <w:tl2br w:val="nil"/>
                    <w:tr2bl w:val="nil"/>
                  </w:tcBorders>
                  <w:vAlign w:val="center"/>
                </w:tcPr>
                <w:p>
                  <w:pPr>
                    <w:jc w:val="center"/>
                    <w:rPr>
                      <w:rFonts w:ascii="Times New Roman" w:hAnsi="Times New Roman"/>
                      <w:b/>
                      <w:bCs/>
                      <w:spacing w:val="-3"/>
                      <w:szCs w:val="21"/>
                    </w:rPr>
                  </w:pPr>
                  <w:r>
                    <w:rPr>
                      <w:rFonts w:ascii="Times New Roman" w:hAnsi="Times New Roman"/>
                      <w:b/>
                      <w:bCs/>
                      <w:spacing w:val="-3"/>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5" w:hRule="atLeast"/>
                <w:jc w:val="center"/>
              </w:trPr>
              <w:tc>
                <w:tcPr>
                  <w:tcW w:w="417"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1</w:t>
                  </w:r>
                </w:p>
              </w:tc>
              <w:tc>
                <w:tcPr>
                  <w:tcW w:w="1578"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配料皮带机</w:t>
                  </w:r>
                </w:p>
              </w:tc>
              <w:tc>
                <w:tcPr>
                  <w:tcW w:w="1502"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1</w:t>
                  </w:r>
                </w:p>
              </w:tc>
              <w:tc>
                <w:tcPr>
                  <w:tcW w:w="1501" w:type="pct"/>
                  <w:tcBorders>
                    <w:tl2br w:val="nil"/>
                    <w:tr2bl w:val="nil"/>
                  </w:tcBorders>
                  <w:vAlign w:val="center"/>
                </w:tcPr>
                <w:p>
                  <w:pPr>
                    <w:jc w:val="center"/>
                    <w:rPr>
                      <w:rFonts w:ascii="Times New Roman" w:hAnsi="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01" w:hRule="atLeast"/>
                <w:jc w:val="center"/>
              </w:trPr>
              <w:tc>
                <w:tcPr>
                  <w:tcW w:w="417"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2</w:t>
                  </w:r>
                </w:p>
              </w:tc>
              <w:tc>
                <w:tcPr>
                  <w:tcW w:w="1578" w:type="pct"/>
                  <w:tcBorders>
                    <w:tl2br w:val="nil"/>
                    <w:tr2bl w:val="nil"/>
                  </w:tcBorders>
                  <w:vAlign w:val="center"/>
                </w:tcPr>
                <w:p>
                  <w:pPr>
                    <w:jc w:val="center"/>
                    <w:rPr>
                      <w:rFonts w:ascii="Times New Roman" w:hAnsi="Times New Roman"/>
                      <w:szCs w:val="21"/>
                    </w:rPr>
                  </w:pPr>
                  <w:r>
                    <w:rPr>
                      <w:rFonts w:ascii="Times New Roman" w:hAnsi="Times New Roman"/>
                      <w:spacing w:val="-4"/>
                      <w:szCs w:val="21"/>
                    </w:rPr>
                    <w:t>水泥仓</w:t>
                  </w:r>
                </w:p>
              </w:tc>
              <w:tc>
                <w:tcPr>
                  <w:tcW w:w="1502" w:type="pct"/>
                  <w:tcBorders>
                    <w:tl2br w:val="nil"/>
                    <w:tr2bl w:val="nil"/>
                  </w:tcBorders>
                  <w:vAlign w:val="center"/>
                </w:tcPr>
                <w:p>
                  <w:pPr>
                    <w:jc w:val="center"/>
                    <w:rPr>
                      <w:rFonts w:ascii="Times New Roman" w:hAnsi="Times New Roman"/>
                      <w:szCs w:val="21"/>
                    </w:rPr>
                  </w:pPr>
                  <w:r>
                    <w:rPr>
                      <w:rFonts w:ascii="Times New Roman" w:hAnsi="Times New Roman"/>
                      <w:szCs w:val="21"/>
                    </w:rPr>
                    <w:t>1</w:t>
                  </w:r>
                </w:p>
              </w:tc>
              <w:tc>
                <w:tcPr>
                  <w:tcW w:w="1501" w:type="pct"/>
                  <w:tcBorders>
                    <w:tl2br w:val="nil"/>
                    <w:tr2bl w:val="nil"/>
                  </w:tcBorders>
                  <w:vAlign w:val="center"/>
                </w:tcPr>
                <w:p>
                  <w:pPr>
                    <w:jc w:val="center"/>
                    <w:rPr>
                      <w:rFonts w:ascii="Times New Roman" w:hAnsi="Times New Roman" w:eastAsia="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417" w:type="pct"/>
                  <w:tcBorders>
                    <w:tl2br w:val="nil"/>
                    <w:tr2bl w:val="nil"/>
                  </w:tcBorders>
                  <w:vAlign w:val="center"/>
                </w:tcPr>
                <w:p>
                  <w:pPr>
                    <w:jc w:val="center"/>
                    <w:rPr>
                      <w:rFonts w:ascii="Times New Roman" w:hAnsi="Times New Roman"/>
                      <w:szCs w:val="21"/>
                    </w:rPr>
                  </w:pPr>
                  <w:r>
                    <w:rPr>
                      <w:rFonts w:ascii="Times New Roman" w:hAnsi="Times New Roman"/>
                      <w:szCs w:val="21"/>
                    </w:rPr>
                    <w:t>3</w:t>
                  </w:r>
                </w:p>
              </w:tc>
              <w:tc>
                <w:tcPr>
                  <w:tcW w:w="1578"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搅拌机</w:t>
                  </w:r>
                </w:p>
              </w:tc>
              <w:tc>
                <w:tcPr>
                  <w:tcW w:w="1502" w:type="pct"/>
                  <w:tcBorders>
                    <w:tl2br w:val="nil"/>
                    <w:tr2bl w:val="nil"/>
                  </w:tcBorders>
                  <w:vAlign w:val="center"/>
                </w:tcPr>
                <w:p>
                  <w:pPr>
                    <w:jc w:val="center"/>
                    <w:rPr>
                      <w:rFonts w:ascii="Times New Roman" w:hAnsi="Times New Roman"/>
                      <w:szCs w:val="21"/>
                    </w:rPr>
                  </w:pPr>
                  <w:r>
                    <w:rPr>
                      <w:rFonts w:ascii="Times New Roman" w:hAnsi="Times New Roman"/>
                      <w:szCs w:val="21"/>
                    </w:rPr>
                    <w:t>2</w:t>
                  </w:r>
                </w:p>
              </w:tc>
              <w:tc>
                <w:tcPr>
                  <w:tcW w:w="1501" w:type="pct"/>
                  <w:tcBorders>
                    <w:tl2br w:val="nil"/>
                    <w:tr2bl w:val="nil"/>
                  </w:tcBorders>
                  <w:vAlign w:val="center"/>
                </w:tcPr>
                <w:p>
                  <w:pPr>
                    <w:jc w:val="center"/>
                    <w:rPr>
                      <w:rFonts w:ascii="Times New Roman" w:hAnsi="Times New Roman"/>
                      <w:szCs w:val="21"/>
                    </w:rPr>
                  </w:pPr>
                  <w:r>
                    <w:rPr>
                      <w:rFonts w:ascii="Times New Roman" w:hAnsi="Times New Roman"/>
                      <w:szCs w:val="21"/>
                    </w:rPr>
                    <w:t>800型，串联二次搅拌</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417" w:type="pct"/>
                  <w:tcBorders>
                    <w:tl2br w:val="nil"/>
                    <w:tr2bl w:val="nil"/>
                  </w:tcBorders>
                  <w:vAlign w:val="center"/>
                </w:tcPr>
                <w:p>
                  <w:pPr>
                    <w:jc w:val="center"/>
                    <w:rPr>
                      <w:rFonts w:ascii="Times New Roman" w:hAnsi="Times New Roman"/>
                      <w:szCs w:val="21"/>
                    </w:rPr>
                  </w:pPr>
                  <w:r>
                    <w:rPr>
                      <w:rFonts w:ascii="Times New Roman" w:hAnsi="Times New Roman"/>
                      <w:szCs w:val="21"/>
                    </w:rPr>
                    <w:t>4</w:t>
                  </w:r>
                </w:p>
              </w:tc>
              <w:tc>
                <w:tcPr>
                  <w:tcW w:w="1578" w:type="pct"/>
                  <w:tcBorders>
                    <w:tl2br w:val="nil"/>
                    <w:tr2bl w:val="nil"/>
                  </w:tcBorders>
                  <w:vAlign w:val="center"/>
                </w:tcPr>
                <w:p>
                  <w:pPr>
                    <w:jc w:val="center"/>
                    <w:rPr>
                      <w:rFonts w:ascii="Times New Roman" w:hAnsi="Times New Roman"/>
                      <w:szCs w:val="21"/>
                    </w:rPr>
                  </w:pPr>
                  <w:r>
                    <w:rPr>
                      <w:rFonts w:ascii="Times New Roman" w:hAnsi="Times New Roman"/>
                      <w:spacing w:val="-9"/>
                      <w:szCs w:val="21"/>
                    </w:rPr>
                    <w:t>料斗</w:t>
                  </w:r>
                </w:p>
              </w:tc>
              <w:tc>
                <w:tcPr>
                  <w:tcW w:w="1502" w:type="pct"/>
                  <w:tcBorders>
                    <w:tl2br w:val="nil"/>
                    <w:tr2bl w:val="nil"/>
                  </w:tcBorders>
                  <w:vAlign w:val="center"/>
                </w:tcPr>
                <w:p>
                  <w:pPr>
                    <w:jc w:val="center"/>
                    <w:rPr>
                      <w:rFonts w:ascii="Times New Roman" w:hAnsi="Times New Roman"/>
                      <w:szCs w:val="21"/>
                    </w:rPr>
                  </w:pPr>
                  <w:r>
                    <w:rPr>
                      <w:rFonts w:ascii="Times New Roman" w:hAnsi="Times New Roman"/>
                      <w:szCs w:val="21"/>
                    </w:rPr>
                    <w:t>4</w:t>
                  </w:r>
                </w:p>
              </w:tc>
              <w:tc>
                <w:tcPr>
                  <w:tcW w:w="1501" w:type="pct"/>
                  <w:tcBorders>
                    <w:tl2br w:val="nil"/>
                    <w:tr2bl w:val="nil"/>
                  </w:tcBorders>
                  <w:vAlign w:val="center"/>
                </w:tcPr>
                <w:p>
                  <w:pPr>
                    <w:jc w:val="center"/>
                    <w:rPr>
                      <w:rFonts w:ascii="Times New Roman" w:hAnsi="Times New Roman" w:eastAsia="Times New Roman"/>
                      <w:szCs w:val="21"/>
                    </w:rPr>
                  </w:pPr>
                </w:p>
              </w:tc>
            </w:tr>
          </w:tbl>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3、主要原辅材料及理化性质</w:t>
            </w:r>
          </w:p>
          <w:p>
            <w:pPr>
              <w:autoSpaceDE w:val="0"/>
              <w:autoSpaceDN w:val="0"/>
              <w:spacing w:line="360" w:lineRule="auto"/>
              <w:ind w:left="420" w:leftChars="200"/>
              <w:rPr>
                <w:rFonts w:ascii="Times New Roman" w:hAnsi="Times New Roman"/>
                <w:sz w:val="24"/>
              </w:rPr>
            </w:pPr>
            <w:r>
              <w:rPr>
                <w:rFonts w:ascii="Times New Roman" w:hAnsi="Times New Roman"/>
                <w:sz w:val="24"/>
              </w:rPr>
              <w:t>项目原辅材料消耗情况见表2-3。</w:t>
            </w:r>
          </w:p>
          <w:p>
            <w:pPr>
              <w:autoSpaceDE w:val="0"/>
              <w:autoSpaceDN w:val="0"/>
              <w:jc w:val="center"/>
              <w:rPr>
                <w:rFonts w:ascii="Times New Roman" w:hAnsi="Times New Roman"/>
                <w:b/>
                <w:bCs/>
                <w:szCs w:val="21"/>
              </w:rPr>
            </w:pPr>
            <w:r>
              <w:rPr>
                <w:rFonts w:ascii="Times New Roman" w:hAnsi="Times New Roman"/>
                <w:b/>
                <w:bCs/>
                <w:szCs w:val="21"/>
              </w:rPr>
              <w:t>表2-3项目原辅材料消耗情况一览表</w:t>
            </w:r>
          </w:p>
          <w:tbl>
            <w:tblPr>
              <w:tblStyle w:val="37"/>
              <w:tblW w:w="4991" w:type="pct"/>
              <w:tblInd w:w="0" w:type="dxa"/>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626"/>
              <w:gridCol w:w="676"/>
              <w:gridCol w:w="941"/>
              <w:gridCol w:w="1459"/>
              <w:gridCol w:w="4229"/>
            </w:tblGrid>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395" w:type="pct"/>
                  <w:tcBorders>
                    <w:tl2br w:val="nil"/>
                    <w:tr2bl w:val="nil"/>
                  </w:tcBorders>
                  <w:vAlign w:val="center"/>
                </w:tcPr>
                <w:p>
                  <w:pPr>
                    <w:autoSpaceDE w:val="0"/>
                    <w:autoSpaceDN w:val="0"/>
                    <w:jc w:val="center"/>
                    <w:rPr>
                      <w:rFonts w:ascii="Times New Roman" w:hAnsi="Times New Roman"/>
                      <w:b/>
                      <w:bCs/>
                      <w:szCs w:val="21"/>
                    </w:rPr>
                  </w:pPr>
                  <w:r>
                    <w:rPr>
                      <w:rFonts w:ascii="Times New Roman" w:hAnsi="Times New Roman"/>
                      <w:b/>
                      <w:bCs/>
                      <w:szCs w:val="21"/>
                    </w:rPr>
                    <w:t>序号</w:t>
                  </w:r>
                </w:p>
              </w:tc>
              <w:tc>
                <w:tcPr>
                  <w:tcW w:w="1019" w:type="pct"/>
                  <w:gridSpan w:val="2"/>
                  <w:tcBorders>
                    <w:tl2br w:val="nil"/>
                    <w:tr2bl w:val="nil"/>
                  </w:tcBorders>
                  <w:vAlign w:val="center"/>
                </w:tcPr>
                <w:p>
                  <w:pPr>
                    <w:autoSpaceDE w:val="0"/>
                    <w:autoSpaceDN w:val="0"/>
                    <w:jc w:val="center"/>
                    <w:rPr>
                      <w:rFonts w:ascii="Times New Roman" w:hAnsi="Times New Roman"/>
                      <w:b/>
                      <w:bCs/>
                      <w:szCs w:val="21"/>
                    </w:rPr>
                  </w:pPr>
                  <w:r>
                    <w:rPr>
                      <w:rFonts w:ascii="Times New Roman" w:hAnsi="Times New Roman"/>
                      <w:b/>
                      <w:bCs/>
                      <w:szCs w:val="21"/>
                    </w:rPr>
                    <w:t>名称</w:t>
                  </w:r>
                </w:p>
              </w:tc>
              <w:tc>
                <w:tcPr>
                  <w:tcW w:w="919" w:type="pct"/>
                  <w:tcBorders>
                    <w:tl2br w:val="nil"/>
                    <w:tr2bl w:val="nil"/>
                  </w:tcBorders>
                  <w:vAlign w:val="center"/>
                </w:tcPr>
                <w:p>
                  <w:pPr>
                    <w:autoSpaceDE w:val="0"/>
                    <w:autoSpaceDN w:val="0"/>
                    <w:jc w:val="center"/>
                    <w:rPr>
                      <w:rFonts w:ascii="Times New Roman" w:hAnsi="Times New Roman"/>
                      <w:b/>
                      <w:bCs/>
                      <w:szCs w:val="21"/>
                    </w:rPr>
                  </w:pPr>
                  <w:r>
                    <w:rPr>
                      <w:rFonts w:ascii="Times New Roman" w:hAnsi="Times New Roman"/>
                      <w:b/>
                      <w:bCs/>
                      <w:szCs w:val="21"/>
                    </w:rPr>
                    <w:t>年消耗量</w:t>
                  </w:r>
                </w:p>
              </w:tc>
              <w:tc>
                <w:tcPr>
                  <w:tcW w:w="2664" w:type="pct"/>
                  <w:tcBorders>
                    <w:tl2br w:val="nil"/>
                    <w:tr2bl w:val="nil"/>
                  </w:tcBorders>
                  <w:vAlign w:val="center"/>
                </w:tcPr>
                <w:p>
                  <w:pPr>
                    <w:autoSpaceDE w:val="0"/>
                    <w:autoSpaceDN w:val="0"/>
                    <w:jc w:val="center"/>
                    <w:rPr>
                      <w:rFonts w:ascii="Times New Roman" w:hAnsi="Times New Roman"/>
                      <w:b/>
                      <w:bCs/>
                      <w:szCs w:val="21"/>
                    </w:rPr>
                  </w:pPr>
                  <w:r>
                    <w:rPr>
                      <w:rFonts w:ascii="Times New Roman" w:hAnsi="Times New Roman"/>
                      <w:b/>
                      <w:bCs/>
                      <w:szCs w:val="21"/>
                    </w:rPr>
                    <w:t>备注</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395" w:type="pct"/>
                  <w:vMerge w:val="restar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1</w:t>
                  </w:r>
                </w:p>
              </w:tc>
              <w:tc>
                <w:tcPr>
                  <w:tcW w:w="426" w:type="pct"/>
                  <w:vMerge w:val="restar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原料</w:t>
                  </w:r>
                </w:p>
              </w:tc>
              <w:tc>
                <w:tcPr>
                  <w:tcW w:w="593"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水泥</w:t>
                  </w:r>
                </w:p>
              </w:tc>
              <w:tc>
                <w:tcPr>
                  <w:tcW w:w="919"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0.4万t</w:t>
                  </w:r>
                </w:p>
              </w:tc>
              <w:tc>
                <w:tcPr>
                  <w:tcW w:w="2664"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筒仓储存</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395" w:type="pct"/>
                  <w:vMerge w:val="continue"/>
                  <w:tcBorders>
                    <w:tl2br w:val="nil"/>
                    <w:tr2bl w:val="nil"/>
                  </w:tcBorders>
                  <w:vAlign w:val="center"/>
                </w:tcPr>
                <w:p>
                  <w:pPr>
                    <w:autoSpaceDE w:val="0"/>
                    <w:autoSpaceDN w:val="0"/>
                    <w:jc w:val="center"/>
                    <w:rPr>
                      <w:rFonts w:ascii="Times New Roman" w:hAnsi="Times New Roman"/>
                      <w:szCs w:val="21"/>
                    </w:rPr>
                  </w:pPr>
                </w:p>
              </w:tc>
              <w:tc>
                <w:tcPr>
                  <w:tcW w:w="426" w:type="pct"/>
                  <w:vMerge w:val="continue"/>
                  <w:tcBorders>
                    <w:tl2br w:val="nil"/>
                    <w:tr2bl w:val="nil"/>
                  </w:tcBorders>
                  <w:vAlign w:val="center"/>
                </w:tcPr>
                <w:p>
                  <w:pPr>
                    <w:autoSpaceDE w:val="0"/>
                    <w:autoSpaceDN w:val="0"/>
                    <w:jc w:val="center"/>
                    <w:rPr>
                      <w:rFonts w:ascii="Times New Roman" w:hAnsi="Times New Roman"/>
                      <w:szCs w:val="21"/>
                    </w:rPr>
                  </w:pPr>
                </w:p>
              </w:tc>
              <w:tc>
                <w:tcPr>
                  <w:tcW w:w="593"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戈壁料</w:t>
                  </w:r>
                </w:p>
              </w:tc>
              <w:tc>
                <w:tcPr>
                  <w:tcW w:w="919"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7.3万t</w:t>
                  </w:r>
                </w:p>
              </w:tc>
              <w:tc>
                <w:tcPr>
                  <w:tcW w:w="2664"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pacing w:val="-2"/>
                      <w:szCs w:val="21"/>
                    </w:rPr>
                    <w:t>直接从</w:t>
                  </w:r>
                  <w:r>
                    <w:rPr>
                      <w:rFonts w:ascii="Times New Roman" w:hAnsi="Times New Roman"/>
                    </w:rPr>
                    <w:t>托克逊县天马建材有限责任公司拉运，进入料斗，不设置堆场</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395" w:type="pct"/>
                  <w:vMerge w:val="restar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2</w:t>
                  </w:r>
                </w:p>
              </w:tc>
              <w:tc>
                <w:tcPr>
                  <w:tcW w:w="426" w:type="pct"/>
                  <w:vMerge w:val="restar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能源</w:t>
                  </w:r>
                </w:p>
              </w:tc>
              <w:tc>
                <w:tcPr>
                  <w:tcW w:w="593"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水</w:t>
                  </w:r>
                </w:p>
              </w:tc>
              <w:tc>
                <w:tcPr>
                  <w:tcW w:w="919"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0.3万m</w:t>
                  </w:r>
                  <w:r>
                    <w:rPr>
                      <w:rFonts w:ascii="Times New Roman" w:hAnsi="Times New Roman"/>
                      <w:szCs w:val="21"/>
                      <w:vertAlign w:val="superscript"/>
                    </w:rPr>
                    <w:t>3</w:t>
                  </w:r>
                  <w:r>
                    <w:rPr>
                      <w:rFonts w:ascii="Times New Roman" w:hAnsi="Times New Roman"/>
                      <w:szCs w:val="21"/>
                    </w:rPr>
                    <w:t>/a</w:t>
                  </w:r>
                </w:p>
              </w:tc>
              <w:tc>
                <w:tcPr>
                  <w:tcW w:w="2664"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w:t>
                  </w:r>
                  <w:r>
                    <w:rPr>
                      <w:rFonts w:ascii="Times New Roman" w:hAnsi="Times New Roman"/>
                      <w:spacing w:val="-1"/>
                      <w:szCs w:val="21"/>
                    </w:rPr>
                    <w:t>由</w:t>
                  </w:r>
                  <w:r>
                    <w:rPr>
                      <w:rFonts w:ascii="Times New Roman" w:hAnsi="Times New Roman"/>
                      <w:spacing w:val="-2"/>
                      <w:szCs w:val="21"/>
                    </w:rPr>
                    <w:t>市政</w:t>
                  </w:r>
                  <w:r>
                    <w:rPr>
                      <w:rFonts w:ascii="Times New Roman" w:hAnsi="Times New Roman"/>
                      <w:spacing w:val="-1"/>
                      <w:szCs w:val="21"/>
                    </w:rPr>
                    <w:t>供水管网提供</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395" w:type="pct"/>
                  <w:vMerge w:val="continue"/>
                  <w:tcBorders>
                    <w:tl2br w:val="nil"/>
                    <w:tr2bl w:val="nil"/>
                  </w:tcBorders>
                  <w:vAlign w:val="center"/>
                </w:tcPr>
                <w:p>
                  <w:pPr>
                    <w:autoSpaceDE w:val="0"/>
                    <w:autoSpaceDN w:val="0"/>
                    <w:jc w:val="center"/>
                    <w:rPr>
                      <w:rFonts w:ascii="Times New Roman" w:hAnsi="Times New Roman"/>
                      <w:szCs w:val="21"/>
                    </w:rPr>
                  </w:pPr>
                </w:p>
              </w:tc>
              <w:tc>
                <w:tcPr>
                  <w:tcW w:w="426" w:type="pct"/>
                  <w:vMerge w:val="continue"/>
                  <w:tcBorders>
                    <w:tl2br w:val="nil"/>
                    <w:tr2bl w:val="nil"/>
                  </w:tcBorders>
                  <w:textDirection w:val="tbRlV"/>
                  <w:vAlign w:val="center"/>
                </w:tcPr>
                <w:p>
                  <w:pPr>
                    <w:autoSpaceDE w:val="0"/>
                    <w:autoSpaceDN w:val="0"/>
                    <w:jc w:val="center"/>
                    <w:rPr>
                      <w:rFonts w:ascii="Times New Roman" w:hAnsi="Times New Roman"/>
                      <w:szCs w:val="21"/>
                    </w:rPr>
                  </w:pPr>
                </w:p>
              </w:tc>
              <w:tc>
                <w:tcPr>
                  <w:tcW w:w="593"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电</w:t>
                  </w:r>
                </w:p>
              </w:tc>
              <w:tc>
                <w:tcPr>
                  <w:tcW w:w="919"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zCs w:val="21"/>
                    </w:rPr>
                    <w:t>0.5万kW·h</w:t>
                  </w:r>
                </w:p>
              </w:tc>
              <w:tc>
                <w:tcPr>
                  <w:tcW w:w="2664" w:type="pct"/>
                  <w:tcBorders>
                    <w:tl2br w:val="nil"/>
                    <w:tr2bl w:val="nil"/>
                  </w:tcBorders>
                  <w:vAlign w:val="center"/>
                </w:tcPr>
                <w:p>
                  <w:pPr>
                    <w:autoSpaceDE w:val="0"/>
                    <w:autoSpaceDN w:val="0"/>
                    <w:jc w:val="center"/>
                    <w:rPr>
                      <w:rFonts w:ascii="Times New Roman" w:hAnsi="Times New Roman"/>
                      <w:szCs w:val="21"/>
                    </w:rPr>
                  </w:pPr>
                  <w:r>
                    <w:rPr>
                      <w:rFonts w:ascii="Times New Roman" w:hAnsi="Times New Roman"/>
                      <w:spacing w:val="-2"/>
                      <w:szCs w:val="21"/>
                    </w:rPr>
                    <w:t>由新疆托克逊县电网统一供给</w:t>
                  </w:r>
                </w:p>
              </w:tc>
            </w:tr>
          </w:tbl>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4、产品方案</w:t>
            </w:r>
          </w:p>
          <w:p>
            <w:pPr>
              <w:adjustRightInd w:val="0"/>
              <w:snapToGrid w:val="0"/>
              <w:ind w:firstLine="480" w:firstLineChars="200"/>
              <w:rPr>
                <w:rFonts w:ascii="Times New Roman" w:hAnsi="Times New Roman"/>
                <w:sz w:val="24"/>
              </w:rPr>
            </w:pPr>
            <w:r>
              <w:rPr>
                <w:rFonts w:ascii="Times New Roman" w:hAnsi="Times New Roman"/>
                <w:sz w:val="24"/>
              </w:rPr>
              <w:t>本项目主要产品及产量见表2-4。</w:t>
            </w:r>
          </w:p>
          <w:p>
            <w:pPr>
              <w:jc w:val="center"/>
              <w:rPr>
                <w:rFonts w:ascii="Times New Roman" w:hAnsi="Times New Roman"/>
                <w:b/>
                <w:szCs w:val="21"/>
              </w:rPr>
            </w:pPr>
            <w:r>
              <w:rPr>
                <w:rFonts w:ascii="Times New Roman" w:hAnsi="Times New Roman"/>
                <w:b/>
                <w:szCs w:val="21"/>
              </w:rPr>
              <w:t>表2-4主要产品及产量一览表</w:t>
            </w:r>
          </w:p>
          <w:tbl>
            <w:tblPr>
              <w:tblStyle w:val="37"/>
              <w:tblW w:w="4999" w:type="pct"/>
              <w:tblInd w:w="0" w:type="dxa"/>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1565"/>
              <w:gridCol w:w="3188"/>
              <w:gridCol w:w="3190"/>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10" w:hRule="atLeast"/>
              </w:trPr>
              <w:tc>
                <w:tcPr>
                  <w:tcW w:w="985" w:type="pct"/>
                  <w:tcBorders>
                    <w:tl2br w:val="nil"/>
                    <w:tr2bl w:val="nil"/>
                  </w:tcBorders>
                  <w:vAlign w:val="center"/>
                </w:tcPr>
                <w:p>
                  <w:pPr>
                    <w:rPr>
                      <w:rFonts w:ascii="Times New Roman" w:hAnsi="Times New Roman"/>
                      <w:b/>
                      <w:bCs/>
                      <w:szCs w:val="21"/>
                    </w:rPr>
                  </w:pPr>
                  <w:r>
                    <w:rPr>
                      <w:rFonts w:ascii="Times New Roman" w:hAnsi="Times New Roman"/>
                      <w:b/>
                      <w:bCs/>
                      <w:spacing w:val="-3"/>
                      <w:szCs w:val="21"/>
                    </w:rPr>
                    <w:t>产品名称</w:t>
                  </w:r>
                </w:p>
              </w:tc>
              <w:tc>
                <w:tcPr>
                  <w:tcW w:w="2006" w:type="pct"/>
                  <w:tcBorders>
                    <w:tl2br w:val="nil"/>
                    <w:tr2bl w:val="nil"/>
                  </w:tcBorders>
                  <w:vAlign w:val="center"/>
                </w:tcPr>
                <w:p>
                  <w:pPr>
                    <w:jc w:val="center"/>
                    <w:rPr>
                      <w:rFonts w:ascii="Times New Roman" w:hAnsi="Times New Roman"/>
                      <w:b/>
                      <w:bCs/>
                      <w:szCs w:val="21"/>
                    </w:rPr>
                  </w:pPr>
                  <w:r>
                    <w:rPr>
                      <w:rFonts w:ascii="Times New Roman" w:hAnsi="Times New Roman"/>
                      <w:b/>
                      <w:bCs/>
                      <w:spacing w:val="-2"/>
                      <w:szCs w:val="21"/>
                    </w:rPr>
                    <w:t>年产量（万t）</w:t>
                  </w:r>
                </w:p>
              </w:tc>
              <w:tc>
                <w:tcPr>
                  <w:tcW w:w="2007" w:type="pct"/>
                  <w:tcBorders>
                    <w:tl2br w:val="nil"/>
                    <w:tr2bl w:val="nil"/>
                  </w:tcBorders>
                  <w:vAlign w:val="center"/>
                </w:tcPr>
                <w:p>
                  <w:pPr>
                    <w:jc w:val="center"/>
                    <w:rPr>
                      <w:rFonts w:ascii="Times New Roman" w:hAnsi="Times New Roman"/>
                      <w:b/>
                      <w:bCs/>
                      <w:szCs w:val="21"/>
                    </w:rPr>
                  </w:pPr>
                  <w:r>
                    <w:rPr>
                      <w:rFonts w:ascii="Times New Roman" w:hAnsi="Times New Roman"/>
                      <w:b/>
                      <w:bCs/>
                      <w:spacing w:val="-6"/>
                      <w:szCs w:val="21"/>
                    </w:rPr>
                    <w:t>备注</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985"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水泥稳定碎石</w:t>
                  </w:r>
                </w:p>
              </w:tc>
              <w:tc>
                <w:tcPr>
                  <w:tcW w:w="2006" w:type="pct"/>
                  <w:tcBorders>
                    <w:tl2br w:val="nil"/>
                    <w:tr2bl w:val="nil"/>
                  </w:tcBorders>
                  <w:vAlign w:val="center"/>
                </w:tcPr>
                <w:p>
                  <w:pPr>
                    <w:jc w:val="center"/>
                    <w:rPr>
                      <w:rFonts w:ascii="Times New Roman" w:hAnsi="Times New Roman"/>
                      <w:szCs w:val="21"/>
                    </w:rPr>
                  </w:pPr>
                  <w:r>
                    <w:rPr>
                      <w:rFonts w:ascii="Times New Roman" w:hAnsi="Times New Roman"/>
                      <w:spacing w:val="-10"/>
                      <w:w w:val="97"/>
                      <w:szCs w:val="21"/>
                    </w:rPr>
                    <w:t>8</w:t>
                  </w:r>
                </w:p>
              </w:tc>
              <w:tc>
                <w:tcPr>
                  <w:tcW w:w="2007" w:type="pct"/>
                  <w:tcBorders>
                    <w:tl2br w:val="nil"/>
                    <w:tr2bl w:val="nil"/>
                  </w:tcBorders>
                  <w:vAlign w:val="center"/>
                </w:tcPr>
                <w:p>
                  <w:pPr>
                    <w:jc w:val="center"/>
                    <w:rPr>
                      <w:rFonts w:ascii="Times New Roman" w:hAnsi="Times New Roman"/>
                      <w:szCs w:val="21"/>
                    </w:rPr>
                  </w:pPr>
                  <w:r>
                    <w:rPr>
                      <w:rFonts w:ascii="Times New Roman" w:hAnsi="Times New Roman"/>
                      <w:spacing w:val="-10"/>
                      <w:szCs w:val="21"/>
                    </w:rPr>
                    <w:t>产品</w:t>
                  </w:r>
                </w:p>
              </w:tc>
            </w:tr>
          </w:tbl>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5、给排水系统</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项目运营期用水主要包括搅拌用水、设备、车辆清洗用水。</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搅拌用水：项目搅拌过程需要加入一定量的水，根据项目原辅材料配比计算可知，项目搅拌用水量约14.3m</w:t>
            </w:r>
            <w:r>
              <w:rPr>
                <w:rFonts w:ascii="Times New Roman" w:hAnsi="Times New Roman"/>
                <w:sz w:val="24"/>
                <w:vertAlign w:val="superscript"/>
              </w:rPr>
              <w:t>3</w:t>
            </w:r>
            <w:r>
              <w:rPr>
                <w:rFonts w:ascii="Times New Roman" w:hAnsi="Times New Roman"/>
                <w:sz w:val="24"/>
              </w:rPr>
              <w:t>/d，3000m</w:t>
            </w:r>
            <w:r>
              <w:rPr>
                <w:rFonts w:ascii="Times New Roman" w:hAnsi="Times New Roman"/>
                <w:sz w:val="24"/>
                <w:vertAlign w:val="superscript"/>
              </w:rPr>
              <w:t>3</w:t>
            </w:r>
            <w:r>
              <w:rPr>
                <w:rFonts w:ascii="Times New Roman" w:hAnsi="Times New Roman"/>
                <w:sz w:val="24"/>
              </w:rPr>
              <w:t>/a。</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车辆清洗用水：项目原料及成品运输量约8万t，年生产210天，每辆汽车载重按照30t计算，则每天过往车辆约13辆。每辆汽车车轮每次冲洗用水量按照50L计，进出各冲洗一次，则项目每天车轮冲洗用水量约0.65m</w:t>
            </w:r>
            <w:r>
              <w:rPr>
                <w:rFonts w:ascii="Times New Roman" w:hAnsi="Times New Roman"/>
                <w:sz w:val="24"/>
                <w:vertAlign w:val="superscript"/>
              </w:rPr>
              <w:t>3</w:t>
            </w:r>
            <w:r>
              <w:rPr>
                <w:rFonts w:ascii="Times New Roman" w:hAnsi="Times New Roman"/>
                <w:sz w:val="24"/>
              </w:rPr>
              <w:t>、136.5m</w:t>
            </w:r>
            <w:r>
              <w:rPr>
                <w:rFonts w:ascii="Times New Roman" w:hAnsi="Times New Roman"/>
                <w:sz w:val="24"/>
                <w:vertAlign w:val="superscript"/>
              </w:rPr>
              <w:t>3</w:t>
            </w:r>
            <w:r>
              <w:rPr>
                <w:rFonts w:ascii="Times New Roman" w:hAnsi="Times New Roman"/>
                <w:sz w:val="24"/>
              </w:rPr>
              <w:t>/a。冲洗废水产生量按照用水量的80%计，则车辆冲洗废水产生量约0.52m</w:t>
            </w:r>
            <w:r>
              <w:rPr>
                <w:rFonts w:ascii="Times New Roman" w:hAnsi="Times New Roman"/>
                <w:sz w:val="24"/>
                <w:vertAlign w:val="superscript"/>
              </w:rPr>
              <w:t>3</w:t>
            </w:r>
            <w:r>
              <w:rPr>
                <w:rFonts w:ascii="Times New Roman" w:hAnsi="Times New Roman"/>
                <w:sz w:val="24"/>
              </w:rPr>
              <w:t>/d、109.2m</w:t>
            </w:r>
            <w:r>
              <w:rPr>
                <w:rFonts w:ascii="Times New Roman" w:hAnsi="Times New Roman"/>
                <w:sz w:val="24"/>
                <w:vertAlign w:val="superscript"/>
              </w:rPr>
              <w:t>3</w:t>
            </w:r>
            <w:r>
              <w:rPr>
                <w:rFonts w:ascii="Times New Roman" w:hAnsi="Times New Roman"/>
                <w:sz w:val="24"/>
              </w:rPr>
              <w:t>/a。</w:t>
            </w:r>
          </w:p>
          <w:p>
            <w:pPr>
              <w:adjustRightInd w:val="0"/>
              <w:snapToGrid w:val="0"/>
              <w:spacing w:line="360" w:lineRule="auto"/>
              <w:ind w:firstLine="472" w:firstLineChars="200"/>
              <w:rPr>
                <w:rFonts w:ascii="Times New Roman" w:hAnsi="Times New Roman"/>
                <w:sz w:val="24"/>
              </w:rPr>
            </w:pPr>
            <w:r>
              <w:rPr>
                <w:rFonts w:ascii="Times New Roman" w:hAnsi="Times New Roman"/>
                <w:spacing w:val="-2"/>
                <w:sz w:val="24"/>
              </w:rPr>
              <w:t>搅拌机冲洗用水：按搅拌机平均每天冲洗1次，每次冲洗水1t/台，则项目搅拌机冲洗用水总量为210t/a（1m</w:t>
            </w:r>
            <w:r>
              <w:rPr>
                <w:rFonts w:ascii="Times New Roman" w:hAnsi="Times New Roman"/>
                <w:spacing w:val="-2"/>
                <w:sz w:val="24"/>
                <w:vertAlign w:val="superscript"/>
              </w:rPr>
              <w:t>3</w:t>
            </w:r>
            <w:r>
              <w:rPr>
                <w:rFonts w:ascii="Times New Roman" w:hAnsi="Times New Roman"/>
                <w:spacing w:val="-2"/>
                <w:sz w:val="24"/>
              </w:rPr>
              <w:t>/d）。</w:t>
            </w:r>
            <w:r>
              <w:rPr>
                <w:rFonts w:ascii="Times New Roman" w:hAnsi="Times New Roman"/>
                <w:sz w:val="24"/>
              </w:rPr>
              <w:t>冲洗废水产生量按照用水量的80%计，则车辆冲洗废水产生量约0.8m</w:t>
            </w:r>
            <w:r>
              <w:rPr>
                <w:rFonts w:ascii="Times New Roman" w:hAnsi="Times New Roman"/>
                <w:sz w:val="24"/>
                <w:vertAlign w:val="superscript"/>
              </w:rPr>
              <w:t>3</w:t>
            </w:r>
            <w:r>
              <w:rPr>
                <w:rFonts w:ascii="Times New Roman" w:hAnsi="Times New Roman"/>
                <w:sz w:val="24"/>
              </w:rPr>
              <w:t>/d、168m</w:t>
            </w:r>
            <w:r>
              <w:rPr>
                <w:rFonts w:ascii="Times New Roman" w:hAnsi="Times New Roman"/>
                <w:sz w:val="24"/>
                <w:vertAlign w:val="superscript"/>
              </w:rPr>
              <w:t>3</w:t>
            </w:r>
            <w:r>
              <w:rPr>
                <w:rFonts w:ascii="Times New Roman" w:hAnsi="Times New Roman"/>
                <w:sz w:val="24"/>
              </w:rPr>
              <w:t>/a。</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车辆清洗、搅拌机冲洗产生的废水经沉淀后作为搅拌用水回用，沉淀池容积10m</w:t>
            </w:r>
            <w:r>
              <w:rPr>
                <w:rFonts w:ascii="Times New Roman" w:hAnsi="Times New Roman"/>
                <w:sz w:val="24"/>
                <w:vertAlign w:val="superscript"/>
              </w:rPr>
              <w:t>3</w:t>
            </w:r>
            <w:r>
              <w:rPr>
                <w:rFonts w:ascii="Times New Roman" w:hAnsi="Times New Roman"/>
                <w:sz w:val="24"/>
              </w:rPr>
              <w:t>，用水量计入搅拌用水3000m</w:t>
            </w:r>
            <w:r>
              <w:rPr>
                <w:rFonts w:ascii="Times New Roman" w:hAnsi="Times New Roman"/>
                <w:sz w:val="24"/>
                <w:vertAlign w:val="superscript"/>
              </w:rPr>
              <w:t>3</w:t>
            </w:r>
            <w:r>
              <w:rPr>
                <w:rFonts w:ascii="Times New Roman" w:hAnsi="Times New Roman"/>
                <w:sz w:val="24"/>
              </w:rPr>
              <w:t>/a之内。</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本项目职工定员4人，年工作时间为210d，参照《新疆维吾尔自治区生活用水定额》，生活用水量按每人每天80L计算，则本项目用水量约为0.32m</w:t>
            </w:r>
            <w:r>
              <w:rPr>
                <w:rFonts w:ascii="Times New Roman" w:hAnsi="Times New Roman"/>
                <w:sz w:val="24"/>
                <w:vertAlign w:val="superscript"/>
              </w:rPr>
              <w:t>3</w:t>
            </w:r>
            <w:r>
              <w:rPr>
                <w:rFonts w:ascii="Times New Roman" w:hAnsi="Times New Roman"/>
                <w:sz w:val="24"/>
              </w:rPr>
              <w:t>/d（67.2m</w:t>
            </w:r>
            <w:r>
              <w:rPr>
                <w:rFonts w:ascii="Times New Roman" w:hAnsi="Times New Roman"/>
                <w:sz w:val="24"/>
                <w:vertAlign w:val="superscript"/>
              </w:rPr>
              <w:t>3</w:t>
            </w:r>
            <w:r>
              <w:rPr>
                <w:rFonts w:ascii="Times New Roman" w:hAnsi="Times New Roman"/>
                <w:sz w:val="24"/>
              </w:rPr>
              <w:t>/a）。生活污水产生量按用水量的80%计，则项目生活污水产生量约为0.256m</w:t>
            </w:r>
            <w:r>
              <w:rPr>
                <w:rFonts w:ascii="Times New Roman" w:hAnsi="Times New Roman"/>
                <w:sz w:val="24"/>
                <w:vertAlign w:val="superscript"/>
              </w:rPr>
              <w:t>3</w:t>
            </w:r>
            <w:r>
              <w:rPr>
                <w:rFonts w:ascii="Times New Roman" w:hAnsi="Times New Roman"/>
                <w:sz w:val="24"/>
              </w:rPr>
              <w:t>/d（53.76m</w:t>
            </w:r>
            <w:r>
              <w:rPr>
                <w:rFonts w:ascii="Times New Roman" w:hAnsi="Times New Roman"/>
                <w:sz w:val="24"/>
                <w:vertAlign w:val="superscript"/>
              </w:rPr>
              <w:t>3</w:t>
            </w:r>
            <w:r>
              <w:rPr>
                <w:rFonts w:ascii="Times New Roman" w:hAnsi="Times New Roman"/>
                <w:sz w:val="24"/>
              </w:rPr>
              <w:t>/a）。生活污水依托托克逊县天马建材有限责任公司生活处理设施。</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项目水平衡情况见表2-5，图2-</w:t>
            </w:r>
            <w:r>
              <w:rPr>
                <w:rFonts w:hint="eastAsia" w:ascii="Times New Roman" w:hAnsi="Times New Roman"/>
                <w:sz w:val="24"/>
              </w:rPr>
              <w:t>2</w:t>
            </w:r>
            <w:r>
              <w:rPr>
                <w:rFonts w:ascii="Times New Roman" w:hAnsi="Times New Roman"/>
                <w:sz w:val="24"/>
              </w:rPr>
              <w:t>。</w:t>
            </w:r>
          </w:p>
          <w:p>
            <w:pPr>
              <w:jc w:val="center"/>
              <w:rPr>
                <w:rFonts w:ascii="Times New Roman" w:hAnsi="Times New Roman"/>
                <w:sz w:val="22"/>
                <w:szCs w:val="22"/>
              </w:rPr>
            </w:pPr>
            <w:r>
              <w:rPr>
                <w:rFonts w:ascii="Times New Roman" w:hAnsi="Times New Roman"/>
                <w:b/>
                <w:sz w:val="20"/>
                <w:szCs w:val="20"/>
              </w:rPr>
              <w:t>表2-5  项目水平衡一览表    单位：m³/a</w:t>
            </w:r>
          </w:p>
          <w:tbl>
            <w:tblPr>
              <w:tblStyle w:val="24"/>
              <w:tblW w:w="7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519"/>
              <w:gridCol w:w="1623"/>
              <w:gridCol w:w="640"/>
              <w:gridCol w:w="1923"/>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823" w:type="dxa"/>
                  <w:gridSpan w:val="3"/>
                  <w:tcBorders>
                    <w:tl2br w:val="nil"/>
                    <w:tr2bl w:val="nil"/>
                  </w:tcBorders>
                  <w:vAlign w:val="center"/>
                </w:tcPr>
                <w:p>
                  <w:pPr>
                    <w:pStyle w:val="51"/>
                    <w:rPr>
                      <w:rFonts w:ascii="Times New Roman" w:hAnsi="Times New Roman"/>
                      <w:b/>
                      <w:sz w:val="21"/>
                      <w:szCs w:val="21"/>
                    </w:rPr>
                  </w:pPr>
                  <w:r>
                    <w:rPr>
                      <w:rFonts w:ascii="Times New Roman" w:hAnsi="Times New Roman"/>
                      <w:b/>
                      <w:sz w:val="21"/>
                      <w:szCs w:val="21"/>
                    </w:rPr>
                    <w:t>投入</w:t>
                  </w:r>
                </w:p>
              </w:tc>
              <w:tc>
                <w:tcPr>
                  <w:tcW w:w="4113" w:type="dxa"/>
                  <w:gridSpan w:val="3"/>
                  <w:tcBorders>
                    <w:tl2br w:val="nil"/>
                    <w:tr2bl w:val="nil"/>
                  </w:tcBorders>
                  <w:vAlign w:val="center"/>
                </w:tcPr>
                <w:p>
                  <w:pPr>
                    <w:pStyle w:val="51"/>
                    <w:rPr>
                      <w:rFonts w:ascii="Times New Roman" w:hAnsi="Times New Roman"/>
                      <w:b/>
                      <w:sz w:val="21"/>
                      <w:szCs w:val="21"/>
                    </w:rPr>
                  </w:pPr>
                  <w:r>
                    <w:rPr>
                      <w:rFonts w:ascii="Times New Roman" w:hAnsi="Times New Roman"/>
                      <w:b/>
                      <w:sz w:val="21"/>
                      <w:szCs w:val="21"/>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1" w:type="dxa"/>
                  <w:tcBorders>
                    <w:tl2br w:val="nil"/>
                    <w:tr2bl w:val="nil"/>
                  </w:tcBorders>
                  <w:vAlign w:val="center"/>
                </w:tcPr>
                <w:p>
                  <w:pPr>
                    <w:pStyle w:val="51"/>
                    <w:rPr>
                      <w:rFonts w:ascii="Times New Roman" w:hAnsi="Times New Roman"/>
                      <w:b/>
                      <w:sz w:val="21"/>
                      <w:szCs w:val="21"/>
                    </w:rPr>
                  </w:pPr>
                  <w:r>
                    <w:rPr>
                      <w:rFonts w:ascii="Times New Roman" w:hAnsi="Times New Roman"/>
                      <w:b/>
                      <w:sz w:val="21"/>
                      <w:szCs w:val="21"/>
                    </w:rPr>
                    <w:t>序号</w:t>
                  </w:r>
                </w:p>
              </w:tc>
              <w:tc>
                <w:tcPr>
                  <w:tcW w:w="1519" w:type="dxa"/>
                  <w:tcBorders>
                    <w:tl2br w:val="nil"/>
                    <w:tr2bl w:val="nil"/>
                  </w:tcBorders>
                  <w:vAlign w:val="center"/>
                </w:tcPr>
                <w:p>
                  <w:pPr>
                    <w:pStyle w:val="51"/>
                    <w:rPr>
                      <w:rFonts w:ascii="Times New Roman" w:hAnsi="Times New Roman"/>
                      <w:b/>
                      <w:sz w:val="21"/>
                      <w:szCs w:val="21"/>
                    </w:rPr>
                  </w:pPr>
                  <w:r>
                    <w:rPr>
                      <w:rFonts w:ascii="Times New Roman" w:hAnsi="Times New Roman"/>
                      <w:b/>
                      <w:sz w:val="21"/>
                      <w:szCs w:val="21"/>
                    </w:rPr>
                    <w:t>物料名称</w:t>
                  </w:r>
                </w:p>
              </w:tc>
              <w:tc>
                <w:tcPr>
                  <w:tcW w:w="1623" w:type="dxa"/>
                  <w:tcBorders>
                    <w:tl2br w:val="nil"/>
                    <w:tr2bl w:val="nil"/>
                  </w:tcBorders>
                  <w:vAlign w:val="center"/>
                </w:tcPr>
                <w:p>
                  <w:pPr>
                    <w:pStyle w:val="51"/>
                    <w:rPr>
                      <w:rFonts w:ascii="Times New Roman" w:hAnsi="Times New Roman"/>
                      <w:b/>
                      <w:sz w:val="21"/>
                      <w:szCs w:val="21"/>
                    </w:rPr>
                  </w:pPr>
                  <w:r>
                    <w:rPr>
                      <w:rFonts w:ascii="Times New Roman" w:hAnsi="Times New Roman"/>
                      <w:b/>
                      <w:sz w:val="21"/>
                      <w:szCs w:val="21"/>
                    </w:rPr>
                    <w:t>投入量（m³/a）</w:t>
                  </w:r>
                </w:p>
              </w:tc>
              <w:tc>
                <w:tcPr>
                  <w:tcW w:w="640" w:type="dxa"/>
                  <w:tcBorders>
                    <w:tl2br w:val="nil"/>
                    <w:tr2bl w:val="nil"/>
                  </w:tcBorders>
                  <w:vAlign w:val="center"/>
                </w:tcPr>
                <w:p>
                  <w:pPr>
                    <w:pStyle w:val="51"/>
                    <w:rPr>
                      <w:rFonts w:ascii="Times New Roman" w:hAnsi="Times New Roman"/>
                      <w:b/>
                      <w:sz w:val="21"/>
                      <w:szCs w:val="21"/>
                    </w:rPr>
                  </w:pPr>
                  <w:r>
                    <w:rPr>
                      <w:rFonts w:ascii="Times New Roman" w:hAnsi="Times New Roman"/>
                      <w:b/>
                      <w:sz w:val="21"/>
                      <w:szCs w:val="21"/>
                    </w:rPr>
                    <w:t>序号</w:t>
                  </w:r>
                </w:p>
              </w:tc>
              <w:tc>
                <w:tcPr>
                  <w:tcW w:w="1923" w:type="dxa"/>
                  <w:tcBorders>
                    <w:tl2br w:val="nil"/>
                    <w:tr2bl w:val="nil"/>
                  </w:tcBorders>
                  <w:vAlign w:val="center"/>
                </w:tcPr>
                <w:p>
                  <w:pPr>
                    <w:pStyle w:val="51"/>
                    <w:rPr>
                      <w:rFonts w:ascii="Times New Roman" w:hAnsi="Times New Roman"/>
                      <w:b/>
                      <w:sz w:val="21"/>
                      <w:szCs w:val="21"/>
                    </w:rPr>
                  </w:pPr>
                  <w:r>
                    <w:rPr>
                      <w:rFonts w:ascii="Times New Roman" w:hAnsi="Times New Roman"/>
                      <w:b/>
                      <w:sz w:val="21"/>
                      <w:szCs w:val="21"/>
                    </w:rPr>
                    <w:t>物料名称</w:t>
                  </w:r>
                </w:p>
              </w:tc>
              <w:tc>
                <w:tcPr>
                  <w:tcW w:w="1550" w:type="dxa"/>
                  <w:tcBorders>
                    <w:tl2br w:val="nil"/>
                    <w:tr2bl w:val="nil"/>
                  </w:tcBorders>
                  <w:vAlign w:val="center"/>
                </w:tcPr>
                <w:p>
                  <w:pPr>
                    <w:pStyle w:val="51"/>
                    <w:rPr>
                      <w:rFonts w:ascii="Times New Roman" w:hAnsi="Times New Roman"/>
                      <w:b/>
                      <w:sz w:val="21"/>
                      <w:szCs w:val="21"/>
                    </w:rPr>
                  </w:pPr>
                  <w:r>
                    <w:rPr>
                      <w:rFonts w:ascii="Times New Roman" w:hAnsi="Times New Roman"/>
                      <w:b/>
                      <w:sz w:val="21"/>
                      <w:szCs w:val="21"/>
                    </w:rPr>
                    <w:t>产出量（m³/a）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1"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1</w:t>
                  </w:r>
                </w:p>
              </w:tc>
              <w:tc>
                <w:tcPr>
                  <w:tcW w:w="1519"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生活用水</w:t>
                  </w:r>
                </w:p>
              </w:tc>
              <w:tc>
                <w:tcPr>
                  <w:tcW w:w="1623"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67.2</w:t>
                  </w:r>
                </w:p>
              </w:tc>
              <w:tc>
                <w:tcPr>
                  <w:tcW w:w="64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1</w:t>
                  </w:r>
                </w:p>
              </w:tc>
              <w:tc>
                <w:tcPr>
                  <w:tcW w:w="1923"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生活污水损失</w:t>
                  </w:r>
                </w:p>
              </w:tc>
              <w:tc>
                <w:tcPr>
                  <w:tcW w:w="155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13.44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1"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2</w:t>
                  </w:r>
                </w:p>
              </w:tc>
              <w:tc>
                <w:tcPr>
                  <w:tcW w:w="1519"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搅拌用水</w:t>
                  </w:r>
                </w:p>
              </w:tc>
              <w:tc>
                <w:tcPr>
                  <w:tcW w:w="1623"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2722.8</w:t>
                  </w:r>
                </w:p>
              </w:tc>
              <w:tc>
                <w:tcPr>
                  <w:tcW w:w="64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2</w:t>
                  </w:r>
                </w:p>
              </w:tc>
              <w:tc>
                <w:tcPr>
                  <w:tcW w:w="1923"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生活污水</w:t>
                  </w:r>
                </w:p>
              </w:tc>
              <w:tc>
                <w:tcPr>
                  <w:tcW w:w="155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53.76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1"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3</w:t>
                  </w:r>
                </w:p>
              </w:tc>
              <w:tc>
                <w:tcPr>
                  <w:tcW w:w="1519"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车辆冲洗水</w:t>
                  </w:r>
                </w:p>
              </w:tc>
              <w:tc>
                <w:tcPr>
                  <w:tcW w:w="1623"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136.5</w:t>
                  </w:r>
                </w:p>
              </w:tc>
              <w:tc>
                <w:tcPr>
                  <w:tcW w:w="64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3</w:t>
                  </w:r>
                </w:p>
              </w:tc>
              <w:tc>
                <w:tcPr>
                  <w:tcW w:w="1923"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车辆清洗水损失</w:t>
                  </w:r>
                </w:p>
              </w:tc>
              <w:tc>
                <w:tcPr>
                  <w:tcW w:w="155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1"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4</w:t>
                  </w:r>
                </w:p>
              </w:tc>
              <w:tc>
                <w:tcPr>
                  <w:tcW w:w="1519"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搅拌机冲洗水</w:t>
                  </w:r>
                </w:p>
              </w:tc>
              <w:tc>
                <w:tcPr>
                  <w:tcW w:w="1623"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210</w:t>
                  </w:r>
                </w:p>
              </w:tc>
              <w:tc>
                <w:tcPr>
                  <w:tcW w:w="64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4</w:t>
                  </w:r>
                </w:p>
              </w:tc>
              <w:tc>
                <w:tcPr>
                  <w:tcW w:w="1923"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搅拌机冲洗水损失</w:t>
                  </w:r>
                </w:p>
              </w:tc>
              <w:tc>
                <w:tcPr>
                  <w:tcW w:w="155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1" w:type="dxa"/>
                  <w:tcBorders>
                    <w:tl2br w:val="nil"/>
                    <w:tr2bl w:val="nil"/>
                  </w:tcBorders>
                  <w:vAlign w:val="center"/>
                </w:tcPr>
                <w:p>
                  <w:pPr>
                    <w:pStyle w:val="51"/>
                    <w:rPr>
                      <w:rFonts w:ascii="Times New Roman" w:hAnsi="Times New Roman"/>
                      <w:bCs/>
                      <w:sz w:val="21"/>
                      <w:szCs w:val="21"/>
                    </w:rPr>
                  </w:pPr>
                </w:p>
              </w:tc>
              <w:tc>
                <w:tcPr>
                  <w:tcW w:w="1519" w:type="dxa"/>
                  <w:tcBorders>
                    <w:tl2br w:val="nil"/>
                    <w:tr2bl w:val="nil"/>
                  </w:tcBorders>
                  <w:vAlign w:val="center"/>
                </w:tcPr>
                <w:p>
                  <w:pPr>
                    <w:pStyle w:val="51"/>
                    <w:rPr>
                      <w:rFonts w:ascii="Times New Roman" w:hAnsi="Times New Roman"/>
                      <w:bCs/>
                      <w:sz w:val="21"/>
                      <w:szCs w:val="21"/>
                    </w:rPr>
                  </w:pPr>
                </w:p>
              </w:tc>
              <w:tc>
                <w:tcPr>
                  <w:tcW w:w="1623" w:type="dxa"/>
                  <w:tcBorders>
                    <w:tl2br w:val="nil"/>
                    <w:tr2bl w:val="nil"/>
                  </w:tcBorders>
                  <w:vAlign w:val="center"/>
                </w:tcPr>
                <w:p>
                  <w:pPr>
                    <w:pStyle w:val="51"/>
                    <w:rPr>
                      <w:rFonts w:ascii="Times New Roman" w:hAnsi="Times New Roman"/>
                      <w:bCs/>
                      <w:sz w:val="21"/>
                      <w:szCs w:val="21"/>
                    </w:rPr>
                  </w:pPr>
                </w:p>
              </w:tc>
              <w:tc>
                <w:tcPr>
                  <w:tcW w:w="64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5</w:t>
                  </w:r>
                </w:p>
              </w:tc>
              <w:tc>
                <w:tcPr>
                  <w:tcW w:w="1923"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搅拌用水进入产品</w:t>
                  </w:r>
                </w:p>
              </w:tc>
              <w:tc>
                <w:tcPr>
                  <w:tcW w:w="155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00" w:type="dxa"/>
                  <w:gridSpan w:val="2"/>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合计</w:t>
                  </w:r>
                </w:p>
              </w:tc>
              <w:tc>
                <w:tcPr>
                  <w:tcW w:w="1623"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3136.5</w:t>
                  </w:r>
                </w:p>
              </w:tc>
              <w:tc>
                <w:tcPr>
                  <w:tcW w:w="2563" w:type="dxa"/>
                  <w:gridSpan w:val="2"/>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合计</w:t>
                  </w:r>
                </w:p>
              </w:tc>
              <w:tc>
                <w:tcPr>
                  <w:tcW w:w="1550" w:type="dxa"/>
                  <w:tcBorders>
                    <w:tl2br w:val="nil"/>
                    <w:tr2bl w:val="nil"/>
                  </w:tcBorders>
                  <w:vAlign w:val="center"/>
                </w:tcPr>
                <w:p>
                  <w:pPr>
                    <w:pStyle w:val="51"/>
                    <w:rPr>
                      <w:rFonts w:ascii="Times New Roman" w:hAnsi="Times New Roman"/>
                      <w:bCs/>
                      <w:sz w:val="21"/>
                      <w:szCs w:val="21"/>
                    </w:rPr>
                  </w:pPr>
                  <w:r>
                    <w:rPr>
                      <w:rFonts w:ascii="Times New Roman" w:hAnsi="Times New Roman"/>
                      <w:bCs/>
                      <w:sz w:val="21"/>
                      <w:szCs w:val="21"/>
                    </w:rPr>
                    <w:t>3136.5</w:t>
                  </w:r>
                </w:p>
              </w:tc>
            </w:tr>
          </w:tbl>
          <w:p>
            <w:pPr>
              <w:pStyle w:val="39"/>
              <w:ind w:firstLine="0" w:firstLineChars="0"/>
              <w:rPr>
                <w:rFonts w:ascii="Times New Roman" w:hAnsi="Times New Roman" w:cs="Times New Roman"/>
                <w:b/>
                <w:bCs/>
                <w:spacing w:val="-3"/>
                <w:sz w:val="21"/>
                <w:szCs w:val="21"/>
              </w:rPr>
            </w:pPr>
            <w:r>
              <w:rPr>
                <w:rFonts w:ascii="Times New Roman" w:hAnsi="Times New Roman" w:cs="Times New Roman"/>
                <w:b/>
                <w:bCs/>
                <w:spacing w:val="-3"/>
                <w:sz w:val="21"/>
                <w:szCs w:val="21"/>
              </w:rPr>
              <w:drawing>
                <wp:inline distT="0" distB="0" distL="114300" distR="114300">
                  <wp:extent cx="5037455" cy="2710180"/>
                  <wp:effectExtent l="12700" t="12700" r="17145" b="20320"/>
                  <wp:docPr id="5" name="图片 5" descr="水平衡图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水平衡图_01"/>
                          <pic:cNvPicPr>
                            <a:picLocks noChangeAspect="1"/>
                          </pic:cNvPicPr>
                        </pic:nvPicPr>
                        <pic:blipFill>
                          <a:blip r:embed="rId7"/>
                          <a:stretch>
                            <a:fillRect/>
                          </a:stretch>
                        </pic:blipFill>
                        <pic:spPr>
                          <a:xfrm>
                            <a:off x="0" y="0"/>
                            <a:ext cx="5037455" cy="2710180"/>
                          </a:xfrm>
                          <a:prstGeom prst="rect">
                            <a:avLst/>
                          </a:prstGeom>
                          <a:ln w="12700">
                            <a:solidFill>
                              <a:schemeClr val="tx1"/>
                            </a:solidFill>
                          </a:ln>
                        </pic:spPr>
                      </pic:pic>
                    </a:graphicData>
                  </a:graphic>
                </wp:inline>
              </w:drawing>
            </w:r>
          </w:p>
          <w:p>
            <w:pPr>
              <w:spacing w:line="360" w:lineRule="auto"/>
              <w:jc w:val="center"/>
              <w:rPr>
                <w:rFonts w:ascii="Times New Roman" w:hAnsi="Times New Roman"/>
                <w:sz w:val="22"/>
                <w:szCs w:val="22"/>
              </w:rPr>
            </w:pPr>
            <w:r>
              <w:rPr>
                <w:rFonts w:ascii="Times New Roman" w:hAnsi="Times New Roman"/>
                <w:b/>
                <w:sz w:val="20"/>
                <w:szCs w:val="20"/>
              </w:rPr>
              <w:t>图2-</w:t>
            </w:r>
            <w:r>
              <w:rPr>
                <w:rFonts w:hint="eastAsia" w:ascii="Times New Roman" w:hAnsi="Times New Roman"/>
                <w:b/>
                <w:sz w:val="20"/>
                <w:szCs w:val="20"/>
              </w:rPr>
              <w:t>2</w:t>
            </w:r>
            <w:r>
              <w:rPr>
                <w:rFonts w:ascii="Times New Roman" w:hAnsi="Times New Roman"/>
                <w:b/>
                <w:sz w:val="20"/>
                <w:szCs w:val="20"/>
              </w:rPr>
              <w:t xml:space="preserve">  项目水平衡图  单位：m³/a</w:t>
            </w:r>
          </w:p>
          <w:p>
            <w:pPr>
              <w:pStyle w:val="19"/>
              <w:spacing w:line="360" w:lineRule="auto"/>
              <w:ind w:left="481" w:leftChars="229" w:firstLine="0" w:firstLineChars="0"/>
              <w:rPr>
                <w:rFonts w:ascii="Times New Roman" w:hAnsi="Times New Roman"/>
                <w:b/>
                <w:bCs/>
                <w:sz w:val="24"/>
              </w:rPr>
            </w:pPr>
            <w:r>
              <w:rPr>
                <w:rFonts w:ascii="Times New Roman" w:hAnsi="Times New Roman"/>
                <w:b/>
                <w:bCs/>
                <w:sz w:val="24"/>
              </w:rPr>
              <w:t>6、劳动定员及工作制度</w:t>
            </w:r>
          </w:p>
          <w:p>
            <w:pPr>
              <w:autoSpaceDE w:val="0"/>
              <w:autoSpaceDN w:val="0"/>
              <w:spacing w:line="360" w:lineRule="auto"/>
              <w:ind w:firstLine="456" w:firstLineChars="200"/>
              <w:rPr>
                <w:rFonts w:ascii="Times New Roman" w:hAnsi="Times New Roman"/>
                <w:sz w:val="24"/>
                <w:szCs w:val="22"/>
              </w:rPr>
            </w:pPr>
            <w:r>
              <w:rPr>
                <w:rFonts w:ascii="Times New Roman" w:hAnsi="Times New Roman"/>
                <w:spacing w:val="-6"/>
                <w:sz w:val="24"/>
              </w:rPr>
              <w:t>本项目</w:t>
            </w:r>
            <w:r>
              <w:rPr>
                <w:rFonts w:ascii="Times New Roman" w:hAnsi="Times New Roman"/>
                <w:sz w:val="24"/>
              </w:rPr>
              <w:t>劳动定员4人，</w:t>
            </w:r>
            <w:r>
              <w:rPr>
                <w:rFonts w:ascii="Times New Roman" w:hAnsi="Times New Roman"/>
                <w:spacing w:val="4"/>
                <w:sz w:val="24"/>
              </w:rPr>
              <w:t>工作天数为210天，采用3班制，每班8小时</w:t>
            </w:r>
            <w:r>
              <w:rPr>
                <w:rFonts w:ascii="Times New Roman" w:hAnsi="Times New Roman"/>
                <w:spacing w:val="-6"/>
                <w:sz w:val="24"/>
              </w:rPr>
              <w:t>。</w:t>
            </w:r>
          </w:p>
          <w:p>
            <w:pPr>
              <w:adjustRightInd w:val="0"/>
              <w:snapToGrid w:val="0"/>
              <w:spacing w:line="360" w:lineRule="auto"/>
              <w:ind w:firstLine="482" w:firstLineChars="200"/>
              <w:rPr>
                <w:rFonts w:ascii="Times New Roman" w:hAnsi="Times New Roman"/>
                <w:b/>
                <w:bCs/>
                <w:sz w:val="24"/>
                <w:szCs w:val="22"/>
              </w:rPr>
            </w:pPr>
            <w:r>
              <w:rPr>
                <w:rFonts w:ascii="Times New Roman" w:hAnsi="Times New Roman"/>
                <w:b/>
                <w:bCs/>
                <w:sz w:val="24"/>
                <w:szCs w:val="22"/>
              </w:rPr>
              <w:t>7、平面布置</w:t>
            </w:r>
          </w:p>
          <w:p>
            <w:pPr>
              <w:adjustRightInd w:val="0"/>
              <w:snapToGrid w:val="0"/>
              <w:spacing w:line="360" w:lineRule="auto"/>
              <w:ind w:firstLine="480" w:firstLineChars="200"/>
              <w:rPr>
                <w:rFonts w:ascii="Times New Roman" w:hAnsi="Times New Roman"/>
              </w:rPr>
            </w:pPr>
            <w:r>
              <w:rPr>
                <w:rFonts w:ascii="Times New Roman" w:hAnsi="Times New Roman"/>
                <w:sz w:val="24"/>
                <w:szCs w:val="22"/>
              </w:rPr>
              <w:t>厂区总体呈不规则四边形布置，分为生产区和办公生活区。其中：生活区位于项目区北侧；生产区位于生活区南侧，主要包括新建1条水稳料生产线。厂区设一个出入口，位于厂区南侧，交通便利，车辆进出顺畅。厂区布置紧凑，方便管理，布置合理。厂区</w:t>
            </w:r>
            <w:r>
              <w:rPr>
                <w:rFonts w:ascii="Times New Roman" w:hAnsi="Times New Roman"/>
                <w:sz w:val="24"/>
              </w:rPr>
              <w:t>平面布置示意图见团2-</w:t>
            </w:r>
            <w:r>
              <w:rPr>
                <w:rFonts w:hint="eastAsia" w:ascii="Times New Roman" w:hAnsi="Times New Roman"/>
                <w:sz w:val="24"/>
              </w:rPr>
              <w:t>3</w:t>
            </w:r>
            <w:r>
              <w:rPr>
                <w:rFonts w:ascii="Times New Roman" w:hAnsi="Times New Roman"/>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3" w:type="dxa"/>
            <w:vAlign w:val="center"/>
          </w:tcPr>
          <w:p>
            <w:pPr>
              <w:pStyle w:val="21"/>
              <w:rPr>
                <w:sz w:val="21"/>
                <w:szCs w:val="21"/>
              </w:rPr>
            </w:pPr>
            <w:r>
              <w:t>工艺流程和产排污环节</w:t>
            </w:r>
          </w:p>
        </w:tc>
        <w:tc>
          <w:tcPr>
            <w:tcW w:w="8161" w:type="dxa"/>
          </w:tcPr>
          <w:p>
            <w:pPr>
              <w:numPr>
                <w:ilvl w:val="0"/>
                <w:numId w:val="2"/>
              </w:num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运营期工艺流程简述</w:t>
            </w:r>
          </w:p>
          <w:p>
            <w:pPr>
              <w:pStyle w:val="11"/>
              <w:spacing w:line="360" w:lineRule="auto"/>
              <w:ind w:firstLine="0" w:firstLineChars="0"/>
              <w:jc w:val="center"/>
              <w:rPr>
                <w:rFonts w:ascii="Times New Roman" w:hAnsi="Times New Roman"/>
              </w:rPr>
            </w:pPr>
            <w:r>
              <w:rPr>
                <w:rFonts w:ascii="Times New Roman" w:hAnsi="Times New Roman"/>
              </w:rPr>
              <w:drawing>
                <wp:inline distT="0" distB="0" distL="114300" distR="114300">
                  <wp:extent cx="4041140" cy="2456815"/>
                  <wp:effectExtent l="0" t="0" r="16510" b="635"/>
                  <wp:docPr id="4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34"/>
                          <pic:cNvPicPr>
                            <a:picLocks noChangeAspect="1"/>
                          </pic:cNvPicPr>
                        </pic:nvPicPr>
                        <pic:blipFill>
                          <a:blip r:embed="rId8"/>
                          <a:stretch>
                            <a:fillRect/>
                          </a:stretch>
                        </pic:blipFill>
                        <pic:spPr>
                          <a:xfrm>
                            <a:off x="0" y="0"/>
                            <a:ext cx="4041140" cy="2456815"/>
                          </a:xfrm>
                          <a:prstGeom prst="rect">
                            <a:avLst/>
                          </a:prstGeom>
                          <a:noFill/>
                          <a:ln>
                            <a:noFill/>
                          </a:ln>
                        </pic:spPr>
                      </pic:pic>
                    </a:graphicData>
                  </a:graphic>
                </wp:inline>
              </w:drawing>
            </w:r>
          </w:p>
          <w:p>
            <w:pPr>
              <w:pStyle w:val="11"/>
              <w:spacing w:line="360" w:lineRule="auto"/>
              <w:ind w:firstLine="482"/>
              <w:jc w:val="center"/>
              <w:rPr>
                <w:rFonts w:ascii="Times New Roman" w:hAnsi="Times New Roman"/>
                <w:b/>
                <w:sz w:val="24"/>
              </w:rPr>
            </w:pPr>
            <w:r>
              <w:rPr>
                <w:rFonts w:ascii="Times New Roman" w:hAnsi="Times New Roman"/>
                <w:b/>
                <w:sz w:val="24"/>
              </w:rPr>
              <w:t>图2-</w:t>
            </w:r>
            <w:r>
              <w:rPr>
                <w:rFonts w:hint="eastAsia" w:ascii="Times New Roman" w:hAnsi="Times New Roman"/>
                <w:b/>
                <w:sz w:val="24"/>
              </w:rPr>
              <w:t xml:space="preserve">4  </w:t>
            </w:r>
            <w:r>
              <w:rPr>
                <w:rFonts w:ascii="Times New Roman" w:hAnsi="Times New Roman"/>
                <w:b/>
                <w:sz w:val="24"/>
              </w:rPr>
              <w:t>项目营运期生产工艺流程及产污环节示意图</w:t>
            </w:r>
          </w:p>
          <w:p>
            <w:pPr>
              <w:pStyle w:val="11"/>
              <w:spacing w:line="360" w:lineRule="auto"/>
              <w:ind w:firstLine="482"/>
              <w:rPr>
                <w:rFonts w:ascii="Times New Roman" w:hAnsi="Times New Roman"/>
                <w:b/>
                <w:sz w:val="24"/>
              </w:rPr>
            </w:pPr>
            <w:r>
              <w:rPr>
                <w:rFonts w:ascii="Times New Roman" w:hAnsi="Times New Roman"/>
                <w:b/>
                <w:sz w:val="24"/>
              </w:rPr>
              <w:t>工艺流程简述：</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项目运营期主要工艺流程如下：</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本项目生产工艺主要包括原料储存运输，砂石料配料、送料，粉料储料、给料，水的输送，搅拌及装车外运等。</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（1）原料储存运输</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项目生产所需的原料有水泥、戈壁料，其中不同粒径的石子由自卸汽车运输至生产线；水泥采用罐车运输进厂区后，以压缩空气吹入筒仓储存待用。粉料入仓会产生粉尘和噪声。</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（2）戈壁料配料、送料</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戈壁料主要是不同粒径的石子、砾石、砂子等，本项目戈壁料来自托克逊县天马建材有限责任公司，戈壁料通过车辆运至本项目，直接泄入戈壁料料仓。料仓中的戈壁料由皮带输送机运至搅拌机内。戈壁料配料、送料都是由密封皮带机完成，放料时由于高差原因，会产生一定量的粉尘。此过程有粉尘和噪声产生。</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（3）粉料储料、给料</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粉料为水泥。水泥通过散装水泥输送车与进灰管连通后通过气送槽进入筒仓，粉料到达筒仓后，通过筒仓底部的螺旋输送机运输至相应的计量槽，计量后直接进入搅拌机内。粉料在输送至筒仓时，需排出仓内的空气以形成正压利于物料输送，在通过筒仓顶部的呼吸孔排空气的时候会产生粉尘。此过程有粉尘、噪声产生。</w:t>
            </w:r>
          </w:p>
          <w:p>
            <w:pPr>
              <w:keepNext/>
              <w:numPr>
                <w:ilvl w:val="0"/>
                <w:numId w:val="3"/>
              </w:numPr>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水的输送</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水通过水泵从水池中泵入称量箱内进行计量，计量后，再通过加压泵泵入搅拌机内。此过程有噪声产生。</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（5）搅拌</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戈壁料、粉料、水通过计量后，同时投料进入搅拌机内进行搅拌，需经过两次搅拌，两次搅拌时间合计约为30秒，由于搅拌主机密闭，搅拌过程无粉尘产生，搅拌过程会产生噪声。</w:t>
            </w:r>
          </w:p>
          <w:p>
            <w:pPr>
              <w:keepNext/>
              <w:overflowPunct w:val="0"/>
              <w:snapToGrid w:val="0"/>
              <w:spacing w:line="360" w:lineRule="auto"/>
              <w:ind w:firstLine="480" w:firstLineChars="200"/>
              <w:outlineLvl w:val="0"/>
              <w:rPr>
                <w:rFonts w:ascii="Times New Roman" w:hAnsi="Times New Roman"/>
                <w:kern w:val="44"/>
                <w:sz w:val="24"/>
              </w:rPr>
            </w:pPr>
            <w:r>
              <w:rPr>
                <w:rFonts w:ascii="Times New Roman" w:hAnsi="Times New Roman"/>
                <w:kern w:val="44"/>
                <w:sz w:val="24"/>
              </w:rPr>
              <w:t>（6）装车外运</w:t>
            </w:r>
          </w:p>
          <w:p>
            <w:pPr>
              <w:keepNext/>
              <w:overflowPunct w:val="0"/>
              <w:snapToGrid w:val="0"/>
              <w:spacing w:line="360" w:lineRule="auto"/>
              <w:ind w:firstLine="480" w:firstLineChars="200"/>
              <w:outlineLvl w:val="0"/>
              <w:rPr>
                <w:rFonts w:ascii="Times New Roman" w:hAnsi="Times New Roman"/>
                <w:b/>
                <w:bCs/>
                <w:kern w:val="44"/>
                <w:szCs w:val="21"/>
              </w:rPr>
            </w:pPr>
            <w:r>
              <w:rPr>
                <w:rFonts w:ascii="Times New Roman" w:hAnsi="Times New Roman"/>
                <w:kern w:val="44"/>
                <w:sz w:val="24"/>
              </w:rPr>
              <w:t>搅拌完毕后，可储存在搅拌机或者末级储料仓内，待接到开门信号后，开启搅拌机门或储料仓门，将水泥稳定碎石装入运输车内，并加盖篷布，外运至工地。车辆均为雇用运输公司车辆。除砂石料配料外，所有工序全部是在现代化的微机控制系统操作下完成的。操作人员只需要确定产品的类型与数量，其余操作全部由控制系统自动完成，无需人工干预。全部采用密闭的生产系统设备，从而有效减少粉尘的排放，降低环境污染，保证工人健康</w:t>
            </w:r>
            <w:r>
              <w:rPr>
                <w:rFonts w:ascii="Times New Roman" w:hAnsi="Times New Roman"/>
                <w:kern w:val="44"/>
                <w:sz w:val="24"/>
              </w:rPr>
              <w:drawing>
                <wp:anchor distT="0" distB="0" distL="114300" distR="114300" simplePos="0" relativeHeight="251660288" behindDoc="0" locked="0" layoutInCell="1" allowOverlap="1">
                  <wp:simplePos x="0" y="0"/>
                  <wp:positionH relativeFrom="page">
                    <wp:posOffset>6490970</wp:posOffset>
                  </wp:positionH>
                  <wp:positionV relativeFrom="page">
                    <wp:posOffset>3173730</wp:posOffset>
                  </wp:positionV>
                  <wp:extent cx="15875" cy="117475"/>
                  <wp:effectExtent l="0" t="0" r="3175" b="15875"/>
                  <wp:wrapNone/>
                  <wp:docPr id="49" name="IM 56"/>
                  <wp:cNvGraphicFramePr/>
                  <a:graphic xmlns:a="http://schemas.openxmlformats.org/drawingml/2006/main">
                    <a:graphicData uri="http://schemas.openxmlformats.org/drawingml/2006/picture">
                      <pic:pic xmlns:pic="http://schemas.openxmlformats.org/drawingml/2006/picture">
                        <pic:nvPicPr>
                          <pic:cNvPr id="49" name="IM 56"/>
                          <pic:cNvPicPr/>
                        </pic:nvPicPr>
                        <pic:blipFill>
                          <a:blip r:embed="rId9"/>
                          <a:stretch>
                            <a:fillRect/>
                          </a:stretch>
                        </pic:blipFill>
                        <pic:spPr>
                          <a:xfrm>
                            <a:off x="0" y="0"/>
                            <a:ext cx="15875" cy="117475"/>
                          </a:xfrm>
                          <a:prstGeom prst="rect">
                            <a:avLst/>
                          </a:prstGeom>
                          <a:noFill/>
                          <a:ln>
                            <a:noFill/>
                          </a:ln>
                        </pic:spPr>
                      </pic:pic>
                    </a:graphicData>
                  </a:graphic>
                </wp:anchor>
              </w:drawing>
            </w:r>
            <w:r>
              <w:rPr>
                <w:rFonts w:ascii="Times New Roman" w:hAnsi="Times New Roman"/>
                <w:kern w:val="44"/>
                <w:sz w:val="24"/>
              </w:rPr>
              <w:t>而且又生产量大、配料精度高、使用灵活的特点。</w:t>
            </w:r>
          </w:p>
          <w:p>
            <w:pPr>
              <w:pStyle w:val="19"/>
              <w:ind w:left="481" w:leftChars="229" w:firstLine="0" w:firstLineChars="0"/>
              <w:rPr>
                <w:rFonts w:ascii="Times New Roman" w:hAnsi="Times New Roman"/>
                <w:b/>
                <w:bCs/>
                <w:sz w:val="24"/>
              </w:rPr>
            </w:pPr>
            <w:r>
              <w:rPr>
                <w:rFonts w:ascii="Times New Roman" w:hAnsi="Times New Roman"/>
                <w:b/>
                <w:bCs/>
                <w:sz w:val="24"/>
              </w:rPr>
              <w:t>2、产排污环节</w:t>
            </w:r>
          </w:p>
          <w:p>
            <w:pPr>
              <w:spacing w:line="360" w:lineRule="auto"/>
              <w:ind w:firstLine="472" w:firstLineChars="200"/>
              <w:rPr>
                <w:rFonts w:ascii="Times New Roman" w:hAnsi="Times New Roman"/>
                <w:spacing w:val="-2"/>
                <w:sz w:val="24"/>
              </w:rPr>
            </w:pPr>
            <w:r>
              <w:rPr>
                <w:rFonts w:ascii="Times New Roman" w:hAnsi="Times New Roman"/>
                <w:spacing w:val="-2"/>
                <w:sz w:val="24"/>
              </w:rPr>
              <w:t>项目运营期主要产污环节详见表2-6</w:t>
            </w:r>
          </w:p>
          <w:p>
            <w:pPr>
              <w:pStyle w:val="30"/>
              <w:spacing w:line="360" w:lineRule="auto"/>
              <w:rPr>
                <w:color w:val="auto"/>
                <w:sz w:val="21"/>
                <w:szCs w:val="21"/>
              </w:rPr>
            </w:pPr>
            <w:r>
              <w:rPr>
                <w:color w:val="auto"/>
                <w:spacing w:val="-2"/>
                <w:sz w:val="21"/>
                <w:szCs w:val="21"/>
              </w:rPr>
              <w:t>表2-6项目运营期主要产污环节一览表</w:t>
            </w:r>
          </w:p>
          <w:tbl>
            <w:tblPr>
              <w:tblStyle w:val="37"/>
              <w:tblW w:w="5000"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608"/>
              <w:gridCol w:w="1974"/>
              <w:gridCol w:w="2522"/>
              <w:gridCol w:w="2841"/>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82" w:type="pct"/>
                  <w:tcBorders>
                    <w:tl2br w:val="nil"/>
                    <w:tr2bl w:val="nil"/>
                  </w:tcBorders>
                  <w:vAlign w:val="center"/>
                </w:tcPr>
                <w:p>
                  <w:pPr>
                    <w:jc w:val="center"/>
                    <w:rPr>
                      <w:rFonts w:ascii="Times New Roman" w:hAnsi="Times New Roman"/>
                      <w:b/>
                      <w:szCs w:val="21"/>
                    </w:rPr>
                  </w:pPr>
                  <w:r>
                    <w:rPr>
                      <w:rFonts w:ascii="Times New Roman" w:hAnsi="Times New Roman"/>
                      <w:b/>
                      <w:spacing w:val="-5"/>
                      <w:szCs w:val="21"/>
                    </w:rPr>
                    <w:t>类别</w:t>
                  </w:r>
                </w:p>
              </w:tc>
              <w:tc>
                <w:tcPr>
                  <w:tcW w:w="1242" w:type="pct"/>
                  <w:tcBorders>
                    <w:tl2br w:val="nil"/>
                    <w:tr2bl w:val="nil"/>
                  </w:tcBorders>
                  <w:vAlign w:val="center"/>
                </w:tcPr>
                <w:p>
                  <w:pPr>
                    <w:jc w:val="center"/>
                    <w:rPr>
                      <w:rFonts w:ascii="Times New Roman" w:hAnsi="Times New Roman"/>
                      <w:b/>
                      <w:szCs w:val="21"/>
                    </w:rPr>
                  </w:pPr>
                  <w:r>
                    <w:rPr>
                      <w:rFonts w:ascii="Times New Roman" w:hAnsi="Times New Roman"/>
                      <w:b/>
                      <w:spacing w:val="-3"/>
                      <w:szCs w:val="21"/>
                    </w:rPr>
                    <w:t>产污环节</w:t>
                  </w:r>
                </w:p>
              </w:tc>
              <w:tc>
                <w:tcPr>
                  <w:tcW w:w="1587" w:type="pct"/>
                  <w:tcBorders>
                    <w:tl2br w:val="nil"/>
                    <w:tr2bl w:val="nil"/>
                  </w:tcBorders>
                  <w:vAlign w:val="center"/>
                </w:tcPr>
                <w:p>
                  <w:pPr>
                    <w:jc w:val="center"/>
                    <w:rPr>
                      <w:rFonts w:ascii="Times New Roman" w:hAnsi="Times New Roman"/>
                      <w:b/>
                      <w:szCs w:val="21"/>
                    </w:rPr>
                  </w:pPr>
                  <w:r>
                    <w:rPr>
                      <w:rFonts w:ascii="Times New Roman" w:hAnsi="Times New Roman"/>
                      <w:b/>
                      <w:spacing w:val="-3"/>
                      <w:szCs w:val="21"/>
                    </w:rPr>
                    <w:t>污染因子</w:t>
                  </w:r>
                </w:p>
              </w:tc>
              <w:tc>
                <w:tcPr>
                  <w:tcW w:w="1788" w:type="pct"/>
                  <w:tcBorders>
                    <w:tl2br w:val="nil"/>
                    <w:tr2bl w:val="nil"/>
                  </w:tcBorders>
                  <w:vAlign w:val="center"/>
                </w:tcPr>
                <w:p>
                  <w:pPr>
                    <w:jc w:val="center"/>
                    <w:rPr>
                      <w:rFonts w:ascii="Times New Roman" w:hAnsi="Times New Roman"/>
                      <w:b/>
                      <w:szCs w:val="21"/>
                    </w:rPr>
                  </w:pPr>
                  <w:r>
                    <w:rPr>
                      <w:rFonts w:ascii="Times New Roman" w:hAnsi="Times New Roman"/>
                      <w:b/>
                      <w:spacing w:val="-4"/>
                      <w:szCs w:val="21"/>
                    </w:rPr>
                    <w:t>治理措施</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82" w:type="pct"/>
                  <w:vMerge w:val="restart"/>
                  <w:tcBorders>
                    <w:tl2br w:val="nil"/>
                    <w:tr2bl w:val="nil"/>
                  </w:tcBorders>
                  <w:vAlign w:val="center"/>
                </w:tcPr>
                <w:p>
                  <w:pPr>
                    <w:jc w:val="center"/>
                    <w:rPr>
                      <w:rFonts w:ascii="Times New Roman" w:hAnsi="Times New Roman"/>
                      <w:szCs w:val="21"/>
                    </w:rPr>
                  </w:pPr>
                  <w:r>
                    <w:rPr>
                      <w:rFonts w:ascii="Times New Roman" w:hAnsi="Times New Roman"/>
                      <w:spacing w:val="-5"/>
                      <w:szCs w:val="21"/>
                    </w:rPr>
                    <w:t>废气</w:t>
                  </w:r>
                </w:p>
              </w:tc>
              <w:tc>
                <w:tcPr>
                  <w:tcW w:w="1242"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水泥筒仓</w:t>
                  </w:r>
                </w:p>
              </w:tc>
              <w:tc>
                <w:tcPr>
                  <w:tcW w:w="1587"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颗粒物</w:t>
                  </w:r>
                </w:p>
              </w:tc>
              <w:tc>
                <w:tcPr>
                  <w:tcW w:w="1788"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1套脉冲袋式除尘器</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82" w:type="pct"/>
                  <w:vMerge w:val="continue"/>
                  <w:tcBorders>
                    <w:tl2br w:val="nil"/>
                    <w:tr2bl w:val="nil"/>
                  </w:tcBorders>
                  <w:vAlign w:val="center"/>
                </w:tcPr>
                <w:p>
                  <w:pPr>
                    <w:jc w:val="center"/>
                    <w:rPr>
                      <w:rFonts w:ascii="Times New Roman" w:hAnsi="Times New Roman"/>
                    </w:rPr>
                  </w:pPr>
                </w:p>
              </w:tc>
              <w:tc>
                <w:tcPr>
                  <w:tcW w:w="1242"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车辆运输扬尘</w:t>
                  </w:r>
                </w:p>
              </w:tc>
              <w:tc>
                <w:tcPr>
                  <w:tcW w:w="1587"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颗粒物</w:t>
                  </w:r>
                </w:p>
              </w:tc>
              <w:tc>
                <w:tcPr>
                  <w:tcW w:w="1788"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地面洒水、车辆冲洗</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82" w:type="pct"/>
                  <w:vMerge w:val="restart"/>
                  <w:tcBorders>
                    <w:tl2br w:val="nil"/>
                    <w:tr2bl w:val="nil"/>
                  </w:tcBorders>
                  <w:vAlign w:val="center"/>
                </w:tcPr>
                <w:p>
                  <w:pPr>
                    <w:jc w:val="center"/>
                    <w:rPr>
                      <w:rFonts w:ascii="Times New Roman" w:hAnsi="Times New Roman"/>
                      <w:szCs w:val="21"/>
                    </w:rPr>
                  </w:pPr>
                  <w:r>
                    <w:rPr>
                      <w:rFonts w:ascii="Times New Roman" w:hAnsi="Times New Roman"/>
                      <w:spacing w:val="-5"/>
                      <w:szCs w:val="21"/>
                    </w:rPr>
                    <w:t>废水</w:t>
                  </w:r>
                </w:p>
              </w:tc>
              <w:tc>
                <w:tcPr>
                  <w:tcW w:w="1242"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生活污水</w:t>
                  </w:r>
                </w:p>
              </w:tc>
              <w:tc>
                <w:tcPr>
                  <w:tcW w:w="1587" w:type="pct"/>
                  <w:tcBorders>
                    <w:tl2br w:val="nil"/>
                    <w:tr2bl w:val="nil"/>
                  </w:tcBorders>
                  <w:vAlign w:val="center"/>
                </w:tcPr>
                <w:p>
                  <w:pPr>
                    <w:jc w:val="center"/>
                    <w:rPr>
                      <w:rFonts w:ascii="Times New Roman" w:hAnsi="Times New Roman"/>
                      <w:szCs w:val="21"/>
                    </w:rPr>
                  </w:pPr>
                  <w:r>
                    <w:rPr>
                      <w:rFonts w:ascii="Times New Roman" w:hAnsi="Times New Roman" w:eastAsia="Times New Roman"/>
                      <w:spacing w:val="-7"/>
                      <w:w w:val="99"/>
                      <w:szCs w:val="21"/>
                    </w:rPr>
                    <w:t>COD</w:t>
                  </w:r>
                  <w:r>
                    <w:rPr>
                      <w:rFonts w:ascii="Times New Roman" w:hAnsi="Times New Roman"/>
                      <w:spacing w:val="-7"/>
                      <w:w w:val="99"/>
                      <w:szCs w:val="21"/>
                    </w:rPr>
                    <w:t>、</w:t>
                  </w:r>
                  <w:r>
                    <w:rPr>
                      <w:rFonts w:ascii="Times New Roman" w:hAnsi="Times New Roman" w:eastAsia="Times New Roman"/>
                      <w:spacing w:val="-7"/>
                      <w:w w:val="99"/>
                      <w:szCs w:val="21"/>
                    </w:rPr>
                    <w:t>BOD</w:t>
                  </w:r>
                  <w:r>
                    <w:rPr>
                      <w:rFonts w:ascii="Times New Roman" w:hAnsi="Times New Roman"/>
                      <w:spacing w:val="-7"/>
                      <w:w w:val="99"/>
                      <w:position w:val="-1"/>
                      <w:szCs w:val="21"/>
                      <w:vertAlign w:val="subscript"/>
                    </w:rPr>
                    <w:t>5</w:t>
                  </w:r>
                  <w:r>
                    <w:rPr>
                      <w:rFonts w:ascii="Times New Roman" w:hAnsi="Times New Roman"/>
                      <w:spacing w:val="-7"/>
                      <w:w w:val="99"/>
                      <w:szCs w:val="21"/>
                    </w:rPr>
                    <w:t>、</w:t>
                  </w:r>
                  <w:r>
                    <w:rPr>
                      <w:rFonts w:ascii="Times New Roman" w:hAnsi="Times New Roman" w:eastAsia="Times New Roman"/>
                      <w:spacing w:val="-4"/>
                      <w:szCs w:val="21"/>
                    </w:rPr>
                    <w:t>SS</w:t>
                  </w:r>
                  <w:r>
                    <w:rPr>
                      <w:rFonts w:ascii="Times New Roman" w:hAnsi="Times New Roman"/>
                      <w:spacing w:val="-4"/>
                      <w:szCs w:val="21"/>
                    </w:rPr>
                    <w:t>、氨氮</w:t>
                  </w:r>
                </w:p>
              </w:tc>
              <w:tc>
                <w:tcPr>
                  <w:tcW w:w="1788"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化粪池处理后，</w:t>
                  </w:r>
                  <w:r>
                    <w:rPr>
                      <w:rFonts w:ascii="Times New Roman" w:hAnsi="Times New Roman"/>
                      <w:szCs w:val="21"/>
                    </w:rPr>
                    <w:t>拉运至污水处理厂进一步处理</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82" w:type="pct"/>
                  <w:vMerge w:val="continue"/>
                  <w:tcBorders>
                    <w:tl2br w:val="nil"/>
                    <w:tr2bl w:val="nil"/>
                  </w:tcBorders>
                  <w:vAlign w:val="center"/>
                </w:tcPr>
                <w:p>
                  <w:pPr>
                    <w:jc w:val="center"/>
                    <w:rPr>
                      <w:rFonts w:ascii="Times New Roman" w:hAnsi="Times New Roman"/>
                    </w:rPr>
                  </w:pPr>
                </w:p>
              </w:tc>
              <w:tc>
                <w:tcPr>
                  <w:tcW w:w="1242"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车辆冲洗、搅拌机冲洗</w:t>
                  </w:r>
                </w:p>
              </w:tc>
              <w:tc>
                <w:tcPr>
                  <w:tcW w:w="1587"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pacing w:val="-7"/>
                      <w:szCs w:val="21"/>
                    </w:rPr>
                    <w:t>SS</w:t>
                  </w:r>
                </w:p>
              </w:tc>
              <w:tc>
                <w:tcPr>
                  <w:tcW w:w="1788"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沉淀池处理后回用</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82" w:type="pct"/>
                  <w:tcBorders>
                    <w:tl2br w:val="nil"/>
                    <w:tr2bl w:val="nil"/>
                  </w:tcBorders>
                  <w:vAlign w:val="center"/>
                </w:tcPr>
                <w:p>
                  <w:pPr>
                    <w:jc w:val="center"/>
                    <w:rPr>
                      <w:rFonts w:ascii="Times New Roman" w:hAnsi="Times New Roman"/>
                      <w:szCs w:val="21"/>
                    </w:rPr>
                  </w:pPr>
                  <w:r>
                    <w:rPr>
                      <w:rFonts w:ascii="Times New Roman" w:hAnsi="Times New Roman"/>
                      <w:spacing w:val="-10"/>
                      <w:szCs w:val="21"/>
                    </w:rPr>
                    <w:t>噪声</w:t>
                  </w:r>
                </w:p>
              </w:tc>
              <w:tc>
                <w:tcPr>
                  <w:tcW w:w="1242" w:type="pct"/>
                  <w:tcBorders>
                    <w:tl2br w:val="nil"/>
                    <w:tr2bl w:val="nil"/>
                  </w:tcBorders>
                  <w:vAlign w:val="center"/>
                </w:tcPr>
                <w:p>
                  <w:pPr>
                    <w:jc w:val="center"/>
                    <w:rPr>
                      <w:rFonts w:ascii="Times New Roman" w:hAnsi="Times New Roman"/>
                      <w:szCs w:val="21"/>
                    </w:rPr>
                  </w:pPr>
                  <w:r>
                    <w:rPr>
                      <w:rFonts w:ascii="Times New Roman" w:hAnsi="Times New Roman"/>
                      <w:spacing w:val="-17"/>
                      <w:szCs w:val="21"/>
                    </w:rPr>
                    <w:t>设备运行、物料</w:t>
                  </w:r>
                  <w:r>
                    <w:rPr>
                      <w:rFonts w:ascii="Times New Roman" w:hAnsi="Times New Roman"/>
                      <w:spacing w:val="-3"/>
                      <w:szCs w:val="21"/>
                    </w:rPr>
                    <w:t>输送等</w:t>
                  </w:r>
                </w:p>
              </w:tc>
              <w:tc>
                <w:tcPr>
                  <w:tcW w:w="1587" w:type="pct"/>
                  <w:tcBorders>
                    <w:tl2br w:val="nil"/>
                    <w:tr2bl w:val="nil"/>
                  </w:tcBorders>
                  <w:vAlign w:val="center"/>
                </w:tcPr>
                <w:p>
                  <w:pPr>
                    <w:jc w:val="center"/>
                    <w:rPr>
                      <w:rFonts w:ascii="Times New Roman" w:hAnsi="Times New Roman"/>
                      <w:szCs w:val="21"/>
                    </w:rPr>
                  </w:pPr>
                  <w:r>
                    <w:rPr>
                      <w:rFonts w:ascii="Times New Roman" w:hAnsi="Times New Roman"/>
                      <w:spacing w:val="-10"/>
                      <w:szCs w:val="21"/>
                    </w:rPr>
                    <w:t>噪声</w:t>
                  </w:r>
                </w:p>
              </w:tc>
              <w:tc>
                <w:tcPr>
                  <w:tcW w:w="1788" w:type="pct"/>
                  <w:tcBorders>
                    <w:tl2br w:val="nil"/>
                    <w:tr2bl w:val="nil"/>
                  </w:tcBorders>
                  <w:vAlign w:val="center"/>
                </w:tcPr>
                <w:p>
                  <w:pPr>
                    <w:jc w:val="center"/>
                    <w:rPr>
                      <w:rFonts w:ascii="Times New Roman" w:hAnsi="Times New Roman"/>
                      <w:szCs w:val="21"/>
                    </w:rPr>
                  </w:pPr>
                  <w:r>
                    <w:rPr>
                      <w:rFonts w:ascii="Times New Roman" w:hAnsi="Times New Roman"/>
                      <w:spacing w:val="-1"/>
                      <w:szCs w:val="21"/>
                    </w:rPr>
                    <w:t>基础减振、设置消声罩</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82" w:type="pct"/>
                  <w:vMerge w:val="restart"/>
                  <w:tcBorders>
                    <w:tl2br w:val="nil"/>
                    <w:tr2bl w:val="nil"/>
                  </w:tcBorders>
                  <w:vAlign w:val="center"/>
                </w:tcPr>
                <w:p>
                  <w:pPr>
                    <w:jc w:val="center"/>
                    <w:rPr>
                      <w:rFonts w:ascii="Times New Roman" w:hAnsi="Times New Roman"/>
                      <w:szCs w:val="21"/>
                    </w:rPr>
                  </w:pPr>
                  <w:r>
                    <w:rPr>
                      <w:rFonts w:ascii="Times New Roman" w:hAnsi="Times New Roman"/>
                      <w:spacing w:val="-14"/>
                      <w:szCs w:val="21"/>
                    </w:rPr>
                    <w:t>固废</w:t>
                  </w:r>
                </w:p>
              </w:tc>
              <w:tc>
                <w:tcPr>
                  <w:tcW w:w="1242"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生产过程</w:t>
                  </w:r>
                </w:p>
              </w:tc>
              <w:tc>
                <w:tcPr>
                  <w:tcW w:w="1587" w:type="pct"/>
                  <w:tcBorders>
                    <w:tl2br w:val="nil"/>
                    <w:tr2bl w:val="nil"/>
                  </w:tcBorders>
                  <w:vAlign w:val="center"/>
                </w:tcPr>
                <w:p>
                  <w:pPr>
                    <w:jc w:val="center"/>
                    <w:rPr>
                      <w:rFonts w:ascii="Times New Roman" w:hAnsi="Times New Roman"/>
                      <w:szCs w:val="21"/>
                    </w:rPr>
                  </w:pPr>
                  <w:r>
                    <w:rPr>
                      <w:rFonts w:ascii="Times New Roman" w:hAnsi="Times New Roman"/>
                      <w:spacing w:val="-4"/>
                      <w:szCs w:val="21"/>
                    </w:rPr>
                    <w:t>除尘器收集</w:t>
                  </w:r>
                  <w:r>
                    <w:rPr>
                      <w:rFonts w:ascii="Times New Roman" w:hAnsi="Times New Roman"/>
                      <w:spacing w:val="-5"/>
                      <w:szCs w:val="21"/>
                    </w:rPr>
                    <w:t>粉尘、废混凝土</w:t>
                  </w:r>
                </w:p>
              </w:tc>
              <w:tc>
                <w:tcPr>
                  <w:tcW w:w="1788"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回用于生产</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382" w:type="pct"/>
                  <w:vMerge w:val="continue"/>
                  <w:tcBorders>
                    <w:tl2br w:val="nil"/>
                    <w:tr2bl w:val="nil"/>
                  </w:tcBorders>
                  <w:vAlign w:val="center"/>
                </w:tcPr>
                <w:p>
                  <w:pPr>
                    <w:jc w:val="center"/>
                    <w:rPr>
                      <w:rFonts w:ascii="Times New Roman" w:hAnsi="Times New Roman"/>
                    </w:rPr>
                  </w:pPr>
                </w:p>
              </w:tc>
              <w:tc>
                <w:tcPr>
                  <w:tcW w:w="1242" w:type="pct"/>
                  <w:tcBorders>
                    <w:tl2br w:val="nil"/>
                    <w:tr2bl w:val="nil"/>
                  </w:tcBorders>
                  <w:vAlign w:val="center"/>
                </w:tcPr>
                <w:p>
                  <w:pPr>
                    <w:jc w:val="center"/>
                    <w:rPr>
                      <w:rFonts w:ascii="Times New Roman" w:hAnsi="Times New Roman"/>
                      <w:szCs w:val="21"/>
                    </w:rPr>
                  </w:pPr>
                  <w:r>
                    <w:rPr>
                      <w:rFonts w:ascii="Times New Roman" w:hAnsi="Times New Roman"/>
                      <w:spacing w:val="-5"/>
                      <w:szCs w:val="21"/>
                    </w:rPr>
                    <w:t>员工生活</w:t>
                  </w:r>
                </w:p>
              </w:tc>
              <w:tc>
                <w:tcPr>
                  <w:tcW w:w="1587"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生活垃圾</w:t>
                  </w:r>
                </w:p>
              </w:tc>
              <w:tc>
                <w:tcPr>
                  <w:tcW w:w="1788"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收集后交由环卫部门统一处理</w:t>
                  </w:r>
                </w:p>
              </w:tc>
            </w:tr>
          </w:tbl>
          <w:p>
            <w:pPr>
              <w:spacing w:line="51"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3" w:type="dxa"/>
            <w:vAlign w:val="center"/>
          </w:tcPr>
          <w:p>
            <w:pPr>
              <w:pStyle w:val="21"/>
            </w:pPr>
            <w:r>
              <w:t>与项目有关的原有环境污染问题</w:t>
            </w:r>
          </w:p>
        </w:tc>
        <w:tc>
          <w:tcPr>
            <w:tcW w:w="8161" w:type="dxa"/>
            <w:vAlign w:val="center"/>
          </w:tcPr>
          <w:p>
            <w:pPr>
              <w:spacing w:line="360" w:lineRule="auto"/>
              <w:ind w:firstLine="480" w:firstLineChars="200"/>
              <w:rPr>
                <w:rFonts w:ascii="Times New Roman" w:hAnsi="Times New Roman"/>
                <w:sz w:val="24"/>
              </w:rPr>
            </w:pPr>
            <w:r>
              <w:rPr>
                <w:rFonts w:ascii="Times New Roman" w:hAnsi="Times New Roman"/>
                <w:sz w:val="24"/>
              </w:rPr>
              <w:t>本项目为托克逊县天马建材有限责任公司租赁用地。本项目为新建项目，没有其他与本项目有关的原有污染物与环境问题。</w:t>
            </w:r>
          </w:p>
          <w:p>
            <w:pPr>
              <w:pStyle w:val="30"/>
              <w:jc w:val="both"/>
              <w:rPr>
                <w:color w:val="auto"/>
              </w:rPr>
            </w:pPr>
          </w:p>
        </w:tc>
      </w:tr>
    </w:tbl>
    <w:p>
      <w:pPr>
        <w:pStyle w:val="21"/>
        <w:spacing w:before="0" w:beforeAutospacing="0" w:after="0" w:afterAutospacing="0"/>
        <w:rPr>
          <w:rFonts w:ascii="宋体" w:hAnsi="宋体" w:eastAsia="宋体" w:cs="宋体"/>
          <w:b/>
          <w:bCs/>
          <w:sz w:val="28"/>
          <w:szCs w:val="28"/>
        </w:rPr>
      </w:pPr>
      <w:r>
        <w:br w:type="page"/>
      </w:r>
      <w:r>
        <w:rPr>
          <w:rFonts w:hint="eastAsia" w:ascii="宋体" w:hAnsi="宋体" w:eastAsia="宋体" w:cs="宋体"/>
          <w:b/>
          <w:bCs/>
          <w:sz w:val="28"/>
          <w:szCs w:val="28"/>
        </w:rPr>
        <w:t>三、区域环境质量现状、环境保护目标及评价标准</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9"/>
        <w:gridCol w:w="80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449" w:type="dxa"/>
            <w:vAlign w:val="center"/>
          </w:tcPr>
          <w:p>
            <w:pPr>
              <w:adjustRightInd w:val="0"/>
              <w:snapToGrid w:val="0"/>
              <w:jc w:val="center"/>
              <w:rPr>
                <w:rFonts w:ascii="Times New Roman" w:hAnsi="Times New Roman"/>
                <w:kern w:val="0"/>
                <w:szCs w:val="21"/>
              </w:rPr>
            </w:pPr>
            <w:r>
              <w:rPr>
                <w:rFonts w:ascii="Times New Roman" w:hAnsi="Times New Roman"/>
                <w:kern w:val="0"/>
                <w:szCs w:val="21"/>
              </w:rPr>
              <w:t>区域</w:t>
            </w:r>
          </w:p>
          <w:p>
            <w:pPr>
              <w:adjustRightInd w:val="0"/>
              <w:snapToGrid w:val="0"/>
              <w:jc w:val="center"/>
              <w:rPr>
                <w:rFonts w:ascii="Times New Roman" w:hAnsi="Times New Roman"/>
                <w:kern w:val="0"/>
                <w:szCs w:val="21"/>
              </w:rPr>
            </w:pPr>
            <w:r>
              <w:rPr>
                <w:rFonts w:ascii="Times New Roman" w:hAnsi="Times New Roman"/>
                <w:kern w:val="0"/>
                <w:szCs w:val="21"/>
              </w:rPr>
              <w:t>环境</w:t>
            </w:r>
          </w:p>
          <w:p>
            <w:pPr>
              <w:adjustRightInd w:val="0"/>
              <w:snapToGrid w:val="0"/>
              <w:jc w:val="center"/>
              <w:rPr>
                <w:rFonts w:ascii="Times New Roman" w:hAnsi="Times New Roman"/>
                <w:kern w:val="0"/>
                <w:szCs w:val="21"/>
              </w:rPr>
            </w:pPr>
            <w:r>
              <w:rPr>
                <w:rFonts w:ascii="Times New Roman" w:hAnsi="Times New Roman"/>
                <w:kern w:val="0"/>
                <w:szCs w:val="21"/>
              </w:rPr>
              <w:t>质量</w:t>
            </w:r>
          </w:p>
          <w:p>
            <w:pPr>
              <w:adjustRightInd w:val="0"/>
              <w:snapToGrid w:val="0"/>
              <w:jc w:val="center"/>
              <w:rPr>
                <w:rFonts w:ascii="Times New Roman" w:hAnsi="Times New Roman"/>
                <w:kern w:val="0"/>
                <w:szCs w:val="21"/>
              </w:rPr>
            </w:pPr>
            <w:r>
              <w:rPr>
                <w:rFonts w:ascii="Times New Roman" w:hAnsi="Times New Roman"/>
                <w:kern w:val="0"/>
                <w:szCs w:val="21"/>
              </w:rPr>
              <w:t>现状</w:t>
            </w:r>
          </w:p>
        </w:tc>
        <w:tc>
          <w:tcPr>
            <w:tcW w:w="8073" w:type="dxa"/>
            <w:vAlign w:val="center"/>
          </w:tcPr>
          <w:p>
            <w:pPr>
              <w:spacing w:before="156" w:beforeLines="50" w:line="360" w:lineRule="auto"/>
              <w:ind w:firstLine="482" w:firstLineChars="200"/>
              <w:rPr>
                <w:rFonts w:ascii="Times New Roman" w:hAnsi="Times New Roman"/>
                <w:b/>
                <w:bCs/>
                <w:sz w:val="24"/>
              </w:rPr>
            </w:pPr>
            <w:r>
              <w:rPr>
                <w:rFonts w:ascii="Times New Roman" w:hAnsi="Times New Roman"/>
                <w:b/>
                <w:bCs/>
                <w:sz w:val="24"/>
              </w:rPr>
              <w:t>1、环境空气质量现状调查与评价</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根据《建设项目环境影响报告表编制技术指南（污染影响类）（试行）》对大气环境质量现状数据的要求，根据环境空气质量模型技术支持服务系统（http://cloud.lem.org.cn/）中吐鲁番市2022年数据，评价所在区域环境质量达标情况。</w:t>
            </w:r>
          </w:p>
          <w:p>
            <w:pPr>
              <w:adjustRightInd w:val="0"/>
              <w:snapToGrid w:val="0"/>
              <w:ind w:firstLine="480" w:firstLineChars="200"/>
              <w:jc w:val="center"/>
              <w:outlineLvl w:val="3"/>
              <w:rPr>
                <w:rFonts w:ascii="Times New Roman" w:hAnsi="Times New Roman" w:eastAsia="黑体"/>
                <w:sz w:val="24"/>
              </w:rPr>
            </w:pPr>
            <w:r>
              <w:rPr>
                <w:rFonts w:ascii="Times New Roman" w:hAnsi="Times New Roman" w:eastAsia="黑体"/>
                <w:sz w:val="24"/>
              </w:rPr>
              <w:t>表3-</w:t>
            </w:r>
            <w:r>
              <w:rPr>
                <w:rFonts w:hint="eastAsia" w:ascii="Times New Roman" w:hAnsi="Times New Roman" w:eastAsia="黑体"/>
                <w:sz w:val="24"/>
              </w:rPr>
              <w:t xml:space="preserve">1  </w:t>
            </w:r>
            <w:r>
              <w:rPr>
                <w:rFonts w:ascii="Times New Roman" w:hAnsi="Times New Roman" w:eastAsia="黑体"/>
                <w:sz w:val="24"/>
              </w:rPr>
              <w:t>区域环境空气质量现状评价结果统计表</w:t>
            </w:r>
          </w:p>
          <w:tbl>
            <w:tblPr>
              <w:tblStyle w:val="25"/>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442"/>
              <w:gridCol w:w="1309"/>
              <w:gridCol w:w="1309"/>
              <w:gridCol w:w="1311"/>
              <w:gridCol w:w="13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污染物</w:t>
                  </w: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评价项目</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浓度（μm/m</w:t>
                  </w:r>
                  <w:r>
                    <w:rPr>
                      <w:rFonts w:ascii="Times New Roman" w:hAnsi="Times New Roman"/>
                      <w:szCs w:val="21"/>
                      <w:vertAlign w:val="superscript"/>
                    </w:rPr>
                    <w:t>3</w:t>
                  </w:r>
                  <w:r>
                    <w:rPr>
                      <w:rFonts w:ascii="Times New Roman" w:hAnsi="Times New Roman"/>
                      <w:szCs w:val="21"/>
                    </w:rPr>
                    <w:t>）</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标准（二级）（μm/m</w:t>
                  </w:r>
                  <w:r>
                    <w:rPr>
                      <w:rFonts w:ascii="Times New Roman" w:hAnsi="Times New Roman"/>
                      <w:szCs w:val="21"/>
                      <w:vertAlign w:val="superscript"/>
                    </w:rPr>
                    <w:t>3</w:t>
                  </w:r>
                  <w:r>
                    <w:rPr>
                      <w:rFonts w:ascii="Times New Roman" w:hAnsi="Times New Roman"/>
                      <w:szCs w:val="21"/>
                    </w:rPr>
                    <w:t>）</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占标率%</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vMerge w:val="restar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SO</w:t>
                  </w:r>
                  <w:r>
                    <w:rPr>
                      <w:rFonts w:ascii="Times New Roman" w:hAnsi="Times New Roman"/>
                      <w:szCs w:val="21"/>
                      <w:vertAlign w:val="subscript"/>
                    </w:rPr>
                    <w:t>2</w:t>
                  </w: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年平均</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8</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60</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13.33</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vMerge w:val="continue"/>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24h平均第98百分位数</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14</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150</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9.33</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vMerge w:val="restar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NO</w:t>
                  </w:r>
                  <w:r>
                    <w:rPr>
                      <w:rFonts w:ascii="Times New Roman" w:hAnsi="Times New Roman"/>
                      <w:szCs w:val="21"/>
                      <w:vertAlign w:val="subscript"/>
                    </w:rPr>
                    <w:t>2</w:t>
                  </w: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年平均</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30</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40</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75</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vMerge w:val="continue"/>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24h平均第98百分位数</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70</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80</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87.5</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CO（mg/m</w:t>
                  </w:r>
                  <w:r>
                    <w:rPr>
                      <w:rFonts w:ascii="Times New Roman" w:hAnsi="Times New Roman"/>
                      <w:szCs w:val="21"/>
                      <w:vertAlign w:val="superscript"/>
                    </w:rPr>
                    <w:t>3</w:t>
                  </w:r>
                  <w:r>
                    <w:rPr>
                      <w:rFonts w:ascii="Times New Roman" w:hAnsi="Times New Roman"/>
                      <w:szCs w:val="21"/>
                    </w:rPr>
                    <w:t>）</w:t>
                  </w: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24h平均第95百分位数</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2.9</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4</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0.07</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O</w:t>
                  </w:r>
                  <w:r>
                    <w:rPr>
                      <w:rFonts w:ascii="Times New Roman" w:hAnsi="Times New Roman"/>
                      <w:szCs w:val="21"/>
                      <w:vertAlign w:val="subscript"/>
                    </w:rPr>
                    <w:t>3</w:t>
                  </w: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8h平均第90百分位数</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132</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160</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82.5</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vMerge w:val="restar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PM</w:t>
                  </w:r>
                  <w:r>
                    <w:rPr>
                      <w:rFonts w:ascii="Times New Roman" w:hAnsi="Times New Roman"/>
                      <w:szCs w:val="21"/>
                      <w:vertAlign w:val="subscript"/>
                    </w:rPr>
                    <w:t>10</w:t>
                  </w: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年平均</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138</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70</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197.14</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vMerge w:val="continue"/>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24h平均第95百分位数</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293</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150</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195.3</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vMerge w:val="restar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PM</w:t>
                  </w:r>
                  <w:r>
                    <w:rPr>
                      <w:rFonts w:ascii="Times New Roman" w:hAnsi="Times New Roman"/>
                      <w:szCs w:val="21"/>
                      <w:vertAlign w:val="subscript"/>
                    </w:rPr>
                    <w:t>2.5</w:t>
                  </w: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年平均</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52</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35</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148.57</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5" w:type="pct"/>
                  <w:vMerge w:val="continue"/>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p>
              </w:tc>
              <w:tc>
                <w:tcPr>
                  <w:tcW w:w="918"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24h平均第95百分位数</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140</w:t>
                  </w:r>
                </w:p>
              </w:tc>
              <w:tc>
                <w:tcPr>
                  <w:tcW w:w="833"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75</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186.67</w:t>
                  </w:r>
                </w:p>
              </w:tc>
              <w:tc>
                <w:tcPr>
                  <w:tcW w:w="834" w:type="pct"/>
                  <w:tcBorders>
                    <w:tl2br w:val="nil"/>
                    <w:tr2bl w:val="nil"/>
                  </w:tcBorders>
                  <w:vAlign w:val="center"/>
                </w:tcPr>
                <w:p>
                  <w:pPr>
                    <w:widowControl/>
                    <w:overflowPunct w:val="0"/>
                    <w:autoSpaceDE w:val="0"/>
                    <w:autoSpaceDN w:val="0"/>
                    <w:adjustRightInd w:val="0"/>
                    <w:snapToGrid w:val="0"/>
                    <w:jc w:val="center"/>
                    <w:textAlignment w:val="center"/>
                    <w:rPr>
                      <w:rFonts w:ascii="Times New Roman" w:hAnsi="Times New Roman"/>
                      <w:szCs w:val="21"/>
                    </w:rPr>
                  </w:pPr>
                  <w:r>
                    <w:rPr>
                      <w:rFonts w:ascii="Times New Roman" w:hAnsi="Times New Roman"/>
                      <w:szCs w:val="21"/>
                    </w:rPr>
                    <w:t>不达标</w:t>
                  </w:r>
                </w:p>
              </w:tc>
            </w:tr>
          </w:tbl>
          <w:p>
            <w:pPr>
              <w:adjustRightInd w:val="0"/>
              <w:snapToGrid w:val="0"/>
              <w:spacing w:line="360" w:lineRule="auto"/>
              <w:ind w:firstLine="480" w:firstLineChars="200"/>
              <w:rPr>
                <w:rFonts w:ascii="Times New Roman" w:hAnsi="Times New Roman"/>
                <w:sz w:val="24"/>
              </w:rPr>
            </w:pPr>
            <w:r>
              <w:rPr>
                <w:rFonts w:ascii="Times New Roman" w:hAnsi="Times New Roman"/>
                <w:sz w:val="24"/>
              </w:rPr>
              <w:t>2022年，吐鲁番市空气质量监测总天数为365天，因受沙尘天气影响，PM</w:t>
            </w:r>
            <w:r>
              <w:rPr>
                <w:rFonts w:ascii="Times New Roman" w:hAnsi="Times New Roman"/>
                <w:sz w:val="24"/>
                <w:vertAlign w:val="subscript"/>
              </w:rPr>
              <w:t>10</w:t>
            </w:r>
            <w:r>
              <w:rPr>
                <w:rFonts w:ascii="Times New Roman" w:hAnsi="Times New Roman"/>
                <w:sz w:val="24"/>
              </w:rPr>
              <w:t>、PM</w:t>
            </w:r>
            <w:r>
              <w:rPr>
                <w:rFonts w:ascii="Times New Roman" w:hAnsi="Times New Roman"/>
                <w:sz w:val="24"/>
                <w:vertAlign w:val="subscript"/>
              </w:rPr>
              <w:t>2.5</w:t>
            </w:r>
            <w:r>
              <w:rPr>
                <w:rFonts w:ascii="Times New Roman" w:hAnsi="Times New Roman"/>
                <w:sz w:val="24"/>
              </w:rPr>
              <w:t>年、日均值浓度超过《环境空气质量标准》（GB3095-2012）二级标准，SO</w:t>
            </w:r>
            <w:r>
              <w:rPr>
                <w:rFonts w:ascii="Times New Roman" w:hAnsi="Times New Roman"/>
                <w:sz w:val="24"/>
                <w:vertAlign w:val="subscript"/>
              </w:rPr>
              <w:t>2</w:t>
            </w:r>
            <w:r>
              <w:rPr>
                <w:rFonts w:ascii="Times New Roman" w:hAnsi="Times New Roman"/>
                <w:sz w:val="24"/>
              </w:rPr>
              <w:t>、NO</w:t>
            </w:r>
            <w:r>
              <w:rPr>
                <w:rFonts w:ascii="Times New Roman" w:hAnsi="Times New Roman"/>
                <w:sz w:val="24"/>
                <w:vertAlign w:val="subscript"/>
              </w:rPr>
              <w:t>2</w:t>
            </w:r>
            <w:r>
              <w:rPr>
                <w:rFonts w:ascii="Times New Roman" w:hAnsi="Times New Roman"/>
                <w:sz w:val="24"/>
              </w:rPr>
              <w:t>、CO、O</w:t>
            </w:r>
            <w:r>
              <w:rPr>
                <w:rFonts w:ascii="Times New Roman" w:hAnsi="Times New Roman"/>
                <w:sz w:val="24"/>
                <w:vertAlign w:val="subscript"/>
              </w:rPr>
              <w:t>3</w:t>
            </w:r>
            <w:r>
              <w:rPr>
                <w:rFonts w:ascii="Times New Roman" w:hAnsi="Times New Roman"/>
                <w:sz w:val="24"/>
              </w:rPr>
              <w:t>等其他监测指标均满足二级标准，因此判断本项目所在区域为不达标区域。</w:t>
            </w:r>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1.1特征因子监测</w:t>
            </w:r>
          </w:p>
          <w:p>
            <w:pPr>
              <w:spacing w:line="360" w:lineRule="auto"/>
              <w:ind w:firstLine="480" w:firstLineChars="200"/>
              <w:rPr>
                <w:rFonts w:ascii="Times New Roman" w:hAnsi="Times New Roman"/>
                <w:sz w:val="24"/>
                <w:szCs w:val="32"/>
              </w:rPr>
            </w:pPr>
            <w:r>
              <w:rPr>
                <w:rFonts w:hint="eastAsia" w:ascii="Times New Roman" w:hAnsi="Times New Roman"/>
                <w:sz w:val="24"/>
                <w:szCs w:val="32"/>
              </w:rPr>
              <w:t>为了开展项目区附近</w:t>
            </w:r>
            <w:r>
              <w:rPr>
                <w:rFonts w:ascii="Times New Roman" w:hAnsi="Times New Roman"/>
                <w:sz w:val="24"/>
                <w:szCs w:val="32"/>
              </w:rPr>
              <w:t>TSP现状</w:t>
            </w:r>
            <w:r>
              <w:rPr>
                <w:rFonts w:hint="eastAsia" w:ascii="Times New Roman" w:hAnsi="Times New Roman"/>
                <w:sz w:val="24"/>
                <w:szCs w:val="32"/>
              </w:rPr>
              <w:t>调查，建设单位委托新疆朗天星河环境检测技术有限公司对项目区下风向TSP进行监测，监测时间为</w:t>
            </w:r>
            <w:r>
              <w:rPr>
                <w:rFonts w:ascii="Times New Roman" w:hAnsi="Times New Roman"/>
                <w:sz w:val="24"/>
                <w:szCs w:val="32"/>
              </w:rPr>
              <w:t>202</w:t>
            </w:r>
            <w:r>
              <w:rPr>
                <w:rFonts w:hint="eastAsia" w:ascii="Times New Roman" w:hAnsi="Times New Roman"/>
                <w:sz w:val="24"/>
                <w:szCs w:val="32"/>
              </w:rPr>
              <w:t>4</w:t>
            </w:r>
            <w:r>
              <w:rPr>
                <w:rFonts w:ascii="Times New Roman" w:hAnsi="Times New Roman"/>
                <w:sz w:val="24"/>
                <w:szCs w:val="32"/>
              </w:rPr>
              <w:t>年</w:t>
            </w:r>
            <w:r>
              <w:rPr>
                <w:rFonts w:hint="eastAsia" w:ascii="Times New Roman" w:hAnsi="Times New Roman"/>
                <w:sz w:val="24"/>
                <w:szCs w:val="32"/>
              </w:rPr>
              <w:t>2</w:t>
            </w:r>
            <w:r>
              <w:rPr>
                <w:rFonts w:ascii="Times New Roman" w:hAnsi="Times New Roman"/>
                <w:sz w:val="24"/>
                <w:szCs w:val="32"/>
              </w:rPr>
              <w:t>月2</w:t>
            </w:r>
            <w:r>
              <w:rPr>
                <w:rFonts w:hint="eastAsia" w:ascii="Times New Roman" w:hAnsi="Times New Roman"/>
                <w:sz w:val="24"/>
                <w:szCs w:val="32"/>
              </w:rPr>
              <w:t>9</w:t>
            </w:r>
            <w:r>
              <w:rPr>
                <w:rFonts w:ascii="Times New Roman" w:hAnsi="Times New Roman"/>
                <w:sz w:val="24"/>
                <w:szCs w:val="32"/>
              </w:rPr>
              <w:t>日-</w:t>
            </w:r>
            <w:r>
              <w:rPr>
                <w:rFonts w:hint="eastAsia" w:ascii="Times New Roman" w:hAnsi="Times New Roman"/>
                <w:sz w:val="24"/>
                <w:szCs w:val="32"/>
              </w:rPr>
              <w:t>3月2</w:t>
            </w:r>
            <w:r>
              <w:rPr>
                <w:rFonts w:ascii="Times New Roman" w:hAnsi="Times New Roman"/>
                <w:sz w:val="24"/>
                <w:szCs w:val="32"/>
              </w:rPr>
              <w:t>日（连续3天）</w:t>
            </w:r>
            <w:r>
              <w:rPr>
                <w:rFonts w:hint="eastAsia" w:ascii="Times New Roman" w:hAnsi="Times New Roman"/>
                <w:sz w:val="24"/>
                <w:szCs w:val="32"/>
              </w:rPr>
              <w:t>，监测点位于本项目东南侧200km</w:t>
            </w:r>
            <w:r>
              <w:rPr>
                <w:rFonts w:ascii="Times New Roman" w:hAnsi="Times New Roman"/>
                <w:sz w:val="24"/>
                <w:szCs w:val="32"/>
              </w:rPr>
              <w:t>。监测报告详见附件。</w:t>
            </w:r>
          </w:p>
          <w:p>
            <w:pPr>
              <w:adjustRightInd w:val="0"/>
              <w:snapToGrid w:val="0"/>
              <w:spacing w:line="480" w:lineRule="exact"/>
              <w:ind w:firstLine="480" w:firstLineChars="200"/>
              <w:jc w:val="left"/>
              <w:rPr>
                <w:rFonts w:ascii="Times New Roman" w:hAnsi="Times New Roman"/>
                <w:sz w:val="24"/>
              </w:rPr>
            </w:pPr>
            <w:r>
              <w:rPr>
                <w:rFonts w:ascii="Times New Roman" w:hAnsi="Times New Roman"/>
                <w:sz w:val="24"/>
              </w:rPr>
              <w:t>（1）评价标准</w:t>
            </w:r>
          </w:p>
          <w:p>
            <w:pPr>
              <w:spacing w:line="480" w:lineRule="exact"/>
              <w:ind w:firstLine="480" w:firstLineChars="200"/>
              <w:rPr>
                <w:rFonts w:ascii="Times New Roman" w:hAnsi="Times New Roman"/>
                <w:sz w:val="24"/>
              </w:rPr>
            </w:pPr>
            <w:r>
              <w:rPr>
                <w:rFonts w:ascii="Times New Roman" w:hAnsi="Times New Roman"/>
                <w:sz w:val="24"/>
              </w:rPr>
              <w:t>本次环境空气质量现状评价采用《环境空气质量标准》（GB3095-2012）中的二级标准。</w:t>
            </w:r>
          </w:p>
          <w:p>
            <w:pPr>
              <w:adjustRightInd w:val="0"/>
              <w:snapToGrid w:val="0"/>
              <w:spacing w:line="480" w:lineRule="exact"/>
              <w:ind w:firstLine="480" w:firstLineChars="200"/>
              <w:jc w:val="left"/>
              <w:rPr>
                <w:rFonts w:ascii="Times New Roman" w:hAnsi="Times New Roman"/>
                <w:sz w:val="24"/>
              </w:rPr>
            </w:pPr>
            <w:r>
              <w:rPr>
                <w:rFonts w:ascii="Times New Roman" w:hAnsi="Times New Roman"/>
                <w:sz w:val="24"/>
              </w:rPr>
              <w:t>（2）评价方法</w:t>
            </w:r>
          </w:p>
          <w:p>
            <w:pPr>
              <w:adjustRightInd w:val="0"/>
              <w:snapToGrid w:val="0"/>
              <w:spacing w:line="480" w:lineRule="exact"/>
              <w:ind w:firstLine="480" w:firstLineChars="200"/>
              <w:jc w:val="left"/>
              <w:rPr>
                <w:rFonts w:ascii="Times New Roman" w:hAnsi="Times New Roman"/>
                <w:sz w:val="24"/>
              </w:rPr>
            </w:pPr>
            <w:r>
              <w:rPr>
                <w:rFonts w:ascii="Times New Roman" w:hAnsi="Times New Roman"/>
                <w:sz w:val="24"/>
              </w:rPr>
              <w:t>评价方法采用最大质量浓度占相应标准质量浓度限值的百分比，及超标率对监测结果进行评价分析。计算公式如下：</w:t>
            </w:r>
          </w:p>
          <w:p>
            <w:pPr>
              <w:adjustRightInd w:val="0"/>
              <w:snapToGrid w:val="0"/>
              <w:spacing w:line="480" w:lineRule="exact"/>
              <w:ind w:firstLine="480" w:firstLineChars="200"/>
              <w:jc w:val="center"/>
              <w:rPr>
                <w:rFonts w:ascii="Times New Roman" w:hAnsi="Times New Roman"/>
                <w:sz w:val="24"/>
              </w:rPr>
            </w:pPr>
            <w:r>
              <w:rPr>
                <w:rFonts w:ascii="Times New Roman" w:hAnsi="Times New Roman"/>
                <w:sz w:val="24"/>
              </w:rPr>
              <w:t>P</w:t>
            </w:r>
            <w:r>
              <w:rPr>
                <w:rFonts w:ascii="Times New Roman" w:hAnsi="Times New Roman"/>
                <w:sz w:val="24"/>
                <w:vertAlign w:val="subscript"/>
              </w:rPr>
              <w:t>i</w:t>
            </w:r>
            <w:r>
              <w:rPr>
                <w:rFonts w:ascii="Times New Roman" w:hAnsi="Times New Roman"/>
                <w:sz w:val="24"/>
              </w:rPr>
              <w:t>=C</w:t>
            </w:r>
            <w:r>
              <w:rPr>
                <w:rFonts w:ascii="Times New Roman" w:hAnsi="Times New Roman"/>
                <w:sz w:val="24"/>
                <w:vertAlign w:val="subscript"/>
              </w:rPr>
              <w:t>i</w:t>
            </w:r>
            <w:r>
              <w:rPr>
                <w:rFonts w:ascii="Times New Roman" w:hAnsi="Times New Roman"/>
                <w:sz w:val="24"/>
              </w:rPr>
              <w:t>/C</w:t>
            </w:r>
            <w:r>
              <w:rPr>
                <w:rFonts w:ascii="Times New Roman" w:hAnsi="Times New Roman"/>
                <w:sz w:val="24"/>
                <w:vertAlign w:val="subscript"/>
              </w:rPr>
              <w:t>oi</w:t>
            </w:r>
            <w:r>
              <w:rPr>
                <w:rFonts w:ascii="Times New Roman" w:hAnsi="Times New Roman"/>
                <w:sz w:val="24"/>
              </w:rPr>
              <w:t>×100%</w:t>
            </w:r>
          </w:p>
          <w:p>
            <w:pPr>
              <w:adjustRightInd w:val="0"/>
              <w:snapToGrid w:val="0"/>
              <w:spacing w:line="480" w:lineRule="exact"/>
              <w:ind w:firstLine="480" w:firstLineChars="200"/>
              <w:jc w:val="center"/>
              <w:rPr>
                <w:rFonts w:ascii="Times New Roman" w:hAnsi="Times New Roman"/>
                <w:sz w:val="24"/>
              </w:rPr>
            </w:pPr>
            <w:r>
              <w:rPr>
                <w:rFonts w:ascii="Times New Roman" w:hAnsi="Times New Roman"/>
                <w:sz w:val="24"/>
              </w:rPr>
              <w:t>式中：P</w:t>
            </w:r>
            <w:r>
              <w:rPr>
                <w:rFonts w:ascii="Times New Roman" w:hAnsi="Times New Roman"/>
                <w:sz w:val="24"/>
                <w:vertAlign w:val="subscript"/>
              </w:rPr>
              <w:t>i</w:t>
            </w:r>
            <w:r>
              <w:rPr>
                <w:rFonts w:ascii="Times New Roman" w:hAnsi="Times New Roman"/>
                <w:sz w:val="24"/>
              </w:rPr>
              <w:t>—某种污染物的最大地面质量浓度占标率，%；</w:t>
            </w:r>
          </w:p>
          <w:p>
            <w:pPr>
              <w:adjustRightInd w:val="0"/>
              <w:snapToGrid w:val="0"/>
              <w:spacing w:line="480" w:lineRule="exact"/>
              <w:ind w:firstLine="480" w:firstLineChars="200"/>
              <w:jc w:val="center"/>
              <w:rPr>
                <w:rFonts w:ascii="Times New Roman" w:hAnsi="Times New Roman"/>
                <w:sz w:val="24"/>
              </w:rPr>
            </w:pPr>
            <w:r>
              <w:rPr>
                <w:rFonts w:ascii="Times New Roman" w:hAnsi="Times New Roman"/>
                <w:sz w:val="24"/>
              </w:rPr>
              <w:t>C</w:t>
            </w:r>
            <w:r>
              <w:rPr>
                <w:rFonts w:ascii="Times New Roman" w:hAnsi="Times New Roman"/>
                <w:sz w:val="24"/>
                <w:vertAlign w:val="subscript"/>
              </w:rPr>
              <w:t>i</w:t>
            </w:r>
            <w:r>
              <w:rPr>
                <w:rFonts w:ascii="Times New Roman" w:hAnsi="Times New Roman"/>
                <w:sz w:val="24"/>
              </w:rPr>
              <w:t>—某种污染物的实际监测浓度，mg/m³；</w:t>
            </w:r>
          </w:p>
          <w:p>
            <w:pPr>
              <w:adjustRightInd w:val="0"/>
              <w:snapToGrid w:val="0"/>
              <w:spacing w:line="480" w:lineRule="exact"/>
              <w:ind w:firstLine="480" w:firstLineChars="200"/>
              <w:jc w:val="center"/>
              <w:rPr>
                <w:rFonts w:ascii="Times New Roman" w:hAnsi="Times New Roman"/>
                <w:sz w:val="24"/>
              </w:rPr>
            </w:pPr>
            <w:r>
              <w:rPr>
                <w:rFonts w:ascii="Times New Roman" w:hAnsi="Times New Roman"/>
                <w:sz w:val="24"/>
              </w:rPr>
              <w:t>C</w:t>
            </w:r>
            <w:r>
              <w:rPr>
                <w:rFonts w:ascii="Times New Roman" w:hAnsi="Times New Roman"/>
                <w:sz w:val="24"/>
                <w:vertAlign w:val="subscript"/>
              </w:rPr>
              <w:t>oi</w:t>
            </w:r>
            <w:r>
              <w:rPr>
                <w:rFonts w:ascii="Times New Roman" w:hAnsi="Times New Roman"/>
                <w:sz w:val="24"/>
              </w:rPr>
              <w:t>—某种污染物的环境空气标准浓度，mg/m³。</w:t>
            </w:r>
          </w:p>
          <w:p>
            <w:pPr>
              <w:pStyle w:val="11"/>
              <w:rPr>
                <w:rFonts w:ascii="Times New Roman" w:hAnsi="Times New Roman"/>
              </w:rPr>
            </w:pPr>
            <w:r>
              <w:rPr>
                <w:rFonts w:ascii="Times New Roman" w:hAnsi="Times New Roman"/>
              </w:rPr>
              <w:t>3）监测结果</w:t>
            </w:r>
          </w:p>
          <w:p>
            <w:pPr>
              <w:tabs>
                <w:tab w:val="left" w:pos="736"/>
              </w:tabs>
              <w:kinsoku w:val="0"/>
              <w:overflowPunct w:val="0"/>
              <w:adjustRightInd w:val="0"/>
              <w:ind w:right="135" w:firstLine="422"/>
              <w:jc w:val="center"/>
              <w:rPr>
                <w:rFonts w:ascii="Times New Roman" w:hAnsi="Times New Roman" w:eastAsia="黑体"/>
                <w:bCs/>
                <w:sz w:val="24"/>
              </w:rPr>
            </w:pPr>
            <w:r>
              <w:rPr>
                <w:rFonts w:ascii="Times New Roman" w:hAnsi="Times New Roman" w:eastAsia="黑体"/>
                <w:bCs/>
                <w:sz w:val="24"/>
              </w:rPr>
              <w:t>表3-3特征污染物现状监测结果统计表</w:t>
            </w:r>
          </w:p>
          <w:tbl>
            <w:tblPr>
              <w:tblStyle w:val="24"/>
              <w:tblW w:w="797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5"/>
              <w:gridCol w:w="2492"/>
              <w:gridCol w:w="1602"/>
              <w:gridCol w:w="1305"/>
              <w:gridCol w:w="900"/>
              <w:gridCol w:w="10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5" w:type="dxa"/>
                  <w:vMerge w:val="restart"/>
                  <w:vAlign w:val="center"/>
                </w:tcPr>
                <w:p>
                  <w:pPr>
                    <w:kinsoku w:val="0"/>
                    <w:overflowPunct w:val="0"/>
                    <w:jc w:val="center"/>
                    <w:rPr>
                      <w:rFonts w:ascii="Times New Roman" w:hAnsi="Times New Roman"/>
                      <w:b/>
                      <w:bCs/>
                      <w:szCs w:val="21"/>
                    </w:rPr>
                  </w:pPr>
                  <w:r>
                    <w:rPr>
                      <w:rFonts w:ascii="Times New Roman" w:hAnsi="Times New Roman"/>
                      <w:b/>
                      <w:bCs/>
                      <w:szCs w:val="21"/>
                    </w:rPr>
                    <w:t>序号</w:t>
                  </w:r>
                </w:p>
              </w:tc>
              <w:tc>
                <w:tcPr>
                  <w:tcW w:w="2492" w:type="dxa"/>
                  <w:vMerge w:val="restart"/>
                  <w:vAlign w:val="center"/>
                </w:tcPr>
                <w:p>
                  <w:pPr>
                    <w:kinsoku w:val="0"/>
                    <w:overflowPunct w:val="0"/>
                    <w:jc w:val="center"/>
                    <w:rPr>
                      <w:rFonts w:ascii="Times New Roman" w:hAnsi="Times New Roman"/>
                      <w:b/>
                      <w:bCs/>
                      <w:szCs w:val="21"/>
                    </w:rPr>
                  </w:pPr>
                  <w:r>
                    <w:rPr>
                      <w:rFonts w:ascii="Times New Roman" w:hAnsi="Times New Roman"/>
                      <w:b/>
                      <w:bCs/>
                      <w:szCs w:val="21"/>
                    </w:rPr>
                    <w:t>监测点位</w:t>
                  </w:r>
                </w:p>
              </w:tc>
              <w:tc>
                <w:tcPr>
                  <w:tcW w:w="4894" w:type="dxa"/>
                  <w:gridSpan w:val="4"/>
                  <w:vAlign w:val="center"/>
                </w:tcPr>
                <w:p>
                  <w:pPr>
                    <w:kinsoku w:val="0"/>
                    <w:overflowPunct w:val="0"/>
                    <w:jc w:val="center"/>
                    <w:rPr>
                      <w:rFonts w:ascii="Times New Roman" w:hAnsi="Times New Roman"/>
                      <w:b/>
                      <w:bCs/>
                      <w:szCs w:val="21"/>
                    </w:rPr>
                  </w:pPr>
                  <w:r>
                    <w:rPr>
                      <w:rFonts w:ascii="Times New Roman" w:hAnsi="Times New Roman"/>
                      <w:b/>
                      <w:bCs/>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585" w:type="dxa"/>
                  <w:vMerge w:val="continue"/>
                  <w:vAlign w:val="center"/>
                </w:tcPr>
                <w:p>
                  <w:pPr>
                    <w:kinsoku w:val="0"/>
                    <w:overflowPunct w:val="0"/>
                    <w:jc w:val="center"/>
                    <w:rPr>
                      <w:rFonts w:ascii="Times New Roman" w:hAnsi="Times New Roman"/>
                      <w:szCs w:val="21"/>
                    </w:rPr>
                  </w:pPr>
                </w:p>
              </w:tc>
              <w:tc>
                <w:tcPr>
                  <w:tcW w:w="2492" w:type="dxa"/>
                  <w:vMerge w:val="continue"/>
                  <w:vAlign w:val="center"/>
                </w:tcPr>
                <w:p>
                  <w:pPr>
                    <w:kinsoku w:val="0"/>
                    <w:overflowPunct w:val="0"/>
                    <w:jc w:val="center"/>
                    <w:rPr>
                      <w:rFonts w:ascii="Times New Roman" w:hAnsi="Times New Roman"/>
                      <w:szCs w:val="21"/>
                    </w:rPr>
                  </w:pPr>
                </w:p>
              </w:tc>
              <w:tc>
                <w:tcPr>
                  <w:tcW w:w="1602" w:type="dxa"/>
                  <w:vAlign w:val="center"/>
                </w:tcPr>
                <w:p>
                  <w:pPr>
                    <w:kinsoku w:val="0"/>
                    <w:overflowPunct w:val="0"/>
                    <w:jc w:val="center"/>
                    <w:rPr>
                      <w:rFonts w:ascii="Times New Roman" w:hAnsi="Times New Roman"/>
                      <w:b/>
                      <w:bCs/>
                      <w:szCs w:val="21"/>
                    </w:rPr>
                  </w:pPr>
                  <w:r>
                    <w:rPr>
                      <w:rFonts w:ascii="Times New Roman" w:hAnsi="Times New Roman"/>
                      <w:b/>
                      <w:bCs/>
                      <w:szCs w:val="21"/>
                    </w:rPr>
                    <w:t>浓度范围mg/m</w:t>
                  </w:r>
                  <w:r>
                    <w:rPr>
                      <w:rFonts w:ascii="Times New Roman" w:hAnsi="Times New Roman"/>
                      <w:b/>
                      <w:bCs/>
                      <w:szCs w:val="21"/>
                      <w:vertAlign w:val="superscript"/>
                    </w:rPr>
                    <w:t>3</w:t>
                  </w:r>
                </w:p>
              </w:tc>
              <w:tc>
                <w:tcPr>
                  <w:tcW w:w="1305" w:type="dxa"/>
                  <w:vAlign w:val="center"/>
                </w:tcPr>
                <w:p>
                  <w:pPr>
                    <w:kinsoku w:val="0"/>
                    <w:overflowPunct w:val="0"/>
                    <w:jc w:val="center"/>
                    <w:rPr>
                      <w:rFonts w:ascii="Times New Roman" w:hAnsi="Times New Roman"/>
                      <w:b/>
                      <w:bCs/>
                      <w:szCs w:val="21"/>
                    </w:rPr>
                  </w:pPr>
                  <w:r>
                    <w:rPr>
                      <w:rFonts w:ascii="Times New Roman" w:hAnsi="Times New Roman"/>
                      <w:b/>
                      <w:bCs/>
                      <w:szCs w:val="21"/>
                    </w:rPr>
                    <w:t>最大占标率%</w:t>
                  </w:r>
                </w:p>
              </w:tc>
              <w:tc>
                <w:tcPr>
                  <w:tcW w:w="900" w:type="dxa"/>
                  <w:vAlign w:val="center"/>
                </w:tcPr>
                <w:p>
                  <w:pPr>
                    <w:kinsoku w:val="0"/>
                    <w:overflowPunct w:val="0"/>
                    <w:jc w:val="center"/>
                    <w:rPr>
                      <w:rFonts w:ascii="Times New Roman" w:hAnsi="Times New Roman"/>
                      <w:b/>
                      <w:bCs/>
                      <w:szCs w:val="21"/>
                    </w:rPr>
                  </w:pPr>
                  <w:r>
                    <w:rPr>
                      <w:rFonts w:ascii="Times New Roman" w:hAnsi="Times New Roman"/>
                      <w:b/>
                      <w:bCs/>
                      <w:szCs w:val="21"/>
                    </w:rPr>
                    <w:t>超标率%</w:t>
                  </w:r>
                </w:p>
              </w:tc>
              <w:tc>
                <w:tcPr>
                  <w:tcW w:w="1087" w:type="dxa"/>
                  <w:vAlign w:val="center"/>
                </w:tcPr>
                <w:p>
                  <w:pPr>
                    <w:kinsoku w:val="0"/>
                    <w:overflowPunct w:val="0"/>
                    <w:jc w:val="center"/>
                    <w:rPr>
                      <w:rFonts w:ascii="Times New Roman" w:hAnsi="Times New Roman"/>
                      <w:b/>
                      <w:bCs/>
                      <w:spacing w:val="-12"/>
                      <w:szCs w:val="21"/>
                    </w:rPr>
                  </w:pPr>
                  <w:r>
                    <w:rPr>
                      <w:rFonts w:ascii="Times New Roman" w:hAnsi="Times New Roman"/>
                      <w:b/>
                      <w:bCs/>
                      <w:spacing w:val="-12"/>
                      <w:szCs w:val="21"/>
                    </w:rPr>
                    <w:t>最大超标倍数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5" w:type="dxa"/>
                  <w:vMerge w:val="restart"/>
                  <w:vAlign w:val="center"/>
                </w:tcPr>
                <w:p>
                  <w:pPr>
                    <w:kinsoku w:val="0"/>
                    <w:overflowPunct w:val="0"/>
                    <w:jc w:val="center"/>
                    <w:rPr>
                      <w:rFonts w:ascii="Times New Roman" w:hAnsi="Times New Roman"/>
                      <w:szCs w:val="21"/>
                    </w:rPr>
                  </w:pPr>
                  <w:r>
                    <w:rPr>
                      <w:rFonts w:ascii="Times New Roman" w:hAnsi="Times New Roman"/>
                      <w:szCs w:val="21"/>
                    </w:rPr>
                    <w:t>2</w:t>
                  </w:r>
                </w:p>
              </w:tc>
              <w:tc>
                <w:tcPr>
                  <w:tcW w:w="2492" w:type="dxa"/>
                  <w:vMerge w:val="restart"/>
                  <w:vAlign w:val="center"/>
                </w:tcPr>
                <w:p>
                  <w:pPr>
                    <w:kinsoku w:val="0"/>
                    <w:overflowPunct w:val="0"/>
                    <w:jc w:val="center"/>
                    <w:rPr>
                      <w:rFonts w:ascii="Times New Roman" w:hAnsi="Times New Roman"/>
                      <w:szCs w:val="21"/>
                    </w:rPr>
                  </w:pPr>
                  <w:r>
                    <w:rPr>
                      <w:rFonts w:ascii="Times New Roman" w:hAnsi="Times New Roman"/>
                      <w:szCs w:val="21"/>
                    </w:rPr>
                    <w:t>TSP</w:t>
                  </w:r>
                </w:p>
              </w:tc>
              <w:tc>
                <w:tcPr>
                  <w:tcW w:w="1602" w:type="dxa"/>
                  <w:vAlign w:val="center"/>
                </w:tcPr>
                <w:p>
                  <w:pPr>
                    <w:kinsoku w:val="0"/>
                    <w:overflowPunct w:val="0"/>
                    <w:jc w:val="center"/>
                    <w:rPr>
                      <w:rFonts w:ascii="Times New Roman" w:hAnsi="Times New Roman"/>
                      <w:szCs w:val="21"/>
                    </w:rPr>
                  </w:pPr>
                  <w:r>
                    <w:rPr>
                      <w:rFonts w:hint="eastAsia" w:ascii="Times New Roman" w:hAnsi="Times New Roman"/>
                      <w:szCs w:val="21"/>
                    </w:rPr>
                    <w:t>0.096</w:t>
                  </w:r>
                </w:p>
              </w:tc>
              <w:tc>
                <w:tcPr>
                  <w:tcW w:w="1305" w:type="dxa"/>
                  <w:vAlign w:val="center"/>
                </w:tcPr>
                <w:p>
                  <w:pPr>
                    <w:kinsoku w:val="0"/>
                    <w:overflowPunct w:val="0"/>
                    <w:jc w:val="center"/>
                    <w:rPr>
                      <w:rFonts w:ascii="Times New Roman" w:hAnsi="Times New Roman"/>
                      <w:szCs w:val="21"/>
                    </w:rPr>
                  </w:pPr>
                  <w:r>
                    <w:rPr>
                      <w:rFonts w:hint="eastAsia" w:ascii="Times New Roman" w:hAnsi="Times New Roman"/>
                      <w:szCs w:val="21"/>
                    </w:rPr>
                    <w:t>0.320</w:t>
                  </w:r>
                </w:p>
              </w:tc>
              <w:tc>
                <w:tcPr>
                  <w:tcW w:w="900" w:type="dxa"/>
                  <w:vAlign w:val="center"/>
                </w:tcPr>
                <w:p>
                  <w:pPr>
                    <w:kinsoku w:val="0"/>
                    <w:overflowPunct w:val="0"/>
                    <w:jc w:val="center"/>
                    <w:rPr>
                      <w:rFonts w:ascii="Times New Roman" w:hAnsi="Times New Roman"/>
                      <w:szCs w:val="21"/>
                    </w:rPr>
                  </w:pPr>
                  <w:r>
                    <w:rPr>
                      <w:rFonts w:ascii="Times New Roman" w:hAnsi="Times New Roman"/>
                      <w:szCs w:val="21"/>
                    </w:rPr>
                    <w:t>0</w:t>
                  </w:r>
                </w:p>
              </w:tc>
              <w:tc>
                <w:tcPr>
                  <w:tcW w:w="1087" w:type="dxa"/>
                  <w:vAlign w:val="center"/>
                </w:tcPr>
                <w:p>
                  <w:pPr>
                    <w:kinsoku w:val="0"/>
                    <w:overflowPunct w:val="0"/>
                    <w:jc w:val="center"/>
                    <w:rPr>
                      <w:rFonts w:ascii="Times New Roman" w:hAnsi="Times New Roman"/>
                      <w:szCs w:val="21"/>
                    </w:rPr>
                  </w:pPr>
                  <w:r>
                    <w:rPr>
                      <w:rFonts w:ascii="Times New Roman" w:hAnsi="Times New Roman"/>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5" w:type="dxa"/>
                  <w:vMerge w:val="continue"/>
                  <w:vAlign w:val="center"/>
                </w:tcPr>
                <w:p>
                  <w:pPr>
                    <w:kinsoku w:val="0"/>
                    <w:overflowPunct w:val="0"/>
                    <w:jc w:val="center"/>
                    <w:rPr>
                      <w:rFonts w:ascii="Times New Roman" w:hAnsi="Times New Roman"/>
                      <w:szCs w:val="21"/>
                    </w:rPr>
                  </w:pPr>
                </w:p>
              </w:tc>
              <w:tc>
                <w:tcPr>
                  <w:tcW w:w="2492" w:type="dxa"/>
                  <w:vMerge w:val="continue"/>
                  <w:vAlign w:val="center"/>
                </w:tcPr>
                <w:p>
                  <w:pPr>
                    <w:kinsoku w:val="0"/>
                    <w:overflowPunct w:val="0"/>
                    <w:jc w:val="center"/>
                    <w:rPr>
                      <w:rFonts w:ascii="Times New Roman" w:hAnsi="Times New Roman"/>
                      <w:szCs w:val="21"/>
                    </w:rPr>
                  </w:pPr>
                </w:p>
              </w:tc>
              <w:tc>
                <w:tcPr>
                  <w:tcW w:w="1602" w:type="dxa"/>
                  <w:vAlign w:val="center"/>
                </w:tcPr>
                <w:p>
                  <w:pPr>
                    <w:kinsoku w:val="0"/>
                    <w:overflowPunct w:val="0"/>
                    <w:jc w:val="center"/>
                    <w:rPr>
                      <w:rFonts w:ascii="Times New Roman" w:hAnsi="Times New Roman"/>
                      <w:szCs w:val="21"/>
                    </w:rPr>
                  </w:pPr>
                  <w:r>
                    <w:rPr>
                      <w:rFonts w:hint="eastAsia" w:ascii="Times New Roman" w:hAnsi="Times New Roman"/>
                      <w:szCs w:val="21"/>
                    </w:rPr>
                    <w:t>0.109</w:t>
                  </w:r>
                </w:p>
              </w:tc>
              <w:tc>
                <w:tcPr>
                  <w:tcW w:w="1305" w:type="dxa"/>
                  <w:vAlign w:val="center"/>
                </w:tcPr>
                <w:p>
                  <w:pPr>
                    <w:kinsoku w:val="0"/>
                    <w:overflowPunct w:val="0"/>
                    <w:jc w:val="center"/>
                    <w:rPr>
                      <w:rFonts w:ascii="Times New Roman" w:hAnsi="Times New Roman"/>
                      <w:szCs w:val="21"/>
                    </w:rPr>
                  </w:pPr>
                  <w:r>
                    <w:rPr>
                      <w:rFonts w:hint="eastAsia" w:ascii="Times New Roman" w:hAnsi="Times New Roman"/>
                      <w:szCs w:val="21"/>
                    </w:rPr>
                    <w:t>0.363</w:t>
                  </w:r>
                </w:p>
              </w:tc>
              <w:tc>
                <w:tcPr>
                  <w:tcW w:w="900" w:type="dxa"/>
                  <w:vAlign w:val="center"/>
                </w:tcPr>
                <w:p>
                  <w:pPr>
                    <w:kinsoku w:val="0"/>
                    <w:overflowPunct w:val="0"/>
                    <w:jc w:val="center"/>
                    <w:rPr>
                      <w:rFonts w:ascii="Times New Roman" w:hAnsi="Times New Roman"/>
                      <w:szCs w:val="21"/>
                    </w:rPr>
                  </w:pPr>
                  <w:r>
                    <w:rPr>
                      <w:rFonts w:ascii="Times New Roman" w:hAnsi="Times New Roman"/>
                      <w:szCs w:val="21"/>
                    </w:rPr>
                    <w:t>0</w:t>
                  </w:r>
                </w:p>
              </w:tc>
              <w:tc>
                <w:tcPr>
                  <w:tcW w:w="1087" w:type="dxa"/>
                  <w:vAlign w:val="center"/>
                </w:tcPr>
                <w:p>
                  <w:pPr>
                    <w:kinsoku w:val="0"/>
                    <w:overflowPunct w:val="0"/>
                    <w:jc w:val="center"/>
                    <w:rPr>
                      <w:rFonts w:ascii="Times New Roman" w:hAnsi="Times New Roman"/>
                      <w:szCs w:val="21"/>
                    </w:rPr>
                  </w:pPr>
                  <w:r>
                    <w:rPr>
                      <w:rFonts w:ascii="Times New Roman" w:hAnsi="Times New Roman"/>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85" w:type="dxa"/>
                  <w:vMerge w:val="continue"/>
                  <w:vAlign w:val="center"/>
                </w:tcPr>
                <w:p>
                  <w:pPr>
                    <w:kinsoku w:val="0"/>
                    <w:overflowPunct w:val="0"/>
                    <w:jc w:val="center"/>
                    <w:rPr>
                      <w:rFonts w:ascii="Times New Roman" w:hAnsi="Times New Roman"/>
                      <w:szCs w:val="21"/>
                    </w:rPr>
                  </w:pPr>
                </w:p>
              </w:tc>
              <w:tc>
                <w:tcPr>
                  <w:tcW w:w="2492" w:type="dxa"/>
                  <w:vMerge w:val="continue"/>
                  <w:vAlign w:val="center"/>
                </w:tcPr>
                <w:p>
                  <w:pPr>
                    <w:kinsoku w:val="0"/>
                    <w:overflowPunct w:val="0"/>
                    <w:jc w:val="center"/>
                    <w:rPr>
                      <w:rFonts w:ascii="Times New Roman" w:hAnsi="Times New Roman"/>
                      <w:szCs w:val="21"/>
                    </w:rPr>
                  </w:pPr>
                </w:p>
              </w:tc>
              <w:tc>
                <w:tcPr>
                  <w:tcW w:w="1602" w:type="dxa"/>
                  <w:vAlign w:val="center"/>
                </w:tcPr>
                <w:p>
                  <w:pPr>
                    <w:kinsoku w:val="0"/>
                    <w:overflowPunct w:val="0"/>
                    <w:jc w:val="center"/>
                    <w:rPr>
                      <w:rFonts w:ascii="Times New Roman" w:hAnsi="Times New Roman"/>
                      <w:szCs w:val="21"/>
                    </w:rPr>
                  </w:pPr>
                  <w:r>
                    <w:rPr>
                      <w:rFonts w:hint="eastAsia" w:ascii="Times New Roman" w:hAnsi="Times New Roman"/>
                      <w:szCs w:val="21"/>
                    </w:rPr>
                    <w:t>0.100</w:t>
                  </w:r>
                </w:p>
              </w:tc>
              <w:tc>
                <w:tcPr>
                  <w:tcW w:w="1305" w:type="dxa"/>
                  <w:vAlign w:val="center"/>
                </w:tcPr>
                <w:p>
                  <w:pPr>
                    <w:kinsoku w:val="0"/>
                    <w:overflowPunct w:val="0"/>
                    <w:jc w:val="center"/>
                    <w:rPr>
                      <w:rFonts w:ascii="Times New Roman" w:hAnsi="Times New Roman"/>
                      <w:szCs w:val="21"/>
                    </w:rPr>
                  </w:pPr>
                  <w:r>
                    <w:rPr>
                      <w:rFonts w:hint="eastAsia" w:ascii="Times New Roman" w:hAnsi="Times New Roman"/>
                      <w:szCs w:val="21"/>
                    </w:rPr>
                    <w:t>0.333</w:t>
                  </w:r>
                </w:p>
              </w:tc>
              <w:tc>
                <w:tcPr>
                  <w:tcW w:w="900" w:type="dxa"/>
                  <w:vAlign w:val="center"/>
                </w:tcPr>
                <w:p>
                  <w:pPr>
                    <w:kinsoku w:val="0"/>
                    <w:overflowPunct w:val="0"/>
                    <w:jc w:val="center"/>
                    <w:rPr>
                      <w:rFonts w:ascii="Times New Roman" w:hAnsi="Times New Roman"/>
                      <w:szCs w:val="21"/>
                    </w:rPr>
                  </w:pPr>
                  <w:r>
                    <w:rPr>
                      <w:rFonts w:ascii="Times New Roman" w:hAnsi="Times New Roman"/>
                      <w:szCs w:val="21"/>
                    </w:rPr>
                    <w:t>0</w:t>
                  </w:r>
                </w:p>
              </w:tc>
              <w:tc>
                <w:tcPr>
                  <w:tcW w:w="1087" w:type="dxa"/>
                  <w:vAlign w:val="center"/>
                </w:tcPr>
                <w:p>
                  <w:pPr>
                    <w:kinsoku w:val="0"/>
                    <w:overflowPunct w:val="0"/>
                    <w:jc w:val="center"/>
                    <w:rPr>
                      <w:rFonts w:ascii="Times New Roman" w:hAnsi="Times New Roman"/>
                      <w:szCs w:val="21"/>
                    </w:rPr>
                  </w:pPr>
                  <w:r>
                    <w:rPr>
                      <w:rFonts w:ascii="Times New Roman" w:hAnsi="Times New Roman"/>
                      <w:szCs w:val="21"/>
                    </w:rPr>
                    <w:t>0</w:t>
                  </w:r>
                </w:p>
              </w:tc>
            </w:tr>
          </w:tbl>
          <w:p>
            <w:pPr>
              <w:adjustRightInd w:val="0"/>
              <w:snapToGrid w:val="0"/>
              <w:spacing w:line="360" w:lineRule="auto"/>
              <w:ind w:firstLine="480" w:firstLineChars="200"/>
              <w:rPr>
                <w:rFonts w:ascii="Times New Roman" w:hAnsi="Times New Roman"/>
                <w:sz w:val="24"/>
              </w:rPr>
            </w:pPr>
            <w:r>
              <w:rPr>
                <w:rFonts w:ascii="Times New Roman" w:hAnsi="Times New Roman"/>
                <w:sz w:val="24"/>
              </w:rPr>
              <w:t>根据上表可知，评价区域内TSP的日均值浓度低于《环境空气质量标准》（GB3095-2012）中的二级标准。</w:t>
            </w:r>
          </w:p>
          <w:p>
            <w:pPr>
              <w:adjustRightInd w:val="0"/>
              <w:snapToGrid w:val="0"/>
              <w:spacing w:line="360" w:lineRule="auto"/>
              <w:ind w:firstLine="482" w:firstLineChars="200"/>
              <w:rPr>
                <w:rFonts w:ascii="Times New Roman" w:hAnsi="Times New Roman"/>
                <w:b/>
                <w:sz w:val="24"/>
              </w:rPr>
            </w:pPr>
            <w:r>
              <w:rPr>
                <w:rFonts w:ascii="Times New Roman" w:hAnsi="Times New Roman"/>
                <w:b/>
                <w:sz w:val="24"/>
              </w:rPr>
              <w:t>2、地表水环境现状调查及评价</w:t>
            </w:r>
          </w:p>
          <w:p>
            <w:pPr>
              <w:spacing w:line="360" w:lineRule="auto"/>
              <w:ind w:firstLine="480" w:firstLineChars="200"/>
              <w:rPr>
                <w:rFonts w:ascii="Times New Roman" w:hAnsi="Times New Roman"/>
                <w:sz w:val="24"/>
                <w:szCs w:val="32"/>
              </w:rPr>
            </w:pPr>
            <w:r>
              <w:rPr>
                <w:rFonts w:ascii="Times New Roman" w:hAnsi="Times New Roman"/>
                <w:sz w:val="24"/>
                <w:szCs w:val="32"/>
              </w:rPr>
              <w:t>本项目最本项目所在区域距离地表水较远且无水力联系，按《环境影响评价技术导则·地表水环境》(HJ2.3-2018）对地表水环境影响评价工作进行等级的划分，本项目地表水评价等级为三级B，故本次评价不对地表水环境影响进行评价。</w:t>
            </w:r>
          </w:p>
          <w:p>
            <w:pPr>
              <w:widowControl/>
              <w:spacing w:line="360" w:lineRule="auto"/>
              <w:ind w:firstLine="472" w:firstLineChars="196"/>
              <w:rPr>
                <w:rFonts w:ascii="Times New Roman" w:hAnsi="Times New Roman"/>
                <w:b/>
                <w:bCs/>
                <w:kern w:val="0"/>
                <w:sz w:val="24"/>
              </w:rPr>
            </w:pPr>
            <w:r>
              <w:rPr>
                <w:rFonts w:ascii="Times New Roman" w:hAnsi="Times New Roman"/>
                <w:b/>
                <w:bCs/>
                <w:kern w:val="0"/>
                <w:sz w:val="24"/>
              </w:rPr>
              <w:t>3、声环境质量现状调查与评价</w:t>
            </w:r>
          </w:p>
          <w:p>
            <w:pPr>
              <w:spacing w:line="360" w:lineRule="auto"/>
              <w:ind w:firstLine="480" w:firstLineChars="200"/>
              <w:rPr>
                <w:rFonts w:ascii="Times New Roman" w:hAnsi="Times New Roman"/>
                <w:sz w:val="24"/>
              </w:rPr>
            </w:pPr>
            <w:r>
              <w:rPr>
                <w:rFonts w:ascii="Times New Roman" w:hAnsi="Times New Roman"/>
                <w:sz w:val="24"/>
              </w:rPr>
              <w:t>根据《建设项目环境影响报告表编制技术指南（污染影响类）（试行）》本项目50m范围内无环境敏感目标，不开展声环境质量现状调查。</w:t>
            </w:r>
          </w:p>
          <w:p>
            <w:pPr>
              <w:tabs>
                <w:tab w:val="left" w:pos="1100"/>
              </w:tabs>
              <w:spacing w:line="360" w:lineRule="auto"/>
              <w:ind w:firstLine="482" w:firstLineChars="200"/>
              <w:rPr>
                <w:rFonts w:ascii="Times New Roman" w:hAnsi="Times New Roman"/>
                <w:b/>
                <w:bCs/>
                <w:sz w:val="24"/>
              </w:rPr>
            </w:pPr>
            <w:r>
              <w:rPr>
                <w:rFonts w:ascii="Times New Roman" w:hAnsi="Times New Roman"/>
                <w:b/>
                <w:bCs/>
                <w:sz w:val="24"/>
              </w:rPr>
              <w:t>4、地下水、土壤环境质量现状</w:t>
            </w:r>
          </w:p>
          <w:p>
            <w:pPr>
              <w:spacing w:line="360" w:lineRule="auto"/>
              <w:ind w:firstLine="480" w:firstLineChars="200"/>
              <w:rPr>
                <w:rFonts w:ascii="Times New Roman" w:hAnsi="Times New Roman"/>
                <w:sz w:val="24"/>
              </w:rPr>
            </w:pPr>
            <w:r>
              <w:rPr>
                <w:rFonts w:ascii="Times New Roman" w:hAnsi="Times New Roman"/>
                <w:sz w:val="24"/>
              </w:rPr>
              <w:t>根据《建设项目环境影响报告表编制技术指南（污染影响类）（试行）》本项目不涉及地下水、土壤环境污染途径，不开展土壤环境质量现状调查。</w:t>
            </w:r>
          </w:p>
          <w:p>
            <w:pPr>
              <w:tabs>
                <w:tab w:val="left" w:pos="1100"/>
              </w:tabs>
              <w:spacing w:line="360" w:lineRule="auto"/>
              <w:ind w:firstLine="482" w:firstLineChars="200"/>
              <w:rPr>
                <w:rFonts w:ascii="Times New Roman" w:hAnsi="Times New Roman"/>
                <w:b/>
                <w:bCs/>
                <w:sz w:val="24"/>
              </w:rPr>
            </w:pPr>
            <w:r>
              <w:rPr>
                <w:rFonts w:ascii="Times New Roman" w:hAnsi="Times New Roman"/>
                <w:b/>
                <w:bCs/>
                <w:sz w:val="24"/>
              </w:rPr>
              <w:t>5、生态环境现状与评价</w:t>
            </w:r>
          </w:p>
          <w:p>
            <w:pPr>
              <w:spacing w:line="360" w:lineRule="auto"/>
              <w:ind w:firstLine="480" w:firstLineChars="200"/>
              <w:rPr>
                <w:rFonts w:ascii="Times New Roman" w:hAnsi="Times New Roman"/>
                <w:kern w:val="0"/>
                <w:szCs w:val="21"/>
              </w:rPr>
            </w:pPr>
            <w:r>
              <w:rPr>
                <w:rFonts w:ascii="Times New Roman" w:hAnsi="Times New Roman"/>
                <w:sz w:val="24"/>
              </w:rPr>
              <w:t>根据《建设项目环境影响报告表编制技术指南（污染影响类）（试行）》，本项目用地属于工业用地，因此不进行生态现状调查。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449" w:type="dxa"/>
            <w:vAlign w:val="center"/>
          </w:tcPr>
          <w:p>
            <w:pPr>
              <w:adjustRightInd w:val="0"/>
              <w:snapToGrid w:val="0"/>
              <w:jc w:val="center"/>
              <w:rPr>
                <w:rFonts w:ascii="Times New Roman" w:hAnsi="Times New Roman"/>
                <w:kern w:val="0"/>
                <w:sz w:val="24"/>
              </w:rPr>
            </w:pPr>
            <w:r>
              <w:rPr>
                <w:rFonts w:ascii="Times New Roman" w:hAnsi="Times New Roman"/>
                <w:kern w:val="0"/>
                <w:sz w:val="24"/>
              </w:rPr>
              <w:t>环境</w:t>
            </w:r>
          </w:p>
          <w:p>
            <w:pPr>
              <w:adjustRightInd w:val="0"/>
              <w:snapToGrid w:val="0"/>
              <w:jc w:val="center"/>
              <w:rPr>
                <w:rFonts w:ascii="Times New Roman" w:hAnsi="Times New Roman"/>
                <w:kern w:val="0"/>
                <w:sz w:val="24"/>
              </w:rPr>
            </w:pPr>
            <w:r>
              <w:rPr>
                <w:rFonts w:ascii="Times New Roman" w:hAnsi="Times New Roman"/>
                <w:kern w:val="0"/>
                <w:sz w:val="24"/>
              </w:rPr>
              <w:t>保护</w:t>
            </w:r>
          </w:p>
          <w:p>
            <w:pPr>
              <w:adjustRightInd w:val="0"/>
              <w:snapToGrid w:val="0"/>
              <w:jc w:val="center"/>
              <w:rPr>
                <w:rFonts w:ascii="Times New Roman" w:hAnsi="Times New Roman"/>
                <w:kern w:val="0"/>
                <w:sz w:val="24"/>
              </w:rPr>
            </w:pPr>
            <w:r>
              <w:rPr>
                <w:rFonts w:ascii="Times New Roman" w:hAnsi="Times New Roman"/>
                <w:kern w:val="0"/>
                <w:sz w:val="24"/>
              </w:rPr>
              <w:t>目标</w:t>
            </w:r>
          </w:p>
        </w:tc>
        <w:tc>
          <w:tcPr>
            <w:tcW w:w="8073" w:type="dxa"/>
            <w:vAlign w:val="center"/>
          </w:tcPr>
          <w:p>
            <w:pPr>
              <w:spacing w:line="360" w:lineRule="auto"/>
              <w:ind w:firstLine="480" w:firstLineChars="200"/>
              <w:rPr>
                <w:rFonts w:ascii="Times New Roman" w:hAnsi="Times New Roman"/>
                <w:sz w:val="24"/>
              </w:rPr>
            </w:pPr>
            <w:r>
              <w:rPr>
                <w:rFonts w:ascii="Times New Roman" w:hAnsi="Times New Roman"/>
                <w:sz w:val="24"/>
              </w:rPr>
              <w:t>本项目厂界外500m范围内不存在自然保护区、风景名胜区、居住区、文化区和农村地区中人群较集中的区域，无大气环境保护目标。</w:t>
            </w:r>
          </w:p>
          <w:p>
            <w:pPr>
              <w:spacing w:line="360" w:lineRule="auto"/>
              <w:ind w:firstLine="480" w:firstLineChars="200"/>
              <w:rPr>
                <w:rFonts w:ascii="Times New Roman" w:hAnsi="Times New Roman"/>
                <w:sz w:val="24"/>
              </w:rPr>
            </w:pPr>
            <w:r>
              <w:rPr>
                <w:rFonts w:ascii="Times New Roman" w:hAnsi="Times New Roman"/>
                <w:sz w:val="24"/>
              </w:rPr>
              <w:t>项目厂界外50m范围内无声环境保护目标。</w:t>
            </w:r>
          </w:p>
          <w:p>
            <w:pPr>
              <w:spacing w:line="360" w:lineRule="auto"/>
              <w:ind w:firstLine="480" w:firstLineChars="200"/>
              <w:rPr>
                <w:rFonts w:ascii="Times New Roman" w:hAnsi="Times New Roman"/>
                <w:kern w:val="0"/>
                <w:sz w:val="24"/>
              </w:rPr>
            </w:pPr>
            <w:r>
              <w:rPr>
                <w:rFonts w:ascii="Times New Roman" w:hAnsi="Times New Roman"/>
                <w:sz w:val="24"/>
              </w:rPr>
              <w:t>本项目厂界外500m范围内无的地下水集中式饮用水水源和热水、矿泉水、温泉等特殊地下水资源。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449" w:type="dxa"/>
            <w:vAlign w:val="center"/>
          </w:tcPr>
          <w:p>
            <w:pPr>
              <w:adjustRightInd w:val="0"/>
              <w:snapToGrid w:val="0"/>
              <w:jc w:val="center"/>
              <w:rPr>
                <w:rFonts w:ascii="Times New Roman" w:hAnsi="Times New Roman"/>
                <w:kern w:val="0"/>
                <w:sz w:val="24"/>
              </w:rPr>
            </w:pPr>
            <w:r>
              <w:rPr>
                <w:rFonts w:ascii="Times New Roman" w:hAnsi="Times New Roman"/>
                <w:kern w:val="0"/>
                <w:sz w:val="24"/>
              </w:rPr>
              <w:t>污染</w:t>
            </w:r>
          </w:p>
          <w:p>
            <w:pPr>
              <w:adjustRightInd w:val="0"/>
              <w:snapToGrid w:val="0"/>
              <w:jc w:val="center"/>
              <w:rPr>
                <w:rFonts w:ascii="Times New Roman" w:hAnsi="Times New Roman"/>
                <w:kern w:val="0"/>
                <w:sz w:val="24"/>
              </w:rPr>
            </w:pPr>
            <w:r>
              <w:rPr>
                <w:rFonts w:ascii="Times New Roman" w:hAnsi="Times New Roman"/>
                <w:kern w:val="0"/>
                <w:sz w:val="24"/>
              </w:rPr>
              <w:t>物排</w:t>
            </w:r>
          </w:p>
          <w:p>
            <w:pPr>
              <w:adjustRightInd w:val="0"/>
              <w:snapToGrid w:val="0"/>
              <w:jc w:val="center"/>
              <w:rPr>
                <w:rFonts w:ascii="Times New Roman" w:hAnsi="Times New Roman"/>
                <w:kern w:val="0"/>
                <w:sz w:val="24"/>
              </w:rPr>
            </w:pPr>
            <w:r>
              <w:rPr>
                <w:rFonts w:ascii="Times New Roman" w:hAnsi="Times New Roman"/>
                <w:kern w:val="0"/>
                <w:sz w:val="24"/>
              </w:rPr>
              <w:t>放控</w:t>
            </w:r>
          </w:p>
          <w:p>
            <w:pPr>
              <w:adjustRightInd w:val="0"/>
              <w:snapToGrid w:val="0"/>
              <w:jc w:val="center"/>
              <w:rPr>
                <w:rFonts w:ascii="Times New Roman" w:hAnsi="Times New Roman"/>
                <w:kern w:val="0"/>
                <w:sz w:val="24"/>
              </w:rPr>
            </w:pPr>
            <w:r>
              <w:rPr>
                <w:rFonts w:ascii="Times New Roman" w:hAnsi="Times New Roman"/>
                <w:kern w:val="0"/>
                <w:sz w:val="24"/>
              </w:rPr>
              <w:t>制标</w:t>
            </w:r>
          </w:p>
          <w:p>
            <w:pPr>
              <w:adjustRightInd w:val="0"/>
              <w:snapToGrid w:val="0"/>
              <w:jc w:val="center"/>
              <w:rPr>
                <w:rFonts w:ascii="Times New Roman" w:hAnsi="Times New Roman"/>
                <w:kern w:val="0"/>
                <w:sz w:val="24"/>
              </w:rPr>
            </w:pPr>
            <w:r>
              <w:rPr>
                <w:rFonts w:ascii="Times New Roman" w:hAnsi="Times New Roman"/>
                <w:kern w:val="0"/>
                <w:sz w:val="24"/>
              </w:rPr>
              <w:t>准</w:t>
            </w:r>
          </w:p>
        </w:tc>
        <w:tc>
          <w:tcPr>
            <w:tcW w:w="8073" w:type="dxa"/>
            <w:vAlign w:val="center"/>
          </w:tcPr>
          <w:p>
            <w:pPr>
              <w:tabs>
                <w:tab w:val="left" w:pos="1100"/>
              </w:tabs>
              <w:spacing w:line="360" w:lineRule="auto"/>
              <w:ind w:firstLine="482" w:firstLineChars="200"/>
              <w:rPr>
                <w:rFonts w:ascii="Times New Roman" w:hAnsi="Times New Roman"/>
                <w:b/>
                <w:bCs/>
                <w:sz w:val="24"/>
                <w:szCs w:val="32"/>
              </w:rPr>
            </w:pPr>
            <w:r>
              <w:rPr>
                <w:rFonts w:ascii="Times New Roman" w:hAnsi="Times New Roman"/>
                <w:b/>
                <w:bCs/>
                <w:sz w:val="24"/>
                <w:szCs w:val="32"/>
              </w:rPr>
              <w:t>1、施工期：</w:t>
            </w:r>
          </w:p>
          <w:p>
            <w:pPr>
              <w:tabs>
                <w:tab w:val="left" w:pos="1100"/>
              </w:tabs>
              <w:spacing w:line="360" w:lineRule="auto"/>
              <w:ind w:firstLine="480" w:firstLineChars="200"/>
              <w:rPr>
                <w:rFonts w:ascii="Times New Roman" w:hAnsi="Times New Roman"/>
                <w:sz w:val="24"/>
                <w:szCs w:val="32"/>
              </w:rPr>
            </w:pPr>
            <w:r>
              <w:rPr>
                <w:rFonts w:ascii="Times New Roman" w:hAnsi="Times New Roman"/>
                <w:sz w:val="24"/>
                <w:szCs w:val="32"/>
              </w:rPr>
              <w:t>（1）施工粉尘</w:t>
            </w:r>
          </w:p>
          <w:p>
            <w:pPr>
              <w:tabs>
                <w:tab w:val="left" w:pos="1100"/>
              </w:tabs>
              <w:spacing w:line="360" w:lineRule="auto"/>
              <w:ind w:firstLine="480" w:firstLineChars="200"/>
              <w:rPr>
                <w:rFonts w:ascii="Times New Roman" w:hAnsi="Times New Roman"/>
                <w:sz w:val="24"/>
                <w:szCs w:val="32"/>
              </w:rPr>
            </w:pPr>
            <w:r>
              <w:rPr>
                <w:rFonts w:ascii="Times New Roman" w:hAnsi="Times New Roman"/>
                <w:sz w:val="24"/>
                <w:szCs w:val="32"/>
              </w:rPr>
              <w:t>执行《大气污染物综合排放标准》（GB16297-1996）中颗粒物无组织排放周界外浓度限值1.0mg/m</w:t>
            </w:r>
            <w:r>
              <w:rPr>
                <w:rFonts w:ascii="Times New Roman" w:hAnsi="Times New Roman"/>
                <w:sz w:val="24"/>
                <w:szCs w:val="32"/>
                <w:vertAlign w:val="superscript"/>
              </w:rPr>
              <w:t>3</w:t>
            </w:r>
            <w:r>
              <w:rPr>
                <w:rFonts w:ascii="Times New Roman" w:hAnsi="Times New Roman"/>
                <w:sz w:val="24"/>
                <w:szCs w:val="32"/>
              </w:rPr>
              <w:t>。</w:t>
            </w:r>
          </w:p>
          <w:p>
            <w:pPr>
              <w:tabs>
                <w:tab w:val="left" w:pos="1100"/>
              </w:tabs>
              <w:spacing w:line="360" w:lineRule="auto"/>
              <w:ind w:firstLine="480" w:firstLineChars="200"/>
              <w:rPr>
                <w:rFonts w:ascii="Times New Roman" w:hAnsi="Times New Roman"/>
                <w:sz w:val="24"/>
                <w:szCs w:val="32"/>
              </w:rPr>
            </w:pPr>
            <w:r>
              <w:rPr>
                <w:rFonts w:ascii="Times New Roman" w:hAnsi="Times New Roman"/>
                <w:sz w:val="24"/>
                <w:szCs w:val="32"/>
              </w:rPr>
              <w:t>（2）施工噪声</w:t>
            </w:r>
          </w:p>
          <w:p>
            <w:pPr>
              <w:tabs>
                <w:tab w:val="left" w:pos="1100"/>
              </w:tabs>
              <w:spacing w:line="360" w:lineRule="auto"/>
              <w:ind w:firstLine="480" w:firstLineChars="200"/>
              <w:rPr>
                <w:rFonts w:ascii="Times New Roman" w:hAnsi="Times New Roman"/>
                <w:sz w:val="24"/>
                <w:szCs w:val="32"/>
              </w:rPr>
            </w:pPr>
            <w:r>
              <w:rPr>
                <w:rFonts w:ascii="Times New Roman" w:hAnsi="Times New Roman"/>
                <w:sz w:val="24"/>
                <w:szCs w:val="32"/>
              </w:rPr>
              <w:t>执行《建筑施工场界环境噪声排放标准》（GB12523-2011）中施工场界排放限值。</w:t>
            </w:r>
          </w:p>
          <w:p>
            <w:pPr>
              <w:pStyle w:val="11"/>
              <w:adjustRightInd w:val="0"/>
              <w:snapToGrid w:val="0"/>
              <w:spacing w:line="360" w:lineRule="auto"/>
              <w:ind w:firstLine="482"/>
              <w:rPr>
                <w:rFonts w:ascii="Times New Roman" w:hAnsi="Times New Roman"/>
                <w:b/>
                <w:bCs/>
                <w:sz w:val="24"/>
                <w:szCs w:val="32"/>
              </w:rPr>
            </w:pPr>
            <w:r>
              <w:rPr>
                <w:rFonts w:ascii="Times New Roman" w:hAnsi="Times New Roman"/>
                <w:b/>
                <w:bCs/>
                <w:sz w:val="24"/>
                <w:szCs w:val="32"/>
              </w:rPr>
              <w:t>2、运营期</w:t>
            </w:r>
          </w:p>
          <w:p>
            <w:pPr>
              <w:pStyle w:val="11"/>
              <w:adjustRightInd w:val="0"/>
              <w:snapToGrid w:val="0"/>
              <w:spacing w:line="360" w:lineRule="auto"/>
              <w:ind w:firstLine="480"/>
              <w:rPr>
                <w:rFonts w:ascii="Times New Roman" w:hAnsi="Times New Roman"/>
                <w:kern w:val="0"/>
                <w:sz w:val="24"/>
              </w:rPr>
            </w:pPr>
            <w:r>
              <w:rPr>
                <w:rFonts w:ascii="Times New Roman" w:hAnsi="Times New Roman"/>
                <w:sz w:val="24"/>
              </w:rPr>
              <w:t>（1）大气污染物排放标准；</w:t>
            </w:r>
          </w:p>
          <w:p>
            <w:pPr>
              <w:pStyle w:val="34"/>
              <w:spacing w:before="31" w:after="31" w:line="240" w:lineRule="auto"/>
              <w:ind w:left="422" w:hanging="422"/>
              <w:rPr>
                <w:rFonts w:ascii="Times New Roman" w:hAnsi="Times New Roman"/>
                <w:snapToGrid w:val="0"/>
                <w:color w:val="auto"/>
              </w:rPr>
            </w:pPr>
            <w:r>
              <w:rPr>
                <w:rFonts w:ascii="Times New Roman" w:hAnsi="Times New Roman"/>
                <w:snapToGrid w:val="0"/>
                <w:color w:val="auto"/>
              </w:rPr>
              <w:t>表3-4</w:t>
            </w:r>
            <w:r>
              <w:rPr>
                <w:rFonts w:ascii="Times New Roman" w:hAnsi="Times New Roman"/>
                <w:color w:val="auto"/>
              </w:rPr>
              <w:t>大气污染物排放限值标准</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030"/>
              <w:gridCol w:w="1954"/>
              <w:gridCol w:w="812"/>
              <w:gridCol w:w="27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61"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污染物</w:t>
                  </w:r>
                </w:p>
              </w:tc>
              <w:tc>
                <w:tcPr>
                  <w:tcW w:w="655"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排放形式</w:t>
                  </w:r>
                </w:p>
              </w:tc>
              <w:tc>
                <w:tcPr>
                  <w:tcW w:w="1243"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标准</w:t>
                  </w:r>
                </w:p>
              </w:tc>
              <w:tc>
                <w:tcPr>
                  <w:tcW w:w="517"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限值</w:t>
                  </w:r>
                </w:p>
              </w:tc>
              <w:tc>
                <w:tcPr>
                  <w:tcW w:w="1720"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61" w:type="pct"/>
                  <w:tcBorders>
                    <w:tl2br w:val="nil"/>
                    <w:tr2bl w:val="nil"/>
                  </w:tcBorders>
                  <w:vAlign w:val="center"/>
                </w:tcPr>
                <w:p>
                  <w:pPr>
                    <w:pStyle w:val="35"/>
                    <w:spacing w:before="31" w:after="31"/>
                    <w:ind w:firstLine="0" w:firstLineChars="0"/>
                    <w:rPr>
                      <w:rFonts w:ascii="Times New Roman" w:hAnsi="Times New Roman"/>
                      <w:szCs w:val="21"/>
                    </w:rPr>
                  </w:pPr>
                  <w:r>
                    <w:rPr>
                      <w:rFonts w:ascii="Times New Roman" w:hAnsi="Times New Roman"/>
                      <w:szCs w:val="21"/>
                    </w:rPr>
                    <w:t>颗粒物</w:t>
                  </w:r>
                </w:p>
              </w:tc>
              <w:tc>
                <w:tcPr>
                  <w:tcW w:w="655" w:type="pct"/>
                  <w:tcBorders>
                    <w:tl2br w:val="nil"/>
                    <w:tr2bl w:val="nil"/>
                  </w:tcBorders>
                  <w:vAlign w:val="center"/>
                </w:tcPr>
                <w:p>
                  <w:pPr>
                    <w:jc w:val="center"/>
                    <w:rPr>
                      <w:rFonts w:ascii="Times New Roman" w:hAnsi="Times New Roman"/>
                      <w:szCs w:val="21"/>
                    </w:rPr>
                  </w:pPr>
                  <w:r>
                    <w:rPr>
                      <w:rFonts w:ascii="Times New Roman" w:hAnsi="Times New Roman"/>
                      <w:szCs w:val="21"/>
                    </w:rPr>
                    <w:t>无组织</w:t>
                  </w:r>
                </w:p>
              </w:tc>
              <w:tc>
                <w:tcPr>
                  <w:tcW w:w="1243" w:type="pct"/>
                  <w:tcBorders>
                    <w:tl2br w:val="nil"/>
                    <w:tr2bl w:val="nil"/>
                  </w:tcBorders>
                  <w:vAlign w:val="center"/>
                </w:tcPr>
                <w:p>
                  <w:pPr>
                    <w:rPr>
                      <w:rFonts w:ascii="Times New Roman" w:hAnsi="Times New Roman"/>
                      <w:szCs w:val="21"/>
                    </w:rPr>
                  </w:pPr>
                  <w:r>
                    <w:rPr>
                      <w:rFonts w:ascii="Times New Roman" w:hAnsi="Times New Roman"/>
                      <w:szCs w:val="21"/>
                    </w:rPr>
                    <w:t>《水泥工业大气污染物综合排放标准》GB4915-2013</w:t>
                  </w:r>
                </w:p>
              </w:tc>
              <w:tc>
                <w:tcPr>
                  <w:tcW w:w="517" w:type="pct"/>
                  <w:tcBorders>
                    <w:tl2br w:val="nil"/>
                    <w:tr2bl w:val="nil"/>
                  </w:tcBorders>
                  <w:vAlign w:val="center"/>
                </w:tcPr>
                <w:p>
                  <w:pPr>
                    <w:jc w:val="center"/>
                    <w:rPr>
                      <w:rFonts w:ascii="Times New Roman" w:hAnsi="Times New Roman"/>
                      <w:szCs w:val="21"/>
                    </w:rPr>
                  </w:pPr>
                  <w:r>
                    <w:rPr>
                      <w:rFonts w:ascii="Times New Roman" w:hAnsi="Times New Roman"/>
                      <w:bCs/>
                      <w:szCs w:val="21"/>
                    </w:rPr>
                    <w:t>0.5mg/m</w:t>
                  </w:r>
                  <w:r>
                    <w:rPr>
                      <w:rFonts w:ascii="Times New Roman" w:hAnsi="Times New Roman"/>
                      <w:bCs/>
                      <w:szCs w:val="21"/>
                      <w:vertAlign w:val="superscript"/>
                    </w:rPr>
                    <w:t>3</w:t>
                  </w:r>
                </w:p>
              </w:tc>
              <w:tc>
                <w:tcPr>
                  <w:tcW w:w="1720" w:type="pct"/>
                  <w:tcBorders>
                    <w:tl2br w:val="nil"/>
                    <w:tr2bl w:val="nil"/>
                  </w:tcBorders>
                  <w:vAlign w:val="center"/>
                </w:tcPr>
                <w:p>
                  <w:pPr>
                    <w:jc w:val="center"/>
                    <w:rPr>
                      <w:rFonts w:ascii="Times New Roman" w:hAnsi="Times New Roman"/>
                      <w:szCs w:val="21"/>
                    </w:rPr>
                  </w:pPr>
                  <w:r>
                    <w:rPr>
                      <w:rFonts w:ascii="Times New Roman" w:hAnsi="Times New Roman"/>
                      <w:szCs w:val="21"/>
                    </w:rPr>
                    <w:t>监控点与参照点总悬浮颗粒物（TSP）1小时浓度值的差值</w:t>
                  </w:r>
                </w:p>
                <w:p>
                  <w:pPr>
                    <w:jc w:val="center"/>
                    <w:rPr>
                      <w:rFonts w:ascii="Times New Roman" w:hAnsi="Times New Roman"/>
                      <w:szCs w:val="21"/>
                    </w:rPr>
                  </w:pPr>
                  <w:r>
                    <w:rPr>
                      <w:rFonts w:ascii="Times New Roman" w:hAnsi="Times New Roman"/>
                      <w:szCs w:val="21"/>
                    </w:rPr>
                    <w:t>厂界外20m处上风向设参照点，下风向设监控点</w:t>
                  </w:r>
                </w:p>
              </w:tc>
            </w:tr>
          </w:tbl>
          <w:p>
            <w:pPr>
              <w:pStyle w:val="11"/>
              <w:adjustRightInd w:val="0"/>
              <w:snapToGrid w:val="0"/>
              <w:spacing w:line="360" w:lineRule="auto"/>
              <w:ind w:firstLine="480"/>
              <w:rPr>
                <w:rFonts w:ascii="Times New Roman" w:hAnsi="Times New Roman"/>
                <w:sz w:val="24"/>
              </w:rPr>
            </w:pPr>
            <w:r>
              <w:rPr>
                <w:rFonts w:ascii="Times New Roman" w:hAnsi="Times New Roman"/>
                <w:sz w:val="24"/>
              </w:rPr>
              <w:t>（2）</w:t>
            </w:r>
            <w:r>
              <w:rPr>
                <w:rFonts w:ascii="Times New Roman" w:hAnsi="Times New Roman"/>
                <w:kern w:val="0"/>
                <w:sz w:val="24"/>
              </w:rPr>
              <w:t>噪声排放标准</w:t>
            </w:r>
          </w:p>
          <w:p>
            <w:pPr>
              <w:pStyle w:val="11"/>
              <w:adjustRightInd w:val="0"/>
              <w:snapToGrid w:val="0"/>
              <w:spacing w:line="360" w:lineRule="auto"/>
              <w:ind w:firstLine="480"/>
              <w:rPr>
                <w:rFonts w:ascii="Times New Roman" w:hAnsi="Times New Roman"/>
                <w:sz w:val="24"/>
              </w:rPr>
            </w:pPr>
            <w:r>
              <w:rPr>
                <w:rFonts w:ascii="Times New Roman" w:hAnsi="Times New Roman"/>
                <w:sz w:val="24"/>
              </w:rPr>
              <w:t>本项目噪声排放执行《工业企业厂界环境噪声排放标准》（GB12348-2008）3类功能区标准。具体见表3-5。</w:t>
            </w:r>
          </w:p>
          <w:p>
            <w:pPr>
              <w:pStyle w:val="30"/>
              <w:snapToGrid/>
              <w:spacing w:before="156" w:beforeLines="50"/>
              <w:rPr>
                <w:bCs/>
                <w:color w:val="auto"/>
                <w:sz w:val="21"/>
                <w:szCs w:val="21"/>
              </w:rPr>
            </w:pPr>
            <w:r>
              <w:rPr>
                <w:bCs/>
                <w:color w:val="auto"/>
                <w:sz w:val="21"/>
                <w:szCs w:val="21"/>
              </w:rPr>
              <w:t>表3-5噪声排放标准</w:t>
            </w:r>
          </w:p>
          <w:tbl>
            <w:tblPr>
              <w:tblStyle w:val="25"/>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862"/>
              <w:gridCol w:w="755"/>
              <w:gridCol w:w="1268"/>
              <w:gridCol w:w="2846"/>
              <w:gridCol w:w="10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40" w:type="dxa"/>
                  <w:tcBorders>
                    <w:tl2br w:val="nil"/>
                    <w:tr2bl w:val="nil"/>
                  </w:tcBorders>
                  <w:vAlign w:val="center"/>
                </w:tcPr>
                <w:p>
                  <w:pPr>
                    <w:jc w:val="center"/>
                    <w:rPr>
                      <w:rFonts w:ascii="Times New Roman" w:hAnsi="Times New Roman"/>
                      <w:b/>
                      <w:bCs/>
                    </w:rPr>
                  </w:pPr>
                  <w:r>
                    <w:rPr>
                      <w:rFonts w:ascii="Times New Roman" w:hAnsi="Times New Roman"/>
                      <w:b/>
                      <w:bCs/>
                    </w:rPr>
                    <w:t>污染源（类型）</w:t>
                  </w:r>
                </w:p>
              </w:tc>
              <w:tc>
                <w:tcPr>
                  <w:tcW w:w="862" w:type="dxa"/>
                  <w:tcBorders>
                    <w:tl2br w:val="nil"/>
                    <w:tr2bl w:val="nil"/>
                  </w:tcBorders>
                  <w:vAlign w:val="center"/>
                </w:tcPr>
                <w:p>
                  <w:pPr>
                    <w:jc w:val="center"/>
                    <w:rPr>
                      <w:rFonts w:ascii="Times New Roman" w:hAnsi="Times New Roman"/>
                      <w:b/>
                      <w:bCs/>
                    </w:rPr>
                  </w:pPr>
                  <w:r>
                    <w:rPr>
                      <w:rFonts w:ascii="Times New Roman" w:hAnsi="Times New Roman"/>
                      <w:b/>
                      <w:bCs/>
                    </w:rPr>
                    <w:t>污染物</w:t>
                  </w:r>
                </w:p>
              </w:tc>
              <w:tc>
                <w:tcPr>
                  <w:tcW w:w="2023" w:type="dxa"/>
                  <w:gridSpan w:val="2"/>
                  <w:tcBorders>
                    <w:tl2br w:val="nil"/>
                    <w:tr2bl w:val="nil"/>
                  </w:tcBorders>
                  <w:vAlign w:val="center"/>
                </w:tcPr>
                <w:p>
                  <w:pPr>
                    <w:jc w:val="center"/>
                    <w:rPr>
                      <w:rFonts w:ascii="Times New Roman" w:hAnsi="Times New Roman"/>
                      <w:b/>
                      <w:bCs/>
                    </w:rPr>
                  </w:pPr>
                  <w:r>
                    <w:rPr>
                      <w:rFonts w:ascii="Times New Roman" w:hAnsi="Times New Roman"/>
                      <w:b/>
                      <w:bCs/>
                    </w:rPr>
                    <w:t>污染物排放限值</w:t>
                  </w:r>
                </w:p>
              </w:tc>
              <w:tc>
                <w:tcPr>
                  <w:tcW w:w="2846" w:type="dxa"/>
                  <w:tcBorders>
                    <w:tl2br w:val="nil"/>
                    <w:tr2bl w:val="nil"/>
                  </w:tcBorders>
                  <w:vAlign w:val="center"/>
                </w:tcPr>
                <w:p>
                  <w:pPr>
                    <w:jc w:val="center"/>
                    <w:rPr>
                      <w:rFonts w:ascii="Times New Roman" w:hAnsi="Times New Roman"/>
                      <w:b/>
                      <w:bCs/>
                    </w:rPr>
                  </w:pPr>
                  <w:r>
                    <w:rPr>
                      <w:rFonts w:ascii="Times New Roman" w:hAnsi="Times New Roman"/>
                      <w:b/>
                      <w:bCs/>
                    </w:rPr>
                    <w:t>标准来源</w:t>
                  </w:r>
                </w:p>
              </w:tc>
              <w:tc>
                <w:tcPr>
                  <w:tcW w:w="1095" w:type="dxa"/>
                  <w:tcBorders>
                    <w:tl2br w:val="nil"/>
                    <w:tr2bl w:val="nil"/>
                  </w:tcBorders>
                  <w:vAlign w:val="center"/>
                </w:tcPr>
                <w:p>
                  <w:pPr>
                    <w:jc w:val="center"/>
                    <w:rPr>
                      <w:rFonts w:ascii="Times New Roman" w:hAnsi="Times New Roman"/>
                      <w:b/>
                      <w:bCs/>
                    </w:rPr>
                  </w:pPr>
                  <w:r>
                    <w:rPr>
                      <w:rFonts w:ascii="Times New Roman" w:hAnsi="Times New Roman"/>
                      <w:b/>
                      <w:bCs/>
                    </w:rPr>
                    <w:t>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340" w:type="dxa"/>
                  <w:vMerge w:val="restart"/>
                  <w:tcBorders>
                    <w:tl2br w:val="nil"/>
                    <w:tr2bl w:val="nil"/>
                  </w:tcBorders>
                  <w:vAlign w:val="center"/>
                </w:tcPr>
                <w:p>
                  <w:pPr>
                    <w:jc w:val="center"/>
                    <w:rPr>
                      <w:rFonts w:ascii="Times New Roman" w:hAnsi="Times New Roman"/>
                    </w:rPr>
                  </w:pPr>
                  <w:r>
                    <w:rPr>
                      <w:rFonts w:ascii="Times New Roman" w:hAnsi="Times New Roman"/>
                    </w:rPr>
                    <w:t>运营噪声</w:t>
                  </w:r>
                </w:p>
              </w:tc>
              <w:tc>
                <w:tcPr>
                  <w:tcW w:w="862" w:type="dxa"/>
                  <w:vMerge w:val="restart"/>
                  <w:tcBorders>
                    <w:tl2br w:val="nil"/>
                    <w:tr2bl w:val="nil"/>
                  </w:tcBorders>
                  <w:vAlign w:val="center"/>
                </w:tcPr>
                <w:p>
                  <w:pPr>
                    <w:jc w:val="center"/>
                    <w:rPr>
                      <w:rFonts w:ascii="Times New Roman" w:hAnsi="Times New Roman"/>
                    </w:rPr>
                  </w:pPr>
                  <w:r>
                    <w:rPr>
                      <w:rFonts w:ascii="Times New Roman" w:hAnsi="Times New Roman"/>
                    </w:rPr>
                    <w:t>厂界</w:t>
                  </w:r>
                </w:p>
                <w:p>
                  <w:pPr>
                    <w:jc w:val="center"/>
                    <w:rPr>
                      <w:rFonts w:ascii="Times New Roman" w:hAnsi="Times New Roman"/>
                    </w:rPr>
                  </w:pPr>
                  <w:r>
                    <w:rPr>
                      <w:rFonts w:ascii="Times New Roman" w:hAnsi="Times New Roman"/>
                    </w:rPr>
                    <w:t>噪声</w:t>
                  </w:r>
                </w:p>
              </w:tc>
              <w:tc>
                <w:tcPr>
                  <w:tcW w:w="755" w:type="dxa"/>
                  <w:tcBorders>
                    <w:tl2br w:val="nil"/>
                    <w:tr2bl w:val="nil"/>
                  </w:tcBorders>
                  <w:vAlign w:val="center"/>
                </w:tcPr>
                <w:p>
                  <w:pPr>
                    <w:jc w:val="center"/>
                    <w:rPr>
                      <w:rFonts w:ascii="Times New Roman" w:hAnsi="Times New Roman"/>
                    </w:rPr>
                  </w:pPr>
                  <w:r>
                    <w:rPr>
                      <w:rFonts w:ascii="Times New Roman" w:hAnsi="Times New Roman"/>
                    </w:rPr>
                    <w:t>昼间</w:t>
                  </w:r>
                </w:p>
              </w:tc>
              <w:tc>
                <w:tcPr>
                  <w:tcW w:w="1268" w:type="dxa"/>
                  <w:tcBorders>
                    <w:tl2br w:val="nil"/>
                    <w:tr2bl w:val="nil"/>
                  </w:tcBorders>
                  <w:vAlign w:val="center"/>
                </w:tcPr>
                <w:p>
                  <w:pPr>
                    <w:jc w:val="center"/>
                    <w:rPr>
                      <w:rFonts w:ascii="Times New Roman" w:hAnsi="Times New Roman"/>
                    </w:rPr>
                  </w:pPr>
                  <w:r>
                    <w:rPr>
                      <w:rFonts w:ascii="Times New Roman" w:hAnsi="Times New Roman"/>
                    </w:rPr>
                    <w:t>65dB（A）</w:t>
                  </w:r>
                </w:p>
              </w:tc>
              <w:tc>
                <w:tcPr>
                  <w:tcW w:w="2846" w:type="dxa"/>
                  <w:vMerge w:val="restart"/>
                  <w:tcBorders>
                    <w:tl2br w:val="nil"/>
                    <w:tr2bl w:val="nil"/>
                  </w:tcBorders>
                  <w:vAlign w:val="center"/>
                </w:tcPr>
                <w:p>
                  <w:pPr>
                    <w:jc w:val="center"/>
                    <w:rPr>
                      <w:rFonts w:ascii="Times New Roman" w:hAnsi="Times New Roman"/>
                    </w:rPr>
                  </w:pPr>
                  <w:r>
                    <w:rPr>
                      <w:rFonts w:ascii="Times New Roman" w:hAnsi="Times New Roman"/>
                    </w:rPr>
                    <w:t>《工业企业厂界环境噪声排放标准》（GB12348-2008）3类功能区</w:t>
                  </w:r>
                </w:p>
              </w:tc>
              <w:tc>
                <w:tcPr>
                  <w:tcW w:w="1095" w:type="dxa"/>
                  <w:vMerge w:val="restart"/>
                  <w:tcBorders>
                    <w:tl2br w:val="nil"/>
                    <w:tr2bl w:val="nil"/>
                  </w:tcBorders>
                  <w:vAlign w:val="center"/>
                </w:tcPr>
                <w:p>
                  <w:pPr>
                    <w:jc w:val="center"/>
                    <w:rPr>
                      <w:rFonts w:ascii="Times New Roman" w:hAnsi="Times New Roman"/>
                    </w:rPr>
                  </w:pPr>
                  <w:r>
                    <w:rPr>
                      <w:rFonts w:ascii="Times New Roman" w:hAnsi="Times New Roman"/>
                    </w:rPr>
                    <w:t>占地厂界外1m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40" w:type="dxa"/>
                  <w:vMerge w:val="continue"/>
                  <w:tcBorders>
                    <w:tl2br w:val="nil"/>
                    <w:tr2bl w:val="nil"/>
                  </w:tcBorders>
                  <w:vAlign w:val="center"/>
                </w:tcPr>
                <w:p>
                  <w:pPr>
                    <w:jc w:val="center"/>
                    <w:rPr>
                      <w:rFonts w:ascii="Times New Roman" w:hAnsi="Times New Roman"/>
                    </w:rPr>
                  </w:pPr>
                </w:p>
              </w:tc>
              <w:tc>
                <w:tcPr>
                  <w:tcW w:w="862" w:type="dxa"/>
                  <w:vMerge w:val="continue"/>
                  <w:tcBorders>
                    <w:tl2br w:val="nil"/>
                    <w:tr2bl w:val="nil"/>
                  </w:tcBorders>
                  <w:vAlign w:val="center"/>
                </w:tcPr>
                <w:p>
                  <w:pPr>
                    <w:jc w:val="center"/>
                    <w:rPr>
                      <w:rFonts w:ascii="Times New Roman" w:hAnsi="Times New Roman"/>
                    </w:rPr>
                  </w:pPr>
                </w:p>
              </w:tc>
              <w:tc>
                <w:tcPr>
                  <w:tcW w:w="755" w:type="dxa"/>
                  <w:tcBorders>
                    <w:tl2br w:val="nil"/>
                    <w:tr2bl w:val="nil"/>
                  </w:tcBorders>
                  <w:vAlign w:val="center"/>
                </w:tcPr>
                <w:p>
                  <w:pPr>
                    <w:jc w:val="center"/>
                    <w:rPr>
                      <w:rFonts w:ascii="Times New Roman" w:hAnsi="Times New Roman"/>
                    </w:rPr>
                  </w:pPr>
                  <w:r>
                    <w:rPr>
                      <w:rFonts w:ascii="Times New Roman" w:hAnsi="Times New Roman"/>
                    </w:rPr>
                    <w:t>夜间</w:t>
                  </w:r>
                </w:p>
              </w:tc>
              <w:tc>
                <w:tcPr>
                  <w:tcW w:w="1268" w:type="dxa"/>
                  <w:tcBorders>
                    <w:tl2br w:val="nil"/>
                    <w:tr2bl w:val="nil"/>
                  </w:tcBorders>
                  <w:vAlign w:val="center"/>
                </w:tcPr>
                <w:p>
                  <w:pPr>
                    <w:jc w:val="center"/>
                    <w:rPr>
                      <w:rFonts w:ascii="Times New Roman" w:hAnsi="Times New Roman"/>
                    </w:rPr>
                  </w:pPr>
                  <w:r>
                    <w:rPr>
                      <w:rFonts w:ascii="Times New Roman" w:hAnsi="Times New Roman"/>
                    </w:rPr>
                    <w:t>55dB（A）</w:t>
                  </w:r>
                </w:p>
              </w:tc>
              <w:tc>
                <w:tcPr>
                  <w:tcW w:w="2846" w:type="dxa"/>
                  <w:vMerge w:val="continue"/>
                  <w:tcBorders>
                    <w:tl2br w:val="nil"/>
                    <w:tr2bl w:val="nil"/>
                  </w:tcBorders>
                  <w:vAlign w:val="center"/>
                </w:tcPr>
                <w:p>
                  <w:pPr>
                    <w:jc w:val="center"/>
                    <w:rPr>
                      <w:rFonts w:ascii="Times New Roman" w:hAnsi="Times New Roman"/>
                    </w:rPr>
                  </w:pPr>
                </w:p>
              </w:tc>
              <w:tc>
                <w:tcPr>
                  <w:tcW w:w="1095" w:type="dxa"/>
                  <w:vMerge w:val="continue"/>
                  <w:tcBorders>
                    <w:tl2br w:val="nil"/>
                    <w:tr2bl w:val="nil"/>
                  </w:tcBorders>
                  <w:vAlign w:val="center"/>
                </w:tcPr>
                <w:p>
                  <w:pPr>
                    <w:jc w:val="center"/>
                    <w:rPr>
                      <w:rFonts w:ascii="Times New Roman" w:hAnsi="Times New Roman"/>
                    </w:rPr>
                  </w:pPr>
                </w:p>
              </w:tc>
            </w:tr>
          </w:tbl>
          <w:p>
            <w:pPr>
              <w:spacing w:line="360" w:lineRule="auto"/>
              <w:ind w:firstLine="480" w:firstLineChars="200"/>
              <w:rPr>
                <w:rFonts w:ascii="Times New Roman" w:hAnsi="Times New Roman"/>
                <w:kern w:val="0"/>
                <w:szCs w:val="21"/>
              </w:rPr>
            </w:pPr>
            <w:r>
              <w:rPr>
                <w:rFonts w:ascii="Times New Roman" w:hAnsi="Times New Roman"/>
                <w:kern w:val="0"/>
                <w:sz w:val="24"/>
              </w:rPr>
              <w:t>（4）一般固体废物执行《一般工业固体废物贮存和填埋污染控制标准》（GB18599-2020）有关规定。《危险废物贮存污染控制标准》（GB18597-2023）。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449" w:type="dxa"/>
            <w:vAlign w:val="center"/>
          </w:tcPr>
          <w:p>
            <w:pPr>
              <w:adjustRightInd w:val="0"/>
              <w:snapToGrid w:val="0"/>
              <w:jc w:val="center"/>
              <w:rPr>
                <w:rFonts w:ascii="Times New Roman" w:hAnsi="Times New Roman"/>
                <w:kern w:val="0"/>
                <w:sz w:val="24"/>
              </w:rPr>
            </w:pPr>
            <w:r>
              <w:rPr>
                <w:rFonts w:ascii="Times New Roman" w:hAnsi="Times New Roman"/>
                <w:kern w:val="0"/>
                <w:sz w:val="24"/>
              </w:rPr>
              <w:t>总量</w:t>
            </w:r>
          </w:p>
          <w:p>
            <w:pPr>
              <w:adjustRightInd w:val="0"/>
              <w:snapToGrid w:val="0"/>
              <w:jc w:val="center"/>
              <w:rPr>
                <w:rFonts w:ascii="Times New Roman" w:hAnsi="Times New Roman"/>
                <w:kern w:val="0"/>
                <w:sz w:val="24"/>
              </w:rPr>
            </w:pPr>
            <w:r>
              <w:rPr>
                <w:rFonts w:ascii="Times New Roman" w:hAnsi="Times New Roman"/>
                <w:kern w:val="0"/>
                <w:sz w:val="24"/>
              </w:rPr>
              <w:t>控制</w:t>
            </w:r>
          </w:p>
          <w:p>
            <w:pPr>
              <w:adjustRightInd w:val="0"/>
              <w:snapToGrid w:val="0"/>
              <w:jc w:val="center"/>
              <w:rPr>
                <w:rFonts w:ascii="Times New Roman" w:hAnsi="Times New Roman"/>
                <w:kern w:val="0"/>
                <w:sz w:val="24"/>
              </w:rPr>
            </w:pPr>
            <w:r>
              <w:rPr>
                <w:rFonts w:ascii="Times New Roman" w:hAnsi="Times New Roman"/>
                <w:kern w:val="0"/>
                <w:sz w:val="24"/>
              </w:rPr>
              <w:t>指标</w:t>
            </w:r>
          </w:p>
        </w:tc>
        <w:tc>
          <w:tcPr>
            <w:tcW w:w="8073" w:type="dxa"/>
            <w:vAlign w:val="center"/>
          </w:tcPr>
          <w:p>
            <w:pPr>
              <w:pStyle w:val="40"/>
              <w:jc w:val="center"/>
              <w:rPr>
                <w:rFonts w:ascii="Times New Roman" w:hAnsi="Times New Roman"/>
              </w:rPr>
            </w:pPr>
            <w:r>
              <w:rPr>
                <w:rFonts w:ascii="Times New Roman" w:hAnsi="Times New Roman"/>
                <w:lang w:val="en-US"/>
              </w:rPr>
              <w:t>无</w:t>
            </w:r>
          </w:p>
        </w:tc>
      </w:tr>
    </w:tbl>
    <w:p>
      <w:pPr>
        <w:pStyle w:val="21"/>
        <w:spacing w:before="0" w:beforeAutospacing="0" w:after="0" w:afterAutospacing="0"/>
        <w:rPr>
          <w:b/>
          <w:bCs/>
          <w:sz w:val="30"/>
          <w:szCs w:val="30"/>
        </w:rPr>
      </w:pPr>
      <w:r>
        <w:br w:type="page"/>
      </w:r>
      <w:r>
        <w:rPr>
          <w:b/>
          <w:bCs/>
          <w:sz w:val="30"/>
          <w:szCs w:val="30"/>
        </w:rPr>
        <w:t>四、主要环境影响和保护措施</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dxa"/>
            <w:vAlign w:val="center"/>
          </w:tcPr>
          <w:p>
            <w:pPr>
              <w:pStyle w:val="30"/>
              <w:rPr>
                <w:color w:val="auto"/>
              </w:rPr>
            </w:pPr>
            <w:r>
              <w:rPr>
                <w:b w:val="0"/>
                <w:bCs/>
                <w:color w:val="auto"/>
              </w:rPr>
              <w:t>施工期环境保护措施</w:t>
            </w:r>
          </w:p>
        </w:tc>
        <w:tc>
          <w:tcPr>
            <w:tcW w:w="8071" w:type="dxa"/>
            <w:vAlign w:val="center"/>
          </w:tcPr>
          <w:p>
            <w:pPr>
              <w:spacing w:line="360" w:lineRule="auto"/>
              <w:ind w:firstLine="480" w:firstLineChars="200"/>
              <w:rPr>
                <w:rFonts w:ascii="Times New Roman" w:hAnsi="Times New Roman"/>
                <w:sz w:val="24"/>
              </w:rPr>
            </w:pPr>
            <w:r>
              <w:rPr>
                <w:rFonts w:ascii="Times New Roman" w:hAnsi="Times New Roman"/>
                <w:sz w:val="24"/>
              </w:rPr>
              <w:t>本项目为租赁用地。本项目施工期仅为设备安装。</w:t>
            </w:r>
          </w:p>
          <w:p>
            <w:pPr>
              <w:pStyle w:val="30"/>
              <w:snapToGrid/>
              <w:spacing w:line="360" w:lineRule="auto"/>
              <w:ind w:firstLine="480" w:firstLineChars="200"/>
              <w:jc w:val="left"/>
              <w:rPr>
                <w:color w:val="auto"/>
              </w:rPr>
            </w:pPr>
            <w:r>
              <w:rPr>
                <w:b w:val="0"/>
                <w:bCs/>
                <w:color w:val="auto"/>
              </w:rPr>
              <w:t>项目施工期不涉及基础开挖、土建工程等，仅是进行设备安装，产生的环境影响较小。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5" w:hRule="atLeast"/>
        </w:trPr>
        <w:tc>
          <w:tcPr>
            <w:tcW w:w="451" w:type="dxa"/>
            <w:vAlign w:val="center"/>
          </w:tcPr>
          <w:p>
            <w:pPr>
              <w:adjustRightInd w:val="0"/>
              <w:snapToGrid w:val="0"/>
              <w:jc w:val="center"/>
              <w:rPr>
                <w:rFonts w:ascii="Times New Roman" w:hAnsi="Times New Roman"/>
                <w:bCs/>
                <w:sz w:val="24"/>
              </w:rPr>
            </w:pPr>
            <w:r>
              <w:rPr>
                <w:rFonts w:ascii="Times New Roman" w:hAnsi="Times New Roman"/>
                <w:bCs/>
                <w:sz w:val="24"/>
              </w:rPr>
              <w:t>运营</w:t>
            </w:r>
          </w:p>
          <w:p>
            <w:pPr>
              <w:adjustRightInd w:val="0"/>
              <w:snapToGrid w:val="0"/>
              <w:jc w:val="center"/>
              <w:rPr>
                <w:rFonts w:ascii="Times New Roman" w:hAnsi="Times New Roman"/>
                <w:bCs/>
                <w:sz w:val="24"/>
              </w:rPr>
            </w:pPr>
            <w:r>
              <w:rPr>
                <w:rFonts w:ascii="Times New Roman" w:hAnsi="Times New Roman"/>
                <w:bCs/>
                <w:sz w:val="24"/>
              </w:rPr>
              <w:t>期环</w:t>
            </w:r>
          </w:p>
          <w:p>
            <w:pPr>
              <w:adjustRightInd w:val="0"/>
              <w:snapToGrid w:val="0"/>
              <w:jc w:val="center"/>
              <w:rPr>
                <w:rFonts w:ascii="Times New Roman" w:hAnsi="Times New Roman"/>
                <w:bCs/>
                <w:sz w:val="24"/>
              </w:rPr>
            </w:pPr>
            <w:r>
              <w:rPr>
                <w:rFonts w:ascii="Times New Roman" w:hAnsi="Times New Roman"/>
                <w:bCs/>
                <w:sz w:val="24"/>
              </w:rPr>
              <w:t>境影</w:t>
            </w:r>
          </w:p>
          <w:p>
            <w:pPr>
              <w:adjustRightInd w:val="0"/>
              <w:snapToGrid w:val="0"/>
              <w:jc w:val="center"/>
              <w:rPr>
                <w:rFonts w:ascii="Times New Roman" w:hAnsi="Times New Roman"/>
                <w:bCs/>
                <w:sz w:val="24"/>
              </w:rPr>
            </w:pPr>
            <w:r>
              <w:rPr>
                <w:rFonts w:ascii="Times New Roman" w:hAnsi="Times New Roman"/>
                <w:bCs/>
                <w:sz w:val="24"/>
              </w:rPr>
              <w:t>响和</w:t>
            </w:r>
          </w:p>
          <w:p>
            <w:pPr>
              <w:adjustRightInd w:val="0"/>
              <w:snapToGrid w:val="0"/>
              <w:jc w:val="center"/>
              <w:rPr>
                <w:rFonts w:ascii="Times New Roman" w:hAnsi="Times New Roman"/>
                <w:bCs/>
                <w:sz w:val="24"/>
              </w:rPr>
            </w:pPr>
            <w:r>
              <w:rPr>
                <w:rFonts w:ascii="Times New Roman" w:hAnsi="Times New Roman"/>
                <w:bCs/>
                <w:sz w:val="24"/>
              </w:rPr>
              <w:t>保护</w:t>
            </w:r>
          </w:p>
          <w:p>
            <w:pPr>
              <w:rPr>
                <w:rFonts w:ascii="Times New Roman" w:hAnsi="Times New Roman"/>
              </w:rPr>
            </w:pPr>
            <w:r>
              <w:rPr>
                <w:rFonts w:ascii="Times New Roman" w:hAnsi="Times New Roman"/>
                <w:bCs/>
                <w:sz w:val="24"/>
              </w:rPr>
              <w:t>措施</w:t>
            </w:r>
          </w:p>
        </w:tc>
        <w:tc>
          <w:tcPr>
            <w:tcW w:w="8071" w:type="dxa"/>
          </w:tcPr>
          <w:p>
            <w:pPr>
              <w:adjustRightInd w:val="0"/>
              <w:snapToGrid w:val="0"/>
              <w:spacing w:before="156" w:beforeLines="50" w:line="360" w:lineRule="auto"/>
              <w:ind w:firstLine="482" w:firstLineChars="200"/>
              <w:rPr>
                <w:rFonts w:ascii="Times New Roman" w:hAnsi="Times New Roman"/>
                <w:b/>
                <w:bCs/>
                <w:sz w:val="24"/>
              </w:rPr>
            </w:pPr>
            <w:r>
              <w:rPr>
                <w:rFonts w:ascii="Times New Roman" w:hAnsi="Times New Roman"/>
                <w:b/>
                <w:bCs/>
                <w:sz w:val="24"/>
              </w:rPr>
              <w:t>1、大气环境影响及保护措施</w:t>
            </w:r>
          </w:p>
          <w:p>
            <w:pPr>
              <w:spacing w:line="360" w:lineRule="auto"/>
              <w:ind w:firstLine="482" w:firstLineChars="200"/>
              <w:rPr>
                <w:rFonts w:ascii="Times New Roman" w:hAnsi="Times New Roman"/>
                <w:b/>
                <w:bCs/>
                <w:sz w:val="24"/>
              </w:rPr>
            </w:pPr>
            <w:r>
              <w:rPr>
                <w:rFonts w:ascii="Times New Roman" w:hAnsi="Times New Roman"/>
                <w:b/>
                <w:bCs/>
                <w:sz w:val="24"/>
              </w:rPr>
              <w:t>1.1污染源分析及措施可行性</w:t>
            </w:r>
          </w:p>
          <w:p>
            <w:pPr>
              <w:overflowPunct w:val="0"/>
              <w:spacing w:line="360" w:lineRule="auto"/>
              <w:ind w:firstLine="480" w:firstLineChars="200"/>
              <w:contextualSpacing/>
              <w:rPr>
                <w:rFonts w:ascii="Times New Roman" w:hAnsi="Times New Roman"/>
                <w:snapToGrid w:val="0"/>
                <w:sz w:val="24"/>
              </w:rPr>
            </w:pPr>
            <w:r>
              <w:rPr>
                <w:rFonts w:ascii="Times New Roman" w:hAnsi="Times New Roman"/>
                <w:snapToGrid w:val="0"/>
                <w:sz w:val="24"/>
              </w:rPr>
              <w:t>项目运营期产生的废气主要为水泥筒仓粉尘、砂石料装卸扬尘、投料粉尘、搅拌机进料粉尘及车辆运输扬尘。</w:t>
            </w:r>
          </w:p>
          <w:p>
            <w:pPr>
              <w:spacing w:line="360" w:lineRule="auto"/>
              <w:ind w:firstLine="482" w:firstLineChars="200"/>
              <w:rPr>
                <w:rFonts w:ascii="Times New Roman" w:hAnsi="Times New Roman"/>
                <w:b/>
                <w:bCs/>
                <w:sz w:val="24"/>
              </w:rPr>
            </w:pPr>
            <w:r>
              <w:rPr>
                <w:rFonts w:ascii="Times New Roman" w:hAnsi="Times New Roman"/>
                <w:b/>
                <w:bCs/>
                <w:sz w:val="24"/>
              </w:rPr>
              <w:t>1.1.1水泥入仓粉尘</w:t>
            </w:r>
          </w:p>
          <w:p>
            <w:pPr>
              <w:spacing w:line="360" w:lineRule="auto"/>
              <w:ind w:firstLine="460" w:firstLineChars="200"/>
              <w:rPr>
                <w:rFonts w:ascii="Times New Roman" w:hAnsi="Times New Roman"/>
                <w:spacing w:val="-5"/>
                <w:sz w:val="24"/>
              </w:rPr>
            </w:pPr>
            <w:r>
              <w:rPr>
                <w:rFonts w:ascii="Times New Roman" w:hAnsi="Times New Roman"/>
                <w:spacing w:val="-5"/>
                <w:sz w:val="24"/>
              </w:rPr>
              <w:t>本项目水泥采用料仓储存，设置1个水泥筒仓（100t），筒仓顶部配置1台仓顶脉冲袋式除尘器，共设1台仓顶袋式除尘器。水泥通过罐车运输进厂，由罐车自带的空压机打入仓中，此时产生的含尘废气由各自仓顶自带的袋式除尘器净化处理后由仓顶排放。</w:t>
            </w:r>
            <w:r>
              <w:rPr>
                <w:rFonts w:hint="eastAsia" w:ascii="Times New Roman" w:hAnsi="Times New Roman"/>
                <w:spacing w:val="-5"/>
                <w:sz w:val="24"/>
              </w:rPr>
              <w:t>项目水泥入仓粉尘核算参考</w:t>
            </w:r>
            <w:r>
              <w:rPr>
                <w:rFonts w:ascii="Times New Roman" w:hAnsi="Times New Roman"/>
                <w:spacing w:val="-5"/>
                <w:sz w:val="24"/>
              </w:rPr>
              <w:t>《排放源统计调查产排污核算方法和系数手册》“3021水泥制品制造（含3022砼结构构件、3029其他水泥类似制品制造）行业系数表-各种水泥制品-物料输送储存”，</w:t>
            </w:r>
            <w:r>
              <w:rPr>
                <w:rFonts w:hint="eastAsia" w:ascii="Times New Roman" w:hAnsi="Times New Roman"/>
                <w:spacing w:val="-5"/>
                <w:sz w:val="24"/>
              </w:rPr>
              <w:t>产排污系数具体见下表。</w:t>
            </w:r>
          </w:p>
          <w:p>
            <w:pPr>
              <w:pStyle w:val="45"/>
              <w:rPr>
                <w:rFonts w:ascii="Times New Roman"/>
                <w:b/>
                <w:bCs/>
                <w:sz w:val="21"/>
                <w:szCs w:val="21"/>
              </w:rPr>
            </w:pPr>
            <w:r>
              <w:rPr>
                <w:rFonts w:ascii="Times New Roman"/>
                <w:b/>
                <w:bCs/>
                <w:sz w:val="21"/>
                <w:szCs w:val="21"/>
              </w:rPr>
              <w:t>表4-</w:t>
            </w:r>
            <w:r>
              <w:rPr>
                <w:rFonts w:hint="eastAsia" w:ascii="Times New Roman"/>
                <w:b/>
                <w:bCs/>
                <w:sz w:val="21"/>
                <w:szCs w:val="21"/>
              </w:rPr>
              <w:t xml:space="preserve">1   </w:t>
            </w:r>
            <w:r>
              <w:rPr>
                <w:rFonts w:ascii="Times New Roman"/>
                <w:b/>
                <w:bCs/>
                <w:sz w:val="21"/>
                <w:szCs w:val="21"/>
              </w:rPr>
              <w:t>水泥制品制造行业产排污系数表</w:t>
            </w:r>
          </w:p>
          <w:tbl>
            <w:tblPr>
              <w:tblStyle w:val="25"/>
              <w:tblW w:w="4996"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909"/>
              <w:gridCol w:w="909"/>
              <w:gridCol w:w="909"/>
              <w:gridCol w:w="686"/>
              <w:gridCol w:w="790"/>
              <w:gridCol w:w="910"/>
              <w:gridCol w:w="910"/>
              <w:gridCol w:w="9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工艺</w:t>
                  </w:r>
                </w:p>
                <w:p>
                  <w:pPr>
                    <w:snapToGrid w:val="0"/>
                    <w:jc w:val="center"/>
                    <w:rPr>
                      <w:rFonts w:ascii="Times New Roman" w:hAnsi="Times New Roman"/>
                      <w:spacing w:val="-5"/>
                      <w:szCs w:val="21"/>
                    </w:rPr>
                  </w:pPr>
                  <w:r>
                    <w:rPr>
                      <w:rFonts w:ascii="Times New Roman" w:hAnsi="Times New Roman"/>
                      <w:spacing w:val="-5"/>
                      <w:szCs w:val="21"/>
                    </w:rPr>
                    <w:t>名称</w:t>
                  </w:r>
                </w:p>
              </w:tc>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产品</w:t>
                  </w:r>
                </w:p>
                <w:p>
                  <w:pPr>
                    <w:snapToGrid w:val="0"/>
                    <w:jc w:val="center"/>
                    <w:rPr>
                      <w:rFonts w:ascii="Times New Roman" w:hAnsi="Times New Roman"/>
                      <w:spacing w:val="-5"/>
                      <w:szCs w:val="21"/>
                    </w:rPr>
                  </w:pPr>
                  <w:r>
                    <w:rPr>
                      <w:rFonts w:ascii="Times New Roman" w:hAnsi="Times New Roman"/>
                      <w:spacing w:val="-5"/>
                      <w:szCs w:val="21"/>
                    </w:rPr>
                    <w:t>名称</w:t>
                  </w:r>
                </w:p>
              </w:tc>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原料名</w:t>
                  </w:r>
                </w:p>
                <w:p>
                  <w:pPr>
                    <w:snapToGrid w:val="0"/>
                    <w:jc w:val="center"/>
                    <w:rPr>
                      <w:rFonts w:ascii="Times New Roman" w:hAnsi="Times New Roman"/>
                      <w:spacing w:val="-5"/>
                      <w:szCs w:val="21"/>
                    </w:rPr>
                  </w:pPr>
                  <w:r>
                    <w:rPr>
                      <w:rFonts w:ascii="Times New Roman" w:hAnsi="Times New Roman"/>
                      <w:spacing w:val="-5"/>
                      <w:szCs w:val="21"/>
                    </w:rPr>
                    <w:t>称</w:t>
                  </w:r>
                </w:p>
              </w:tc>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规模等</w:t>
                  </w:r>
                </w:p>
                <w:p>
                  <w:pPr>
                    <w:snapToGrid w:val="0"/>
                    <w:jc w:val="center"/>
                    <w:rPr>
                      <w:rFonts w:ascii="Times New Roman" w:hAnsi="Times New Roman"/>
                      <w:spacing w:val="-5"/>
                      <w:szCs w:val="21"/>
                    </w:rPr>
                  </w:pPr>
                  <w:r>
                    <w:rPr>
                      <w:rFonts w:ascii="Times New Roman" w:hAnsi="Times New Roman"/>
                      <w:spacing w:val="-5"/>
                      <w:szCs w:val="21"/>
                    </w:rPr>
                    <w:t>级</w:t>
                  </w:r>
                </w:p>
              </w:tc>
              <w:tc>
                <w:tcPr>
                  <w:tcW w:w="437"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污染物指标</w:t>
                  </w:r>
                </w:p>
              </w:tc>
              <w:tc>
                <w:tcPr>
                  <w:tcW w:w="503"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系数单位</w:t>
                  </w:r>
                </w:p>
              </w:tc>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产污</w:t>
                  </w:r>
                </w:p>
                <w:p>
                  <w:pPr>
                    <w:snapToGrid w:val="0"/>
                    <w:jc w:val="center"/>
                    <w:rPr>
                      <w:rFonts w:ascii="Times New Roman" w:hAnsi="Times New Roman"/>
                      <w:spacing w:val="-5"/>
                      <w:szCs w:val="21"/>
                    </w:rPr>
                  </w:pPr>
                  <w:r>
                    <w:rPr>
                      <w:rFonts w:ascii="Times New Roman" w:hAnsi="Times New Roman"/>
                      <w:spacing w:val="-5"/>
                      <w:szCs w:val="21"/>
                    </w:rPr>
                    <w:t>系数</w:t>
                  </w:r>
                </w:p>
              </w:tc>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末端治</w:t>
                  </w:r>
                </w:p>
                <w:p>
                  <w:pPr>
                    <w:snapToGrid w:val="0"/>
                    <w:jc w:val="center"/>
                    <w:rPr>
                      <w:rFonts w:ascii="Times New Roman" w:hAnsi="Times New Roman"/>
                      <w:spacing w:val="-5"/>
                      <w:szCs w:val="21"/>
                    </w:rPr>
                  </w:pPr>
                  <w:r>
                    <w:rPr>
                      <w:rFonts w:ascii="Times New Roman" w:hAnsi="Times New Roman"/>
                      <w:spacing w:val="-5"/>
                      <w:szCs w:val="21"/>
                    </w:rPr>
                    <w:t>理</w:t>
                  </w:r>
                </w:p>
              </w:tc>
              <w:tc>
                <w:tcPr>
                  <w:tcW w:w="580"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治理</w:t>
                  </w:r>
                </w:p>
                <w:p>
                  <w:pPr>
                    <w:snapToGrid w:val="0"/>
                    <w:jc w:val="center"/>
                    <w:rPr>
                      <w:rFonts w:ascii="Times New Roman" w:hAnsi="Times New Roman"/>
                      <w:spacing w:val="-5"/>
                      <w:szCs w:val="21"/>
                    </w:rPr>
                  </w:pPr>
                  <w:r>
                    <w:rPr>
                      <w:rFonts w:ascii="Times New Roman" w:hAnsi="Times New Roman"/>
                      <w:spacing w:val="-5"/>
                      <w:szCs w:val="21"/>
                    </w:rPr>
                    <w:t>效率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物料输送储存</w:t>
                  </w:r>
                </w:p>
              </w:tc>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各种水泥制品</w:t>
                  </w:r>
                </w:p>
              </w:tc>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水泥、砂子、石子等</w:t>
                  </w:r>
                </w:p>
              </w:tc>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所有</w:t>
                  </w:r>
                </w:p>
                <w:p>
                  <w:pPr>
                    <w:snapToGrid w:val="0"/>
                    <w:jc w:val="center"/>
                    <w:rPr>
                      <w:rFonts w:ascii="Times New Roman" w:hAnsi="Times New Roman"/>
                      <w:spacing w:val="-5"/>
                      <w:szCs w:val="21"/>
                    </w:rPr>
                  </w:pPr>
                  <w:r>
                    <w:rPr>
                      <w:rFonts w:ascii="Times New Roman" w:hAnsi="Times New Roman"/>
                      <w:spacing w:val="-5"/>
                      <w:szCs w:val="21"/>
                    </w:rPr>
                    <w:t>规模</w:t>
                  </w:r>
                </w:p>
              </w:tc>
              <w:tc>
                <w:tcPr>
                  <w:tcW w:w="437"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颗粒物</w:t>
                  </w:r>
                </w:p>
              </w:tc>
              <w:tc>
                <w:tcPr>
                  <w:tcW w:w="503"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千克/t-产品</w:t>
                  </w:r>
                </w:p>
              </w:tc>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0.19</w:t>
                  </w:r>
                </w:p>
              </w:tc>
              <w:tc>
                <w:tcPr>
                  <w:tcW w:w="579"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袋式除尘</w:t>
                  </w:r>
                </w:p>
              </w:tc>
              <w:tc>
                <w:tcPr>
                  <w:tcW w:w="580" w:type="pct"/>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99.7</w:t>
                  </w:r>
                </w:p>
              </w:tc>
            </w:tr>
          </w:tbl>
          <w:p>
            <w:pPr>
              <w:snapToGrid w:val="0"/>
              <w:spacing w:line="360" w:lineRule="auto"/>
              <w:ind w:firstLine="460" w:firstLineChars="200"/>
              <w:rPr>
                <w:rFonts w:ascii="Times New Roman" w:hAnsi="Times New Roman"/>
                <w:sz w:val="24"/>
              </w:rPr>
            </w:pPr>
            <w:r>
              <w:rPr>
                <w:rFonts w:ascii="Times New Roman" w:hAnsi="Times New Roman"/>
                <w:spacing w:val="-5"/>
                <w:sz w:val="24"/>
              </w:rPr>
              <w:t>项目水泥用量为</w:t>
            </w:r>
            <w:r>
              <w:rPr>
                <w:rFonts w:hint="eastAsia" w:ascii="Times New Roman" w:hAnsi="Times New Roman"/>
                <w:bCs/>
                <w:sz w:val="24"/>
              </w:rPr>
              <w:t>4000</w:t>
            </w:r>
            <w:r>
              <w:rPr>
                <w:rFonts w:ascii="Times New Roman" w:hAnsi="Times New Roman" w:eastAsia="Times New Roman"/>
                <w:spacing w:val="-5"/>
                <w:sz w:val="24"/>
              </w:rPr>
              <w:t>t/a</w:t>
            </w:r>
            <w:r>
              <w:rPr>
                <w:rFonts w:ascii="Times New Roman" w:hAnsi="Times New Roman"/>
                <w:spacing w:val="-5"/>
                <w:sz w:val="24"/>
              </w:rPr>
              <w:t>，水泥物料入仓粉尘产生量按</w:t>
            </w:r>
            <w:r>
              <w:rPr>
                <w:rFonts w:ascii="Times New Roman" w:hAnsi="Times New Roman" w:eastAsia="Times New Roman"/>
                <w:spacing w:val="-5"/>
                <w:sz w:val="24"/>
              </w:rPr>
              <w:t>0.1</w:t>
            </w:r>
            <w:r>
              <w:rPr>
                <w:rFonts w:ascii="Times New Roman" w:hAnsi="Times New Roman"/>
                <w:spacing w:val="-5"/>
                <w:sz w:val="24"/>
              </w:rPr>
              <w:t>9</w:t>
            </w:r>
            <w:r>
              <w:rPr>
                <w:rFonts w:ascii="Times New Roman" w:hAnsi="Times New Roman" w:eastAsia="Times New Roman"/>
                <w:spacing w:val="-5"/>
                <w:sz w:val="24"/>
              </w:rPr>
              <w:t>kg/t</w:t>
            </w:r>
            <w:r>
              <w:rPr>
                <w:rFonts w:ascii="Times New Roman" w:hAnsi="Times New Roman"/>
                <w:spacing w:val="-5"/>
                <w:sz w:val="24"/>
              </w:rPr>
              <w:t>计，则项目入仓粉尘产生量约</w:t>
            </w:r>
            <w:r>
              <w:rPr>
                <w:rFonts w:hint="eastAsia" w:ascii="Times New Roman" w:hAnsi="Times New Roman"/>
                <w:spacing w:val="-5"/>
                <w:sz w:val="24"/>
              </w:rPr>
              <w:t>0.76</w:t>
            </w:r>
            <w:r>
              <w:rPr>
                <w:rFonts w:ascii="Times New Roman" w:hAnsi="Times New Roman" w:eastAsia="Times New Roman"/>
                <w:spacing w:val="-5"/>
                <w:sz w:val="24"/>
              </w:rPr>
              <w:t>t/a</w:t>
            </w:r>
            <w:r>
              <w:rPr>
                <w:rFonts w:ascii="Times New Roman" w:hAnsi="Times New Roman"/>
                <w:spacing w:val="-5"/>
                <w:sz w:val="24"/>
              </w:rPr>
              <w:t>（0.19×</w:t>
            </w:r>
            <w:r>
              <w:rPr>
                <w:rFonts w:hint="eastAsia" w:ascii="Times New Roman" w:hAnsi="Times New Roman"/>
                <w:bCs/>
                <w:sz w:val="24"/>
              </w:rPr>
              <w:t>4000</w:t>
            </w:r>
            <w:r>
              <w:rPr>
                <w:rFonts w:ascii="Times New Roman" w:hAnsi="Times New Roman"/>
                <w:spacing w:val="-5"/>
                <w:sz w:val="24"/>
              </w:rPr>
              <w:t>×10</w:t>
            </w:r>
            <w:r>
              <w:rPr>
                <w:rFonts w:ascii="Times New Roman" w:hAnsi="Times New Roman"/>
                <w:spacing w:val="-5"/>
                <w:sz w:val="24"/>
                <w:vertAlign w:val="superscript"/>
              </w:rPr>
              <w:t>-3</w:t>
            </w:r>
            <w:r>
              <w:rPr>
                <w:rFonts w:ascii="Times New Roman" w:hAnsi="Times New Roman"/>
                <w:spacing w:val="-5"/>
                <w:sz w:val="24"/>
              </w:rPr>
              <w:t>=</w:t>
            </w:r>
            <w:r>
              <w:rPr>
                <w:rFonts w:hint="eastAsia" w:ascii="Times New Roman" w:hAnsi="Times New Roman"/>
                <w:spacing w:val="-5"/>
                <w:sz w:val="24"/>
              </w:rPr>
              <w:t>0.76</w:t>
            </w:r>
            <w:r>
              <w:rPr>
                <w:rFonts w:ascii="Times New Roman" w:hAnsi="Times New Roman"/>
                <w:spacing w:val="-5"/>
                <w:sz w:val="24"/>
              </w:rPr>
              <w:t>）。</w:t>
            </w:r>
            <w:r>
              <w:rPr>
                <w:rFonts w:ascii="Times New Roman" w:hAnsi="Times New Roman"/>
                <w:sz w:val="24"/>
              </w:rPr>
              <w:t>呼吸口配套滤芯</w:t>
            </w:r>
            <w:r>
              <w:rPr>
                <w:rFonts w:ascii="Times New Roman" w:hAnsi="Times New Roman"/>
                <w:spacing w:val="-4"/>
                <w:sz w:val="24"/>
              </w:rPr>
              <w:t>除尘效率按照</w:t>
            </w:r>
            <w:r>
              <w:rPr>
                <w:rFonts w:ascii="Times New Roman" w:hAnsi="Times New Roman" w:eastAsia="Times New Roman"/>
                <w:spacing w:val="-4"/>
                <w:sz w:val="24"/>
              </w:rPr>
              <w:t>99.</w:t>
            </w:r>
            <w:r>
              <w:rPr>
                <w:rFonts w:ascii="Times New Roman" w:hAnsi="Times New Roman"/>
                <w:spacing w:val="-4"/>
                <w:sz w:val="24"/>
              </w:rPr>
              <w:t>7</w:t>
            </w:r>
            <w:r>
              <w:rPr>
                <w:rFonts w:ascii="Times New Roman" w:hAnsi="Times New Roman" w:eastAsia="Times New Roman"/>
                <w:spacing w:val="-4"/>
                <w:sz w:val="24"/>
              </w:rPr>
              <w:t>%</w:t>
            </w:r>
            <w:r>
              <w:rPr>
                <w:rFonts w:ascii="Times New Roman" w:hAnsi="Times New Roman"/>
                <w:spacing w:val="-4"/>
                <w:sz w:val="24"/>
              </w:rPr>
              <w:t>计，</w:t>
            </w:r>
            <w:r>
              <w:rPr>
                <w:rFonts w:ascii="Times New Roman" w:hAnsi="Times New Roman"/>
                <w:bCs/>
                <w:sz w:val="24"/>
              </w:rPr>
              <w:t>呼吸口的排气量总计为1000m</w:t>
            </w:r>
            <w:r>
              <w:rPr>
                <w:rFonts w:ascii="Times New Roman" w:hAnsi="Times New Roman"/>
                <w:bCs/>
                <w:sz w:val="24"/>
                <w:vertAlign w:val="superscript"/>
              </w:rPr>
              <w:t>3</w:t>
            </w:r>
            <w:r>
              <w:rPr>
                <w:rFonts w:ascii="Times New Roman" w:hAnsi="Times New Roman"/>
                <w:bCs/>
                <w:sz w:val="24"/>
              </w:rPr>
              <w:t>/h，呈无组织排放，</w:t>
            </w:r>
            <w:r>
              <w:rPr>
                <w:rFonts w:ascii="Times New Roman" w:hAnsi="Times New Roman"/>
                <w:spacing w:val="-4"/>
                <w:sz w:val="24"/>
              </w:rPr>
              <w:t>粉尘排放量、排放</w:t>
            </w:r>
            <w:r>
              <w:rPr>
                <w:rFonts w:ascii="Times New Roman" w:hAnsi="Times New Roman"/>
                <w:spacing w:val="-2"/>
                <w:sz w:val="24"/>
              </w:rPr>
              <w:t>速率及排放浓度分别为0.002</w:t>
            </w:r>
            <w:r>
              <w:rPr>
                <w:rFonts w:ascii="Times New Roman" w:hAnsi="Times New Roman" w:eastAsia="Times New Roman"/>
                <w:spacing w:val="-2"/>
                <w:sz w:val="24"/>
              </w:rPr>
              <w:t>t/a</w:t>
            </w:r>
            <w:r>
              <w:rPr>
                <w:rFonts w:ascii="Times New Roman" w:hAnsi="Times New Roman"/>
                <w:spacing w:val="-2"/>
                <w:sz w:val="24"/>
              </w:rPr>
              <w:t>、0.0005</w:t>
            </w:r>
            <w:r>
              <w:rPr>
                <w:rFonts w:ascii="Times New Roman" w:hAnsi="Times New Roman" w:eastAsia="Times New Roman"/>
                <w:spacing w:val="-2"/>
                <w:sz w:val="24"/>
              </w:rPr>
              <w:t>kg/h</w:t>
            </w:r>
            <w:r>
              <w:rPr>
                <w:rFonts w:ascii="Times New Roman" w:hAnsi="Times New Roman"/>
                <w:spacing w:val="-2"/>
                <w:sz w:val="24"/>
              </w:rPr>
              <w:t>、0.452 mg</w:t>
            </w:r>
            <w:r>
              <w:rPr>
                <w:rFonts w:ascii="Times New Roman" w:hAnsi="Times New Roman" w:eastAsia="Times New Roman"/>
                <w:spacing w:val="-2"/>
                <w:sz w:val="24"/>
              </w:rPr>
              <w:t>/m</w:t>
            </w:r>
            <w:r>
              <w:rPr>
                <w:rFonts w:ascii="Times New Roman" w:hAnsi="Times New Roman"/>
                <w:spacing w:val="-2"/>
                <w:sz w:val="24"/>
                <w:vertAlign w:val="superscript"/>
              </w:rPr>
              <w:t>3</w:t>
            </w:r>
            <w:r>
              <w:rPr>
                <w:rFonts w:ascii="Times New Roman" w:hAnsi="Times New Roman"/>
                <w:spacing w:val="-2"/>
                <w:sz w:val="24"/>
              </w:rPr>
              <w:t>；能够满足《水泥工业大气污</w:t>
            </w:r>
            <w:r>
              <w:rPr>
                <w:rFonts w:ascii="Times New Roman" w:hAnsi="Times New Roman"/>
                <w:spacing w:val="-6"/>
                <w:sz w:val="24"/>
              </w:rPr>
              <w:t>染物排放标准》（GB4915-2013）排放</w:t>
            </w:r>
            <w:r>
              <w:rPr>
                <w:rFonts w:ascii="Times New Roman" w:hAnsi="Times New Roman"/>
                <w:spacing w:val="-3"/>
                <w:sz w:val="24"/>
              </w:rPr>
              <w:t>的要求。</w:t>
            </w:r>
          </w:p>
          <w:p>
            <w:pPr>
              <w:spacing w:line="360" w:lineRule="auto"/>
              <w:ind w:firstLine="482" w:firstLineChars="200"/>
              <w:rPr>
                <w:rFonts w:ascii="Times New Roman" w:hAnsi="Times New Roman"/>
                <w:b/>
                <w:bCs/>
                <w:sz w:val="24"/>
              </w:rPr>
            </w:pPr>
            <w:r>
              <w:rPr>
                <w:rFonts w:ascii="Times New Roman" w:hAnsi="Times New Roman"/>
                <w:b/>
                <w:bCs/>
                <w:snapToGrid w:val="0"/>
                <w:sz w:val="24"/>
              </w:rPr>
              <w:t>1.1.2</w:t>
            </w:r>
            <w:r>
              <w:rPr>
                <w:rFonts w:ascii="Times New Roman" w:hAnsi="Times New Roman"/>
                <w:b/>
                <w:bCs/>
                <w:sz w:val="24"/>
              </w:rPr>
              <w:t>搅拌粉尘</w:t>
            </w:r>
          </w:p>
          <w:p>
            <w:pPr>
              <w:snapToGrid w:val="0"/>
              <w:spacing w:line="360" w:lineRule="auto"/>
              <w:ind w:firstLine="480" w:firstLineChars="200"/>
              <w:rPr>
                <w:rFonts w:ascii="Times New Roman" w:hAnsi="Times New Roman"/>
                <w:sz w:val="24"/>
              </w:rPr>
            </w:pPr>
            <w:r>
              <w:rPr>
                <w:rFonts w:ascii="Times New Roman" w:hAnsi="Times New Roman"/>
                <w:bCs/>
                <w:sz w:val="24"/>
              </w:rPr>
              <w:t>本项目搅拌过程中各原料按一定比例混合后进入</w:t>
            </w:r>
            <w:r>
              <w:rPr>
                <w:rFonts w:ascii="Times New Roman" w:hAnsi="Times New Roman"/>
                <w:sz w:val="24"/>
              </w:rPr>
              <w:t>搅拌站</w:t>
            </w:r>
            <w:r>
              <w:rPr>
                <w:rFonts w:ascii="Times New Roman" w:hAnsi="Times New Roman"/>
                <w:bCs/>
                <w:sz w:val="24"/>
              </w:rPr>
              <w:t>中搅拌，</w:t>
            </w:r>
            <w:r>
              <w:rPr>
                <w:rFonts w:ascii="Times New Roman" w:hAnsi="Times New Roman"/>
                <w:sz w:val="24"/>
              </w:rPr>
              <w:t>混合主机为连续运行，即进料和出料始终是连续性的。</w:t>
            </w:r>
            <w:r>
              <w:rPr>
                <w:rFonts w:ascii="Times New Roman" w:hAnsi="Times New Roman"/>
                <w:kern w:val="44"/>
                <w:sz w:val="24"/>
              </w:rPr>
              <w:t>由于搅拌主机密闭，搅拌过程无粉尘产生，本项目直接使用从托克逊县天马建材有限责任公司运来的湿料，进料口无粉尘产生</w:t>
            </w:r>
            <w:r>
              <w:rPr>
                <w:rFonts w:ascii="Times New Roman" w:hAnsi="Times New Roman"/>
                <w:sz w:val="24"/>
              </w:rPr>
              <w:t>。</w:t>
            </w:r>
          </w:p>
          <w:p>
            <w:pPr>
              <w:snapToGrid w:val="0"/>
              <w:spacing w:line="360" w:lineRule="auto"/>
              <w:ind w:firstLine="482" w:firstLineChars="200"/>
              <w:rPr>
                <w:rFonts w:ascii="Times New Roman" w:hAnsi="Times New Roman"/>
                <w:sz w:val="24"/>
              </w:rPr>
            </w:pPr>
            <w:r>
              <w:rPr>
                <w:rFonts w:ascii="Times New Roman" w:hAnsi="Times New Roman"/>
                <w:b/>
                <w:bCs/>
                <w:sz w:val="24"/>
              </w:rPr>
              <w:t>1.1.3砂石料原料堆场</w:t>
            </w:r>
          </w:p>
          <w:p>
            <w:pPr>
              <w:spacing w:line="360" w:lineRule="auto"/>
              <w:ind w:firstLine="480" w:firstLineChars="200"/>
              <w:rPr>
                <w:rFonts w:ascii="Times New Roman" w:hAnsi="Times New Roman"/>
                <w:sz w:val="24"/>
              </w:rPr>
            </w:pPr>
            <w:r>
              <w:rPr>
                <w:rFonts w:ascii="Times New Roman" w:hAnsi="Times New Roman"/>
                <w:sz w:val="24"/>
              </w:rPr>
              <w:t>本项目位于托克逊县天马建材有限责任公司内，不设置砂石料原料堆场，原料直接从托克逊县天马建材有限责任公司成品堆场拉运。</w:t>
            </w:r>
          </w:p>
          <w:p>
            <w:pPr>
              <w:spacing w:line="360" w:lineRule="auto"/>
              <w:ind w:firstLine="482" w:firstLineChars="200"/>
              <w:rPr>
                <w:rFonts w:ascii="Times New Roman" w:hAnsi="Times New Roman"/>
                <w:b/>
                <w:bCs/>
                <w:sz w:val="24"/>
              </w:rPr>
            </w:pPr>
            <w:r>
              <w:rPr>
                <w:rFonts w:ascii="Times New Roman" w:hAnsi="Times New Roman"/>
                <w:b/>
                <w:bCs/>
                <w:sz w:val="24"/>
              </w:rPr>
              <w:t>1.1.4车辆运输扬尘</w:t>
            </w:r>
          </w:p>
          <w:p>
            <w:pPr>
              <w:spacing w:line="360" w:lineRule="auto"/>
              <w:ind w:firstLine="480" w:firstLineChars="200"/>
              <w:rPr>
                <w:rFonts w:ascii="Times New Roman" w:hAnsi="Times New Roman"/>
                <w:sz w:val="24"/>
              </w:rPr>
            </w:pPr>
            <w:r>
              <w:rPr>
                <w:rFonts w:ascii="Times New Roman" w:hAnsi="Times New Roman"/>
                <w:sz w:val="24"/>
              </w:rPr>
              <w:t>本项目原材料及产品均采用汽车运输，汽车运输时会产生少量扬尘。汽车扬尘量预测经验公式为：</w:t>
            </w:r>
          </w:p>
          <w:p>
            <w:pPr>
              <w:spacing w:line="360" w:lineRule="auto"/>
              <w:ind w:firstLine="420" w:firstLineChars="200"/>
              <w:rPr>
                <w:rFonts w:ascii="Times New Roman" w:hAnsi="Times New Roman"/>
                <w:sz w:val="24"/>
              </w:rPr>
            </w:pPr>
            <w:r>
              <w:rPr>
                <w:rFonts w:ascii="Times New Roman" w:hAnsi="Times New Roman"/>
              </w:rPr>
              <w:drawing>
                <wp:inline distT="0" distB="0" distL="114300" distR="114300">
                  <wp:extent cx="2649855" cy="550545"/>
                  <wp:effectExtent l="0" t="0" r="17145" b="1905"/>
                  <wp:docPr id="40" name="图片 38"/>
                  <wp:cNvGraphicFramePr/>
                  <a:graphic xmlns:a="http://schemas.openxmlformats.org/drawingml/2006/main">
                    <a:graphicData uri="http://schemas.openxmlformats.org/drawingml/2006/picture">
                      <pic:pic xmlns:pic="http://schemas.openxmlformats.org/drawingml/2006/picture">
                        <pic:nvPicPr>
                          <pic:cNvPr id="40" name="图片 38"/>
                          <pic:cNvPicPr/>
                        </pic:nvPicPr>
                        <pic:blipFill>
                          <a:blip r:embed="rId10"/>
                          <a:stretch>
                            <a:fillRect/>
                          </a:stretch>
                        </pic:blipFill>
                        <pic:spPr>
                          <a:xfrm>
                            <a:off x="0" y="0"/>
                            <a:ext cx="2649855" cy="550545"/>
                          </a:xfrm>
                          <a:prstGeom prst="rect">
                            <a:avLst/>
                          </a:prstGeom>
                          <a:noFill/>
                          <a:ln>
                            <a:noFill/>
                          </a:ln>
                        </pic:spPr>
                      </pic:pic>
                    </a:graphicData>
                  </a:graphic>
                </wp:inline>
              </w:drawing>
            </w:r>
          </w:p>
          <w:p>
            <w:pPr>
              <w:spacing w:line="360" w:lineRule="auto"/>
              <w:ind w:firstLine="432" w:firstLineChars="200"/>
              <w:rPr>
                <w:rFonts w:ascii="Times New Roman" w:hAnsi="Times New Roman"/>
                <w:spacing w:val="-7"/>
                <w:w w:val="96"/>
                <w:position w:val="16"/>
                <w:sz w:val="24"/>
              </w:rPr>
            </w:pPr>
            <w:r>
              <w:rPr>
                <w:rFonts w:ascii="Times New Roman" w:hAnsi="Times New Roman"/>
                <w:spacing w:val="-7"/>
                <w:w w:val="96"/>
                <w:position w:val="16"/>
                <w:sz w:val="24"/>
              </w:rPr>
              <w:t>式中：Qp——汽车行驶时的扬尘，kg/km▪辆；</w:t>
            </w:r>
          </w:p>
          <w:p>
            <w:pPr>
              <w:spacing w:line="360" w:lineRule="auto"/>
              <w:ind w:firstLine="440" w:firstLineChars="200"/>
              <w:rPr>
                <w:rFonts w:ascii="Times New Roman" w:hAnsi="Times New Roman"/>
                <w:sz w:val="24"/>
              </w:rPr>
            </w:pPr>
            <w:r>
              <w:rPr>
                <w:rFonts w:ascii="Times New Roman" w:hAnsi="Times New Roman"/>
                <w:spacing w:val="-10"/>
                <w:sz w:val="24"/>
              </w:rPr>
              <w:t>Qp´——运输途中起尘量，kg/a；</w:t>
            </w:r>
          </w:p>
          <w:p>
            <w:pPr>
              <w:spacing w:line="360" w:lineRule="auto"/>
              <w:ind w:firstLine="432" w:firstLineChars="200"/>
              <w:rPr>
                <w:rFonts w:ascii="Times New Roman" w:hAnsi="Times New Roman"/>
                <w:sz w:val="24"/>
              </w:rPr>
            </w:pPr>
            <w:r>
              <w:rPr>
                <w:rFonts w:ascii="Times New Roman" w:hAnsi="Times New Roman"/>
                <w:spacing w:val="-12"/>
                <w:sz w:val="24"/>
              </w:rPr>
              <w:t>V——汽车速度，按10km/h计；</w:t>
            </w:r>
          </w:p>
          <w:p>
            <w:pPr>
              <w:spacing w:line="360" w:lineRule="auto"/>
              <w:ind w:firstLine="432" w:firstLineChars="200"/>
              <w:rPr>
                <w:rFonts w:ascii="Times New Roman" w:hAnsi="Times New Roman"/>
                <w:spacing w:val="-12"/>
                <w:sz w:val="24"/>
              </w:rPr>
            </w:pPr>
            <w:r>
              <w:rPr>
                <w:rFonts w:ascii="Times New Roman" w:hAnsi="Times New Roman"/>
                <w:spacing w:val="-12"/>
                <w:sz w:val="24"/>
              </w:rPr>
              <w:t>M——汽车载重量，按30t计算；</w:t>
            </w:r>
          </w:p>
          <w:p>
            <w:pPr>
              <w:spacing w:line="360" w:lineRule="auto"/>
              <w:ind w:firstLine="432" w:firstLineChars="200"/>
              <w:rPr>
                <w:rFonts w:ascii="Times New Roman" w:hAnsi="Times New Roman"/>
                <w:spacing w:val="-12"/>
                <w:sz w:val="24"/>
              </w:rPr>
            </w:pPr>
            <w:r>
              <w:rPr>
                <w:rFonts w:ascii="Times New Roman" w:hAnsi="Times New Roman"/>
                <w:spacing w:val="-12"/>
                <w:sz w:val="24"/>
              </w:rPr>
              <w:t>P——道路表面粉尘量，按0.1kg/m</w:t>
            </w:r>
            <w:r>
              <w:rPr>
                <w:rFonts w:ascii="Times New Roman" w:hAnsi="Times New Roman"/>
                <w:spacing w:val="-12"/>
                <w:sz w:val="24"/>
                <w:vertAlign w:val="superscript"/>
              </w:rPr>
              <w:t>2</w:t>
            </w:r>
            <w:r>
              <w:rPr>
                <w:rFonts w:ascii="Times New Roman" w:hAnsi="Times New Roman"/>
                <w:spacing w:val="-12"/>
                <w:sz w:val="24"/>
              </w:rPr>
              <w:t>计算；</w:t>
            </w:r>
          </w:p>
          <w:p>
            <w:pPr>
              <w:spacing w:line="360" w:lineRule="auto"/>
              <w:ind w:firstLine="436" w:firstLineChars="200"/>
              <w:rPr>
                <w:rFonts w:ascii="Times New Roman" w:hAnsi="Times New Roman"/>
                <w:sz w:val="24"/>
              </w:rPr>
            </w:pPr>
            <w:r>
              <w:rPr>
                <w:rFonts w:ascii="Times New Roman" w:hAnsi="Times New Roman"/>
                <w:spacing w:val="-11"/>
                <w:sz w:val="24"/>
              </w:rPr>
              <w:t>L——运输距离，按0.05km计算；</w:t>
            </w:r>
          </w:p>
          <w:p>
            <w:pPr>
              <w:spacing w:line="360" w:lineRule="auto"/>
              <w:ind w:firstLine="444" w:firstLineChars="200"/>
              <w:rPr>
                <w:rFonts w:ascii="Times New Roman" w:hAnsi="Times New Roman"/>
                <w:sz w:val="24"/>
              </w:rPr>
            </w:pPr>
            <w:r>
              <w:rPr>
                <w:rFonts w:ascii="Times New Roman" w:hAnsi="Times New Roman"/>
                <w:spacing w:val="-9"/>
                <w:sz w:val="24"/>
              </w:rPr>
              <w:t>Q——运输量，按8万t/a计算。</w:t>
            </w:r>
          </w:p>
          <w:p>
            <w:pPr>
              <w:keepNext/>
              <w:keepLines/>
              <w:tabs>
                <w:tab w:val="left" w:pos="1864"/>
              </w:tabs>
              <w:spacing w:line="360" w:lineRule="auto"/>
              <w:ind w:firstLine="480" w:firstLineChars="200"/>
              <w:outlineLvl w:val="1"/>
              <w:rPr>
                <w:rFonts w:ascii="Times New Roman" w:hAnsi="Times New Roman"/>
                <w:sz w:val="24"/>
              </w:rPr>
            </w:pPr>
            <w:r>
              <w:rPr>
                <w:rFonts w:ascii="Times New Roman" w:hAnsi="Times New Roman"/>
                <w:sz w:val="24"/>
              </w:rPr>
              <w:t>厂区行驶距离按50m计，运输时间约为4h；空车重约10t，重车约40t。以速度10km/h行驶，则厂区道路汽车运输扬尘量为0.17t/a。定期喷洒；设专人对道路定期清扫；采取措施后，可降低80%扬尘量，则本项目车辆运输扬尘排放量约0.034t/a，排放速率为0.007kg/h。</w:t>
            </w:r>
          </w:p>
          <w:p>
            <w:pPr>
              <w:keepNext/>
              <w:keepLines/>
              <w:tabs>
                <w:tab w:val="left" w:pos="1864"/>
              </w:tabs>
              <w:spacing w:line="360" w:lineRule="auto"/>
              <w:ind w:firstLine="482" w:firstLineChars="200"/>
              <w:jc w:val="left"/>
              <w:outlineLvl w:val="1"/>
              <w:rPr>
                <w:rFonts w:ascii="Times New Roman" w:hAnsi="Times New Roman"/>
                <w:b/>
                <w:bCs/>
                <w:sz w:val="24"/>
              </w:rPr>
            </w:pPr>
            <w:r>
              <w:rPr>
                <w:rFonts w:ascii="Times New Roman" w:hAnsi="Times New Roman" w:eastAsia="黑体"/>
                <w:b/>
                <w:bCs/>
                <w:kern w:val="0"/>
                <w:sz w:val="24"/>
                <w:lang w:bidi="ar"/>
              </w:rPr>
              <w:t>1.1.5</w:t>
            </w:r>
            <w:r>
              <w:rPr>
                <w:rFonts w:ascii="Times New Roman" w:hAnsi="Times New Roman"/>
                <w:b/>
                <w:bCs/>
                <w:sz w:val="24"/>
              </w:rPr>
              <w:t>治理措施可行性和达标性分析</w:t>
            </w:r>
          </w:p>
          <w:p>
            <w:pPr>
              <w:keepNext/>
              <w:keepLines/>
              <w:tabs>
                <w:tab w:val="left" w:pos="1864"/>
              </w:tabs>
              <w:spacing w:line="360" w:lineRule="auto"/>
              <w:ind w:firstLine="480" w:firstLineChars="200"/>
              <w:outlineLvl w:val="1"/>
              <w:rPr>
                <w:rFonts w:ascii="Times New Roman" w:hAnsi="Times New Roman" w:eastAsia="仿宋_GB2312"/>
                <w:bCs/>
                <w:sz w:val="28"/>
              </w:rPr>
            </w:pPr>
            <w:r>
              <w:rPr>
                <w:rFonts w:ascii="Times New Roman" w:hAnsi="Times New Roman"/>
                <w:sz w:val="24"/>
              </w:rPr>
              <w:t>本项目的废气污染物主要为颗粒物，经查阅《排污许可证申请与核发技术规范总则》（HJ953-2018）、《排污许可证申请与合法技术规范水泥工业》（HJ847-2017），生产过程中采取的废气治理措施为可行性技术。布袋除尘器可有效去除污染物，使其达标排放。</w:t>
            </w:r>
          </w:p>
          <w:p>
            <w:pPr>
              <w:keepNext/>
              <w:keepLines/>
              <w:tabs>
                <w:tab w:val="left" w:pos="1864"/>
              </w:tabs>
              <w:spacing w:line="360" w:lineRule="auto"/>
              <w:ind w:firstLine="480" w:firstLineChars="200"/>
              <w:outlineLvl w:val="1"/>
              <w:rPr>
                <w:rFonts w:ascii="Times New Roman" w:hAnsi="Times New Roman"/>
                <w:sz w:val="24"/>
              </w:rPr>
            </w:pPr>
            <w:r>
              <w:rPr>
                <w:rFonts w:ascii="Times New Roman" w:hAnsi="Times New Roman"/>
                <w:sz w:val="24"/>
              </w:rPr>
              <w:t>厂区内道路必须全部硬化，每天清扫不得少于2次，洒水不得少于4次，可大量减少车辆运输粉尘。经源强核算后粉尘排放均满足《水泥工业大气污染物排放标准》（GB4915-2013）中相应的排放标准要求。因此本项目采取的污染治理措施可行。</w:t>
            </w:r>
          </w:p>
          <w:p>
            <w:pPr>
              <w:keepNext/>
              <w:keepLines/>
              <w:tabs>
                <w:tab w:val="left" w:pos="1864"/>
              </w:tabs>
              <w:spacing w:line="360" w:lineRule="auto"/>
              <w:ind w:firstLine="482" w:firstLineChars="200"/>
              <w:jc w:val="left"/>
              <w:outlineLvl w:val="1"/>
              <w:rPr>
                <w:rFonts w:ascii="Times New Roman" w:hAnsi="Times New Roman"/>
                <w:b/>
                <w:bCs/>
                <w:sz w:val="24"/>
              </w:rPr>
            </w:pPr>
            <w:r>
              <w:rPr>
                <w:rFonts w:ascii="Times New Roman" w:hAnsi="Times New Roman"/>
                <w:b/>
                <w:bCs/>
                <w:sz w:val="24"/>
              </w:rPr>
              <w:t>1.2运营期废气污染源产排情况汇总</w:t>
            </w:r>
          </w:p>
          <w:p>
            <w:pPr>
              <w:spacing w:line="360" w:lineRule="auto"/>
              <w:ind w:firstLine="480" w:firstLineChars="200"/>
              <w:rPr>
                <w:rFonts w:ascii="Times New Roman" w:hAnsi="Times New Roman"/>
                <w:sz w:val="24"/>
              </w:rPr>
            </w:pPr>
            <w:r>
              <w:rPr>
                <w:rFonts w:ascii="Times New Roman" w:hAnsi="Times New Roman"/>
                <w:sz w:val="24"/>
              </w:rPr>
              <w:t>运营期大气污染物产排见表4-</w:t>
            </w:r>
            <w:r>
              <w:rPr>
                <w:rFonts w:hint="eastAsia" w:ascii="Times New Roman" w:hAnsi="Times New Roman"/>
                <w:sz w:val="24"/>
              </w:rPr>
              <w:t>3</w:t>
            </w:r>
            <w:r>
              <w:rPr>
                <w:rFonts w:ascii="Times New Roman" w:hAnsi="Times New Roman"/>
                <w:sz w:val="24"/>
              </w:rPr>
              <w:t>。</w:t>
            </w:r>
          </w:p>
          <w:p>
            <w:pPr>
              <w:keepNext/>
              <w:keepLines/>
              <w:tabs>
                <w:tab w:val="left" w:pos="1864"/>
              </w:tabs>
              <w:spacing w:line="360" w:lineRule="auto"/>
              <w:ind w:firstLine="482" w:firstLineChars="200"/>
              <w:outlineLvl w:val="1"/>
              <w:rPr>
                <w:rFonts w:ascii="Times New Roman" w:hAnsi="Times New Roman"/>
                <w:b/>
                <w:bCs/>
                <w:sz w:val="24"/>
              </w:rPr>
            </w:pPr>
            <w:r>
              <w:rPr>
                <w:rFonts w:ascii="Times New Roman" w:hAnsi="Times New Roman"/>
                <w:b/>
                <w:bCs/>
                <w:sz w:val="24"/>
              </w:rPr>
              <w:t>1.3非正常情况</w:t>
            </w:r>
          </w:p>
          <w:p>
            <w:pPr>
              <w:keepNext/>
              <w:keepLines/>
              <w:tabs>
                <w:tab w:val="left" w:pos="1864"/>
              </w:tabs>
              <w:spacing w:line="360" w:lineRule="auto"/>
              <w:ind w:firstLine="480" w:firstLineChars="200"/>
              <w:outlineLvl w:val="1"/>
              <w:rPr>
                <w:rFonts w:ascii="Times New Roman" w:hAnsi="Times New Roman"/>
                <w:sz w:val="24"/>
              </w:rPr>
            </w:pPr>
            <w:r>
              <w:rPr>
                <w:rFonts w:ascii="Times New Roman" w:hAnsi="Times New Roman"/>
                <w:sz w:val="24"/>
              </w:rPr>
              <w:t>本项目非正常工况排污主要为开、停车，设备检修，系统出现异常以及废气处理设备出现故障情况下排放污染物，下面就本项目投产后容易造成污染的非正常排污进行分析。</w:t>
            </w:r>
          </w:p>
          <w:p>
            <w:pPr>
              <w:keepNext/>
              <w:keepLines/>
              <w:tabs>
                <w:tab w:val="left" w:pos="1864"/>
              </w:tabs>
              <w:spacing w:line="360" w:lineRule="auto"/>
              <w:ind w:firstLine="480" w:firstLineChars="200"/>
              <w:outlineLvl w:val="1"/>
              <w:rPr>
                <w:rFonts w:ascii="Times New Roman" w:hAnsi="Times New Roman"/>
                <w:sz w:val="24"/>
              </w:rPr>
            </w:pPr>
            <w:r>
              <w:rPr>
                <w:rFonts w:ascii="Times New Roman" w:hAnsi="Times New Roman"/>
                <w:sz w:val="24"/>
              </w:rPr>
              <w:t>开车时首先打开废气处理系统，停车时废气处理系统始终运行，直到生产线中的物料放尽再关闭。所以，计划性停车时，可以通过逐步减产，控制污染物的排放，计划停车一般不会带来严重的事故性排放。</w:t>
            </w:r>
          </w:p>
          <w:p>
            <w:pPr>
              <w:keepNext/>
              <w:keepLines/>
              <w:tabs>
                <w:tab w:val="left" w:pos="1864"/>
              </w:tabs>
              <w:spacing w:line="360" w:lineRule="auto"/>
              <w:ind w:firstLine="480" w:firstLineChars="200"/>
              <w:outlineLvl w:val="1"/>
              <w:rPr>
                <w:rFonts w:ascii="Times New Roman" w:hAnsi="Times New Roman"/>
                <w:sz w:val="24"/>
              </w:rPr>
            </w:pPr>
            <w:r>
              <w:rPr>
                <w:rFonts w:ascii="Times New Roman" w:hAnsi="Times New Roman"/>
                <w:sz w:val="24"/>
              </w:rPr>
              <w:t>正常生产后，也会因工艺、设备、仪表、公用工程、检修、停电、污染物治理措施出现异常等原因存在短期停车，对上述原因造成的停车，可以通过短期停止进料降低生产负荷来控制。</w:t>
            </w:r>
          </w:p>
          <w:p>
            <w:pPr>
              <w:keepNext/>
              <w:keepLines/>
              <w:tabs>
                <w:tab w:val="left" w:pos="1864"/>
              </w:tabs>
              <w:spacing w:line="360" w:lineRule="auto"/>
              <w:ind w:firstLine="480" w:firstLineChars="200"/>
              <w:outlineLvl w:val="1"/>
              <w:rPr>
                <w:rFonts w:ascii="Times New Roman" w:hAnsi="Times New Roman"/>
                <w:sz w:val="24"/>
              </w:rPr>
            </w:pPr>
            <w:r>
              <w:rPr>
                <w:rFonts w:ascii="Times New Roman" w:hAnsi="Times New Roman"/>
                <w:sz w:val="24"/>
              </w:rPr>
              <w:t>项目废气非正常工况下为废气处理措施损坏不能正常运行的情况下，按最不利的工况即为项目废气不经处理全部无组织排放，本次评价假设生产车间废气未经处理设施处理全部排放。</w:t>
            </w:r>
          </w:p>
          <w:p>
            <w:pPr>
              <w:jc w:val="center"/>
              <w:rPr>
                <w:rFonts w:ascii="Times New Roman" w:hAnsi="Times New Roman"/>
                <w:b/>
              </w:rPr>
            </w:pPr>
            <w:r>
              <w:rPr>
                <w:rFonts w:ascii="Times New Roman" w:hAnsi="Times New Roman"/>
                <w:b/>
              </w:rPr>
              <w:t>表4-</w:t>
            </w:r>
            <w:r>
              <w:rPr>
                <w:rFonts w:hint="eastAsia" w:ascii="Times New Roman" w:hAnsi="Times New Roman"/>
                <w:b/>
              </w:rPr>
              <w:t xml:space="preserve">2   </w:t>
            </w:r>
            <w:r>
              <w:rPr>
                <w:rFonts w:ascii="Times New Roman" w:hAnsi="Times New Roman"/>
                <w:b/>
              </w:rPr>
              <w:t>非正常工况下废气排放参数表</w:t>
            </w:r>
          </w:p>
          <w:tbl>
            <w:tblPr>
              <w:tblStyle w:val="24"/>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42"/>
              <w:gridCol w:w="2597"/>
              <w:gridCol w:w="2575"/>
              <w:gridCol w:w="1074"/>
              <w:gridCol w:w="66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600" w:type="pct"/>
                  <w:vMerge w:val="restart"/>
                  <w:vAlign w:val="center"/>
                </w:tcPr>
                <w:p>
                  <w:pPr>
                    <w:jc w:val="center"/>
                    <w:rPr>
                      <w:rFonts w:ascii="Times New Roman" w:hAnsi="Times New Roman"/>
                      <w:szCs w:val="21"/>
                    </w:rPr>
                  </w:pPr>
                  <w:r>
                    <w:rPr>
                      <w:rFonts w:ascii="Times New Roman" w:hAnsi="Times New Roman"/>
                      <w:szCs w:val="21"/>
                    </w:rPr>
                    <w:t>污染源名称</w:t>
                  </w:r>
                </w:p>
              </w:tc>
              <w:tc>
                <w:tcPr>
                  <w:tcW w:w="1654" w:type="pct"/>
                  <w:vAlign w:val="center"/>
                </w:tcPr>
                <w:p>
                  <w:pPr>
                    <w:jc w:val="center"/>
                    <w:rPr>
                      <w:rFonts w:ascii="Times New Roman" w:hAnsi="Times New Roman"/>
                      <w:szCs w:val="21"/>
                    </w:rPr>
                  </w:pPr>
                  <w:r>
                    <w:rPr>
                      <w:rFonts w:ascii="Times New Roman" w:hAnsi="Times New Roman"/>
                      <w:szCs w:val="21"/>
                    </w:rPr>
                    <w:t>污染物排放速率（kg/h)</w:t>
                  </w:r>
                </w:p>
              </w:tc>
              <w:tc>
                <w:tcPr>
                  <w:tcW w:w="1640" w:type="pct"/>
                  <w:vAlign w:val="center"/>
                </w:tcPr>
                <w:p>
                  <w:pPr>
                    <w:jc w:val="center"/>
                    <w:rPr>
                      <w:rFonts w:ascii="Times New Roman" w:hAnsi="Times New Roman"/>
                      <w:szCs w:val="21"/>
                    </w:rPr>
                  </w:pPr>
                  <w:r>
                    <w:rPr>
                      <w:rFonts w:ascii="Times New Roman" w:hAnsi="Times New Roman"/>
                      <w:szCs w:val="21"/>
                    </w:rPr>
                    <w:t>污染物排放浓度（mg/m</w:t>
                  </w:r>
                  <w:r>
                    <w:rPr>
                      <w:rFonts w:ascii="Times New Roman" w:hAnsi="Times New Roman"/>
                      <w:szCs w:val="21"/>
                      <w:vertAlign w:val="superscript"/>
                    </w:rPr>
                    <w:t>3</w:t>
                  </w:r>
                  <w:r>
                    <w:rPr>
                      <w:rFonts w:ascii="Times New Roman" w:hAnsi="Times New Roman"/>
                      <w:szCs w:val="21"/>
                    </w:rPr>
                    <w:t>)</w:t>
                  </w:r>
                </w:p>
              </w:tc>
              <w:tc>
                <w:tcPr>
                  <w:tcW w:w="684" w:type="pct"/>
                  <w:vMerge w:val="restart"/>
                  <w:vAlign w:val="center"/>
                </w:tcPr>
                <w:p>
                  <w:pPr>
                    <w:jc w:val="center"/>
                    <w:rPr>
                      <w:rFonts w:ascii="Times New Roman" w:hAnsi="Times New Roman"/>
                      <w:b/>
                      <w:bCs/>
                      <w:szCs w:val="21"/>
                    </w:rPr>
                  </w:pPr>
                  <w:r>
                    <w:rPr>
                      <w:rFonts w:hint="eastAsia" w:ascii="Times New Roman" w:hAnsi="Times New Roman"/>
                      <w:szCs w:val="21"/>
                    </w:rPr>
                    <w:t>排放量</w:t>
                  </w:r>
                </w:p>
              </w:tc>
              <w:tc>
                <w:tcPr>
                  <w:tcW w:w="421" w:type="pct"/>
                  <w:vMerge w:val="restart"/>
                  <w:vAlign w:val="center"/>
                </w:tcPr>
                <w:p>
                  <w:pPr>
                    <w:jc w:val="center"/>
                    <w:rPr>
                      <w:rFonts w:ascii="Times New Roman" w:hAnsi="Times New Roman"/>
                      <w:b/>
                      <w:bCs/>
                      <w:szCs w:val="21"/>
                    </w:rPr>
                  </w:pPr>
                  <w:r>
                    <w:rPr>
                      <w:rFonts w:ascii="Times New Roman" w:hAnsi="Times New Roman"/>
                      <w:szCs w:val="21"/>
                    </w:rPr>
                    <w:t>持续时间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600" w:type="pct"/>
                  <w:vMerge w:val="continue"/>
                  <w:tcBorders>
                    <w:bottom w:val="single" w:color="auto" w:sz="12" w:space="0"/>
                  </w:tcBorders>
                  <w:vAlign w:val="center"/>
                </w:tcPr>
                <w:p>
                  <w:pPr>
                    <w:jc w:val="center"/>
                    <w:rPr>
                      <w:rFonts w:ascii="Times New Roman" w:hAnsi="Times New Roman"/>
                      <w:szCs w:val="21"/>
                    </w:rPr>
                  </w:pPr>
                </w:p>
              </w:tc>
              <w:tc>
                <w:tcPr>
                  <w:tcW w:w="3294" w:type="pct"/>
                  <w:gridSpan w:val="2"/>
                  <w:tcBorders>
                    <w:bottom w:val="single" w:color="auto" w:sz="12" w:space="0"/>
                  </w:tcBorders>
                  <w:vAlign w:val="center"/>
                </w:tcPr>
                <w:p>
                  <w:pPr>
                    <w:jc w:val="center"/>
                    <w:rPr>
                      <w:rFonts w:ascii="Times New Roman" w:hAnsi="Times New Roman"/>
                      <w:szCs w:val="21"/>
                    </w:rPr>
                  </w:pPr>
                  <w:r>
                    <w:rPr>
                      <w:rFonts w:ascii="Times New Roman" w:hAnsi="Times New Roman"/>
                      <w:szCs w:val="21"/>
                    </w:rPr>
                    <w:t>颗粒物</w:t>
                  </w:r>
                </w:p>
              </w:tc>
              <w:tc>
                <w:tcPr>
                  <w:tcW w:w="684" w:type="pct"/>
                  <w:vMerge w:val="continue"/>
                  <w:tcBorders>
                    <w:bottom w:val="single" w:color="auto" w:sz="12" w:space="0"/>
                  </w:tcBorders>
                  <w:vAlign w:val="center"/>
                </w:tcPr>
                <w:p>
                  <w:pPr>
                    <w:jc w:val="center"/>
                    <w:rPr>
                      <w:rFonts w:ascii="Times New Roman" w:hAnsi="Times New Roman"/>
                      <w:b/>
                      <w:bCs/>
                      <w:szCs w:val="21"/>
                    </w:rPr>
                  </w:pPr>
                </w:p>
              </w:tc>
              <w:tc>
                <w:tcPr>
                  <w:tcW w:w="421" w:type="pct"/>
                  <w:vMerge w:val="continue"/>
                  <w:tcBorders>
                    <w:bottom w:val="single" w:color="auto" w:sz="12" w:space="0"/>
                  </w:tcBorders>
                  <w:vAlign w:val="center"/>
                </w:tcPr>
                <w:p>
                  <w:pPr>
                    <w:jc w:val="center"/>
                    <w:rPr>
                      <w:rFonts w:ascii="Times New Roman" w:hAnsi="Times New Roman"/>
                      <w:b/>
                      <w:bCs/>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3" w:hRule="atLeast"/>
                <w:jc w:val="center"/>
              </w:trPr>
              <w:tc>
                <w:tcPr>
                  <w:tcW w:w="600" w:type="pct"/>
                  <w:tcBorders>
                    <w:top w:val="single" w:color="auto" w:sz="12" w:space="0"/>
                  </w:tcBorders>
                  <w:vAlign w:val="center"/>
                </w:tcPr>
                <w:p>
                  <w:pPr>
                    <w:jc w:val="center"/>
                    <w:rPr>
                      <w:rFonts w:ascii="Times New Roman" w:hAnsi="Times New Roman"/>
                      <w:szCs w:val="21"/>
                    </w:rPr>
                  </w:pPr>
                  <w:r>
                    <w:rPr>
                      <w:rFonts w:hint="eastAsia" w:ascii="Times New Roman" w:hAnsi="Times New Roman"/>
                      <w:szCs w:val="21"/>
                    </w:rPr>
                    <w:t>水泥入仓粉尘</w:t>
                  </w:r>
                </w:p>
              </w:tc>
              <w:tc>
                <w:tcPr>
                  <w:tcW w:w="1654" w:type="pct"/>
                  <w:tcBorders>
                    <w:top w:val="single" w:color="auto" w:sz="12" w:space="0"/>
                  </w:tcBorders>
                  <w:vAlign w:val="center"/>
                </w:tcPr>
                <w:p>
                  <w:pPr>
                    <w:jc w:val="center"/>
                    <w:rPr>
                      <w:rFonts w:ascii="Times New Roman" w:hAnsi="Times New Roman"/>
                      <w:szCs w:val="21"/>
                    </w:rPr>
                  </w:pPr>
                  <w:r>
                    <w:rPr>
                      <w:rFonts w:hint="eastAsia" w:ascii="Times New Roman" w:hAnsi="Times New Roman"/>
                      <w:szCs w:val="21"/>
                    </w:rPr>
                    <w:t>0.151</w:t>
                  </w:r>
                </w:p>
              </w:tc>
              <w:tc>
                <w:tcPr>
                  <w:tcW w:w="1640" w:type="pct"/>
                  <w:tcBorders>
                    <w:top w:val="single" w:color="auto" w:sz="12" w:space="0"/>
                  </w:tcBorders>
                  <w:vAlign w:val="center"/>
                </w:tcPr>
                <w:p>
                  <w:pPr>
                    <w:jc w:val="center"/>
                    <w:rPr>
                      <w:rFonts w:ascii="Times New Roman" w:hAnsi="Times New Roman"/>
                      <w:szCs w:val="21"/>
                    </w:rPr>
                  </w:pPr>
                  <w:r>
                    <w:rPr>
                      <w:rFonts w:hint="eastAsia" w:ascii="Times New Roman" w:hAnsi="Times New Roman"/>
                      <w:szCs w:val="21"/>
                    </w:rPr>
                    <w:t>50.794</w:t>
                  </w:r>
                </w:p>
              </w:tc>
              <w:tc>
                <w:tcPr>
                  <w:tcW w:w="684" w:type="pct"/>
                  <w:tcBorders>
                    <w:top w:val="single" w:color="auto" w:sz="12" w:space="0"/>
                  </w:tcBorders>
                  <w:vAlign w:val="center"/>
                </w:tcPr>
                <w:p>
                  <w:pPr>
                    <w:jc w:val="center"/>
                    <w:rPr>
                      <w:rFonts w:ascii="Times New Roman" w:hAnsi="Times New Roman"/>
                      <w:szCs w:val="21"/>
                    </w:rPr>
                  </w:pPr>
                  <w:r>
                    <w:rPr>
                      <w:rFonts w:hint="eastAsia" w:ascii="Times New Roman" w:hAnsi="Times New Roman"/>
                      <w:szCs w:val="21"/>
                    </w:rPr>
                    <w:t>0.302</w:t>
                  </w:r>
                </w:p>
              </w:tc>
              <w:tc>
                <w:tcPr>
                  <w:tcW w:w="421" w:type="pct"/>
                  <w:tcBorders>
                    <w:top w:val="single" w:color="auto" w:sz="12" w:space="0"/>
                  </w:tcBorders>
                  <w:vAlign w:val="center"/>
                </w:tcPr>
                <w:p>
                  <w:pPr>
                    <w:jc w:val="center"/>
                    <w:rPr>
                      <w:rFonts w:ascii="Times New Roman" w:hAnsi="Times New Roman"/>
                      <w:szCs w:val="21"/>
                    </w:rPr>
                  </w:pPr>
                  <w:r>
                    <w:rPr>
                      <w:rFonts w:ascii="Times New Roman" w:hAnsi="Times New Roman"/>
                      <w:szCs w:val="21"/>
                    </w:rPr>
                    <w:t>&lt;</w:t>
                  </w:r>
                  <w:r>
                    <w:rPr>
                      <w:rFonts w:hint="eastAsia" w:ascii="Times New Roman" w:hAnsi="Times New Roman"/>
                      <w:szCs w:val="21"/>
                    </w:rPr>
                    <w:t>2</w:t>
                  </w:r>
                  <w:r>
                    <w:rPr>
                      <w:rFonts w:ascii="Times New Roman" w:hAnsi="Times New Roman"/>
                      <w:szCs w:val="21"/>
                    </w:rPr>
                    <w:t>h</w:t>
                  </w:r>
                </w:p>
              </w:tc>
            </w:tr>
          </w:tbl>
          <w:p>
            <w:pPr>
              <w:spacing w:line="360" w:lineRule="auto"/>
              <w:ind w:firstLine="420" w:firstLineChars="200"/>
              <w:rPr>
                <w:rFonts w:ascii="Times New Roman" w:hAnsi="Times New Roman"/>
              </w:rPr>
            </w:pPr>
          </w:p>
        </w:tc>
      </w:tr>
    </w:tbl>
    <w:p>
      <w:pPr>
        <w:pStyle w:val="30"/>
        <w:rPr>
          <w:color w:val="auto"/>
        </w:rPr>
      </w:pPr>
    </w:p>
    <w:p>
      <w:pPr>
        <w:rPr>
          <w:rFonts w:ascii="Times New Roman" w:hAnsi="Times New Roman"/>
        </w:rPr>
      </w:pPr>
    </w:p>
    <w:p>
      <w:pPr>
        <w:pStyle w:val="12"/>
        <w:ind w:firstLine="480"/>
        <w:rPr>
          <w:rFonts w:ascii="Times New Roman" w:hAnsi="Times New Roman"/>
        </w:rPr>
      </w:pPr>
    </w:p>
    <w:p>
      <w:pPr>
        <w:pStyle w:val="32"/>
        <w:rPr>
          <w:rFonts w:ascii="Times New Roman" w:hAnsi="Times New Roman"/>
        </w:rPr>
      </w:pPr>
    </w:p>
    <w:p>
      <w:pPr>
        <w:pStyle w:val="32"/>
        <w:rPr>
          <w:rFonts w:ascii="Times New Roman" w:hAnsi="Times New Roman"/>
        </w:rPr>
        <w:sectPr>
          <w:footerReference r:id="rId4" w:type="default"/>
          <w:pgSz w:w="11906" w:h="16838"/>
          <w:pgMar w:top="1440" w:right="1800" w:bottom="1440" w:left="1800" w:header="851" w:footer="992" w:gutter="0"/>
          <w:pgNumType w:fmt="numberInDash" w:start="1"/>
          <w:cols w:space="720" w:num="1"/>
          <w:docGrid w:type="lines" w:linePitch="312" w:charSpace="0"/>
        </w:sectPr>
      </w:pPr>
    </w:p>
    <w:p>
      <w:pPr>
        <w:spacing w:line="360" w:lineRule="auto"/>
        <w:ind w:firstLine="422" w:firstLineChars="200"/>
        <w:jc w:val="center"/>
        <w:rPr>
          <w:rFonts w:ascii="Times New Roman" w:hAnsi="Times New Roman"/>
        </w:rPr>
      </w:pPr>
      <w:r>
        <w:rPr>
          <w:rFonts w:ascii="Times New Roman" w:hAnsi="Times New Roman"/>
          <w:b/>
          <w:bCs/>
          <w:szCs w:val="21"/>
        </w:rPr>
        <w:t>表4-</w:t>
      </w:r>
      <w:r>
        <w:rPr>
          <w:rFonts w:hint="eastAsia" w:ascii="Times New Roman" w:hAnsi="Times New Roman"/>
          <w:b/>
          <w:bCs/>
          <w:szCs w:val="21"/>
        </w:rPr>
        <w:t xml:space="preserve">3   </w:t>
      </w:r>
      <w:r>
        <w:rPr>
          <w:rFonts w:ascii="Times New Roman" w:hAnsi="Times New Roman"/>
          <w:b/>
          <w:bCs/>
          <w:szCs w:val="21"/>
        </w:rPr>
        <w:t>运营期大气污染物产排一览表</w:t>
      </w:r>
    </w:p>
    <w:tbl>
      <w:tblPr>
        <w:tblStyle w:val="37"/>
        <w:tblW w:w="4997"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918"/>
        <w:gridCol w:w="1092"/>
        <w:gridCol w:w="1586"/>
        <w:gridCol w:w="904"/>
        <w:gridCol w:w="904"/>
        <w:gridCol w:w="1248"/>
        <w:gridCol w:w="980"/>
        <w:gridCol w:w="983"/>
        <w:gridCol w:w="759"/>
        <w:gridCol w:w="1856"/>
        <w:gridCol w:w="1360"/>
        <w:gridCol w:w="136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29"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5"/>
                <w:szCs w:val="21"/>
              </w:rPr>
              <w:t>产排</w:t>
            </w:r>
            <w:r>
              <w:rPr>
                <w:rFonts w:ascii="Times New Roman" w:hAnsi="Times New Roman"/>
                <w:b/>
                <w:bCs/>
                <w:spacing w:val="-6"/>
                <w:szCs w:val="21"/>
              </w:rPr>
              <w:t>污环</w:t>
            </w:r>
            <w:r>
              <w:rPr>
                <w:rFonts w:ascii="Times New Roman" w:hAnsi="Times New Roman"/>
                <w:b/>
                <w:bCs/>
                <w:szCs w:val="21"/>
              </w:rPr>
              <w:t>节</w:t>
            </w:r>
          </w:p>
        </w:tc>
        <w:tc>
          <w:tcPr>
            <w:tcW w:w="391"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污染物</w:t>
            </w:r>
            <w:r>
              <w:rPr>
                <w:rFonts w:ascii="Times New Roman" w:hAnsi="Times New Roman"/>
                <w:b/>
                <w:bCs/>
                <w:spacing w:val="-5"/>
                <w:szCs w:val="21"/>
              </w:rPr>
              <w:t>种类</w:t>
            </w:r>
          </w:p>
        </w:tc>
        <w:tc>
          <w:tcPr>
            <w:tcW w:w="568"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3"/>
                <w:szCs w:val="21"/>
              </w:rPr>
              <w:t>污染物产生量</w:t>
            </w:r>
            <w:r>
              <w:rPr>
                <w:rFonts w:ascii="Times New Roman" w:hAnsi="Times New Roman" w:eastAsia="Times New Roman"/>
                <w:spacing w:val="-2"/>
                <w:szCs w:val="21"/>
              </w:rPr>
              <w:t>t/a</w:t>
            </w:r>
          </w:p>
        </w:tc>
        <w:tc>
          <w:tcPr>
            <w:tcW w:w="324" w:type="pct"/>
            <w:vMerge w:val="restart"/>
            <w:tcBorders>
              <w:tl2br w:val="nil"/>
              <w:tr2bl w:val="nil"/>
            </w:tcBorders>
            <w:vAlign w:val="center"/>
          </w:tcPr>
          <w:p>
            <w:pPr>
              <w:jc w:val="center"/>
              <w:rPr>
                <w:rFonts w:ascii="Times New Roman" w:hAnsi="Times New Roman"/>
                <w:b/>
                <w:bCs/>
                <w:spacing w:val="-3"/>
                <w:szCs w:val="21"/>
              </w:rPr>
            </w:pPr>
            <w:r>
              <w:rPr>
                <w:rFonts w:ascii="Times New Roman" w:hAnsi="Times New Roman"/>
                <w:b/>
                <w:bCs/>
                <w:spacing w:val="-3"/>
                <w:szCs w:val="21"/>
              </w:rPr>
              <w:t>污染物产生</w:t>
            </w:r>
            <w:r>
              <w:rPr>
                <w:rFonts w:ascii="Times New Roman" w:hAnsi="Times New Roman"/>
                <w:b/>
                <w:bCs/>
                <w:spacing w:val="-2"/>
                <w:szCs w:val="21"/>
              </w:rPr>
              <w:t>速</w:t>
            </w:r>
            <w:r>
              <w:rPr>
                <w:rFonts w:ascii="Times New Roman" w:hAnsi="Times New Roman"/>
                <w:b/>
                <w:bCs/>
                <w:spacing w:val="-6"/>
                <w:szCs w:val="21"/>
              </w:rPr>
              <w:t>率</w:t>
            </w:r>
            <w:r>
              <w:rPr>
                <w:rFonts w:ascii="Times New Roman" w:hAnsi="Times New Roman" w:eastAsia="Times New Roman"/>
                <w:spacing w:val="-4"/>
                <w:szCs w:val="21"/>
              </w:rPr>
              <w:t>kg/h</w:t>
            </w:r>
          </w:p>
        </w:tc>
        <w:tc>
          <w:tcPr>
            <w:tcW w:w="324"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6"/>
                <w:szCs w:val="21"/>
              </w:rPr>
              <w:t>排放</w:t>
            </w:r>
            <w:r>
              <w:rPr>
                <w:rFonts w:ascii="Times New Roman" w:hAnsi="Times New Roman"/>
                <w:b/>
                <w:bCs/>
                <w:spacing w:val="-7"/>
                <w:szCs w:val="21"/>
              </w:rPr>
              <w:t>形式</w:t>
            </w:r>
          </w:p>
        </w:tc>
        <w:tc>
          <w:tcPr>
            <w:tcW w:w="1422" w:type="pct"/>
            <w:gridSpan w:val="4"/>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治理设施</w:t>
            </w:r>
          </w:p>
        </w:tc>
        <w:tc>
          <w:tcPr>
            <w:tcW w:w="665"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3"/>
                <w:szCs w:val="21"/>
              </w:rPr>
              <w:t>污染物排放</w:t>
            </w:r>
            <w:r>
              <w:rPr>
                <w:rFonts w:ascii="Times New Roman" w:hAnsi="Times New Roman"/>
                <w:b/>
                <w:bCs/>
                <w:spacing w:val="-2"/>
                <w:szCs w:val="21"/>
              </w:rPr>
              <w:t>速</w:t>
            </w:r>
            <w:r>
              <w:rPr>
                <w:rFonts w:ascii="Times New Roman" w:hAnsi="Times New Roman"/>
                <w:b/>
                <w:bCs/>
                <w:spacing w:val="-6"/>
                <w:szCs w:val="21"/>
              </w:rPr>
              <w:t>率</w:t>
            </w:r>
            <w:r>
              <w:rPr>
                <w:rFonts w:ascii="Times New Roman" w:hAnsi="Times New Roman" w:eastAsia="Times New Roman"/>
                <w:spacing w:val="-4"/>
                <w:szCs w:val="21"/>
              </w:rPr>
              <w:t>kg/h</w:t>
            </w:r>
          </w:p>
        </w:tc>
        <w:tc>
          <w:tcPr>
            <w:tcW w:w="487"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污染物排</w:t>
            </w:r>
            <w:r>
              <w:rPr>
                <w:rFonts w:ascii="Times New Roman" w:hAnsi="Times New Roman"/>
                <w:b/>
                <w:bCs/>
                <w:spacing w:val="-5"/>
                <w:szCs w:val="21"/>
              </w:rPr>
              <w:t>放量</w:t>
            </w:r>
            <w:r>
              <w:rPr>
                <w:rFonts w:ascii="Times New Roman" w:hAnsi="Times New Roman" w:eastAsia="Times New Roman"/>
                <w:spacing w:val="-1"/>
                <w:szCs w:val="21"/>
              </w:rPr>
              <w:t>t/a</w:t>
            </w:r>
          </w:p>
        </w:tc>
        <w:tc>
          <w:tcPr>
            <w:tcW w:w="487"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3"/>
                <w:szCs w:val="21"/>
              </w:rPr>
              <w:t>污染物排放</w:t>
            </w:r>
          </w:p>
          <w:p>
            <w:pPr>
              <w:jc w:val="center"/>
              <w:rPr>
                <w:rFonts w:ascii="Times New Roman" w:hAnsi="Times New Roman"/>
                <w:szCs w:val="21"/>
              </w:rPr>
            </w:pPr>
            <w:r>
              <w:rPr>
                <w:rFonts w:ascii="Times New Roman" w:hAnsi="Times New Roman"/>
                <w:b/>
                <w:bCs/>
                <w:spacing w:val="-2"/>
                <w:szCs w:val="21"/>
              </w:rPr>
              <w:t>量浓度</w:t>
            </w:r>
            <w:r>
              <w:rPr>
                <w:rFonts w:ascii="Times New Roman" w:hAnsi="Times New Roman" w:eastAsia="Times New Roman"/>
                <w:spacing w:val="-1"/>
                <w:szCs w:val="21"/>
              </w:rPr>
              <w:t>mg/m</w:t>
            </w:r>
            <w:r>
              <w:rPr>
                <w:rFonts w:ascii="Times New Roman" w:hAnsi="Times New Roman"/>
                <w:spacing w:val="-1"/>
                <w:szCs w:val="21"/>
                <w:vertAlign w:val="superscript"/>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29" w:type="pct"/>
            <w:vMerge w:val="continue"/>
            <w:tcBorders>
              <w:tl2br w:val="nil"/>
              <w:tr2bl w:val="nil"/>
            </w:tcBorders>
            <w:vAlign w:val="center"/>
          </w:tcPr>
          <w:p>
            <w:pPr>
              <w:jc w:val="center"/>
              <w:rPr>
                <w:rFonts w:ascii="Times New Roman" w:hAnsi="Times New Roman"/>
                <w:b/>
                <w:bCs/>
                <w:szCs w:val="21"/>
              </w:rPr>
            </w:pPr>
          </w:p>
        </w:tc>
        <w:tc>
          <w:tcPr>
            <w:tcW w:w="391" w:type="pct"/>
            <w:vMerge w:val="continue"/>
            <w:tcBorders>
              <w:tl2br w:val="nil"/>
              <w:tr2bl w:val="nil"/>
            </w:tcBorders>
            <w:vAlign w:val="center"/>
          </w:tcPr>
          <w:p>
            <w:pPr>
              <w:jc w:val="center"/>
              <w:rPr>
                <w:rFonts w:ascii="Times New Roman" w:hAnsi="Times New Roman"/>
                <w:b/>
                <w:bCs/>
                <w:szCs w:val="21"/>
              </w:rPr>
            </w:pPr>
          </w:p>
        </w:tc>
        <w:tc>
          <w:tcPr>
            <w:tcW w:w="568" w:type="pct"/>
            <w:vMerge w:val="continue"/>
            <w:tcBorders>
              <w:tl2br w:val="nil"/>
              <w:tr2bl w:val="nil"/>
            </w:tcBorders>
            <w:vAlign w:val="center"/>
          </w:tcPr>
          <w:p>
            <w:pPr>
              <w:jc w:val="center"/>
              <w:rPr>
                <w:rFonts w:ascii="Times New Roman" w:hAnsi="Times New Roman"/>
                <w:b/>
                <w:bCs/>
                <w:szCs w:val="21"/>
              </w:rPr>
            </w:pPr>
          </w:p>
        </w:tc>
        <w:tc>
          <w:tcPr>
            <w:tcW w:w="324" w:type="pct"/>
            <w:vMerge w:val="continue"/>
            <w:tcBorders>
              <w:tl2br w:val="nil"/>
              <w:tr2bl w:val="nil"/>
            </w:tcBorders>
            <w:vAlign w:val="center"/>
          </w:tcPr>
          <w:p>
            <w:pPr>
              <w:jc w:val="center"/>
              <w:rPr>
                <w:rFonts w:ascii="Times New Roman" w:hAnsi="Times New Roman"/>
                <w:b/>
                <w:bCs/>
                <w:szCs w:val="21"/>
              </w:rPr>
            </w:pPr>
          </w:p>
        </w:tc>
        <w:tc>
          <w:tcPr>
            <w:tcW w:w="324" w:type="pct"/>
            <w:vMerge w:val="continue"/>
            <w:tcBorders>
              <w:tl2br w:val="nil"/>
              <w:tr2bl w:val="nil"/>
            </w:tcBorders>
            <w:vAlign w:val="center"/>
          </w:tcPr>
          <w:p>
            <w:pPr>
              <w:jc w:val="center"/>
              <w:rPr>
                <w:rFonts w:ascii="Times New Roman" w:hAnsi="Times New Roman"/>
                <w:b/>
                <w:bCs/>
                <w:szCs w:val="21"/>
              </w:rPr>
            </w:pPr>
          </w:p>
        </w:tc>
        <w:tc>
          <w:tcPr>
            <w:tcW w:w="447" w:type="pct"/>
            <w:tcBorders>
              <w:tl2br w:val="nil"/>
              <w:tr2bl w:val="nil"/>
            </w:tcBorders>
            <w:vAlign w:val="center"/>
          </w:tcPr>
          <w:p>
            <w:pPr>
              <w:jc w:val="center"/>
              <w:rPr>
                <w:rFonts w:ascii="Times New Roman" w:hAnsi="Times New Roman"/>
                <w:b/>
                <w:bCs/>
                <w:szCs w:val="21"/>
              </w:rPr>
            </w:pPr>
            <w:r>
              <w:rPr>
                <w:rFonts w:ascii="Times New Roman" w:hAnsi="Times New Roman"/>
                <w:b/>
                <w:bCs/>
                <w:spacing w:val="-3"/>
                <w:szCs w:val="21"/>
              </w:rPr>
              <w:t>风量（</w:t>
            </w:r>
            <w:r>
              <w:rPr>
                <w:rFonts w:ascii="Times New Roman" w:hAnsi="Times New Roman" w:eastAsia="Times New Roman"/>
                <w:b/>
                <w:bCs/>
                <w:spacing w:val="-1"/>
                <w:szCs w:val="21"/>
              </w:rPr>
              <w:t>m</w:t>
            </w:r>
            <w:r>
              <w:rPr>
                <w:rFonts w:ascii="Times New Roman" w:hAnsi="Times New Roman"/>
                <w:b/>
                <w:bCs/>
                <w:spacing w:val="-1"/>
                <w:szCs w:val="21"/>
                <w:vertAlign w:val="superscript"/>
              </w:rPr>
              <w:t>3</w:t>
            </w:r>
            <w:r>
              <w:rPr>
                <w:rFonts w:ascii="Times New Roman" w:hAnsi="Times New Roman" w:eastAsia="Times New Roman"/>
                <w:b/>
                <w:bCs/>
                <w:spacing w:val="-3"/>
                <w:szCs w:val="21"/>
              </w:rPr>
              <w:t>/h</w:t>
            </w:r>
            <w:r>
              <w:rPr>
                <w:rFonts w:ascii="Times New Roman" w:hAnsi="Times New Roman"/>
                <w:b/>
                <w:bCs/>
                <w:spacing w:val="-3"/>
                <w:szCs w:val="21"/>
              </w:rPr>
              <w:t>）</w:t>
            </w:r>
          </w:p>
        </w:tc>
        <w:tc>
          <w:tcPr>
            <w:tcW w:w="351"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收集效</w:t>
            </w:r>
            <w:r>
              <w:rPr>
                <w:rFonts w:ascii="Times New Roman" w:hAnsi="Times New Roman"/>
                <w:b/>
                <w:bCs/>
                <w:spacing w:val="-2"/>
                <w:szCs w:val="21"/>
              </w:rPr>
              <w:t>率（</w:t>
            </w:r>
            <w:r>
              <w:rPr>
                <w:rFonts w:ascii="Times New Roman" w:hAnsi="Times New Roman" w:eastAsia="Times New Roman"/>
                <w:b/>
                <w:bCs/>
                <w:spacing w:val="-2"/>
                <w:szCs w:val="21"/>
              </w:rPr>
              <w:t>%</w:t>
            </w:r>
            <w:r>
              <w:rPr>
                <w:rFonts w:ascii="Times New Roman" w:hAnsi="Times New Roman"/>
                <w:b/>
                <w:bCs/>
                <w:spacing w:val="-2"/>
                <w:szCs w:val="21"/>
              </w:rPr>
              <w:t>）</w:t>
            </w:r>
          </w:p>
        </w:tc>
        <w:tc>
          <w:tcPr>
            <w:tcW w:w="352" w:type="pct"/>
            <w:tcBorders>
              <w:tl2br w:val="nil"/>
              <w:tr2bl w:val="nil"/>
            </w:tcBorders>
            <w:vAlign w:val="center"/>
          </w:tcPr>
          <w:p>
            <w:pPr>
              <w:jc w:val="center"/>
              <w:rPr>
                <w:rFonts w:ascii="Times New Roman" w:hAnsi="Times New Roman"/>
                <w:b/>
                <w:bCs/>
                <w:szCs w:val="21"/>
              </w:rPr>
            </w:pPr>
            <w:r>
              <w:rPr>
                <w:rFonts w:ascii="Times New Roman" w:hAnsi="Times New Roman"/>
                <w:b/>
                <w:bCs/>
                <w:spacing w:val="-9"/>
                <w:szCs w:val="21"/>
              </w:rPr>
              <w:t>治理工</w:t>
            </w:r>
            <w:r>
              <w:rPr>
                <w:rFonts w:ascii="Times New Roman" w:hAnsi="Times New Roman"/>
                <w:b/>
                <w:bCs/>
                <w:spacing w:val="2"/>
                <w:szCs w:val="21"/>
              </w:rPr>
              <w:t>艺去除</w:t>
            </w:r>
            <w:r>
              <w:rPr>
                <w:rFonts w:ascii="Times New Roman" w:hAnsi="Times New Roman"/>
                <w:b/>
                <w:bCs/>
                <w:spacing w:val="-11"/>
                <w:szCs w:val="21"/>
              </w:rPr>
              <w:t>率（</w:t>
            </w:r>
            <w:r>
              <w:rPr>
                <w:rFonts w:ascii="Times New Roman" w:hAnsi="Times New Roman" w:eastAsia="Times New Roman"/>
                <w:b/>
                <w:bCs/>
                <w:spacing w:val="-11"/>
                <w:szCs w:val="21"/>
              </w:rPr>
              <w:t>%</w:t>
            </w:r>
            <w:r>
              <w:rPr>
                <w:rFonts w:ascii="Times New Roman" w:hAnsi="Times New Roman"/>
                <w:b/>
                <w:bCs/>
                <w:spacing w:val="-11"/>
                <w:szCs w:val="21"/>
              </w:rPr>
              <w:t>）</w:t>
            </w:r>
          </w:p>
        </w:tc>
        <w:tc>
          <w:tcPr>
            <w:tcW w:w="272" w:type="pct"/>
            <w:tcBorders>
              <w:tl2br w:val="nil"/>
              <w:tr2bl w:val="nil"/>
            </w:tcBorders>
            <w:vAlign w:val="center"/>
          </w:tcPr>
          <w:p>
            <w:pPr>
              <w:jc w:val="center"/>
              <w:rPr>
                <w:rFonts w:ascii="Times New Roman" w:hAnsi="Times New Roman"/>
                <w:b/>
                <w:bCs/>
                <w:szCs w:val="21"/>
              </w:rPr>
            </w:pPr>
            <w:r>
              <w:rPr>
                <w:rFonts w:ascii="Times New Roman" w:hAnsi="Times New Roman"/>
                <w:b/>
                <w:bCs/>
                <w:spacing w:val="-7"/>
                <w:szCs w:val="21"/>
              </w:rPr>
              <w:t>是否</w:t>
            </w:r>
          </w:p>
          <w:p>
            <w:pPr>
              <w:jc w:val="center"/>
              <w:rPr>
                <w:rFonts w:ascii="Times New Roman" w:hAnsi="Times New Roman"/>
                <w:b/>
                <w:bCs/>
                <w:szCs w:val="21"/>
              </w:rPr>
            </w:pPr>
            <w:r>
              <w:rPr>
                <w:rFonts w:ascii="Times New Roman" w:hAnsi="Times New Roman"/>
                <w:b/>
                <w:bCs/>
                <w:spacing w:val="-6"/>
                <w:szCs w:val="21"/>
              </w:rPr>
              <w:t>为可</w:t>
            </w:r>
          </w:p>
          <w:p>
            <w:pPr>
              <w:jc w:val="center"/>
              <w:rPr>
                <w:rFonts w:ascii="Times New Roman" w:hAnsi="Times New Roman"/>
                <w:b/>
                <w:bCs/>
                <w:szCs w:val="21"/>
              </w:rPr>
            </w:pPr>
            <w:r>
              <w:rPr>
                <w:rFonts w:ascii="Times New Roman" w:hAnsi="Times New Roman"/>
                <w:b/>
                <w:bCs/>
                <w:spacing w:val="-7"/>
                <w:szCs w:val="21"/>
              </w:rPr>
              <w:t>行技</w:t>
            </w:r>
          </w:p>
          <w:p>
            <w:pPr>
              <w:jc w:val="center"/>
              <w:rPr>
                <w:rFonts w:ascii="Times New Roman" w:hAnsi="Times New Roman"/>
                <w:b/>
                <w:bCs/>
                <w:szCs w:val="21"/>
              </w:rPr>
            </w:pPr>
            <w:r>
              <w:rPr>
                <w:rFonts w:ascii="Times New Roman" w:hAnsi="Times New Roman"/>
                <w:b/>
                <w:bCs/>
                <w:szCs w:val="21"/>
              </w:rPr>
              <w:t>术</w:t>
            </w:r>
          </w:p>
        </w:tc>
        <w:tc>
          <w:tcPr>
            <w:tcW w:w="665" w:type="pct"/>
            <w:vMerge w:val="continue"/>
            <w:tcBorders>
              <w:tl2br w:val="nil"/>
              <w:tr2bl w:val="nil"/>
            </w:tcBorders>
            <w:vAlign w:val="center"/>
          </w:tcPr>
          <w:p>
            <w:pPr>
              <w:rPr>
                <w:rFonts w:ascii="Times New Roman" w:hAnsi="Times New Roman"/>
                <w:szCs w:val="21"/>
              </w:rPr>
            </w:pPr>
          </w:p>
        </w:tc>
        <w:tc>
          <w:tcPr>
            <w:tcW w:w="487" w:type="pct"/>
            <w:vMerge w:val="continue"/>
            <w:tcBorders>
              <w:tl2br w:val="nil"/>
              <w:tr2bl w:val="nil"/>
            </w:tcBorders>
            <w:vAlign w:val="center"/>
          </w:tcPr>
          <w:p>
            <w:pPr>
              <w:rPr>
                <w:rFonts w:ascii="Times New Roman" w:hAnsi="Times New Roman"/>
                <w:szCs w:val="21"/>
              </w:rPr>
            </w:pPr>
          </w:p>
        </w:tc>
        <w:tc>
          <w:tcPr>
            <w:tcW w:w="487" w:type="pct"/>
            <w:vMerge w:val="continue"/>
            <w:tcBorders>
              <w:tl2br w:val="nil"/>
              <w:tr2bl w:val="nil"/>
            </w:tcBorders>
            <w:vAlign w:val="center"/>
          </w:tcPr>
          <w:p>
            <w:pPr>
              <w:rPr>
                <w:rFonts w:ascii="Times New Roman" w:hAnsi="Times New Roman"/>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29" w:type="pct"/>
            <w:tcBorders>
              <w:tl2br w:val="nil"/>
              <w:tr2bl w:val="nil"/>
            </w:tcBorders>
            <w:vAlign w:val="center"/>
          </w:tcPr>
          <w:p>
            <w:pPr>
              <w:jc w:val="center"/>
              <w:rPr>
                <w:rFonts w:ascii="Times New Roman" w:hAnsi="Times New Roman"/>
                <w:szCs w:val="21"/>
              </w:rPr>
            </w:pPr>
            <w:r>
              <w:rPr>
                <w:rFonts w:ascii="Times New Roman" w:hAnsi="Times New Roman"/>
                <w:spacing w:val="-7"/>
                <w:szCs w:val="21"/>
              </w:rPr>
              <w:t>水泥筒仓</w:t>
            </w:r>
          </w:p>
        </w:tc>
        <w:tc>
          <w:tcPr>
            <w:tcW w:w="391"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颗粒物</w:t>
            </w:r>
          </w:p>
        </w:tc>
        <w:tc>
          <w:tcPr>
            <w:tcW w:w="1586" w:type="dxa"/>
            <w:tcBorders>
              <w:tl2br w:val="nil"/>
              <w:tr2bl w:val="nil"/>
            </w:tcBorders>
            <w:vAlign w:val="center"/>
          </w:tcPr>
          <w:p>
            <w:pPr>
              <w:jc w:val="center"/>
              <w:rPr>
                <w:rFonts w:ascii="Times New Roman" w:hAnsi="Times New Roman"/>
                <w:spacing w:val="-1"/>
                <w:szCs w:val="21"/>
              </w:rPr>
            </w:pPr>
            <w:r>
              <w:rPr>
                <w:rFonts w:hint="eastAsia" w:ascii="Times New Roman" w:hAnsi="Times New Roman"/>
                <w:spacing w:val="-1"/>
                <w:szCs w:val="21"/>
              </w:rPr>
              <w:t>0.760</w:t>
            </w:r>
          </w:p>
        </w:tc>
        <w:tc>
          <w:tcPr>
            <w:tcW w:w="904" w:type="dxa"/>
            <w:tcBorders>
              <w:tl2br w:val="nil"/>
              <w:tr2bl w:val="nil"/>
            </w:tcBorders>
            <w:vAlign w:val="center"/>
          </w:tcPr>
          <w:p>
            <w:pPr>
              <w:jc w:val="center"/>
              <w:rPr>
                <w:rFonts w:ascii="Times New Roman" w:hAnsi="Times New Roman"/>
                <w:spacing w:val="-1"/>
                <w:szCs w:val="21"/>
              </w:rPr>
            </w:pPr>
            <w:r>
              <w:rPr>
                <w:rFonts w:hint="eastAsia" w:ascii="Times New Roman" w:hAnsi="Times New Roman"/>
                <w:spacing w:val="-1"/>
                <w:szCs w:val="21"/>
              </w:rPr>
              <w:t>0.151</w:t>
            </w:r>
          </w:p>
        </w:tc>
        <w:tc>
          <w:tcPr>
            <w:tcW w:w="324"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无组织</w:t>
            </w:r>
          </w:p>
        </w:tc>
        <w:tc>
          <w:tcPr>
            <w:tcW w:w="447"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1000</w:t>
            </w:r>
          </w:p>
        </w:tc>
        <w:tc>
          <w:tcPr>
            <w:tcW w:w="351"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100</w:t>
            </w:r>
          </w:p>
        </w:tc>
        <w:tc>
          <w:tcPr>
            <w:tcW w:w="352"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99.7</w:t>
            </w:r>
          </w:p>
        </w:tc>
        <w:tc>
          <w:tcPr>
            <w:tcW w:w="272"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是</w:t>
            </w:r>
          </w:p>
        </w:tc>
        <w:tc>
          <w:tcPr>
            <w:tcW w:w="1856" w:type="dxa"/>
            <w:tcBorders>
              <w:tl2br w:val="nil"/>
              <w:tr2bl w:val="nil"/>
            </w:tcBorders>
            <w:vAlign w:val="center"/>
          </w:tcPr>
          <w:p>
            <w:pPr>
              <w:jc w:val="center"/>
              <w:rPr>
                <w:rFonts w:ascii="Times New Roman" w:hAnsi="Times New Roman"/>
                <w:spacing w:val="-1"/>
                <w:szCs w:val="21"/>
              </w:rPr>
            </w:pPr>
            <w:r>
              <w:rPr>
                <w:rFonts w:hint="eastAsia" w:ascii="Times New Roman" w:hAnsi="Times New Roman"/>
                <w:spacing w:val="-1"/>
                <w:szCs w:val="21"/>
              </w:rPr>
              <w:t>0.002</w:t>
            </w:r>
          </w:p>
        </w:tc>
        <w:tc>
          <w:tcPr>
            <w:tcW w:w="1360" w:type="dxa"/>
            <w:tcBorders>
              <w:tl2br w:val="nil"/>
              <w:tr2bl w:val="nil"/>
            </w:tcBorders>
            <w:vAlign w:val="center"/>
          </w:tcPr>
          <w:p>
            <w:pPr>
              <w:jc w:val="center"/>
              <w:rPr>
                <w:rFonts w:ascii="Times New Roman" w:hAnsi="Times New Roman"/>
                <w:spacing w:val="-1"/>
                <w:szCs w:val="21"/>
              </w:rPr>
            </w:pPr>
            <w:r>
              <w:rPr>
                <w:rFonts w:hint="eastAsia" w:ascii="Times New Roman" w:hAnsi="Times New Roman"/>
                <w:spacing w:val="-1"/>
                <w:szCs w:val="21"/>
              </w:rPr>
              <w:t>0.0005</w:t>
            </w:r>
          </w:p>
        </w:tc>
        <w:tc>
          <w:tcPr>
            <w:tcW w:w="1360" w:type="dxa"/>
            <w:tcBorders>
              <w:tl2br w:val="nil"/>
              <w:tr2bl w:val="nil"/>
            </w:tcBorders>
            <w:vAlign w:val="center"/>
          </w:tcPr>
          <w:p>
            <w:pPr>
              <w:jc w:val="center"/>
              <w:rPr>
                <w:rFonts w:ascii="Times New Roman" w:hAnsi="Times New Roman"/>
                <w:spacing w:val="-1"/>
                <w:szCs w:val="21"/>
              </w:rPr>
            </w:pPr>
            <w:r>
              <w:rPr>
                <w:rFonts w:hint="eastAsia" w:ascii="Times New Roman" w:hAnsi="Times New Roman"/>
                <w:spacing w:val="-1"/>
                <w:szCs w:val="21"/>
              </w:rPr>
              <w:t>0.452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329" w:type="pct"/>
            <w:tcBorders>
              <w:tl2br w:val="nil"/>
              <w:tr2bl w:val="nil"/>
            </w:tcBorders>
            <w:vAlign w:val="center"/>
          </w:tcPr>
          <w:p>
            <w:pPr>
              <w:jc w:val="center"/>
              <w:rPr>
                <w:rFonts w:ascii="Times New Roman" w:hAnsi="Times New Roman"/>
                <w:szCs w:val="21"/>
              </w:rPr>
            </w:pPr>
            <w:r>
              <w:rPr>
                <w:rFonts w:ascii="Times New Roman" w:hAnsi="Times New Roman"/>
                <w:spacing w:val="-6"/>
                <w:szCs w:val="21"/>
              </w:rPr>
              <w:t>运输</w:t>
            </w:r>
            <w:r>
              <w:rPr>
                <w:rFonts w:ascii="Times New Roman" w:hAnsi="Times New Roman"/>
                <w:spacing w:val="-5"/>
                <w:szCs w:val="21"/>
              </w:rPr>
              <w:t>扬尘</w:t>
            </w:r>
          </w:p>
        </w:tc>
        <w:tc>
          <w:tcPr>
            <w:tcW w:w="391"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颗粒物</w:t>
            </w:r>
          </w:p>
        </w:tc>
        <w:tc>
          <w:tcPr>
            <w:tcW w:w="568" w:type="pct"/>
            <w:tcBorders>
              <w:tl2br w:val="nil"/>
              <w:tr2bl w:val="nil"/>
            </w:tcBorders>
            <w:vAlign w:val="center"/>
          </w:tcPr>
          <w:p>
            <w:pPr>
              <w:jc w:val="center"/>
              <w:rPr>
                <w:rFonts w:ascii="Times New Roman" w:hAnsi="Times New Roman"/>
                <w:szCs w:val="21"/>
              </w:rPr>
            </w:pPr>
            <w:r>
              <w:rPr>
                <w:rFonts w:ascii="Times New Roman" w:hAnsi="Times New Roman"/>
                <w:spacing w:val="-1"/>
                <w:szCs w:val="21"/>
              </w:rPr>
              <w:t>0.17</w:t>
            </w:r>
          </w:p>
        </w:tc>
        <w:tc>
          <w:tcPr>
            <w:tcW w:w="324" w:type="pct"/>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0.03</w:t>
            </w:r>
          </w:p>
        </w:tc>
        <w:tc>
          <w:tcPr>
            <w:tcW w:w="324" w:type="pct"/>
            <w:tcBorders>
              <w:tl2br w:val="nil"/>
              <w:tr2bl w:val="nil"/>
            </w:tcBorders>
            <w:vAlign w:val="center"/>
          </w:tcPr>
          <w:p>
            <w:pPr>
              <w:jc w:val="center"/>
              <w:rPr>
                <w:rFonts w:ascii="Times New Roman" w:hAnsi="Times New Roman"/>
                <w:szCs w:val="21"/>
              </w:rPr>
            </w:pPr>
            <w:r>
              <w:rPr>
                <w:rFonts w:ascii="Times New Roman" w:hAnsi="Times New Roman"/>
                <w:spacing w:val="-7"/>
                <w:szCs w:val="21"/>
              </w:rPr>
              <w:t>无组</w:t>
            </w:r>
            <w:r>
              <w:rPr>
                <w:rFonts w:ascii="Times New Roman" w:hAnsi="Times New Roman"/>
                <w:szCs w:val="21"/>
              </w:rPr>
              <w:t>织</w:t>
            </w:r>
          </w:p>
        </w:tc>
        <w:tc>
          <w:tcPr>
            <w:tcW w:w="447"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w:t>
            </w:r>
          </w:p>
        </w:tc>
        <w:tc>
          <w:tcPr>
            <w:tcW w:w="351"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w:t>
            </w:r>
          </w:p>
        </w:tc>
        <w:tc>
          <w:tcPr>
            <w:tcW w:w="352"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pacing w:val="-7"/>
                <w:szCs w:val="21"/>
              </w:rPr>
              <w:t>80</w:t>
            </w:r>
          </w:p>
        </w:tc>
        <w:tc>
          <w:tcPr>
            <w:tcW w:w="272" w:type="pct"/>
            <w:tcBorders>
              <w:tl2br w:val="nil"/>
              <w:tr2bl w:val="nil"/>
            </w:tcBorders>
            <w:vAlign w:val="center"/>
          </w:tcPr>
          <w:p>
            <w:pPr>
              <w:jc w:val="center"/>
              <w:rPr>
                <w:rFonts w:ascii="Times New Roman" w:hAnsi="Times New Roman"/>
                <w:szCs w:val="21"/>
              </w:rPr>
            </w:pPr>
            <w:r>
              <w:rPr>
                <w:rFonts w:ascii="Times New Roman" w:hAnsi="Times New Roman"/>
                <w:szCs w:val="21"/>
              </w:rPr>
              <w:t>是</w:t>
            </w:r>
          </w:p>
        </w:tc>
        <w:tc>
          <w:tcPr>
            <w:tcW w:w="665"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0.03</w:t>
            </w:r>
          </w:p>
        </w:tc>
        <w:tc>
          <w:tcPr>
            <w:tcW w:w="487"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0.17</w:t>
            </w:r>
          </w:p>
        </w:tc>
        <w:tc>
          <w:tcPr>
            <w:tcW w:w="487" w:type="pct"/>
            <w:tcBorders>
              <w:tl2br w:val="nil"/>
              <w:tr2bl w:val="nil"/>
            </w:tcBorders>
            <w:vAlign w:val="center"/>
          </w:tcPr>
          <w:p>
            <w:pPr>
              <w:jc w:val="center"/>
              <w:rPr>
                <w:rFonts w:ascii="Times New Roman" w:hAnsi="Times New Roman"/>
                <w:spacing w:val="-2"/>
                <w:szCs w:val="21"/>
              </w:rPr>
            </w:pPr>
            <w:r>
              <w:rPr>
                <w:rFonts w:ascii="Times New Roman" w:hAnsi="Times New Roman"/>
                <w:spacing w:val="-2"/>
                <w:szCs w:val="21"/>
              </w:rPr>
              <w:t>/</w:t>
            </w:r>
          </w:p>
        </w:tc>
      </w:tr>
    </w:tbl>
    <w:p>
      <w:pPr>
        <w:spacing w:line="360" w:lineRule="auto"/>
        <w:ind w:firstLine="476" w:firstLineChars="200"/>
        <w:rPr>
          <w:rFonts w:ascii="Times New Roman" w:hAnsi="Times New Roman"/>
          <w:sz w:val="24"/>
        </w:rPr>
      </w:pPr>
      <w:r>
        <w:rPr>
          <w:rFonts w:ascii="Times New Roman" w:hAnsi="Times New Roman"/>
          <w:spacing w:val="-1"/>
          <w:sz w:val="24"/>
        </w:rPr>
        <w:t>参照</w:t>
      </w:r>
      <w:r>
        <w:rPr>
          <w:rFonts w:ascii="Times New Roman" w:hAnsi="Times New Roman"/>
          <w:sz w:val="24"/>
        </w:rPr>
        <w:t>《排污单位自行监测技术指南 总则》(HJ819-2017)和《排污单位自行监测技术指南 水泥工业(HJ848-2017)》 自行监测管理要求对本项目废气污染源确定自行监测方案。</w:t>
      </w:r>
    </w:p>
    <w:p>
      <w:pPr>
        <w:spacing w:line="360" w:lineRule="auto"/>
        <w:ind w:firstLine="422" w:firstLineChars="200"/>
        <w:jc w:val="center"/>
        <w:rPr>
          <w:rFonts w:ascii="Times New Roman" w:hAnsi="Times New Roman"/>
          <w:b/>
          <w:bCs/>
        </w:rPr>
      </w:pPr>
      <w:r>
        <w:rPr>
          <w:rFonts w:ascii="Times New Roman" w:hAnsi="Times New Roman"/>
          <w:b/>
          <w:bCs/>
        </w:rPr>
        <w:t>表4-</w:t>
      </w:r>
      <w:r>
        <w:rPr>
          <w:rFonts w:hint="eastAsia" w:ascii="Times New Roman" w:hAnsi="Times New Roman"/>
          <w:b/>
          <w:bCs/>
        </w:rPr>
        <w:t xml:space="preserve">4   </w:t>
      </w:r>
      <w:r>
        <w:rPr>
          <w:rFonts w:ascii="Times New Roman" w:hAnsi="Times New Roman"/>
          <w:b/>
          <w:bCs/>
        </w:rPr>
        <w:t>项目废气排放口设置情况及监测要求</w:t>
      </w:r>
    </w:p>
    <w:tbl>
      <w:tblPr>
        <w:tblStyle w:val="37"/>
        <w:tblW w:w="4869"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056"/>
        <w:gridCol w:w="906"/>
        <w:gridCol w:w="1097"/>
        <w:gridCol w:w="1203"/>
        <w:gridCol w:w="2151"/>
        <w:gridCol w:w="1460"/>
        <w:gridCol w:w="3126"/>
        <w:gridCol w:w="989"/>
        <w:gridCol w:w="916"/>
        <w:gridCol w:w="68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388"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2"/>
                <w:szCs w:val="21"/>
              </w:rPr>
              <w:t>产排</w:t>
            </w:r>
          </w:p>
          <w:p>
            <w:pPr>
              <w:jc w:val="center"/>
              <w:rPr>
                <w:rFonts w:ascii="Times New Roman" w:hAnsi="Times New Roman"/>
                <w:b/>
                <w:bCs/>
                <w:szCs w:val="21"/>
              </w:rPr>
            </w:pPr>
            <w:r>
              <w:rPr>
                <w:rFonts w:ascii="Times New Roman" w:hAnsi="Times New Roman"/>
                <w:b/>
                <w:bCs/>
                <w:spacing w:val="-3"/>
                <w:szCs w:val="21"/>
              </w:rPr>
              <w:t>污环</w:t>
            </w:r>
          </w:p>
          <w:p>
            <w:pPr>
              <w:jc w:val="center"/>
              <w:rPr>
                <w:rFonts w:ascii="Times New Roman" w:hAnsi="Times New Roman"/>
                <w:b/>
                <w:bCs/>
                <w:szCs w:val="21"/>
              </w:rPr>
            </w:pPr>
            <w:r>
              <w:rPr>
                <w:rFonts w:ascii="Times New Roman" w:hAnsi="Times New Roman"/>
                <w:b/>
                <w:bCs/>
                <w:szCs w:val="21"/>
              </w:rPr>
              <w:t>节</w:t>
            </w:r>
          </w:p>
        </w:tc>
        <w:tc>
          <w:tcPr>
            <w:tcW w:w="2506" w:type="pct"/>
            <w:gridSpan w:val="5"/>
            <w:tcBorders>
              <w:tl2br w:val="nil"/>
              <w:tr2bl w:val="nil"/>
            </w:tcBorders>
            <w:vAlign w:val="center"/>
          </w:tcPr>
          <w:p>
            <w:pPr>
              <w:jc w:val="center"/>
              <w:rPr>
                <w:rFonts w:ascii="Times New Roman" w:hAnsi="Times New Roman" w:eastAsia="Times New Roman"/>
                <w:b/>
                <w:bCs/>
                <w:szCs w:val="21"/>
              </w:rPr>
            </w:pPr>
            <w:r>
              <w:rPr>
                <w:rFonts w:ascii="Times New Roman" w:hAnsi="Times New Roman" w:eastAsia="Times New Roman"/>
                <w:b/>
                <w:bCs/>
                <w:szCs w:val="21"/>
              </w:rPr>
              <w:t>排放口基本情况</w:t>
            </w:r>
          </w:p>
        </w:tc>
        <w:tc>
          <w:tcPr>
            <w:tcW w:w="1150"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2"/>
                <w:szCs w:val="21"/>
              </w:rPr>
              <w:t>排放标准</w:t>
            </w:r>
          </w:p>
        </w:tc>
        <w:tc>
          <w:tcPr>
            <w:tcW w:w="954" w:type="pct"/>
            <w:gridSpan w:val="3"/>
            <w:tcBorders>
              <w:tl2br w:val="nil"/>
              <w:tr2bl w:val="nil"/>
            </w:tcBorders>
            <w:vAlign w:val="center"/>
          </w:tcPr>
          <w:p>
            <w:pPr>
              <w:jc w:val="center"/>
              <w:rPr>
                <w:rFonts w:ascii="Times New Roman" w:hAnsi="Times New Roman"/>
                <w:b/>
                <w:bCs/>
                <w:szCs w:val="21"/>
              </w:rPr>
            </w:pPr>
            <w:r>
              <w:rPr>
                <w:rFonts w:ascii="Times New Roman" w:hAnsi="Times New Roman"/>
                <w:b/>
                <w:bCs/>
                <w:spacing w:val="-2"/>
                <w:szCs w:val="21"/>
              </w:rPr>
              <w:t>监测要求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388" w:type="pct"/>
            <w:vMerge w:val="continue"/>
            <w:tcBorders>
              <w:tl2br w:val="nil"/>
              <w:tr2bl w:val="nil"/>
            </w:tcBorders>
            <w:vAlign w:val="center"/>
          </w:tcPr>
          <w:p>
            <w:pPr>
              <w:jc w:val="center"/>
              <w:rPr>
                <w:rFonts w:ascii="Times New Roman" w:hAnsi="Times New Roman"/>
                <w:b/>
                <w:bCs/>
                <w:szCs w:val="21"/>
              </w:rPr>
            </w:pPr>
          </w:p>
        </w:tc>
        <w:tc>
          <w:tcPr>
            <w:tcW w:w="333" w:type="pct"/>
            <w:tcBorders>
              <w:tl2br w:val="nil"/>
              <w:tr2bl w:val="nil"/>
            </w:tcBorders>
            <w:vAlign w:val="center"/>
          </w:tcPr>
          <w:p>
            <w:pPr>
              <w:jc w:val="center"/>
              <w:rPr>
                <w:rFonts w:ascii="Times New Roman" w:hAnsi="Times New Roman" w:eastAsia="Times New Roman"/>
                <w:b/>
                <w:bCs/>
                <w:szCs w:val="21"/>
              </w:rPr>
            </w:pPr>
            <w:r>
              <w:rPr>
                <w:rFonts w:ascii="Times New Roman" w:hAnsi="Times New Roman" w:eastAsia="Times New Roman"/>
                <w:b/>
                <w:bCs/>
                <w:szCs w:val="21"/>
              </w:rPr>
              <w:t>高度（m）</w:t>
            </w:r>
          </w:p>
        </w:tc>
        <w:tc>
          <w:tcPr>
            <w:tcW w:w="403" w:type="pct"/>
            <w:tcBorders>
              <w:tl2br w:val="nil"/>
              <w:tr2bl w:val="nil"/>
            </w:tcBorders>
            <w:vAlign w:val="center"/>
          </w:tcPr>
          <w:p>
            <w:pPr>
              <w:jc w:val="center"/>
              <w:rPr>
                <w:rFonts w:ascii="Times New Roman" w:hAnsi="Times New Roman" w:eastAsia="Times New Roman"/>
                <w:b/>
                <w:bCs/>
                <w:szCs w:val="21"/>
              </w:rPr>
            </w:pPr>
            <w:r>
              <w:rPr>
                <w:rFonts w:ascii="Times New Roman" w:hAnsi="Times New Roman" w:eastAsia="Times New Roman"/>
                <w:b/>
                <w:bCs/>
                <w:szCs w:val="21"/>
              </w:rPr>
              <w:t>排气筒</w:t>
            </w:r>
          </w:p>
          <w:p>
            <w:pPr>
              <w:jc w:val="center"/>
              <w:rPr>
                <w:rFonts w:ascii="Times New Roman" w:hAnsi="Times New Roman" w:eastAsia="Times New Roman"/>
                <w:b/>
                <w:bCs/>
                <w:szCs w:val="21"/>
              </w:rPr>
            </w:pPr>
            <w:r>
              <w:rPr>
                <w:rFonts w:ascii="Times New Roman" w:hAnsi="Times New Roman" w:eastAsia="Times New Roman"/>
                <w:b/>
                <w:bCs/>
                <w:szCs w:val="21"/>
              </w:rPr>
              <w:t>内径/m</w:t>
            </w:r>
          </w:p>
        </w:tc>
        <w:tc>
          <w:tcPr>
            <w:tcW w:w="442" w:type="pct"/>
            <w:tcBorders>
              <w:tl2br w:val="nil"/>
              <w:tr2bl w:val="nil"/>
            </w:tcBorders>
            <w:vAlign w:val="center"/>
          </w:tcPr>
          <w:p>
            <w:pPr>
              <w:jc w:val="center"/>
              <w:rPr>
                <w:rFonts w:ascii="Times New Roman" w:hAnsi="Times New Roman" w:eastAsia="Times New Roman"/>
                <w:b/>
                <w:bCs/>
                <w:szCs w:val="21"/>
              </w:rPr>
            </w:pPr>
            <w:r>
              <w:rPr>
                <w:rFonts w:ascii="Times New Roman" w:hAnsi="Times New Roman" w:eastAsia="Times New Roman"/>
                <w:b/>
                <w:bCs/>
                <w:szCs w:val="21"/>
              </w:rPr>
              <w:t>温度（℃）</w:t>
            </w:r>
          </w:p>
        </w:tc>
        <w:tc>
          <w:tcPr>
            <w:tcW w:w="1327" w:type="pct"/>
            <w:gridSpan w:val="2"/>
            <w:tcBorders>
              <w:tl2br w:val="nil"/>
              <w:tr2bl w:val="nil"/>
            </w:tcBorders>
            <w:vAlign w:val="center"/>
          </w:tcPr>
          <w:p>
            <w:pPr>
              <w:jc w:val="center"/>
              <w:rPr>
                <w:rFonts w:ascii="Times New Roman" w:hAnsi="Times New Roman"/>
                <w:b/>
                <w:bCs/>
                <w:szCs w:val="21"/>
              </w:rPr>
            </w:pPr>
            <w:r>
              <w:rPr>
                <w:rFonts w:ascii="Times New Roman" w:hAnsi="Times New Roman" w:eastAsia="Times New Roman"/>
                <w:b/>
                <w:bCs/>
                <w:szCs w:val="21"/>
              </w:rPr>
              <w:t>编号及名称</w:t>
            </w:r>
          </w:p>
        </w:tc>
        <w:tc>
          <w:tcPr>
            <w:tcW w:w="1150" w:type="pct"/>
            <w:vMerge w:val="continue"/>
            <w:tcBorders>
              <w:tl2br w:val="nil"/>
              <w:tr2bl w:val="nil"/>
            </w:tcBorders>
            <w:vAlign w:val="center"/>
          </w:tcPr>
          <w:p>
            <w:pPr>
              <w:jc w:val="center"/>
              <w:rPr>
                <w:rFonts w:ascii="Times New Roman" w:hAnsi="Times New Roman"/>
                <w:b/>
                <w:bCs/>
                <w:szCs w:val="21"/>
              </w:rPr>
            </w:pPr>
          </w:p>
        </w:tc>
        <w:tc>
          <w:tcPr>
            <w:tcW w:w="364" w:type="pct"/>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监测</w:t>
            </w:r>
            <w:r>
              <w:rPr>
                <w:rFonts w:ascii="Times New Roman" w:hAnsi="Times New Roman"/>
                <w:b/>
                <w:bCs/>
                <w:spacing w:val="-7"/>
                <w:szCs w:val="21"/>
              </w:rPr>
              <w:t>点位</w:t>
            </w:r>
          </w:p>
        </w:tc>
        <w:tc>
          <w:tcPr>
            <w:tcW w:w="337" w:type="pct"/>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监测</w:t>
            </w:r>
            <w:r>
              <w:rPr>
                <w:rFonts w:ascii="Times New Roman" w:hAnsi="Times New Roman"/>
                <w:b/>
                <w:bCs/>
                <w:spacing w:val="-11"/>
                <w:szCs w:val="21"/>
              </w:rPr>
              <w:t>因子</w:t>
            </w:r>
          </w:p>
        </w:tc>
        <w:tc>
          <w:tcPr>
            <w:tcW w:w="253" w:type="pct"/>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监测频次</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388" w:type="pct"/>
            <w:tcBorders>
              <w:tl2br w:val="nil"/>
              <w:tr2bl w:val="nil"/>
            </w:tcBorders>
            <w:vAlign w:val="center"/>
          </w:tcPr>
          <w:p>
            <w:pPr>
              <w:jc w:val="center"/>
              <w:rPr>
                <w:rFonts w:ascii="Times New Roman" w:hAnsi="Times New Roman"/>
                <w:szCs w:val="21"/>
              </w:rPr>
            </w:pPr>
            <w:r>
              <w:rPr>
                <w:rFonts w:ascii="Times New Roman" w:hAnsi="Times New Roman"/>
                <w:spacing w:val="-5"/>
                <w:szCs w:val="21"/>
              </w:rPr>
              <w:t>厂界</w:t>
            </w:r>
          </w:p>
        </w:tc>
        <w:tc>
          <w:tcPr>
            <w:tcW w:w="333" w:type="pct"/>
            <w:tcBorders>
              <w:tl2br w:val="nil"/>
              <w:tr2bl w:val="nil"/>
            </w:tcBorders>
            <w:vAlign w:val="center"/>
          </w:tcPr>
          <w:p>
            <w:pPr>
              <w:jc w:val="center"/>
              <w:rPr>
                <w:rFonts w:ascii="Times New Roman" w:hAnsi="Times New Roman"/>
                <w:szCs w:val="21"/>
              </w:rPr>
            </w:pPr>
            <w:r>
              <w:rPr>
                <w:rFonts w:ascii="Times New Roman" w:hAnsi="Times New Roman"/>
                <w:spacing w:val="-9"/>
                <w:w w:val="98"/>
                <w:szCs w:val="21"/>
              </w:rPr>
              <w:t>/</w:t>
            </w:r>
          </w:p>
        </w:tc>
        <w:tc>
          <w:tcPr>
            <w:tcW w:w="403" w:type="pct"/>
            <w:tcBorders>
              <w:tl2br w:val="nil"/>
              <w:tr2bl w:val="nil"/>
            </w:tcBorders>
            <w:vAlign w:val="center"/>
          </w:tcPr>
          <w:p>
            <w:pPr>
              <w:jc w:val="center"/>
              <w:rPr>
                <w:rFonts w:ascii="Times New Roman" w:hAnsi="Times New Roman"/>
                <w:szCs w:val="21"/>
              </w:rPr>
            </w:pPr>
            <w:r>
              <w:rPr>
                <w:rFonts w:ascii="Times New Roman" w:hAnsi="Times New Roman"/>
                <w:szCs w:val="21"/>
              </w:rPr>
              <w:t>/</w:t>
            </w:r>
          </w:p>
        </w:tc>
        <w:tc>
          <w:tcPr>
            <w:tcW w:w="442" w:type="pct"/>
            <w:tcBorders>
              <w:tl2br w:val="nil"/>
              <w:tr2bl w:val="nil"/>
            </w:tcBorders>
            <w:vAlign w:val="center"/>
          </w:tcPr>
          <w:p>
            <w:pPr>
              <w:jc w:val="center"/>
              <w:rPr>
                <w:rFonts w:ascii="Times New Roman" w:hAnsi="Times New Roman"/>
                <w:szCs w:val="21"/>
              </w:rPr>
            </w:pPr>
            <w:r>
              <w:rPr>
                <w:rFonts w:ascii="Times New Roman" w:hAnsi="Times New Roman"/>
                <w:szCs w:val="21"/>
              </w:rPr>
              <w:t>/</w:t>
            </w:r>
          </w:p>
        </w:tc>
        <w:tc>
          <w:tcPr>
            <w:tcW w:w="791" w:type="pct"/>
            <w:tcBorders>
              <w:tl2br w:val="nil"/>
              <w:tr2bl w:val="nil"/>
            </w:tcBorders>
            <w:vAlign w:val="center"/>
          </w:tcPr>
          <w:p>
            <w:pPr>
              <w:jc w:val="center"/>
              <w:rPr>
                <w:rFonts w:ascii="Times New Roman" w:hAnsi="Times New Roman"/>
                <w:szCs w:val="21"/>
              </w:rPr>
            </w:pPr>
            <w:r>
              <w:rPr>
                <w:rFonts w:ascii="Times New Roman" w:hAnsi="Times New Roman"/>
                <w:szCs w:val="21"/>
              </w:rPr>
              <w:t>/</w:t>
            </w:r>
          </w:p>
        </w:tc>
        <w:tc>
          <w:tcPr>
            <w:tcW w:w="535" w:type="pct"/>
            <w:tcBorders>
              <w:tl2br w:val="nil"/>
              <w:tr2bl w:val="nil"/>
            </w:tcBorders>
            <w:vAlign w:val="center"/>
          </w:tcPr>
          <w:p>
            <w:pPr>
              <w:jc w:val="center"/>
              <w:rPr>
                <w:rFonts w:ascii="Times New Roman" w:hAnsi="Times New Roman"/>
                <w:szCs w:val="21"/>
              </w:rPr>
            </w:pPr>
            <w:r>
              <w:rPr>
                <w:rFonts w:ascii="Times New Roman" w:hAnsi="Times New Roman"/>
                <w:szCs w:val="21"/>
              </w:rPr>
              <w:t>/</w:t>
            </w:r>
          </w:p>
        </w:tc>
        <w:tc>
          <w:tcPr>
            <w:tcW w:w="1150" w:type="pct"/>
            <w:tcBorders>
              <w:tl2br w:val="nil"/>
              <w:tr2bl w:val="nil"/>
            </w:tcBorders>
            <w:vAlign w:val="center"/>
          </w:tcPr>
          <w:p>
            <w:pPr>
              <w:jc w:val="center"/>
              <w:rPr>
                <w:rFonts w:ascii="Times New Roman" w:hAnsi="Times New Roman"/>
                <w:szCs w:val="21"/>
              </w:rPr>
            </w:pPr>
            <w:r>
              <w:rPr>
                <w:rFonts w:ascii="Times New Roman" w:hAnsi="Times New Roman"/>
                <w:szCs w:val="21"/>
              </w:rPr>
              <w:t>《水泥工业大气污染物排放标准》（GB4915-2013）</w:t>
            </w:r>
          </w:p>
        </w:tc>
        <w:tc>
          <w:tcPr>
            <w:tcW w:w="364" w:type="pct"/>
            <w:tcBorders>
              <w:tl2br w:val="nil"/>
              <w:tr2bl w:val="nil"/>
            </w:tcBorders>
            <w:vAlign w:val="center"/>
          </w:tcPr>
          <w:p>
            <w:pPr>
              <w:jc w:val="center"/>
              <w:rPr>
                <w:rFonts w:ascii="Times New Roman" w:hAnsi="Times New Roman"/>
                <w:szCs w:val="21"/>
              </w:rPr>
            </w:pPr>
            <w:r>
              <w:rPr>
                <w:rFonts w:ascii="Times New Roman" w:hAnsi="Times New Roman"/>
                <w:szCs w:val="21"/>
              </w:rPr>
              <w:t>厂界</w:t>
            </w:r>
          </w:p>
        </w:tc>
        <w:tc>
          <w:tcPr>
            <w:tcW w:w="337" w:type="pct"/>
            <w:tcBorders>
              <w:tl2br w:val="nil"/>
              <w:tr2bl w:val="nil"/>
            </w:tcBorders>
            <w:vAlign w:val="center"/>
          </w:tcPr>
          <w:p>
            <w:pPr>
              <w:jc w:val="center"/>
              <w:rPr>
                <w:rFonts w:ascii="Times New Roman" w:hAnsi="Times New Roman"/>
                <w:szCs w:val="21"/>
              </w:rPr>
            </w:pPr>
            <w:r>
              <w:rPr>
                <w:rFonts w:ascii="Times New Roman" w:hAnsi="Times New Roman"/>
                <w:szCs w:val="21"/>
              </w:rPr>
              <w:t>颗粒物</w:t>
            </w:r>
          </w:p>
        </w:tc>
        <w:tc>
          <w:tcPr>
            <w:tcW w:w="253" w:type="pct"/>
            <w:tcBorders>
              <w:tl2br w:val="nil"/>
              <w:tr2bl w:val="nil"/>
            </w:tcBorders>
            <w:vAlign w:val="center"/>
          </w:tcPr>
          <w:p>
            <w:pPr>
              <w:jc w:val="center"/>
              <w:rPr>
                <w:rFonts w:ascii="Times New Roman" w:hAnsi="Times New Roman"/>
                <w:szCs w:val="21"/>
              </w:rPr>
            </w:pPr>
            <w:r>
              <w:rPr>
                <w:rFonts w:ascii="Times New Roman" w:hAnsi="Times New Roman"/>
                <w:szCs w:val="21"/>
              </w:rPr>
              <w:t>次/季度</w:t>
            </w:r>
          </w:p>
        </w:tc>
      </w:tr>
    </w:tbl>
    <w:p>
      <w:pPr>
        <w:pStyle w:val="32"/>
        <w:rPr>
          <w:rFonts w:ascii="Times New Roman" w:hAnsi="Times New Roman"/>
        </w:rPr>
        <w:sectPr>
          <w:pgSz w:w="16838" w:h="11906" w:orient="landscape"/>
          <w:pgMar w:top="1800" w:right="1440" w:bottom="1800" w:left="1440" w:header="851" w:footer="992" w:gutter="0"/>
          <w:pgNumType w:fmt="numberInDash"/>
          <w:cols w:space="720" w:num="1"/>
          <w:docGrid w:type="lines" w:linePitch="312" w:charSpace="0"/>
        </w:sect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8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8" w:hRule="atLeast"/>
        </w:trPr>
        <w:tc>
          <w:tcPr>
            <w:tcW w:w="980" w:type="dxa"/>
          </w:tcPr>
          <w:p>
            <w:pPr>
              <w:rPr>
                <w:rFonts w:ascii="Times New Roman" w:hAnsi="Times New Roman"/>
              </w:rPr>
            </w:pPr>
          </w:p>
        </w:tc>
        <w:tc>
          <w:tcPr>
            <w:tcW w:w="7542" w:type="dxa"/>
          </w:tcPr>
          <w:p>
            <w:pPr>
              <w:spacing w:before="156" w:beforeLines="50" w:line="360" w:lineRule="auto"/>
              <w:ind w:firstLine="482" w:firstLineChars="200"/>
              <w:rPr>
                <w:rFonts w:ascii="Times New Roman" w:hAnsi="Times New Roman"/>
                <w:b/>
                <w:bCs/>
                <w:sz w:val="24"/>
              </w:rPr>
            </w:pPr>
            <w:r>
              <w:rPr>
                <w:rFonts w:ascii="Times New Roman" w:hAnsi="Times New Roman"/>
                <w:b/>
                <w:bCs/>
                <w:sz w:val="24"/>
              </w:rPr>
              <w:t>2、废水</w:t>
            </w:r>
          </w:p>
          <w:p>
            <w:pPr>
              <w:spacing w:line="360" w:lineRule="auto"/>
              <w:ind w:firstLine="478" w:firstLineChars="200"/>
              <w:rPr>
                <w:rFonts w:ascii="Times New Roman" w:hAnsi="Times New Roman"/>
                <w:b/>
                <w:bCs/>
                <w:spacing w:val="-1"/>
                <w:sz w:val="24"/>
              </w:rPr>
            </w:pPr>
            <w:r>
              <w:rPr>
                <w:rFonts w:ascii="Times New Roman" w:hAnsi="Times New Roman"/>
                <w:b/>
                <w:bCs/>
                <w:spacing w:val="-1"/>
                <w:sz w:val="24"/>
              </w:rPr>
              <w:t>2.1生产废水</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项目运营期用水主要包括搅拌用水、设备、车辆清洗用水。</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搅拌用水：项目搅拌过程需要加入一定量的水，根据项目原辅材料配比计算可知，项目搅拌用水量约14.3m</w:t>
            </w:r>
            <w:r>
              <w:rPr>
                <w:rFonts w:ascii="Times New Roman" w:hAnsi="Times New Roman"/>
                <w:sz w:val="24"/>
                <w:vertAlign w:val="superscript"/>
              </w:rPr>
              <w:t>3</w:t>
            </w:r>
            <w:r>
              <w:rPr>
                <w:rFonts w:ascii="Times New Roman" w:hAnsi="Times New Roman"/>
                <w:sz w:val="24"/>
              </w:rPr>
              <w:t>/d，3000m</w:t>
            </w:r>
            <w:r>
              <w:rPr>
                <w:rFonts w:ascii="Times New Roman" w:hAnsi="Times New Roman"/>
                <w:sz w:val="24"/>
                <w:vertAlign w:val="superscript"/>
              </w:rPr>
              <w:t>3</w:t>
            </w:r>
            <w:r>
              <w:rPr>
                <w:rFonts w:ascii="Times New Roman" w:hAnsi="Times New Roman"/>
                <w:sz w:val="24"/>
              </w:rPr>
              <w:t>/a。</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车辆清洗用水：项目原料及成品运输量约8万t，年生产210天，每辆汽车载重按照30t计算，则每天过往车辆约13辆。每辆汽车车轮每次冲洗用水量按照50L计，进出各冲洗一次，则项目每天车轮冲洗用水量约0.65m</w:t>
            </w:r>
            <w:r>
              <w:rPr>
                <w:rFonts w:ascii="Times New Roman" w:hAnsi="Times New Roman"/>
                <w:sz w:val="24"/>
                <w:vertAlign w:val="superscript"/>
              </w:rPr>
              <w:t>3</w:t>
            </w:r>
            <w:r>
              <w:rPr>
                <w:rFonts w:ascii="Times New Roman" w:hAnsi="Times New Roman"/>
                <w:sz w:val="24"/>
              </w:rPr>
              <w:t>、136.5m</w:t>
            </w:r>
            <w:r>
              <w:rPr>
                <w:rFonts w:ascii="Times New Roman" w:hAnsi="Times New Roman"/>
                <w:sz w:val="24"/>
                <w:vertAlign w:val="superscript"/>
              </w:rPr>
              <w:t>3</w:t>
            </w:r>
            <w:r>
              <w:rPr>
                <w:rFonts w:ascii="Times New Roman" w:hAnsi="Times New Roman"/>
                <w:sz w:val="24"/>
              </w:rPr>
              <w:t>/a。冲洗废水产生量按照用水量的80%计，则车辆冲洗废水产生量约0.52m</w:t>
            </w:r>
            <w:r>
              <w:rPr>
                <w:rFonts w:ascii="Times New Roman" w:hAnsi="Times New Roman"/>
                <w:sz w:val="24"/>
                <w:vertAlign w:val="superscript"/>
              </w:rPr>
              <w:t>3</w:t>
            </w:r>
            <w:r>
              <w:rPr>
                <w:rFonts w:ascii="Times New Roman" w:hAnsi="Times New Roman"/>
                <w:sz w:val="24"/>
              </w:rPr>
              <w:t>/d、109.2m</w:t>
            </w:r>
            <w:r>
              <w:rPr>
                <w:rFonts w:ascii="Times New Roman" w:hAnsi="Times New Roman"/>
                <w:sz w:val="24"/>
                <w:vertAlign w:val="superscript"/>
              </w:rPr>
              <w:t>3</w:t>
            </w:r>
            <w:r>
              <w:rPr>
                <w:rFonts w:ascii="Times New Roman" w:hAnsi="Times New Roman"/>
                <w:sz w:val="24"/>
              </w:rPr>
              <w:t>/a。</w:t>
            </w:r>
          </w:p>
          <w:p>
            <w:pPr>
              <w:adjustRightInd w:val="0"/>
              <w:snapToGrid w:val="0"/>
              <w:spacing w:line="360" w:lineRule="auto"/>
              <w:ind w:firstLine="472" w:firstLineChars="200"/>
              <w:rPr>
                <w:rFonts w:ascii="Times New Roman" w:hAnsi="Times New Roman"/>
                <w:sz w:val="24"/>
              </w:rPr>
            </w:pPr>
            <w:r>
              <w:rPr>
                <w:rFonts w:ascii="Times New Roman" w:hAnsi="Times New Roman"/>
                <w:spacing w:val="-2"/>
                <w:sz w:val="24"/>
              </w:rPr>
              <w:t>搅拌机冲洗用水：按搅拌机平均每天冲洗1次，每次冲洗水1t/台，则项目搅拌机冲洗用水总量为210t/a（1m</w:t>
            </w:r>
            <w:r>
              <w:rPr>
                <w:rFonts w:ascii="Times New Roman" w:hAnsi="Times New Roman"/>
                <w:spacing w:val="-2"/>
                <w:sz w:val="24"/>
                <w:vertAlign w:val="superscript"/>
              </w:rPr>
              <w:t>3</w:t>
            </w:r>
            <w:r>
              <w:rPr>
                <w:rFonts w:ascii="Times New Roman" w:hAnsi="Times New Roman"/>
                <w:spacing w:val="-2"/>
                <w:sz w:val="24"/>
              </w:rPr>
              <w:t>/d）。</w:t>
            </w:r>
            <w:r>
              <w:rPr>
                <w:rFonts w:ascii="Times New Roman" w:hAnsi="Times New Roman"/>
                <w:sz w:val="24"/>
              </w:rPr>
              <w:t>冲洗废水产生量按照用水量的80%计，则车辆冲洗废水产生量约0.8m</w:t>
            </w:r>
            <w:r>
              <w:rPr>
                <w:rFonts w:ascii="Times New Roman" w:hAnsi="Times New Roman"/>
                <w:sz w:val="24"/>
                <w:vertAlign w:val="superscript"/>
              </w:rPr>
              <w:t>3</w:t>
            </w:r>
            <w:r>
              <w:rPr>
                <w:rFonts w:ascii="Times New Roman" w:hAnsi="Times New Roman"/>
                <w:sz w:val="24"/>
              </w:rPr>
              <w:t>/d、168m</w:t>
            </w:r>
            <w:r>
              <w:rPr>
                <w:rFonts w:ascii="Times New Roman" w:hAnsi="Times New Roman"/>
                <w:sz w:val="24"/>
                <w:vertAlign w:val="superscript"/>
              </w:rPr>
              <w:t>3</w:t>
            </w:r>
            <w:r>
              <w:rPr>
                <w:rFonts w:ascii="Times New Roman" w:hAnsi="Times New Roman"/>
                <w:sz w:val="24"/>
              </w:rPr>
              <w:t>/a。</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车辆清洗、搅拌机冲洗产生的废水经沉淀后作为搅拌用水回用，沉淀池容积10m</w:t>
            </w:r>
            <w:r>
              <w:rPr>
                <w:rFonts w:ascii="Times New Roman" w:hAnsi="Times New Roman"/>
                <w:sz w:val="24"/>
                <w:vertAlign w:val="superscript"/>
              </w:rPr>
              <w:t>3</w:t>
            </w:r>
            <w:r>
              <w:rPr>
                <w:rFonts w:ascii="Times New Roman" w:hAnsi="Times New Roman"/>
                <w:sz w:val="24"/>
              </w:rPr>
              <w:t>，用水量计入搅拌用水3000m</w:t>
            </w:r>
            <w:r>
              <w:rPr>
                <w:rFonts w:ascii="Times New Roman" w:hAnsi="Times New Roman"/>
                <w:sz w:val="24"/>
                <w:vertAlign w:val="superscript"/>
              </w:rPr>
              <w:t>3</w:t>
            </w:r>
            <w:r>
              <w:rPr>
                <w:rFonts w:ascii="Times New Roman" w:hAnsi="Times New Roman"/>
                <w:sz w:val="24"/>
              </w:rPr>
              <w:t>/a之内。</w:t>
            </w:r>
          </w:p>
          <w:p>
            <w:pPr>
              <w:spacing w:line="360" w:lineRule="auto"/>
              <w:ind w:firstLine="472" w:firstLineChars="200"/>
              <w:rPr>
                <w:rFonts w:ascii="Times New Roman" w:hAnsi="Times New Roman"/>
                <w:spacing w:val="-2"/>
                <w:sz w:val="24"/>
              </w:rPr>
            </w:pPr>
            <w:r>
              <w:rPr>
                <w:rFonts w:ascii="Times New Roman" w:hAnsi="Times New Roman"/>
                <w:spacing w:val="-2"/>
                <w:sz w:val="24"/>
              </w:rPr>
              <w:t>综上所述，本项目车辆冲洗废水</w:t>
            </w:r>
            <w:r>
              <w:rPr>
                <w:rFonts w:hint="eastAsia" w:ascii="Times New Roman" w:hAnsi="Times New Roman"/>
                <w:spacing w:val="-2"/>
                <w:sz w:val="24"/>
              </w:rPr>
              <w:t>、搅拌机冲洗水</w:t>
            </w:r>
            <w:r>
              <w:rPr>
                <w:rFonts w:ascii="Times New Roman" w:hAnsi="Times New Roman"/>
                <w:spacing w:val="-2"/>
                <w:sz w:val="24"/>
              </w:rPr>
              <w:t>经沉淀池处理后回用于车辆冲洗不外排，对周围地表水环境影响较小。</w:t>
            </w:r>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2.2生活污水</w:t>
            </w:r>
          </w:p>
          <w:p>
            <w:pPr>
              <w:adjustRightInd w:val="0"/>
              <w:snapToGrid w:val="0"/>
              <w:spacing w:line="360" w:lineRule="auto"/>
              <w:ind w:firstLine="480" w:firstLineChars="200"/>
              <w:rPr>
                <w:rFonts w:ascii="Times New Roman" w:hAnsi="Times New Roman"/>
                <w:b/>
                <w:bCs/>
                <w:spacing w:val="-2"/>
                <w:sz w:val="24"/>
              </w:rPr>
            </w:pPr>
            <w:r>
              <w:rPr>
                <w:rFonts w:ascii="Times New Roman" w:hAnsi="Times New Roman"/>
                <w:sz w:val="24"/>
              </w:rPr>
              <w:t>本项目职工定员4人，年工作时间为210d，参照《新疆维吾尔自治区生活用水定额》，生活用水量按每人每天80L计算，则本项目用水量约为0.32m</w:t>
            </w:r>
            <w:r>
              <w:rPr>
                <w:rFonts w:ascii="Times New Roman" w:hAnsi="Times New Roman"/>
                <w:sz w:val="24"/>
                <w:vertAlign w:val="superscript"/>
              </w:rPr>
              <w:t>3</w:t>
            </w:r>
            <w:r>
              <w:rPr>
                <w:rFonts w:ascii="Times New Roman" w:hAnsi="Times New Roman"/>
                <w:sz w:val="24"/>
              </w:rPr>
              <w:t>/d（67.2m</w:t>
            </w:r>
            <w:r>
              <w:rPr>
                <w:rFonts w:ascii="Times New Roman" w:hAnsi="Times New Roman"/>
                <w:sz w:val="24"/>
                <w:vertAlign w:val="superscript"/>
              </w:rPr>
              <w:t>3</w:t>
            </w:r>
            <w:r>
              <w:rPr>
                <w:rFonts w:ascii="Times New Roman" w:hAnsi="Times New Roman"/>
                <w:sz w:val="24"/>
              </w:rPr>
              <w:t>/a）。生活污水产生量按用水量的80%计，则项目生活污水产生量约为0.256m</w:t>
            </w:r>
            <w:r>
              <w:rPr>
                <w:rFonts w:ascii="Times New Roman" w:hAnsi="Times New Roman"/>
                <w:sz w:val="24"/>
                <w:vertAlign w:val="superscript"/>
              </w:rPr>
              <w:t>3</w:t>
            </w:r>
            <w:r>
              <w:rPr>
                <w:rFonts w:ascii="Times New Roman" w:hAnsi="Times New Roman"/>
                <w:sz w:val="24"/>
              </w:rPr>
              <w:t>/d（53.76m</w:t>
            </w:r>
            <w:r>
              <w:rPr>
                <w:rFonts w:ascii="Times New Roman" w:hAnsi="Times New Roman"/>
                <w:sz w:val="24"/>
                <w:vertAlign w:val="superscript"/>
              </w:rPr>
              <w:t>3</w:t>
            </w:r>
            <w:r>
              <w:rPr>
                <w:rFonts w:ascii="Times New Roman" w:hAnsi="Times New Roman"/>
                <w:sz w:val="24"/>
              </w:rPr>
              <w:t>/a）。生活污水依托托克逊县天马建材有限责任公司生活处理设施。</w:t>
            </w:r>
          </w:p>
          <w:p>
            <w:pPr>
              <w:spacing w:line="360" w:lineRule="auto"/>
              <w:ind w:firstLine="474" w:firstLineChars="200"/>
              <w:rPr>
                <w:rFonts w:ascii="Times New Roman" w:hAnsi="Times New Roman"/>
                <w:b/>
                <w:bCs/>
                <w:sz w:val="24"/>
              </w:rPr>
            </w:pPr>
            <w:r>
              <w:rPr>
                <w:rFonts w:ascii="Times New Roman" w:hAnsi="Times New Roman"/>
                <w:b/>
                <w:bCs/>
                <w:spacing w:val="-2"/>
                <w:sz w:val="24"/>
              </w:rPr>
              <w:t>2.3废水产排情况</w:t>
            </w:r>
          </w:p>
          <w:p>
            <w:pPr>
              <w:spacing w:line="360" w:lineRule="auto"/>
              <w:ind w:firstLine="472" w:firstLineChars="200"/>
              <w:rPr>
                <w:rFonts w:ascii="Times New Roman" w:hAnsi="Times New Roman"/>
                <w:sz w:val="24"/>
              </w:rPr>
            </w:pPr>
            <w:r>
              <w:rPr>
                <w:rFonts w:ascii="Times New Roman" w:hAnsi="Times New Roman"/>
                <w:spacing w:val="-2"/>
                <w:sz w:val="24"/>
              </w:rPr>
              <w:t>项目废水产排情况见表4-</w:t>
            </w:r>
            <w:r>
              <w:rPr>
                <w:rFonts w:hint="eastAsia" w:ascii="Times New Roman" w:hAnsi="Times New Roman"/>
                <w:spacing w:val="-2"/>
                <w:sz w:val="24"/>
              </w:rPr>
              <w:t>5</w:t>
            </w:r>
            <w:r>
              <w:rPr>
                <w:rFonts w:ascii="Times New Roman" w:hAnsi="Times New Roman"/>
                <w:spacing w:val="-2"/>
                <w:sz w:val="24"/>
              </w:rPr>
              <w:t>。</w:t>
            </w:r>
          </w:p>
          <w:p>
            <w:pPr>
              <w:jc w:val="center"/>
              <w:rPr>
                <w:rFonts w:ascii="Times New Roman" w:hAnsi="Times New Roman"/>
                <w:b/>
                <w:kern w:val="0"/>
                <w:szCs w:val="21"/>
              </w:rPr>
            </w:pPr>
            <w:r>
              <w:rPr>
                <w:rFonts w:ascii="Times New Roman" w:hAnsi="Times New Roman"/>
                <w:b/>
                <w:kern w:val="0"/>
                <w:szCs w:val="21"/>
              </w:rPr>
              <w:t>表4-</w:t>
            </w:r>
            <w:r>
              <w:rPr>
                <w:rFonts w:hint="eastAsia" w:ascii="Times New Roman" w:hAnsi="Times New Roman"/>
                <w:b/>
                <w:kern w:val="0"/>
                <w:szCs w:val="21"/>
              </w:rPr>
              <w:t xml:space="preserve">5   </w:t>
            </w:r>
            <w:r>
              <w:rPr>
                <w:rFonts w:ascii="Times New Roman" w:hAnsi="Times New Roman"/>
                <w:b/>
                <w:kern w:val="0"/>
                <w:szCs w:val="21"/>
              </w:rPr>
              <w:t>生活污水污染物排放一览表</w:t>
            </w:r>
          </w:p>
          <w:tbl>
            <w:tblPr>
              <w:tblStyle w:val="37"/>
              <w:tblW w:w="4998"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0" w:type="dxa"/>
                <w:bottom w:w="0" w:type="dxa"/>
                <w:right w:w="0" w:type="dxa"/>
              </w:tblCellMar>
            </w:tblPr>
            <w:tblGrid>
              <w:gridCol w:w="711"/>
              <w:gridCol w:w="836"/>
              <w:gridCol w:w="693"/>
              <w:gridCol w:w="797"/>
              <w:gridCol w:w="1177"/>
              <w:gridCol w:w="833"/>
              <w:gridCol w:w="658"/>
              <w:gridCol w:w="431"/>
              <w:gridCol w:w="706"/>
              <w:gridCol w:w="1012"/>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404" w:hRule="atLeast"/>
                <w:jc w:val="center"/>
              </w:trPr>
              <w:tc>
                <w:tcPr>
                  <w:tcW w:w="453"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产排污</w:t>
                  </w:r>
                  <w:r>
                    <w:rPr>
                      <w:rFonts w:ascii="Times New Roman" w:hAnsi="Times New Roman"/>
                      <w:b/>
                      <w:bCs/>
                      <w:spacing w:val="-5"/>
                      <w:szCs w:val="21"/>
                    </w:rPr>
                    <w:t>环节</w:t>
                  </w:r>
                </w:p>
              </w:tc>
              <w:tc>
                <w:tcPr>
                  <w:tcW w:w="532"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5"/>
                      <w:szCs w:val="21"/>
                    </w:rPr>
                    <w:t>类别</w:t>
                  </w:r>
                </w:p>
              </w:tc>
              <w:tc>
                <w:tcPr>
                  <w:tcW w:w="441"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污染物</w:t>
                  </w:r>
                  <w:r>
                    <w:rPr>
                      <w:rFonts w:ascii="Times New Roman" w:hAnsi="Times New Roman"/>
                      <w:b/>
                      <w:bCs/>
                      <w:spacing w:val="-5"/>
                      <w:szCs w:val="21"/>
                    </w:rPr>
                    <w:t>种类</w:t>
                  </w:r>
                </w:p>
              </w:tc>
              <w:tc>
                <w:tcPr>
                  <w:tcW w:w="507"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3"/>
                      <w:szCs w:val="21"/>
                    </w:rPr>
                    <w:t>污染物产生浓</w:t>
                  </w:r>
                  <w:r>
                    <w:rPr>
                      <w:rFonts w:ascii="Times New Roman" w:hAnsi="Times New Roman"/>
                      <w:b/>
                      <w:bCs/>
                      <w:spacing w:val="-2"/>
                      <w:szCs w:val="21"/>
                    </w:rPr>
                    <w:t>度和产生量</w:t>
                  </w:r>
                </w:p>
              </w:tc>
              <w:tc>
                <w:tcPr>
                  <w:tcW w:w="1972" w:type="pct"/>
                  <w:gridSpan w:val="4"/>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治理设施</w:t>
                  </w:r>
                </w:p>
              </w:tc>
              <w:tc>
                <w:tcPr>
                  <w:tcW w:w="449" w:type="pct"/>
                  <w:vMerge w:val="restart"/>
                  <w:tcBorders>
                    <w:tl2br w:val="nil"/>
                    <w:tr2bl w:val="nil"/>
                  </w:tcBorders>
                  <w:vAlign w:val="center"/>
                </w:tcPr>
                <w:p>
                  <w:pPr>
                    <w:jc w:val="center"/>
                    <w:rPr>
                      <w:rFonts w:ascii="Times New Roman" w:hAnsi="Times New Roman" w:eastAsia="Times New Roman"/>
                      <w:b/>
                      <w:bCs/>
                      <w:szCs w:val="21"/>
                    </w:rPr>
                  </w:pPr>
                  <w:r>
                    <w:rPr>
                      <w:rFonts w:ascii="Times New Roman" w:hAnsi="Times New Roman"/>
                      <w:b/>
                      <w:bCs/>
                      <w:spacing w:val="-3"/>
                      <w:szCs w:val="21"/>
                    </w:rPr>
                    <w:t>废水排</w:t>
                  </w:r>
                  <w:r>
                    <w:rPr>
                      <w:rFonts w:ascii="Times New Roman" w:hAnsi="Times New Roman"/>
                      <w:b/>
                      <w:bCs/>
                      <w:spacing w:val="-6"/>
                      <w:szCs w:val="21"/>
                    </w:rPr>
                    <w:t>放量（</w:t>
                  </w:r>
                  <w:r>
                    <w:rPr>
                      <w:rFonts w:ascii="Times New Roman" w:hAnsi="Times New Roman" w:eastAsia="Times New Roman"/>
                      <w:b/>
                      <w:bCs/>
                      <w:spacing w:val="5"/>
                      <w:szCs w:val="21"/>
                    </w:rPr>
                    <w:t>t/a)</w:t>
                  </w:r>
                </w:p>
              </w:tc>
              <w:tc>
                <w:tcPr>
                  <w:tcW w:w="644" w:type="pct"/>
                  <w:vMerge w:val="restart"/>
                  <w:tcBorders>
                    <w:tl2br w:val="nil"/>
                    <w:tr2bl w:val="nil"/>
                  </w:tcBorders>
                  <w:vAlign w:val="center"/>
                </w:tcPr>
                <w:p>
                  <w:pPr>
                    <w:jc w:val="center"/>
                    <w:rPr>
                      <w:rFonts w:ascii="Times New Roman" w:hAnsi="Times New Roman"/>
                      <w:b/>
                      <w:bCs/>
                      <w:szCs w:val="21"/>
                    </w:rPr>
                  </w:pPr>
                  <w:r>
                    <w:rPr>
                      <w:rFonts w:ascii="Times New Roman" w:hAnsi="Times New Roman"/>
                      <w:b/>
                      <w:bCs/>
                      <w:spacing w:val="-3"/>
                      <w:szCs w:val="21"/>
                    </w:rPr>
                    <w:t>污染物排</w:t>
                  </w:r>
                </w:p>
                <w:p>
                  <w:pPr>
                    <w:jc w:val="center"/>
                    <w:rPr>
                      <w:rFonts w:ascii="Times New Roman" w:hAnsi="Times New Roman"/>
                      <w:b/>
                      <w:bCs/>
                      <w:szCs w:val="21"/>
                    </w:rPr>
                  </w:pPr>
                  <w:r>
                    <w:rPr>
                      <w:rFonts w:ascii="Times New Roman" w:hAnsi="Times New Roman"/>
                      <w:b/>
                      <w:bCs/>
                      <w:spacing w:val="-3"/>
                      <w:szCs w:val="21"/>
                    </w:rPr>
                    <w:t>放量和浓</w:t>
                  </w:r>
                </w:p>
                <w:p>
                  <w:pPr>
                    <w:jc w:val="center"/>
                    <w:rPr>
                      <w:rFonts w:ascii="Times New Roman" w:hAnsi="Times New Roman"/>
                      <w:b/>
                      <w:bCs/>
                      <w:szCs w:val="21"/>
                    </w:rPr>
                  </w:pPr>
                  <w:r>
                    <w:rPr>
                      <w:rFonts w:ascii="Times New Roman" w:hAnsi="Times New Roman"/>
                      <w:b/>
                      <w:bCs/>
                      <w:szCs w:val="21"/>
                    </w:rPr>
                    <w:t>度</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1225" w:hRule="atLeast"/>
                <w:jc w:val="center"/>
              </w:trPr>
              <w:tc>
                <w:tcPr>
                  <w:tcW w:w="453" w:type="pct"/>
                  <w:vMerge w:val="continue"/>
                  <w:tcBorders>
                    <w:tl2br w:val="nil"/>
                    <w:tr2bl w:val="nil"/>
                  </w:tcBorders>
                  <w:vAlign w:val="center"/>
                </w:tcPr>
                <w:p>
                  <w:pPr>
                    <w:jc w:val="center"/>
                    <w:rPr>
                      <w:rFonts w:ascii="Times New Roman" w:hAnsi="Times New Roman"/>
                      <w:szCs w:val="21"/>
                    </w:rPr>
                  </w:pPr>
                </w:p>
              </w:tc>
              <w:tc>
                <w:tcPr>
                  <w:tcW w:w="532" w:type="pct"/>
                  <w:vMerge w:val="continue"/>
                  <w:tcBorders>
                    <w:tl2br w:val="nil"/>
                    <w:tr2bl w:val="nil"/>
                  </w:tcBorders>
                  <w:vAlign w:val="center"/>
                </w:tcPr>
                <w:p>
                  <w:pPr>
                    <w:jc w:val="center"/>
                    <w:rPr>
                      <w:rFonts w:ascii="Times New Roman" w:hAnsi="Times New Roman"/>
                      <w:szCs w:val="21"/>
                    </w:rPr>
                  </w:pPr>
                </w:p>
              </w:tc>
              <w:tc>
                <w:tcPr>
                  <w:tcW w:w="441" w:type="pct"/>
                  <w:vMerge w:val="continue"/>
                  <w:tcBorders>
                    <w:tl2br w:val="nil"/>
                    <w:tr2bl w:val="nil"/>
                  </w:tcBorders>
                  <w:vAlign w:val="center"/>
                </w:tcPr>
                <w:p>
                  <w:pPr>
                    <w:jc w:val="center"/>
                    <w:rPr>
                      <w:rFonts w:ascii="Times New Roman" w:hAnsi="Times New Roman"/>
                      <w:szCs w:val="21"/>
                    </w:rPr>
                  </w:pPr>
                </w:p>
              </w:tc>
              <w:tc>
                <w:tcPr>
                  <w:tcW w:w="507" w:type="pct"/>
                  <w:vMerge w:val="continue"/>
                  <w:tcBorders>
                    <w:tl2br w:val="nil"/>
                    <w:tr2bl w:val="nil"/>
                  </w:tcBorders>
                  <w:vAlign w:val="center"/>
                </w:tcPr>
                <w:p>
                  <w:pPr>
                    <w:jc w:val="center"/>
                    <w:rPr>
                      <w:rFonts w:ascii="Times New Roman" w:hAnsi="Times New Roman"/>
                      <w:szCs w:val="21"/>
                    </w:rPr>
                  </w:pPr>
                </w:p>
              </w:tc>
              <w:tc>
                <w:tcPr>
                  <w:tcW w:w="749" w:type="pct"/>
                  <w:tcBorders>
                    <w:tl2br w:val="nil"/>
                    <w:tr2bl w:val="nil"/>
                  </w:tcBorders>
                  <w:vAlign w:val="center"/>
                </w:tcPr>
                <w:p>
                  <w:pPr>
                    <w:jc w:val="center"/>
                    <w:rPr>
                      <w:rFonts w:ascii="Times New Roman" w:hAnsi="Times New Roman" w:eastAsia="Times New Roman"/>
                      <w:b/>
                      <w:bCs/>
                      <w:szCs w:val="21"/>
                    </w:rPr>
                  </w:pPr>
                  <w:r>
                    <w:rPr>
                      <w:rFonts w:ascii="Times New Roman" w:hAnsi="Times New Roman"/>
                      <w:b/>
                      <w:bCs/>
                      <w:spacing w:val="-8"/>
                      <w:szCs w:val="21"/>
                    </w:rPr>
                    <w:t>处理能力</w:t>
                  </w:r>
                  <w:r>
                    <w:rPr>
                      <w:rFonts w:ascii="Times New Roman" w:hAnsi="Times New Roman" w:eastAsia="Times New Roman"/>
                      <w:b/>
                      <w:bCs/>
                      <w:spacing w:val="-2"/>
                      <w:szCs w:val="21"/>
                    </w:rPr>
                    <w:t>m</w:t>
                  </w:r>
                  <w:r>
                    <w:rPr>
                      <w:rFonts w:hint="eastAsia" w:ascii="Times New Roman" w:hAnsi="Times New Roman"/>
                      <w:b/>
                      <w:bCs/>
                      <w:spacing w:val="-2"/>
                      <w:szCs w:val="21"/>
                      <w:vertAlign w:val="superscript"/>
                    </w:rPr>
                    <w:t>3</w:t>
                  </w:r>
                  <w:r>
                    <w:rPr>
                      <w:rFonts w:ascii="Times New Roman" w:hAnsi="Times New Roman" w:eastAsia="Times New Roman"/>
                      <w:b/>
                      <w:bCs/>
                      <w:spacing w:val="-2"/>
                      <w:szCs w:val="21"/>
                    </w:rPr>
                    <w:t>/d</w:t>
                  </w:r>
                </w:p>
              </w:tc>
              <w:tc>
                <w:tcPr>
                  <w:tcW w:w="530" w:type="pct"/>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治理工艺</w:t>
                  </w:r>
                </w:p>
              </w:tc>
              <w:tc>
                <w:tcPr>
                  <w:tcW w:w="419" w:type="pct"/>
                  <w:tcBorders>
                    <w:tl2br w:val="nil"/>
                    <w:tr2bl w:val="nil"/>
                  </w:tcBorders>
                  <w:vAlign w:val="center"/>
                </w:tcPr>
                <w:p>
                  <w:pPr>
                    <w:jc w:val="center"/>
                    <w:rPr>
                      <w:rFonts w:ascii="Times New Roman" w:hAnsi="Times New Roman"/>
                      <w:b/>
                      <w:bCs/>
                      <w:szCs w:val="21"/>
                    </w:rPr>
                  </w:pPr>
                  <w:r>
                    <w:rPr>
                      <w:rFonts w:ascii="Times New Roman" w:hAnsi="Times New Roman"/>
                      <w:b/>
                      <w:bCs/>
                      <w:spacing w:val="-8"/>
                      <w:szCs w:val="21"/>
                    </w:rPr>
                    <w:t>治理</w:t>
                  </w:r>
                  <w:r>
                    <w:rPr>
                      <w:rFonts w:ascii="Times New Roman" w:hAnsi="Times New Roman"/>
                      <w:b/>
                      <w:bCs/>
                      <w:spacing w:val="22"/>
                      <w:w w:val="106"/>
                      <w:szCs w:val="21"/>
                    </w:rPr>
                    <w:t>效率</w:t>
                  </w:r>
                  <w:r>
                    <w:rPr>
                      <w:rFonts w:ascii="Times New Roman" w:hAnsi="Times New Roman"/>
                      <w:b/>
                      <w:bCs/>
                      <w:spacing w:val="-10"/>
                      <w:szCs w:val="21"/>
                    </w:rPr>
                    <w:t>（</w:t>
                  </w:r>
                  <w:r>
                    <w:rPr>
                      <w:rFonts w:ascii="Times New Roman" w:hAnsi="Times New Roman" w:eastAsia="Times New Roman"/>
                      <w:b/>
                      <w:bCs/>
                      <w:spacing w:val="-10"/>
                      <w:szCs w:val="21"/>
                    </w:rPr>
                    <w:t>%</w:t>
                  </w:r>
                  <w:r>
                    <w:rPr>
                      <w:rFonts w:ascii="Times New Roman" w:hAnsi="Times New Roman"/>
                      <w:b/>
                      <w:bCs/>
                      <w:spacing w:val="-10"/>
                      <w:szCs w:val="21"/>
                    </w:rPr>
                    <w:t>）</w:t>
                  </w:r>
                </w:p>
              </w:tc>
              <w:tc>
                <w:tcPr>
                  <w:tcW w:w="273" w:type="pct"/>
                  <w:tcBorders>
                    <w:tl2br w:val="nil"/>
                    <w:tr2bl w:val="nil"/>
                  </w:tcBorders>
                  <w:vAlign w:val="center"/>
                </w:tcPr>
                <w:p>
                  <w:pPr>
                    <w:jc w:val="center"/>
                    <w:rPr>
                      <w:rFonts w:ascii="Times New Roman" w:hAnsi="Times New Roman"/>
                      <w:b/>
                      <w:bCs/>
                      <w:szCs w:val="21"/>
                    </w:rPr>
                  </w:pPr>
                  <w:r>
                    <w:rPr>
                      <w:rFonts w:ascii="Times New Roman" w:hAnsi="Times New Roman"/>
                      <w:b/>
                      <w:bCs/>
                      <w:spacing w:val="-7"/>
                      <w:szCs w:val="21"/>
                    </w:rPr>
                    <w:t>是否</w:t>
                  </w:r>
                </w:p>
                <w:p>
                  <w:pPr>
                    <w:jc w:val="center"/>
                    <w:rPr>
                      <w:rFonts w:ascii="Times New Roman" w:hAnsi="Times New Roman"/>
                      <w:b/>
                      <w:bCs/>
                      <w:szCs w:val="21"/>
                    </w:rPr>
                  </w:pPr>
                  <w:r>
                    <w:rPr>
                      <w:rFonts w:ascii="Times New Roman" w:hAnsi="Times New Roman"/>
                      <w:b/>
                      <w:bCs/>
                      <w:spacing w:val="-6"/>
                      <w:szCs w:val="21"/>
                    </w:rPr>
                    <w:t>为可</w:t>
                  </w:r>
                </w:p>
                <w:p>
                  <w:pPr>
                    <w:jc w:val="center"/>
                    <w:rPr>
                      <w:rFonts w:ascii="Times New Roman" w:hAnsi="Times New Roman"/>
                      <w:b/>
                      <w:bCs/>
                      <w:szCs w:val="21"/>
                    </w:rPr>
                  </w:pPr>
                  <w:r>
                    <w:rPr>
                      <w:rFonts w:ascii="Times New Roman" w:hAnsi="Times New Roman"/>
                      <w:b/>
                      <w:bCs/>
                      <w:spacing w:val="-7"/>
                      <w:szCs w:val="21"/>
                    </w:rPr>
                    <w:t>行技</w:t>
                  </w:r>
                </w:p>
                <w:p>
                  <w:pPr>
                    <w:jc w:val="center"/>
                    <w:rPr>
                      <w:rFonts w:ascii="Times New Roman" w:hAnsi="Times New Roman"/>
                      <w:b/>
                      <w:bCs/>
                      <w:szCs w:val="21"/>
                    </w:rPr>
                  </w:pPr>
                  <w:r>
                    <w:rPr>
                      <w:rFonts w:ascii="Times New Roman" w:hAnsi="Times New Roman"/>
                      <w:b/>
                      <w:bCs/>
                      <w:szCs w:val="21"/>
                    </w:rPr>
                    <w:t>术</w:t>
                  </w:r>
                </w:p>
              </w:tc>
              <w:tc>
                <w:tcPr>
                  <w:tcW w:w="449" w:type="pct"/>
                  <w:vMerge w:val="continue"/>
                  <w:tcBorders>
                    <w:tl2br w:val="nil"/>
                    <w:tr2bl w:val="nil"/>
                  </w:tcBorders>
                  <w:vAlign w:val="center"/>
                </w:tcPr>
                <w:p>
                  <w:pPr>
                    <w:jc w:val="center"/>
                    <w:rPr>
                      <w:rFonts w:ascii="Times New Roman" w:hAnsi="Times New Roman"/>
                      <w:szCs w:val="21"/>
                    </w:rPr>
                  </w:pPr>
                </w:p>
              </w:tc>
              <w:tc>
                <w:tcPr>
                  <w:tcW w:w="644" w:type="pct"/>
                  <w:vMerge w:val="continue"/>
                  <w:tcBorders>
                    <w:tl2br w:val="nil"/>
                    <w:tr2bl w:val="nil"/>
                  </w:tcBorders>
                  <w:vAlign w:val="center"/>
                </w:tcPr>
                <w:p>
                  <w:pPr>
                    <w:jc w:val="center"/>
                    <w:rPr>
                      <w:rFonts w:ascii="Times New Roman" w:hAnsi="Times New Roman"/>
                      <w:szCs w:val="21"/>
                    </w:rPr>
                  </w:pP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625" w:hRule="atLeast"/>
                <w:jc w:val="center"/>
              </w:trPr>
              <w:tc>
                <w:tcPr>
                  <w:tcW w:w="453" w:type="pct"/>
                  <w:tcBorders>
                    <w:tl2br w:val="nil"/>
                    <w:tr2bl w:val="nil"/>
                  </w:tcBorders>
                  <w:vAlign w:val="center"/>
                </w:tcPr>
                <w:p>
                  <w:pPr>
                    <w:jc w:val="center"/>
                    <w:rPr>
                      <w:rFonts w:ascii="Times New Roman" w:hAnsi="Times New Roman"/>
                      <w:szCs w:val="21"/>
                    </w:rPr>
                  </w:pPr>
                  <w:r>
                    <w:rPr>
                      <w:rFonts w:ascii="Times New Roman" w:hAnsi="Times New Roman"/>
                      <w:spacing w:val="-6"/>
                      <w:position w:val="6"/>
                      <w:szCs w:val="21"/>
                    </w:rPr>
                    <w:t>车辆</w:t>
                  </w:r>
                </w:p>
                <w:p>
                  <w:pPr>
                    <w:jc w:val="center"/>
                    <w:rPr>
                      <w:rFonts w:ascii="Times New Roman" w:hAnsi="Times New Roman"/>
                      <w:szCs w:val="21"/>
                    </w:rPr>
                  </w:pPr>
                  <w:r>
                    <w:rPr>
                      <w:rFonts w:ascii="Times New Roman" w:hAnsi="Times New Roman"/>
                      <w:spacing w:val="-5"/>
                      <w:szCs w:val="21"/>
                    </w:rPr>
                    <w:t>冲洗</w:t>
                  </w:r>
                  <w:r>
                    <w:rPr>
                      <w:rFonts w:hint="eastAsia" w:ascii="Times New Roman" w:hAnsi="Times New Roman"/>
                      <w:spacing w:val="-5"/>
                      <w:szCs w:val="21"/>
                    </w:rPr>
                    <w:t>、搅拌机清洗</w:t>
                  </w:r>
                </w:p>
              </w:tc>
              <w:tc>
                <w:tcPr>
                  <w:tcW w:w="532"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冲洗废水</w:t>
                  </w:r>
                </w:p>
              </w:tc>
              <w:tc>
                <w:tcPr>
                  <w:tcW w:w="441"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pacing w:val="-7"/>
                      <w:szCs w:val="21"/>
                    </w:rPr>
                    <w:t>SS</w:t>
                  </w:r>
                </w:p>
              </w:tc>
              <w:tc>
                <w:tcPr>
                  <w:tcW w:w="507"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w:t>
                  </w:r>
                </w:p>
              </w:tc>
              <w:tc>
                <w:tcPr>
                  <w:tcW w:w="749" w:type="pct"/>
                  <w:tcBorders>
                    <w:tl2br w:val="nil"/>
                    <w:tr2bl w:val="nil"/>
                  </w:tcBorders>
                  <w:vAlign w:val="center"/>
                </w:tcPr>
                <w:p>
                  <w:pPr>
                    <w:jc w:val="center"/>
                    <w:rPr>
                      <w:rFonts w:ascii="Times New Roman" w:hAnsi="Times New Roman"/>
                      <w:szCs w:val="21"/>
                    </w:rPr>
                  </w:pPr>
                  <w:r>
                    <w:rPr>
                      <w:rFonts w:hint="eastAsia" w:ascii="Times New Roman" w:hAnsi="Times New Roman"/>
                      <w:spacing w:val="-5"/>
                      <w:szCs w:val="21"/>
                    </w:rPr>
                    <w:t>10</w:t>
                  </w:r>
                </w:p>
              </w:tc>
              <w:tc>
                <w:tcPr>
                  <w:tcW w:w="530" w:type="pct"/>
                  <w:tcBorders>
                    <w:tl2br w:val="nil"/>
                    <w:tr2bl w:val="nil"/>
                  </w:tcBorders>
                  <w:vAlign w:val="center"/>
                </w:tcPr>
                <w:p>
                  <w:pPr>
                    <w:jc w:val="center"/>
                    <w:rPr>
                      <w:rFonts w:ascii="Times New Roman" w:hAnsi="Times New Roman"/>
                      <w:szCs w:val="21"/>
                    </w:rPr>
                  </w:pPr>
                  <w:r>
                    <w:rPr>
                      <w:rFonts w:ascii="Times New Roman" w:hAnsi="Times New Roman"/>
                      <w:spacing w:val="-4"/>
                      <w:szCs w:val="21"/>
                    </w:rPr>
                    <w:t>沉淀池</w:t>
                  </w:r>
                </w:p>
              </w:tc>
              <w:tc>
                <w:tcPr>
                  <w:tcW w:w="419"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w:t>
                  </w:r>
                </w:p>
              </w:tc>
              <w:tc>
                <w:tcPr>
                  <w:tcW w:w="273" w:type="pct"/>
                  <w:tcBorders>
                    <w:tl2br w:val="nil"/>
                    <w:tr2bl w:val="nil"/>
                  </w:tcBorders>
                  <w:vAlign w:val="center"/>
                </w:tcPr>
                <w:p>
                  <w:pPr>
                    <w:jc w:val="center"/>
                    <w:rPr>
                      <w:rFonts w:ascii="Times New Roman" w:hAnsi="Times New Roman"/>
                      <w:szCs w:val="21"/>
                    </w:rPr>
                  </w:pPr>
                  <w:r>
                    <w:rPr>
                      <w:rFonts w:ascii="Times New Roman" w:hAnsi="Times New Roman"/>
                      <w:szCs w:val="21"/>
                    </w:rPr>
                    <w:t>是</w:t>
                  </w:r>
                </w:p>
              </w:tc>
              <w:tc>
                <w:tcPr>
                  <w:tcW w:w="1093" w:type="pct"/>
                  <w:gridSpan w:val="2"/>
                  <w:tcBorders>
                    <w:tl2br w:val="nil"/>
                    <w:tr2bl w:val="nil"/>
                  </w:tcBorders>
                  <w:vAlign w:val="center"/>
                </w:tcPr>
                <w:p>
                  <w:pPr>
                    <w:jc w:val="center"/>
                    <w:rPr>
                      <w:rFonts w:ascii="Times New Roman" w:hAnsi="Times New Roman"/>
                      <w:szCs w:val="21"/>
                    </w:rPr>
                  </w:pPr>
                  <w:r>
                    <w:rPr>
                      <w:rFonts w:ascii="Times New Roman" w:hAnsi="Times New Roman" w:eastAsia="Times New Roman"/>
                      <w:spacing w:val="-2"/>
                      <w:szCs w:val="21"/>
                    </w:rPr>
                    <w:t>0</w:t>
                  </w:r>
                  <w:r>
                    <w:rPr>
                      <w:rFonts w:ascii="Times New Roman" w:hAnsi="Times New Roman"/>
                      <w:spacing w:val="-2"/>
                      <w:szCs w:val="21"/>
                    </w:rPr>
                    <w:t>（循环利用）</w:t>
                  </w:r>
                </w:p>
              </w:tc>
            </w:tr>
          </w:tbl>
          <w:p>
            <w:pPr>
              <w:spacing w:line="360" w:lineRule="auto"/>
              <w:ind w:firstLine="482" w:firstLineChars="200"/>
              <w:rPr>
                <w:rFonts w:ascii="Times New Roman" w:hAnsi="Times New Roman"/>
                <w:b/>
                <w:bCs/>
                <w:sz w:val="24"/>
              </w:rPr>
            </w:pPr>
            <w:r>
              <w:rPr>
                <w:rFonts w:ascii="Times New Roman" w:hAnsi="Times New Roman"/>
                <w:b/>
                <w:bCs/>
                <w:sz w:val="24"/>
              </w:rPr>
              <w:t>2.2废水环境影响分析</w:t>
            </w:r>
          </w:p>
          <w:p>
            <w:pPr>
              <w:spacing w:line="360" w:lineRule="auto"/>
              <w:ind w:firstLine="480" w:firstLineChars="200"/>
              <w:rPr>
                <w:rFonts w:ascii="Times New Roman" w:hAnsi="Times New Roman"/>
                <w:sz w:val="24"/>
              </w:rPr>
            </w:pPr>
            <w:r>
              <w:rPr>
                <w:rFonts w:ascii="Times New Roman" w:hAnsi="Times New Roman"/>
                <w:sz w:val="24"/>
              </w:rPr>
              <w:t>项目生产废水为搅拌机清洗废水、运输车辆清洗废水，生产废水经截流沟收集排入沉淀池处理，回用于冲洗用水及洒水降尘。项目生产废水最大产生量为</w:t>
            </w:r>
            <w:r>
              <w:rPr>
                <w:rFonts w:hint="eastAsia" w:ascii="Times New Roman" w:hAnsi="Times New Roman"/>
                <w:sz w:val="24"/>
              </w:rPr>
              <w:t>1.32</w:t>
            </w:r>
            <w:r>
              <w:rPr>
                <w:rFonts w:ascii="Times New Roman" w:hAnsi="Times New Roman"/>
                <w:sz w:val="24"/>
              </w:rPr>
              <w:t>m³/d，项目设置1座容积为</w:t>
            </w:r>
            <w:r>
              <w:rPr>
                <w:rFonts w:hint="eastAsia" w:ascii="Times New Roman" w:hAnsi="Times New Roman"/>
                <w:sz w:val="24"/>
              </w:rPr>
              <w:t>10</w:t>
            </w:r>
            <w:r>
              <w:rPr>
                <w:rFonts w:ascii="Times New Roman" w:hAnsi="Times New Roman"/>
                <w:sz w:val="24"/>
              </w:rPr>
              <w:t>m³沉淀池，用于生产废水收集；综上所述，本项目的废水通过相应的措施处理后对周边水环境影响较小。</w:t>
            </w:r>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3、声环境影响分析与评价</w:t>
            </w:r>
          </w:p>
          <w:p>
            <w:pPr>
              <w:jc w:val="center"/>
              <w:rPr>
                <w:rFonts w:ascii="Times New Roman" w:hAnsi="Times New Roman"/>
                <w:b/>
                <w:bCs/>
                <w:szCs w:val="21"/>
              </w:rPr>
            </w:pPr>
            <w:r>
              <w:rPr>
                <w:rFonts w:ascii="Times New Roman" w:hAnsi="Times New Roman"/>
                <w:b/>
                <w:snapToGrid w:val="0"/>
                <w:szCs w:val="21"/>
              </w:rPr>
              <w:t>表4-</w:t>
            </w:r>
            <w:r>
              <w:rPr>
                <w:rFonts w:hint="eastAsia" w:ascii="Times New Roman" w:hAnsi="Times New Roman"/>
                <w:b/>
                <w:snapToGrid w:val="0"/>
                <w:szCs w:val="21"/>
              </w:rPr>
              <w:t xml:space="preserve">7   </w:t>
            </w:r>
            <w:r>
              <w:rPr>
                <w:rFonts w:ascii="Times New Roman" w:hAnsi="Times New Roman"/>
                <w:b/>
                <w:bCs/>
                <w:szCs w:val="21"/>
              </w:rPr>
              <w:t>工业企业噪声源强调查清单</w:t>
            </w:r>
          </w:p>
          <w:tbl>
            <w:tblPr>
              <w:tblStyle w:val="24"/>
              <w:tblW w:w="4996"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646"/>
              <w:gridCol w:w="1262"/>
              <w:gridCol w:w="1299"/>
              <w:gridCol w:w="1664"/>
              <w:gridCol w:w="1775"/>
              <w:gridCol w:w="120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411" w:type="pct"/>
                  <w:vMerge w:val="restar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序号</w:t>
                  </w:r>
                </w:p>
              </w:tc>
              <w:tc>
                <w:tcPr>
                  <w:tcW w:w="803" w:type="pct"/>
                  <w:vMerge w:val="restar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声源名称</w:t>
                  </w:r>
                </w:p>
              </w:tc>
              <w:tc>
                <w:tcPr>
                  <w:tcW w:w="827" w:type="pct"/>
                  <w:vMerge w:val="restar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声级/dB(A)</w:t>
                  </w:r>
                </w:p>
              </w:tc>
              <w:tc>
                <w:tcPr>
                  <w:tcW w:w="1059" w:type="pct"/>
                  <w:vMerge w:val="restar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声源控制措施</w:t>
                  </w:r>
                </w:p>
              </w:tc>
              <w:tc>
                <w:tcPr>
                  <w:tcW w:w="1130" w:type="pct"/>
                  <w:vMerge w:val="restar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声源控制措施</w:t>
                  </w:r>
                </w:p>
              </w:tc>
              <w:tc>
                <w:tcPr>
                  <w:tcW w:w="767" w:type="pct"/>
                  <w:vMerge w:val="restar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运行时段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411" w:type="pct"/>
                  <w:vMerge w:val="continue"/>
                  <w:tcBorders>
                    <w:tl2br w:val="nil"/>
                    <w:tr2bl w:val="nil"/>
                  </w:tcBorders>
                  <w:textDirection w:val="tbRlV"/>
                  <w:vAlign w:val="center"/>
                </w:tcPr>
                <w:p>
                  <w:pPr>
                    <w:pStyle w:val="14"/>
                    <w:spacing w:before="0" w:after="0" w:line="240" w:lineRule="auto"/>
                    <w:ind w:right="0"/>
                    <w:jc w:val="center"/>
                    <w:rPr>
                      <w:rFonts w:ascii="Times New Roman" w:hAnsi="Times New Roman"/>
                      <w:sz w:val="21"/>
                      <w:szCs w:val="21"/>
                    </w:rPr>
                  </w:pPr>
                </w:p>
              </w:tc>
              <w:tc>
                <w:tcPr>
                  <w:tcW w:w="803" w:type="pct"/>
                  <w:vMerge w:val="continue"/>
                  <w:tcBorders>
                    <w:tl2br w:val="nil"/>
                    <w:tr2bl w:val="nil"/>
                  </w:tcBorders>
                  <w:vAlign w:val="center"/>
                </w:tcPr>
                <w:p>
                  <w:pPr>
                    <w:pStyle w:val="14"/>
                    <w:spacing w:before="0" w:after="0" w:line="240" w:lineRule="auto"/>
                    <w:ind w:right="0"/>
                    <w:jc w:val="center"/>
                    <w:rPr>
                      <w:rFonts w:ascii="Times New Roman" w:hAnsi="Times New Roman"/>
                      <w:sz w:val="21"/>
                      <w:szCs w:val="21"/>
                    </w:rPr>
                  </w:pPr>
                </w:p>
              </w:tc>
              <w:tc>
                <w:tcPr>
                  <w:tcW w:w="827" w:type="pct"/>
                  <w:vMerge w:val="continue"/>
                  <w:tcBorders>
                    <w:tl2br w:val="nil"/>
                    <w:tr2bl w:val="nil"/>
                  </w:tcBorders>
                  <w:vAlign w:val="center"/>
                </w:tcPr>
                <w:p>
                  <w:pPr>
                    <w:pStyle w:val="14"/>
                    <w:spacing w:before="0" w:after="0" w:line="240" w:lineRule="auto"/>
                    <w:ind w:right="0"/>
                    <w:jc w:val="center"/>
                    <w:rPr>
                      <w:rFonts w:ascii="Times New Roman" w:hAnsi="Times New Roman"/>
                      <w:sz w:val="21"/>
                      <w:szCs w:val="21"/>
                    </w:rPr>
                  </w:pPr>
                </w:p>
              </w:tc>
              <w:tc>
                <w:tcPr>
                  <w:tcW w:w="1059" w:type="pct"/>
                  <w:vMerge w:val="continue"/>
                  <w:tcBorders>
                    <w:tl2br w:val="nil"/>
                    <w:tr2bl w:val="nil"/>
                  </w:tcBorders>
                  <w:vAlign w:val="center"/>
                </w:tcPr>
                <w:p>
                  <w:pPr>
                    <w:pStyle w:val="14"/>
                    <w:spacing w:before="0" w:after="0" w:line="240" w:lineRule="auto"/>
                    <w:ind w:right="0"/>
                    <w:jc w:val="center"/>
                    <w:rPr>
                      <w:rFonts w:ascii="Times New Roman" w:hAnsi="Times New Roman"/>
                      <w:sz w:val="21"/>
                      <w:szCs w:val="21"/>
                    </w:rPr>
                  </w:pPr>
                </w:p>
              </w:tc>
              <w:tc>
                <w:tcPr>
                  <w:tcW w:w="1130" w:type="pct"/>
                  <w:vMerge w:val="continue"/>
                  <w:tcBorders>
                    <w:tl2br w:val="nil"/>
                    <w:tr2bl w:val="nil"/>
                  </w:tcBorders>
                  <w:vAlign w:val="center"/>
                </w:tcPr>
                <w:p>
                  <w:pPr>
                    <w:pStyle w:val="14"/>
                    <w:spacing w:before="0" w:after="0" w:line="240" w:lineRule="auto"/>
                    <w:ind w:right="0"/>
                    <w:jc w:val="center"/>
                    <w:rPr>
                      <w:rFonts w:ascii="Times New Roman" w:hAnsi="Times New Roman"/>
                      <w:sz w:val="21"/>
                      <w:szCs w:val="21"/>
                    </w:rPr>
                  </w:pPr>
                </w:p>
              </w:tc>
              <w:tc>
                <w:tcPr>
                  <w:tcW w:w="767" w:type="pct"/>
                  <w:vMerge w:val="continue"/>
                  <w:tcBorders>
                    <w:tl2br w:val="nil"/>
                    <w:tr2bl w:val="nil"/>
                  </w:tcBorders>
                  <w:vAlign w:val="center"/>
                </w:tcPr>
                <w:p>
                  <w:pPr>
                    <w:pStyle w:val="14"/>
                    <w:spacing w:before="0" w:after="0" w:line="240" w:lineRule="auto"/>
                    <w:ind w:right="0"/>
                    <w:jc w:val="center"/>
                    <w:rPr>
                      <w:rFonts w:ascii="Times New Roman" w:hAnsi="Times New Roman"/>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1"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1</w:t>
                  </w:r>
                </w:p>
              </w:tc>
              <w:tc>
                <w:tcPr>
                  <w:tcW w:w="803"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配料皮带机</w:t>
                  </w:r>
                </w:p>
              </w:tc>
              <w:tc>
                <w:tcPr>
                  <w:tcW w:w="827"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105</w:t>
                  </w:r>
                </w:p>
              </w:tc>
              <w:tc>
                <w:tcPr>
                  <w:tcW w:w="1059"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距离衰减</w:t>
                  </w:r>
                </w:p>
              </w:tc>
              <w:tc>
                <w:tcPr>
                  <w:tcW w:w="1130"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距离衰减</w:t>
                  </w:r>
                </w:p>
              </w:tc>
              <w:tc>
                <w:tcPr>
                  <w:tcW w:w="767"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昼间、夜间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1"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2</w:t>
                  </w:r>
                </w:p>
              </w:tc>
              <w:tc>
                <w:tcPr>
                  <w:tcW w:w="803" w:type="pct"/>
                  <w:tcBorders>
                    <w:tl2br w:val="nil"/>
                    <w:tr2bl w:val="nil"/>
                  </w:tcBorders>
                  <w:vAlign w:val="center"/>
                </w:tcPr>
                <w:p>
                  <w:pPr>
                    <w:jc w:val="center"/>
                    <w:rPr>
                      <w:rFonts w:ascii="Times New Roman" w:hAnsi="Times New Roman"/>
                      <w:szCs w:val="21"/>
                    </w:rPr>
                  </w:pPr>
                  <w:r>
                    <w:rPr>
                      <w:rFonts w:ascii="Times New Roman" w:hAnsi="Times New Roman"/>
                      <w:spacing w:val="-4"/>
                      <w:szCs w:val="21"/>
                    </w:rPr>
                    <w:t>水泥仓</w:t>
                  </w:r>
                </w:p>
              </w:tc>
              <w:tc>
                <w:tcPr>
                  <w:tcW w:w="827"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92</w:t>
                  </w:r>
                </w:p>
              </w:tc>
              <w:tc>
                <w:tcPr>
                  <w:tcW w:w="1059"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距离衰减</w:t>
                  </w:r>
                </w:p>
              </w:tc>
              <w:tc>
                <w:tcPr>
                  <w:tcW w:w="1130"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距离衰减</w:t>
                  </w:r>
                </w:p>
              </w:tc>
              <w:tc>
                <w:tcPr>
                  <w:tcW w:w="767"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昼间、夜间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1"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3</w:t>
                  </w:r>
                </w:p>
              </w:tc>
              <w:tc>
                <w:tcPr>
                  <w:tcW w:w="803" w:type="pct"/>
                  <w:tcBorders>
                    <w:tl2br w:val="nil"/>
                    <w:tr2bl w:val="nil"/>
                  </w:tcBorders>
                  <w:vAlign w:val="center"/>
                </w:tcPr>
                <w:p>
                  <w:pPr>
                    <w:jc w:val="center"/>
                    <w:rPr>
                      <w:rStyle w:val="46"/>
                      <w:rFonts w:ascii="Times New Roman" w:hAnsi="Times New Roman" w:cs="Times New Roman"/>
                      <w:b w:val="0"/>
                      <w:bCs w:val="0"/>
                      <w:color w:val="auto"/>
                      <w:sz w:val="21"/>
                      <w:szCs w:val="21"/>
                      <w:lang w:bidi="ar"/>
                    </w:rPr>
                  </w:pPr>
                  <w:r>
                    <w:rPr>
                      <w:rFonts w:ascii="Times New Roman" w:hAnsi="Times New Roman"/>
                      <w:spacing w:val="-3"/>
                      <w:szCs w:val="21"/>
                    </w:rPr>
                    <w:t>搅拌机</w:t>
                  </w:r>
                </w:p>
              </w:tc>
              <w:tc>
                <w:tcPr>
                  <w:tcW w:w="827"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90</w:t>
                  </w:r>
                </w:p>
              </w:tc>
              <w:tc>
                <w:tcPr>
                  <w:tcW w:w="1059" w:type="pct"/>
                  <w:tcBorders>
                    <w:tl2br w:val="nil"/>
                    <w:tr2bl w:val="nil"/>
                  </w:tcBorders>
                  <w:vAlign w:val="center"/>
                </w:tcPr>
                <w:p>
                  <w:pPr>
                    <w:jc w:val="center"/>
                    <w:rPr>
                      <w:rFonts w:ascii="Times New Roman" w:hAnsi="Times New Roman"/>
                      <w:szCs w:val="21"/>
                    </w:rPr>
                  </w:pPr>
                  <w:r>
                    <w:rPr>
                      <w:rFonts w:ascii="Times New Roman" w:hAnsi="Times New Roman"/>
                      <w:szCs w:val="21"/>
                    </w:rPr>
                    <w:t>距离衰减</w:t>
                  </w:r>
                </w:p>
              </w:tc>
              <w:tc>
                <w:tcPr>
                  <w:tcW w:w="1130"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距离衰减</w:t>
                  </w:r>
                </w:p>
              </w:tc>
              <w:tc>
                <w:tcPr>
                  <w:tcW w:w="767" w:type="pct"/>
                  <w:tcBorders>
                    <w:tl2br w:val="nil"/>
                    <w:tr2bl w:val="nil"/>
                  </w:tcBorders>
                  <w:vAlign w:val="center"/>
                </w:tcPr>
                <w:p>
                  <w:pPr>
                    <w:pStyle w:val="14"/>
                    <w:spacing w:before="0" w:after="0" w:line="240" w:lineRule="auto"/>
                    <w:ind w:right="0"/>
                    <w:jc w:val="center"/>
                    <w:rPr>
                      <w:rFonts w:ascii="Times New Roman" w:hAnsi="Times New Roman"/>
                      <w:sz w:val="21"/>
                      <w:szCs w:val="21"/>
                    </w:rPr>
                  </w:pPr>
                  <w:r>
                    <w:rPr>
                      <w:rFonts w:ascii="Times New Roman" w:hAnsi="Times New Roman"/>
                      <w:sz w:val="21"/>
                      <w:szCs w:val="21"/>
                    </w:rPr>
                    <w:t>昼间、夜间</w:t>
                  </w:r>
                </w:p>
              </w:tc>
            </w:tr>
          </w:tbl>
          <w:p>
            <w:pPr>
              <w:adjustRightInd w:val="0"/>
              <w:spacing w:line="360" w:lineRule="auto"/>
              <w:ind w:firstLine="482" w:firstLineChars="200"/>
              <w:rPr>
                <w:rFonts w:ascii="Times New Roman" w:hAnsi="Times New Roman"/>
                <w:sz w:val="24"/>
              </w:rPr>
            </w:pPr>
            <w:r>
              <w:rPr>
                <w:rFonts w:ascii="Times New Roman" w:hAnsi="Times New Roman"/>
                <w:b/>
                <w:bCs/>
                <w:sz w:val="24"/>
              </w:rPr>
              <w:t>3.1预测模式</w:t>
            </w:r>
          </w:p>
          <w:p>
            <w:pPr>
              <w:adjustRightInd w:val="0"/>
              <w:spacing w:line="360" w:lineRule="auto"/>
              <w:ind w:firstLine="480" w:firstLineChars="200"/>
              <w:rPr>
                <w:rFonts w:ascii="Times New Roman" w:hAnsi="Times New Roman"/>
                <w:sz w:val="24"/>
              </w:rPr>
            </w:pPr>
            <w:r>
              <w:rPr>
                <w:rFonts w:ascii="Times New Roman" w:hAnsi="Times New Roman"/>
                <w:sz w:val="24"/>
              </w:rPr>
              <w:t>（1）计算某个室内靠近围护结构处的倍频带声压级：</w:t>
            </w:r>
          </w:p>
          <w:p>
            <w:pPr>
              <w:adjustRightInd w:val="0"/>
              <w:spacing w:line="360" w:lineRule="auto"/>
              <w:ind w:firstLine="480" w:firstLineChars="200"/>
              <w:rPr>
                <w:rFonts w:ascii="Times New Roman" w:hAnsi="Times New Roman"/>
                <w:sz w:val="24"/>
              </w:rPr>
            </w:pPr>
            <w:bookmarkStart w:id="5" w:name="_Toc91387362"/>
            <w:r>
              <w:rPr>
                <w:rFonts w:ascii="Times New Roman" w:hAnsi="Times New Roman"/>
                <w:sz w:val="24"/>
              </w:rPr>
              <w:object>
                <v:shape id="_x0000_i1025" o:spt="75" type="#_x0000_t75" style="height:22.8pt;width:189.9pt;" o:ole="t" fillcolor="#6D6D6D"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bookmarkEnd w:id="5"/>
          </w:p>
          <w:p>
            <w:pPr>
              <w:adjustRightInd w:val="0"/>
              <w:spacing w:line="360" w:lineRule="auto"/>
              <w:ind w:firstLine="840" w:firstLineChars="350"/>
              <w:rPr>
                <w:rFonts w:ascii="Times New Roman" w:hAnsi="Times New Roman"/>
                <w:sz w:val="24"/>
              </w:rPr>
            </w:pPr>
            <w:bookmarkStart w:id="6" w:name="_Toc91387363"/>
            <w:r>
              <w:rPr>
                <w:rFonts w:ascii="Times New Roman" w:hAnsi="Times New Roman"/>
                <w:sz w:val="24"/>
              </w:rPr>
              <w:t>式中：</w:t>
            </w:r>
            <w:bookmarkEnd w:id="6"/>
            <w:r>
              <w:rPr>
                <w:rFonts w:ascii="Times New Roman" w:hAnsi="Times New Roman"/>
                <w:sz w:val="24"/>
              </w:rPr>
              <w:t>L</w:t>
            </w:r>
            <w:r>
              <w:rPr>
                <w:rFonts w:ascii="Times New Roman" w:hAnsi="Times New Roman"/>
                <w:sz w:val="24"/>
                <w:vertAlign w:val="subscript"/>
              </w:rPr>
              <w:t>1</w:t>
            </w:r>
            <w:r>
              <w:rPr>
                <w:rFonts w:ascii="Times New Roman" w:hAnsi="Times New Roman"/>
                <w:sz w:val="24"/>
              </w:rPr>
              <w:t>——某个室内声源在靠近围护结构处产生的倍频带声压级，dB；</w:t>
            </w:r>
          </w:p>
          <w:p>
            <w:pPr>
              <w:adjustRightInd w:val="0"/>
              <w:spacing w:line="360" w:lineRule="auto"/>
              <w:ind w:firstLine="1560" w:firstLineChars="650"/>
              <w:rPr>
                <w:rFonts w:ascii="Times New Roman" w:hAnsi="Times New Roman"/>
                <w:sz w:val="24"/>
              </w:rPr>
            </w:pPr>
            <w:r>
              <w:rPr>
                <w:rFonts w:ascii="Times New Roman" w:hAnsi="Times New Roman"/>
                <w:sz w:val="24"/>
              </w:rPr>
              <w:t>L</w:t>
            </w:r>
            <w:r>
              <w:rPr>
                <w:rFonts w:ascii="Times New Roman" w:hAnsi="Times New Roman"/>
                <w:sz w:val="24"/>
                <w:vertAlign w:val="subscript"/>
              </w:rPr>
              <w:t>w1</w:t>
            </w:r>
            <w:r>
              <w:rPr>
                <w:rFonts w:ascii="Times New Roman" w:hAnsi="Times New Roman"/>
                <w:sz w:val="24"/>
              </w:rPr>
              <w:t>——某个声源的倍频带声功率级，dB；</w:t>
            </w:r>
          </w:p>
          <w:p>
            <w:pPr>
              <w:adjustRightInd w:val="0"/>
              <w:spacing w:line="360" w:lineRule="auto"/>
              <w:ind w:firstLine="1560" w:firstLineChars="650"/>
              <w:rPr>
                <w:rFonts w:ascii="Times New Roman" w:hAnsi="Times New Roman"/>
                <w:sz w:val="24"/>
              </w:rPr>
            </w:pPr>
            <w:r>
              <w:rPr>
                <w:rFonts w:ascii="Times New Roman" w:hAnsi="Times New Roman"/>
                <w:sz w:val="24"/>
              </w:rPr>
              <w:t>r</w:t>
            </w:r>
            <w:r>
              <w:rPr>
                <w:rFonts w:ascii="Times New Roman" w:hAnsi="Times New Roman"/>
                <w:sz w:val="24"/>
                <w:vertAlign w:val="subscript"/>
              </w:rPr>
              <w:t>1</w:t>
            </w:r>
            <w:r>
              <w:rPr>
                <w:rFonts w:ascii="Times New Roman" w:hAnsi="Times New Roman"/>
                <w:sz w:val="24"/>
              </w:rPr>
              <w:t>——室内某个声源与靠近围护结构处的距离，m；</w:t>
            </w:r>
          </w:p>
          <w:p>
            <w:pPr>
              <w:adjustRightInd w:val="0"/>
              <w:spacing w:line="360" w:lineRule="auto"/>
              <w:ind w:firstLine="1560" w:firstLineChars="650"/>
              <w:rPr>
                <w:rFonts w:ascii="Times New Roman" w:hAnsi="Times New Roman"/>
                <w:sz w:val="24"/>
              </w:rPr>
            </w:pPr>
            <w:r>
              <w:rPr>
                <w:rFonts w:ascii="Times New Roman" w:hAnsi="Times New Roman"/>
                <w:sz w:val="24"/>
              </w:rPr>
              <w:t>R——房间常数m</w:t>
            </w:r>
            <w:r>
              <w:rPr>
                <w:rFonts w:ascii="Times New Roman" w:hAnsi="Times New Roman"/>
                <w:sz w:val="24"/>
                <w:vertAlign w:val="superscript"/>
              </w:rPr>
              <w:t>2</w:t>
            </w:r>
            <w:r>
              <w:rPr>
                <w:rFonts w:ascii="Times New Roman" w:hAnsi="Times New Roman"/>
                <w:sz w:val="24"/>
              </w:rPr>
              <w:t>；</w:t>
            </w:r>
          </w:p>
          <w:p>
            <w:pPr>
              <w:adjustRightInd w:val="0"/>
              <w:spacing w:line="360" w:lineRule="auto"/>
              <w:ind w:firstLine="1560" w:firstLineChars="650"/>
              <w:rPr>
                <w:rFonts w:ascii="Times New Roman" w:hAnsi="Times New Roman"/>
                <w:sz w:val="24"/>
              </w:rPr>
            </w:pPr>
            <w:r>
              <w:rPr>
                <w:rFonts w:ascii="Times New Roman" w:hAnsi="Times New Roman"/>
                <w:sz w:val="24"/>
              </w:rPr>
              <w:t>Q——方向因子，无量纲值。</w:t>
            </w:r>
          </w:p>
          <w:p>
            <w:pPr>
              <w:adjustRightInd w:val="0"/>
              <w:spacing w:line="360" w:lineRule="auto"/>
              <w:ind w:firstLine="480" w:firstLineChars="200"/>
              <w:rPr>
                <w:rFonts w:ascii="Times New Roman" w:hAnsi="Times New Roman"/>
                <w:sz w:val="24"/>
              </w:rPr>
            </w:pPr>
            <w:r>
              <w:rPr>
                <w:rFonts w:ascii="Times New Roman" w:hAnsi="Times New Roman"/>
                <w:sz w:val="24"/>
              </w:rPr>
              <w:t>（2）计算出所有室内声源在靠近围护结构处产生的总倍频带声压级：</w:t>
            </w:r>
          </w:p>
          <w:p>
            <w:pPr>
              <w:adjustRightInd w:val="0"/>
              <w:spacing w:line="360" w:lineRule="auto"/>
              <w:ind w:firstLine="2280" w:firstLineChars="950"/>
              <w:rPr>
                <w:rFonts w:ascii="Times New Roman" w:hAnsi="Times New Roman"/>
                <w:sz w:val="24"/>
              </w:rPr>
            </w:pPr>
            <w:r>
              <w:rPr>
                <w:rFonts w:ascii="Times New Roman" w:hAnsi="Times New Roman"/>
                <w:sz w:val="24"/>
              </w:rPr>
              <w:object>
                <v:shape id="_x0000_i1026" o:spt="75" type="#_x0000_t75" style="height:39.9pt;width:146.25pt;" o:ole="t" fillcolor="#6D6D6D"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p>
          <w:p>
            <w:pPr>
              <w:adjustRightInd w:val="0"/>
              <w:spacing w:line="360" w:lineRule="auto"/>
              <w:ind w:firstLine="480" w:firstLineChars="200"/>
              <w:rPr>
                <w:rFonts w:ascii="Times New Roman" w:hAnsi="Times New Roman"/>
                <w:sz w:val="24"/>
              </w:rPr>
            </w:pPr>
            <w:r>
              <w:rPr>
                <w:rFonts w:ascii="Times New Roman" w:hAnsi="Times New Roman"/>
                <w:sz w:val="24"/>
              </w:rPr>
              <w:t>（3）计算出室外靠近围护结构处的声压级：</w:t>
            </w:r>
          </w:p>
          <w:p>
            <w:pPr>
              <w:adjustRightInd w:val="0"/>
              <w:spacing w:line="360" w:lineRule="auto"/>
              <w:ind w:firstLine="2400" w:firstLineChars="1000"/>
              <w:rPr>
                <w:rFonts w:ascii="Times New Roman" w:hAnsi="Times New Roman"/>
                <w:sz w:val="24"/>
              </w:rPr>
            </w:pPr>
            <w:r>
              <w:rPr>
                <w:rFonts w:ascii="Times New Roman" w:hAnsi="Times New Roman"/>
                <w:sz w:val="24"/>
              </w:rPr>
              <w:object>
                <v:shape id="_x0000_i1027" o:spt="75" type="#_x0000_t75" style="height:17pt;width:121pt;" o:ole="t" fillcolor="#6D6D6D"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p>
          <w:p>
            <w:pPr>
              <w:adjustRightInd w:val="0"/>
              <w:spacing w:line="360" w:lineRule="auto"/>
              <w:ind w:firstLine="480" w:firstLineChars="200"/>
              <w:rPr>
                <w:rFonts w:ascii="Times New Roman" w:hAnsi="Times New Roman"/>
                <w:sz w:val="24"/>
              </w:rPr>
            </w:pPr>
            <w:r>
              <w:rPr>
                <w:rFonts w:ascii="Times New Roman" w:hAnsi="Times New Roman"/>
                <w:sz w:val="24"/>
              </w:rPr>
              <w:t>（4）将室外声级L</w:t>
            </w:r>
            <w:r>
              <w:rPr>
                <w:rFonts w:ascii="Times New Roman" w:hAnsi="Times New Roman"/>
                <w:sz w:val="24"/>
                <w:vertAlign w:val="subscript"/>
              </w:rPr>
              <w:t>2</w:t>
            </w:r>
            <w:r>
              <w:rPr>
                <w:rFonts w:ascii="Times New Roman" w:hAnsi="Times New Roman"/>
                <w:sz w:val="24"/>
              </w:rPr>
              <w:t>(T）和透声面积换算成等效的室外声源，计算出等效声源第i个倍频带的声功率级L</w:t>
            </w:r>
            <w:r>
              <w:rPr>
                <w:rFonts w:ascii="Times New Roman" w:hAnsi="Times New Roman"/>
                <w:sz w:val="24"/>
                <w:vertAlign w:val="subscript"/>
              </w:rPr>
              <w:t>w</w:t>
            </w:r>
            <w:r>
              <w:rPr>
                <w:rFonts w:ascii="Times New Roman" w:hAnsi="Times New Roman"/>
                <w:sz w:val="24"/>
                <w:vertAlign w:val="subscript"/>
              </w:rPr>
              <w:softHyphen/>
            </w:r>
            <w:r>
              <w:rPr>
                <w:rFonts w:ascii="Times New Roman" w:hAnsi="Times New Roman"/>
                <w:sz w:val="24"/>
                <w:vertAlign w:val="subscript"/>
              </w:rPr>
              <w:softHyphen/>
            </w:r>
            <w:r>
              <w:rPr>
                <w:rFonts w:ascii="Times New Roman" w:hAnsi="Times New Roman"/>
                <w:sz w:val="24"/>
                <w:vertAlign w:val="subscript"/>
              </w:rPr>
              <w:t>2</w:t>
            </w:r>
            <w:r>
              <w:rPr>
                <w:rFonts w:ascii="Times New Roman" w:hAnsi="Times New Roman"/>
                <w:sz w:val="24"/>
              </w:rPr>
              <w:t>：</w:t>
            </w:r>
          </w:p>
          <w:p>
            <w:pPr>
              <w:adjustRightInd w:val="0"/>
              <w:spacing w:line="360" w:lineRule="auto"/>
              <w:ind w:firstLine="2400" w:firstLineChars="1000"/>
              <w:rPr>
                <w:rFonts w:ascii="Times New Roman" w:hAnsi="Times New Roman"/>
                <w:sz w:val="24"/>
              </w:rPr>
            </w:pPr>
            <w:r>
              <w:rPr>
                <w:rFonts w:ascii="Times New Roman" w:hAnsi="Times New Roman"/>
                <w:sz w:val="24"/>
              </w:rPr>
              <w:object>
                <v:shape id="_x0000_i1028" o:spt="75" type="#_x0000_t75" style="height:21.45pt;width:123.9pt;" o:ole="t" fillcolor="#6D6D6D"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p>
          <w:p>
            <w:pPr>
              <w:adjustRightInd w:val="0"/>
              <w:spacing w:line="360" w:lineRule="auto"/>
              <w:ind w:firstLine="1080" w:firstLineChars="450"/>
              <w:rPr>
                <w:rFonts w:ascii="Times New Roman" w:hAnsi="Times New Roman"/>
                <w:sz w:val="24"/>
              </w:rPr>
            </w:pPr>
            <w:r>
              <w:rPr>
                <w:rFonts w:ascii="Times New Roman" w:hAnsi="Times New Roman"/>
                <w:sz w:val="24"/>
              </w:rPr>
              <w:t>式中：S为透声面积，m</w:t>
            </w:r>
            <w:r>
              <w:rPr>
                <w:rFonts w:ascii="Times New Roman" w:hAnsi="Times New Roman"/>
                <w:sz w:val="24"/>
                <w:vertAlign w:val="superscript"/>
              </w:rPr>
              <w:t>2</w:t>
            </w:r>
            <w:r>
              <w:rPr>
                <w:rFonts w:ascii="Times New Roman" w:hAnsi="Times New Roman"/>
                <w:sz w:val="24"/>
              </w:rPr>
              <w:t>。</w:t>
            </w:r>
          </w:p>
          <w:p>
            <w:pPr>
              <w:adjustRightInd w:val="0"/>
              <w:spacing w:line="360" w:lineRule="auto"/>
              <w:ind w:firstLine="480" w:firstLineChars="200"/>
              <w:rPr>
                <w:rFonts w:ascii="Times New Roman" w:hAnsi="Times New Roman"/>
                <w:sz w:val="24"/>
              </w:rPr>
            </w:pPr>
            <w:r>
              <w:rPr>
                <w:rFonts w:ascii="Times New Roman" w:hAnsi="Times New Roman"/>
                <w:sz w:val="24"/>
              </w:rPr>
              <w:t>（5）等效室外声源的位置为围护结构的位置，其倍频带声功率级为Lw，由此按室外声源方法计算等效室外声源在预测点产生的声级。</w:t>
            </w:r>
          </w:p>
          <w:p>
            <w:pPr>
              <w:adjustRightInd w:val="0"/>
              <w:spacing w:line="360" w:lineRule="auto"/>
              <w:ind w:firstLine="480" w:firstLineChars="200"/>
              <w:rPr>
                <w:rFonts w:ascii="Times New Roman" w:hAnsi="Times New Roman"/>
                <w:sz w:val="24"/>
              </w:rPr>
            </w:pPr>
            <w:r>
              <w:rPr>
                <w:rFonts w:ascii="Times New Roman" w:hAnsi="Times New Roman"/>
                <w:sz w:val="24"/>
              </w:rPr>
              <w:t>（6）计算某个声源在预测点的倍频带声压级：</w:t>
            </w:r>
          </w:p>
          <w:p>
            <w:pPr>
              <w:adjustRightInd w:val="0"/>
              <w:spacing w:line="360" w:lineRule="auto"/>
              <w:ind w:firstLine="480" w:firstLineChars="200"/>
              <w:jc w:val="center"/>
              <w:rPr>
                <w:rFonts w:ascii="Times New Roman" w:hAnsi="Times New Roman"/>
                <w:sz w:val="24"/>
              </w:rPr>
            </w:pPr>
            <w:r>
              <w:rPr>
                <w:rFonts w:ascii="Times New Roman" w:hAnsi="Times New Roman"/>
                <w:sz w:val="24"/>
              </w:rPr>
              <w:object>
                <v:shape id="_x0000_i1029" o:spt="75" type="#_x0000_t75" style="height:46.5pt;width:151.7pt;" o:ole="t" fillcolor="#6D6D6D"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p>
          <w:p>
            <w:pPr>
              <w:adjustRightInd w:val="0"/>
              <w:spacing w:line="360" w:lineRule="auto"/>
              <w:ind w:firstLine="1320" w:firstLineChars="550"/>
              <w:rPr>
                <w:rFonts w:ascii="Times New Roman" w:hAnsi="Times New Roman"/>
                <w:sz w:val="24"/>
              </w:rPr>
            </w:pPr>
            <w:r>
              <w:rPr>
                <w:rFonts w:ascii="Times New Roman" w:hAnsi="Times New Roman"/>
                <w:sz w:val="24"/>
              </w:rPr>
              <w:t>式中：L(r)——点声源在预测点产生的倍频带声压级，dB；</w:t>
            </w:r>
          </w:p>
          <w:p>
            <w:pPr>
              <w:adjustRightInd w:val="0"/>
              <w:spacing w:line="360" w:lineRule="auto"/>
              <w:ind w:firstLine="2040" w:firstLineChars="850"/>
              <w:rPr>
                <w:rFonts w:ascii="Times New Roman" w:hAnsi="Times New Roman"/>
                <w:sz w:val="24"/>
              </w:rPr>
            </w:pPr>
            <w:r>
              <w:rPr>
                <w:rFonts w:ascii="Times New Roman" w:hAnsi="Times New Roman"/>
                <w:sz w:val="24"/>
              </w:rPr>
              <w:t>L(r</w:t>
            </w:r>
            <w:r>
              <w:rPr>
                <w:rFonts w:ascii="Times New Roman" w:hAnsi="Times New Roman"/>
                <w:sz w:val="24"/>
                <w:vertAlign w:val="subscript"/>
              </w:rPr>
              <w:t>0</w:t>
            </w:r>
            <w:r>
              <w:rPr>
                <w:rFonts w:ascii="Times New Roman" w:hAnsi="Times New Roman"/>
                <w:sz w:val="24"/>
              </w:rPr>
              <w:t>)——参考位置r</w:t>
            </w:r>
            <w:r>
              <w:rPr>
                <w:rFonts w:ascii="Times New Roman" w:hAnsi="Times New Roman"/>
                <w:sz w:val="24"/>
                <w:vertAlign w:val="subscript"/>
              </w:rPr>
              <w:t>0</w:t>
            </w:r>
            <w:r>
              <w:rPr>
                <w:rFonts w:ascii="Times New Roman" w:hAnsi="Times New Roman"/>
                <w:sz w:val="24"/>
              </w:rPr>
              <w:t>处的倍频带声压级，dB；</w:t>
            </w:r>
          </w:p>
          <w:p>
            <w:pPr>
              <w:adjustRightInd w:val="0"/>
              <w:spacing w:line="360" w:lineRule="auto"/>
              <w:ind w:firstLine="2040" w:firstLineChars="850"/>
              <w:rPr>
                <w:rFonts w:ascii="Times New Roman" w:hAnsi="Times New Roman"/>
                <w:sz w:val="24"/>
              </w:rPr>
            </w:pPr>
            <w:r>
              <w:rPr>
                <w:rFonts w:ascii="Times New Roman" w:hAnsi="Times New Roman"/>
                <w:sz w:val="24"/>
              </w:rPr>
              <w:t>r——预测点距声源的距离，m；</w:t>
            </w:r>
          </w:p>
          <w:p>
            <w:pPr>
              <w:adjustRightInd w:val="0"/>
              <w:spacing w:line="360" w:lineRule="auto"/>
              <w:ind w:firstLine="2040" w:firstLineChars="850"/>
              <w:rPr>
                <w:rFonts w:ascii="Times New Roman" w:hAnsi="Times New Roman"/>
                <w:sz w:val="24"/>
              </w:rPr>
            </w:pPr>
            <w:r>
              <w:rPr>
                <w:rFonts w:ascii="Times New Roman" w:hAnsi="Times New Roman"/>
                <w:sz w:val="24"/>
              </w:rPr>
              <w:t>r</w:t>
            </w:r>
            <w:r>
              <w:rPr>
                <w:rFonts w:ascii="Times New Roman" w:hAnsi="Times New Roman"/>
                <w:sz w:val="24"/>
                <w:vertAlign w:val="subscript"/>
              </w:rPr>
              <w:t>0</w:t>
            </w:r>
            <w:r>
              <w:rPr>
                <w:rFonts w:ascii="Times New Roman" w:hAnsi="Times New Roman"/>
                <w:sz w:val="24"/>
              </w:rPr>
              <w:t>——参考位置距声源的距离，m；</w:t>
            </w:r>
          </w:p>
          <w:p>
            <w:pPr>
              <w:adjustRightInd w:val="0"/>
              <w:spacing w:line="360" w:lineRule="auto"/>
              <w:ind w:firstLine="1920" w:firstLineChars="800"/>
              <w:jc w:val="left"/>
              <w:rPr>
                <w:rFonts w:ascii="Times New Roman" w:hAnsi="Times New Roman"/>
                <w:sz w:val="24"/>
              </w:rPr>
            </w:pPr>
            <w:r>
              <w:rPr>
                <w:rFonts w:ascii="Times New Roman" w:hAnsi="Times New Roman"/>
                <w:sz w:val="24"/>
              </w:rPr>
              <w:t>ΔL——各种因素引起的衰（量(包括声屏障、遮挡物、空气吸收、地面效应等引起的衰减量）。</w:t>
            </w:r>
          </w:p>
          <w:p>
            <w:pPr>
              <w:adjustRightInd w:val="0"/>
              <w:spacing w:line="360" w:lineRule="auto"/>
              <w:ind w:firstLine="480" w:firstLineChars="200"/>
              <w:rPr>
                <w:rFonts w:ascii="Times New Roman" w:hAnsi="Times New Roman"/>
                <w:sz w:val="24"/>
              </w:rPr>
            </w:pPr>
            <w:r>
              <w:rPr>
                <w:rFonts w:ascii="Times New Roman" w:hAnsi="Times New Roman"/>
                <w:sz w:val="24"/>
              </w:rPr>
              <w:t>如果已知声源的倍频带声功率级Lw，且声源可看作是位于地面上的，则</w:t>
            </w:r>
          </w:p>
          <w:p>
            <w:pPr>
              <w:adjustRightInd w:val="0"/>
              <w:spacing w:line="360" w:lineRule="auto"/>
              <w:ind w:firstLine="2280" w:firstLineChars="950"/>
              <w:rPr>
                <w:rFonts w:ascii="Times New Roman" w:hAnsi="Times New Roman"/>
                <w:sz w:val="24"/>
              </w:rPr>
            </w:pPr>
            <w:r>
              <w:rPr>
                <w:rFonts w:ascii="Times New Roman" w:hAnsi="Times New Roman"/>
                <w:sz w:val="24"/>
              </w:rPr>
              <w:object>
                <v:shape id="_x0000_i1030" o:spt="75" type="#_x0000_t75" style="height:18pt;width:112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0" r:id="rId21">
                  <o:LockedField>false</o:LockedField>
                </o:OLEObject>
              </w:object>
            </w:r>
          </w:p>
          <w:p>
            <w:pPr>
              <w:adjustRightInd w:val="0"/>
              <w:spacing w:line="360" w:lineRule="auto"/>
              <w:ind w:firstLine="480" w:firstLineChars="200"/>
              <w:rPr>
                <w:rFonts w:ascii="Times New Roman" w:hAnsi="Times New Roman"/>
                <w:sz w:val="24"/>
              </w:rPr>
            </w:pPr>
            <w:r>
              <w:rPr>
                <w:rFonts w:ascii="Times New Roman" w:hAnsi="Times New Roman"/>
                <w:sz w:val="24"/>
              </w:rPr>
              <w:t>（7）由各倍频带声压级合成计算出该声源产生的A声级LA。</w:t>
            </w:r>
          </w:p>
          <w:p>
            <w:pPr>
              <w:adjustRightInd w:val="0"/>
              <w:spacing w:line="360" w:lineRule="auto"/>
              <w:ind w:firstLine="480" w:firstLineChars="200"/>
              <w:rPr>
                <w:rFonts w:ascii="Times New Roman" w:hAnsi="Times New Roman"/>
                <w:sz w:val="24"/>
              </w:rPr>
            </w:pPr>
            <w:r>
              <w:rPr>
                <w:rFonts w:ascii="Times New Roman" w:hAnsi="Times New Roman"/>
                <w:sz w:val="24"/>
              </w:rPr>
              <w:t>（8）计算总声压级</w:t>
            </w:r>
          </w:p>
          <w:p>
            <w:pPr>
              <w:adjustRightInd w:val="0"/>
              <w:spacing w:line="360" w:lineRule="auto"/>
              <w:ind w:firstLine="480" w:firstLineChars="200"/>
              <w:rPr>
                <w:rFonts w:ascii="Times New Roman" w:hAnsi="Times New Roman"/>
                <w:sz w:val="24"/>
              </w:rPr>
            </w:pPr>
            <w:r>
              <w:rPr>
                <w:rFonts w:ascii="Times New Roman" w:hAnsi="Times New Roman"/>
                <w:sz w:val="24"/>
              </w:rPr>
              <w:t>设第i个室外声源在预测点产生的A声级为LAin，i，在T时间内该声源工作时间为tin，i；第j个等效室外声源在预测点产生的A声级为LAout，j，在T时间内该声源工作时间为Tout，j，则预测点的总等效声级为：</w:t>
            </w:r>
          </w:p>
          <w:p>
            <w:pPr>
              <w:adjustRightInd w:val="0"/>
              <w:spacing w:line="360" w:lineRule="auto"/>
              <w:ind w:firstLine="240" w:firstLineChars="100"/>
              <w:jc w:val="center"/>
              <w:rPr>
                <w:rFonts w:ascii="Times New Roman" w:hAnsi="Times New Roman"/>
                <w:sz w:val="24"/>
              </w:rPr>
            </w:pPr>
            <w:r>
              <w:rPr>
                <w:rFonts w:ascii="Times New Roman" w:hAnsi="Times New Roman"/>
                <w:sz w:val="24"/>
              </w:rPr>
              <w:object>
                <v:shape id="_x0000_i1031" o:spt="75" type="#_x0000_t75" style="height:38pt;width:269pt;" o:ole="t" fillcolor="#6D6D6D" filled="f" o:preferrelative="t" stroked="f" coordsize="21600,21600">
                  <v:path/>
                  <v:fill on="f" focussize="0,0"/>
                  <v:stroke on="f" joinstyle="miter"/>
                  <v:imagedata r:id="rId24" o:title=""/>
                  <o:lock v:ext="edit" aspectratio="t"/>
                  <w10:wrap type="none"/>
                  <w10:anchorlock/>
                </v:shape>
                <o:OLEObject Type="Embed" ProgID="Equation.3" ShapeID="_x0000_i1031" DrawAspect="Content" ObjectID="_1468075731" r:id="rId23">
                  <o:LockedField>false</o:LockedField>
                </o:OLEObject>
              </w:object>
            </w:r>
          </w:p>
          <w:p>
            <w:pPr>
              <w:adjustRightInd w:val="0"/>
              <w:spacing w:line="360" w:lineRule="auto"/>
              <w:ind w:firstLine="1200" w:firstLineChars="500"/>
              <w:rPr>
                <w:rFonts w:ascii="Times New Roman" w:hAnsi="Times New Roman"/>
                <w:sz w:val="24"/>
              </w:rPr>
            </w:pPr>
            <w:r>
              <w:rPr>
                <w:rFonts w:ascii="Times New Roman" w:hAnsi="Times New Roman"/>
                <w:sz w:val="24"/>
              </w:rPr>
              <w:t>式中：T——计算等效声级的时间；N——室外声源个数；</w:t>
            </w:r>
          </w:p>
          <w:p>
            <w:pPr>
              <w:adjustRightInd w:val="0"/>
              <w:spacing w:line="360" w:lineRule="auto"/>
              <w:ind w:firstLine="1920" w:firstLineChars="800"/>
              <w:rPr>
                <w:rFonts w:ascii="Times New Roman" w:hAnsi="Times New Roman"/>
                <w:sz w:val="24"/>
              </w:rPr>
            </w:pPr>
            <w:r>
              <w:rPr>
                <w:rFonts w:ascii="Times New Roman" w:hAnsi="Times New Roman"/>
                <w:sz w:val="24"/>
              </w:rPr>
              <w:t>M——等效室外声源个数。</w:t>
            </w:r>
          </w:p>
          <w:p>
            <w:pPr>
              <w:adjustRightInd w:val="0"/>
              <w:spacing w:line="360" w:lineRule="auto"/>
              <w:ind w:firstLine="480" w:firstLineChars="200"/>
              <w:rPr>
                <w:rFonts w:ascii="Times New Roman" w:hAnsi="Times New Roman"/>
                <w:sz w:val="24"/>
              </w:rPr>
            </w:pPr>
            <w:r>
              <w:rPr>
                <w:rFonts w:ascii="Times New Roman" w:hAnsi="Times New Roman"/>
                <w:sz w:val="24"/>
              </w:rPr>
              <w:t>（9）多声源对某个受声点的理论估算方法，是将几个声源的A声级按能量叠加，等效为合声源对某个受声点上的理论声级，其公式为：</w:t>
            </w:r>
          </w:p>
          <w:p>
            <w:pPr>
              <w:adjustRightInd w:val="0"/>
              <w:spacing w:line="360" w:lineRule="auto"/>
              <w:ind w:firstLine="480" w:firstLineChars="200"/>
              <w:jc w:val="center"/>
              <w:rPr>
                <w:rFonts w:ascii="Times New Roman" w:hAnsi="Times New Roman"/>
                <w:sz w:val="24"/>
              </w:rPr>
            </w:pPr>
            <w:r>
              <w:rPr>
                <w:rFonts w:ascii="Times New Roman" w:hAnsi="Times New Roman"/>
                <w:sz w:val="24"/>
              </w:rPr>
              <w:object>
                <v:shape id="_x0000_i1032" o:spt="75" type="#_x0000_t75" style="height:34pt;width:102pt;" o:ole="t" fillcolor="#6D6D6D" filled="f" o:preferrelative="t" stroked="f" coordsize="21600,21600">
                  <v:path/>
                  <v:fill on="f" focussize="0,0"/>
                  <v:stroke on="f" joinstyle="miter"/>
                  <v:imagedata r:id="rId26" o:title=""/>
                  <o:lock v:ext="edit" aspectratio="t"/>
                  <w10:wrap type="none"/>
                  <w10:anchorlock/>
                </v:shape>
                <o:OLEObject Type="Embed" ProgID="Equation.3" ShapeID="_x0000_i1032" DrawAspect="Content" ObjectID="_1468075732" r:id="rId25">
                  <o:LockedField>false</o:LockedField>
                </o:OLEObject>
              </w:object>
            </w:r>
          </w:p>
          <w:p>
            <w:pPr>
              <w:adjustRightInd w:val="0"/>
              <w:spacing w:line="360" w:lineRule="auto"/>
              <w:ind w:firstLine="1320" w:firstLineChars="550"/>
              <w:rPr>
                <w:rFonts w:ascii="Times New Roman" w:hAnsi="Times New Roman"/>
                <w:sz w:val="24"/>
              </w:rPr>
            </w:pPr>
            <w:r>
              <w:rPr>
                <w:rFonts w:ascii="Times New Roman" w:hAnsi="Times New Roman"/>
                <w:sz w:val="24"/>
              </w:rPr>
              <w:t>式中：L合——受声点总等效声级，dB(A)；N——声源总数</w:t>
            </w:r>
          </w:p>
          <w:p>
            <w:pPr>
              <w:adjustRightInd w:val="0"/>
              <w:spacing w:line="360" w:lineRule="auto"/>
              <w:ind w:firstLine="2160" w:firstLineChars="900"/>
              <w:rPr>
                <w:rFonts w:ascii="Times New Roman" w:hAnsi="Times New Roman"/>
                <w:sz w:val="24"/>
              </w:rPr>
            </w:pPr>
            <w:r>
              <w:rPr>
                <w:rFonts w:ascii="Times New Roman" w:hAnsi="Times New Roman"/>
                <w:sz w:val="24"/>
              </w:rPr>
              <w:t>Li——第i声源对某预测点的等效声级，dB(A)</w:t>
            </w:r>
          </w:p>
          <w:p>
            <w:pPr>
              <w:adjustRightInd w:val="0"/>
              <w:spacing w:line="360" w:lineRule="auto"/>
              <w:ind w:firstLine="482" w:firstLineChars="200"/>
              <w:rPr>
                <w:rFonts w:ascii="Times New Roman" w:hAnsi="Times New Roman"/>
                <w:b/>
                <w:bCs/>
                <w:sz w:val="24"/>
              </w:rPr>
            </w:pPr>
            <w:r>
              <w:rPr>
                <w:rFonts w:ascii="Times New Roman" w:hAnsi="Times New Roman"/>
                <w:b/>
                <w:bCs/>
                <w:sz w:val="24"/>
              </w:rPr>
              <w:t>3.2预测结果与评价</w:t>
            </w:r>
          </w:p>
          <w:p>
            <w:pPr>
              <w:spacing w:line="360" w:lineRule="auto"/>
              <w:ind w:firstLine="480" w:firstLineChars="200"/>
              <w:rPr>
                <w:rFonts w:ascii="Times New Roman" w:hAnsi="Times New Roman"/>
                <w:sz w:val="24"/>
              </w:rPr>
            </w:pPr>
            <w:r>
              <w:rPr>
                <w:rFonts w:ascii="Times New Roman" w:hAnsi="Times New Roman"/>
                <w:sz w:val="24"/>
              </w:rPr>
              <w:t>利用以上预测公式，应用过程中根据具体情况作必要简化，使室内噪声源通过等效变换成若干等效室外声源，计算过程噪声源取最大值，降噪效果取最小值，然后计算出与噪声源不同距离处的理论噪声值，得出本项目运行时对厂界噪声环境的影响状况。</w:t>
            </w:r>
          </w:p>
          <w:p>
            <w:pPr>
              <w:pStyle w:val="47"/>
              <w:adjustRightInd w:val="0"/>
              <w:snapToGrid w:val="0"/>
              <w:spacing w:line="240" w:lineRule="auto"/>
              <w:rPr>
                <w:rFonts w:ascii="Times New Roman" w:hAnsi="Times New Roman" w:cs="Times New Roman"/>
                <w:szCs w:val="21"/>
              </w:rPr>
            </w:pPr>
            <w:r>
              <w:rPr>
                <w:rFonts w:ascii="Times New Roman" w:hAnsi="Times New Roman" w:cs="Times New Roman"/>
                <w:szCs w:val="21"/>
              </w:rPr>
              <w:t>表4-</w:t>
            </w:r>
            <w:r>
              <w:rPr>
                <w:rFonts w:hint="eastAsia" w:ascii="Times New Roman" w:hAnsi="Times New Roman" w:cs="Times New Roman"/>
                <w:szCs w:val="21"/>
              </w:rPr>
              <w:t xml:space="preserve">8  </w:t>
            </w:r>
            <w:r>
              <w:rPr>
                <w:rFonts w:ascii="Times New Roman" w:hAnsi="Times New Roman" w:cs="Times New Roman"/>
                <w:szCs w:val="21"/>
              </w:rPr>
              <w:t>项目各厂界噪声预测值</w:t>
            </w:r>
          </w:p>
          <w:tbl>
            <w:tblPr>
              <w:tblStyle w:val="25"/>
              <w:tblW w:w="4996"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5"/>
              <w:gridCol w:w="1753"/>
              <w:gridCol w:w="1120"/>
              <w:gridCol w:w="1123"/>
              <w:gridCol w:w="1123"/>
              <w:gridCol w:w="1123"/>
              <w:gridCol w:w="11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09"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序号</w:t>
                  </w:r>
                </w:p>
              </w:tc>
              <w:tc>
                <w:tcPr>
                  <w:tcW w:w="1116"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预测点位置</w:t>
                  </w:r>
                </w:p>
              </w:tc>
              <w:tc>
                <w:tcPr>
                  <w:tcW w:w="713"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昼间贡献值</w:t>
                  </w:r>
                </w:p>
              </w:tc>
              <w:tc>
                <w:tcPr>
                  <w:tcW w:w="715"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夜间贡献值</w:t>
                  </w:r>
                </w:p>
              </w:tc>
              <w:tc>
                <w:tcPr>
                  <w:tcW w:w="715"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标准值昼间</w:t>
                  </w:r>
                </w:p>
              </w:tc>
              <w:tc>
                <w:tcPr>
                  <w:tcW w:w="715"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标准值夜间</w:t>
                  </w:r>
                </w:p>
              </w:tc>
              <w:tc>
                <w:tcPr>
                  <w:tcW w:w="715"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9"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1</w:t>
                  </w:r>
                </w:p>
              </w:tc>
              <w:tc>
                <w:tcPr>
                  <w:tcW w:w="1116"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东厂界</w:t>
                  </w:r>
                </w:p>
              </w:tc>
              <w:tc>
                <w:tcPr>
                  <w:tcW w:w="1120" w:type="dxa"/>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52.0</w:t>
                  </w:r>
                </w:p>
              </w:tc>
              <w:tc>
                <w:tcPr>
                  <w:tcW w:w="1123" w:type="dxa"/>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42.0</w:t>
                  </w:r>
                </w:p>
              </w:tc>
              <w:tc>
                <w:tcPr>
                  <w:tcW w:w="715" w:type="pct"/>
                  <w:vMerge w:val="restar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65</w:t>
                  </w:r>
                </w:p>
              </w:tc>
              <w:tc>
                <w:tcPr>
                  <w:tcW w:w="715" w:type="pct"/>
                  <w:vMerge w:val="restar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55</w:t>
                  </w:r>
                </w:p>
              </w:tc>
              <w:tc>
                <w:tcPr>
                  <w:tcW w:w="715" w:type="pct"/>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09"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2</w:t>
                  </w:r>
                </w:p>
              </w:tc>
              <w:tc>
                <w:tcPr>
                  <w:tcW w:w="1116" w:type="pct"/>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南厂界</w:t>
                  </w:r>
                </w:p>
              </w:tc>
              <w:tc>
                <w:tcPr>
                  <w:tcW w:w="1120" w:type="dxa"/>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50.2</w:t>
                  </w:r>
                </w:p>
              </w:tc>
              <w:tc>
                <w:tcPr>
                  <w:tcW w:w="1123" w:type="dxa"/>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43.9</w:t>
                  </w:r>
                </w:p>
              </w:tc>
              <w:tc>
                <w:tcPr>
                  <w:tcW w:w="715" w:type="pct"/>
                  <w:vMerge w:val="continue"/>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p>
              </w:tc>
              <w:tc>
                <w:tcPr>
                  <w:tcW w:w="715" w:type="pct"/>
                  <w:vMerge w:val="continue"/>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p>
              </w:tc>
              <w:tc>
                <w:tcPr>
                  <w:tcW w:w="715" w:type="pct"/>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09"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3</w:t>
                  </w:r>
                </w:p>
              </w:tc>
              <w:tc>
                <w:tcPr>
                  <w:tcW w:w="1116" w:type="pct"/>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西厂界</w:t>
                  </w:r>
                </w:p>
              </w:tc>
              <w:tc>
                <w:tcPr>
                  <w:tcW w:w="1120" w:type="dxa"/>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51.5</w:t>
                  </w:r>
                </w:p>
              </w:tc>
              <w:tc>
                <w:tcPr>
                  <w:tcW w:w="1123" w:type="dxa"/>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43.9</w:t>
                  </w:r>
                </w:p>
              </w:tc>
              <w:tc>
                <w:tcPr>
                  <w:tcW w:w="715" w:type="pct"/>
                  <w:vMerge w:val="continue"/>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p>
              </w:tc>
              <w:tc>
                <w:tcPr>
                  <w:tcW w:w="715" w:type="pct"/>
                  <w:vMerge w:val="continue"/>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p>
              </w:tc>
              <w:tc>
                <w:tcPr>
                  <w:tcW w:w="715" w:type="pct"/>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09" w:type="pct"/>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r>
                    <w:rPr>
                      <w:rFonts w:ascii="Times New Roman" w:hAnsi="Times New Roman" w:cs="Times New Roman"/>
                      <w:b w:val="0"/>
                      <w:bCs w:val="0"/>
                      <w:szCs w:val="21"/>
                    </w:rPr>
                    <w:t>4</w:t>
                  </w:r>
                </w:p>
              </w:tc>
              <w:tc>
                <w:tcPr>
                  <w:tcW w:w="1116" w:type="pct"/>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北厂界</w:t>
                  </w:r>
                </w:p>
              </w:tc>
              <w:tc>
                <w:tcPr>
                  <w:tcW w:w="1120" w:type="dxa"/>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53.9</w:t>
                  </w:r>
                </w:p>
              </w:tc>
              <w:tc>
                <w:tcPr>
                  <w:tcW w:w="1123" w:type="dxa"/>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40.5</w:t>
                  </w:r>
                </w:p>
              </w:tc>
              <w:tc>
                <w:tcPr>
                  <w:tcW w:w="715" w:type="pct"/>
                  <w:vMerge w:val="continue"/>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p>
              </w:tc>
              <w:tc>
                <w:tcPr>
                  <w:tcW w:w="715" w:type="pct"/>
                  <w:vMerge w:val="continue"/>
                  <w:tcBorders>
                    <w:tl2br w:val="nil"/>
                    <w:tr2bl w:val="nil"/>
                  </w:tcBorders>
                  <w:vAlign w:val="center"/>
                </w:tcPr>
                <w:p>
                  <w:pPr>
                    <w:pStyle w:val="47"/>
                    <w:adjustRightInd w:val="0"/>
                    <w:snapToGrid w:val="0"/>
                    <w:spacing w:line="240" w:lineRule="auto"/>
                    <w:rPr>
                      <w:rFonts w:ascii="Times New Roman" w:hAnsi="Times New Roman" w:cs="Times New Roman"/>
                      <w:b w:val="0"/>
                      <w:bCs w:val="0"/>
                      <w:szCs w:val="21"/>
                    </w:rPr>
                  </w:pPr>
                </w:p>
              </w:tc>
              <w:tc>
                <w:tcPr>
                  <w:tcW w:w="715" w:type="pct"/>
                  <w:tcBorders>
                    <w:tl2br w:val="nil"/>
                    <w:tr2bl w:val="nil"/>
                  </w:tcBorders>
                  <w:vAlign w:val="center"/>
                </w:tcPr>
                <w:p>
                  <w:pPr>
                    <w:adjustRightInd w:val="0"/>
                    <w:snapToGrid w:val="0"/>
                    <w:jc w:val="center"/>
                    <w:rPr>
                      <w:rFonts w:ascii="Times New Roman" w:hAnsi="Times New Roman"/>
                      <w:szCs w:val="21"/>
                    </w:rPr>
                  </w:pPr>
                  <w:r>
                    <w:rPr>
                      <w:rFonts w:ascii="Times New Roman" w:hAnsi="Times New Roman"/>
                      <w:szCs w:val="21"/>
                    </w:rPr>
                    <w:t>达标</w:t>
                  </w:r>
                </w:p>
              </w:tc>
            </w:tr>
          </w:tbl>
          <w:p>
            <w:pPr>
              <w:spacing w:before="156" w:beforeLines="50" w:line="360" w:lineRule="auto"/>
              <w:ind w:firstLine="480" w:firstLineChars="200"/>
              <w:rPr>
                <w:rFonts w:ascii="Times New Roman" w:hAnsi="Times New Roman"/>
                <w:sz w:val="24"/>
              </w:rPr>
            </w:pPr>
            <w:r>
              <w:rPr>
                <w:rFonts w:ascii="Times New Roman" w:hAnsi="Times New Roman"/>
                <w:sz w:val="24"/>
              </w:rPr>
              <w:t>根据上表可知，项目厂界噪声昼间和夜间均满足《工业企业厂界环境噪声排放标准》（GB12348-2008）中的3类标准，对周围声环境影响较小。</w:t>
            </w:r>
          </w:p>
          <w:p>
            <w:pPr>
              <w:overflowPunct w:val="0"/>
              <w:adjustRightInd w:val="0"/>
              <w:snapToGrid w:val="0"/>
              <w:spacing w:line="360" w:lineRule="auto"/>
              <w:ind w:firstLine="480" w:firstLineChars="200"/>
              <w:rPr>
                <w:rFonts w:ascii="Times New Roman" w:hAnsi="Times New Roman"/>
                <w:sz w:val="24"/>
              </w:rPr>
            </w:pPr>
            <w:r>
              <w:rPr>
                <w:rFonts w:ascii="Times New Roman" w:hAnsi="Times New Roman"/>
                <w:sz w:val="24"/>
              </w:rPr>
              <w:t>本项目已采取的噪声防治措施如下：</w:t>
            </w:r>
          </w:p>
          <w:p>
            <w:pPr>
              <w:overflowPunct w:val="0"/>
              <w:adjustRightInd w:val="0"/>
              <w:snapToGrid w:val="0"/>
              <w:spacing w:line="360" w:lineRule="auto"/>
              <w:ind w:firstLine="480" w:firstLineChars="200"/>
              <w:rPr>
                <w:rFonts w:ascii="Times New Roman" w:hAnsi="Times New Roman"/>
                <w:sz w:val="24"/>
              </w:rPr>
            </w:pPr>
            <w:r>
              <w:rPr>
                <w:rFonts w:ascii="Times New Roman" w:hAnsi="Times New Roman"/>
                <w:sz w:val="24"/>
              </w:rPr>
              <w:t>（1）在满足工艺的前提下，尽可能选择功率小、噪声低的设备。</w:t>
            </w:r>
          </w:p>
          <w:p>
            <w:pPr>
              <w:overflowPunct w:val="0"/>
              <w:adjustRightInd w:val="0"/>
              <w:snapToGrid w:val="0"/>
              <w:spacing w:line="360" w:lineRule="auto"/>
              <w:ind w:firstLine="480" w:firstLineChars="200"/>
              <w:rPr>
                <w:rFonts w:ascii="Times New Roman" w:hAnsi="Times New Roman"/>
                <w:sz w:val="24"/>
              </w:rPr>
            </w:pPr>
            <w:r>
              <w:rPr>
                <w:rFonts w:ascii="Times New Roman" w:hAnsi="Times New Roman"/>
                <w:sz w:val="24"/>
              </w:rPr>
              <w:t>（2）在设备布置时考虑地形、声源方向性和噪声强弱等因素，进行合理布局以进一步降低厂界噪声。</w:t>
            </w:r>
          </w:p>
          <w:p>
            <w:pPr>
              <w:adjustRightInd w:val="0"/>
              <w:snapToGrid w:val="0"/>
              <w:spacing w:line="360" w:lineRule="auto"/>
              <w:ind w:firstLine="480" w:firstLineChars="200"/>
              <w:rPr>
                <w:rFonts w:ascii="Times New Roman" w:hAnsi="Times New Roman"/>
              </w:rPr>
            </w:pPr>
            <w:r>
              <w:rPr>
                <w:rFonts w:ascii="Times New Roman" w:hAnsi="Times New Roman"/>
                <w:sz w:val="24"/>
              </w:rPr>
              <w:t>（3）对设备加强减振处理措施，并加强厂区管理，降低噪声的影响。</w:t>
            </w:r>
          </w:p>
          <w:p>
            <w:pPr>
              <w:spacing w:line="360" w:lineRule="auto"/>
              <w:ind w:firstLine="540" w:firstLineChars="225"/>
              <w:rPr>
                <w:rFonts w:ascii="Times New Roman" w:hAnsi="Times New Roman"/>
                <w:snapToGrid w:val="0"/>
                <w:kern w:val="0"/>
                <w:sz w:val="24"/>
                <w:szCs w:val="28"/>
              </w:rPr>
            </w:pPr>
            <w:r>
              <w:rPr>
                <w:rFonts w:ascii="Times New Roman" w:hAnsi="Times New Roman"/>
                <w:snapToGrid w:val="0"/>
                <w:kern w:val="0"/>
                <w:sz w:val="24"/>
                <w:szCs w:val="28"/>
              </w:rPr>
              <w:t>建设单位应定期巡检各生产设备运行情况，发现环境问题及时消除隐患，维持区域较好的声环境质量现状。</w:t>
            </w:r>
          </w:p>
          <w:p>
            <w:pPr>
              <w:spacing w:line="360" w:lineRule="auto"/>
              <w:ind w:firstLine="482" w:firstLineChars="200"/>
              <w:rPr>
                <w:rFonts w:ascii="Times New Roman" w:hAnsi="Times New Roman"/>
                <w:b/>
                <w:bCs/>
                <w:sz w:val="24"/>
              </w:rPr>
            </w:pPr>
            <w:r>
              <w:rPr>
                <w:rFonts w:ascii="Times New Roman" w:hAnsi="Times New Roman"/>
                <w:b/>
                <w:bCs/>
                <w:sz w:val="24"/>
              </w:rPr>
              <w:t>3.3噪声监测计划</w:t>
            </w:r>
          </w:p>
          <w:p>
            <w:pPr>
              <w:spacing w:line="360" w:lineRule="auto"/>
              <w:ind w:firstLine="480" w:firstLineChars="200"/>
              <w:rPr>
                <w:rFonts w:ascii="Times New Roman" w:hAnsi="Times New Roman"/>
                <w:sz w:val="24"/>
              </w:rPr>
            </w:pPr>
            <w:r>
              <w:rPr>
                <w:rFonts w:ascii="Times New Roman" w:hAnsi="Times New Roman"/>
                <w:sz w:val="24"/>
              </w:rPr>
              <w:t>根据《排污许可证申请与核发技术规范总则》（HJ942-2018），本项目环境噪声监测方案见表4-</w:t>
            </w:r>
            <w:r>
              <w:rPr>
                <w:rFonts w:hint="eastAsia" w:ascii="Times New Roman" w:hAnsi="Times New Roman"/>
                <w:sz w:val="24"/>
              </w:rPr>
              <w:t>9</w:t>
            </w:r>
            <w:r>
              <w:rPr>
                <w:rFonts w:ascii="Times New Roman" w:hAnsi="Times New Roman"/>
                <w:sz w:val="24"/>
              </w:rPr>
              <w:t>。</w:t>
            </w:r>
          </w:p>
          <w:p>
            <w:pPr>
              <w:spacing w:before="156" w:beforeLines="50"/>
              <w:jc w:val="center"/>
              <w:rPr>
                <w:rFonts w:ascii="Times New Roman" w:hAnsi="Times New Roman"/>
                <w:b/>
                <w:bCs/>
                <w:szCs w:val="21"/>
              </w:rPr>
            </w:pPr>
            <w:r>
              <w:rPr>
                <w:rFonts w:ascii="Times New Roman" w:hAnsi="Times New Roman"/>
                <w:b/>
                <w:bCs/>
                <w:szCs w:val="21"/>
              </w:rPr>
              <w:t>表4-</w:t>
            </w:r>
            <w:r>
              <w:rPr>
                <w:rFonts w:hint="eastAsia" w:ascii="Times New Roman" w:hAnsi="Times New Roman"/>
                <w:b/>
                <w:bCs/>
                <w:szCs w:val="21"/>
              </w:rPr>
              <w:t xml:space="preserve">9   </w:t>
            </w:r>
            <w:r>
              <w:rPr>
                <w:rFonts w:ascii="Times New Roman" w:hAnsi="Times New Roman"/>
                <w:b/>
                <w:bCs/>
                <w:szCs w:val="21"/>
              </w:rPr>
              <w:t>项目运营期噪声监测计划</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912"/>
              <w:gridCol w:w="1588"/>
              <w:gridCol w:w="1284"/>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8" w:type="pct"/>
                  <w:tcBorders>
                    <w:top w:val="single" w:color="auto" w:sz="12" w:space="0"/>
                    <w:left w:val="nil"/>
                    <w:right w:val="single" w:color="auto" w:sz="4" w:space="0"/>
                  </w:tcBorders>
                  <w:vAlign w:val="center"/>
                </w:tcPr>
                <w:p>
                  <w:pPr>
                    <w:jc w:val="center"/>
                    <w:rPr>
                      <w:rFonts w:ascii="Times New Roman" w:hAnsi="Times New Roman"/>
                      <w:b/>
                      <w:bCs/>
                      <w:szCs w:val="21"/>
                    </w:rPr>
                  </w:pPr>
                  <w:r>
                    <w:rPr>
                      <w:rFonts w:ascii="Times New Roman" w:hAnsi="Times New Roman"/>
                      <w:b/>
                      <w:bCs/>
                      <w:szCs w:val="21"/>
                    </w:rPr>
                    <w:t>类别</w:t>
                  </w:r>
                </w:p>
              </w:tc>
              <w:tc>
                <w:tcPr>
                  <w:tcW w:w="1218" w:type="pct"/>
                  <w:tcBorders>
                    <w:top w:val="single" w:color="auto" w:sz="12" w:space="0"/>
                    <w:left w:val="single" w:color="auto" w:sz="4" w:space="0"/>
                    <w:right w:val="single" w:color="auto" w:sz="4" w:space="0"/>
                  </w:tcBorders>
                  <w:vAlign w:val="center"/>
                </w:tcPr>
                <w:p>
                  <w:pPr>
                    <w:jc w:val="center"/>
                    <w:rPr>
                      <w:rFonts w:ascii="Times New Roman" w:hAnsi="Times New Roman"/>
                      <w:b/>
                      <w:bCs/>
                      <w:szCs w:val="21"/>
                    </w:rPr>
                  </w:pPr>
                  <w:r>
                    <w:rPr>
                      <w:rFonts w:ascii="Times New Roman" w:hAnsi="Times New Roman"/>
                      <w:b/>
                      <w:bCs/>
                      <w:szCs w:val="21"/>
                    </w:rPr>
                    <w:t>监测位置</w:t>
                  </w:r>
                </w:p>
              </w:tc>
              <w:tc>
                <w:tcPr>
                  <w:tcW w:w="1012" w:type="pct"/>
                  <w:tcBorders>
                    <w:top w:val="single" w:color="auto" w:sz="12" w:space="0"/>
                    <w:left w:val="single" w:color="auto" w:sz="4" w:space="0"/>
                    <w:right w:val="single" w:color="auto" w:sz="4" w:space="0"/>
                  </w:tcBorders>
                  <w:vAlign w:val="center"/>
                </w:tcPr>
                <w:p>
                  <w:pPr>
                    <w:jc w:val="center"/>
                    <w:rPr>
                      <w:rFonts w:ascii="Times New Roman" w:hAnsi="Times New Roman"/>
                      <w:b/>
                      <w:bCs/>
                      <w:szCs w:val="21"/>
                    </w:rPr>
                  </w:pPr>
                  <w:r>
                    <w:rPr>
                      <w:rFonts w:ascii="Times New Roman" w:hAnsi="Times New Roman"/>
                      <w:b/>
                      <w:bCs/>
                      <w:szCs w:val="21"/>
                    </w:rPr>
                    <w:t>监测项目</w:t>
                  </w:r>
                </w:p>
              </w:tc>
              <w:tc>
                <w:tcPr>
                  <w:tcW w:w="818" w:type="pct"/>
                  <w:tcBorders>
                    <w:top w:val="single" w:color="auto" w:sz="12" w:space="0"/>
                    <w:left w:val="single" w:color="auto" w:sz="4" w:space="0"/>
                    <w:right w:val="single" w:color="auto" w:sz="4" w:space="0"/>
                  </w:tcBorders>
                  <w:vAlign w:val="center"/>
                </w:tcPr>
                <w:p>
                  <w:pPr>
                    <w:jc w:val="center"/>
                    <w:rPr>
                      <w:rFonts w:ascii="Times New Roman" w:hAnsi="Times New Roman"/>
                      <w:b/>
                      <w:bCs/>
                      <w:szCs w:val="21"/>
                    </w:rPr>
                  </w:pPr>
                  <w:r>
                    <w:rPr>
                      <w:rFonts w:ascii="Times New Roman" w:hAnsi="Times New Roman"/>
                      <w:b/>
                      <w:bCs/>
                      <w:szCs w:val="21"/>
                    </w:rPr>
                    <w:t>监测频率</w:t>
                  </w:r>
                </w:p>
              </w:tc>
              <w:tc>
                <w:tcPr>
                  <w:tcW w:w="1132" w:type="pct"/>
                  <w:tcBorders>
                    <w:top w:val="single" w:color="auto" w:sz="12" w:space="0"/>
                    <w:left w:val="single" w:color="auto" w:sz="4" w:space="0"/>
                    <w:right w:val="nil"/>
                  </w:tcBorders>
                  <w:vAlign w:val="center"/>
                </w:tcPr>
                <w:p>
                  <w:pPr>
                    <w:jc w:val="center"/>
                    <w:rPr>
                      <w:rFonts w:ascii="Times New Roman" w:hAnsi="Times New Roman"/>
                      <w:b/>
                      <w:bCs/>
                      <w:szCs w:val="21"/>
                    </w:rPr>
                  </w:pPr>
                  <w:r>
                    <w:rPr>
                      <w:rFonts w:ascii="Times New Roman" w:hAnsi="Times New Roman"/>
                      <w:b/>
                      <w:bCs/>
                      <w:szCs w:val="21"/>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8" w:type="pct"/>
                  <w:tcBorders>
                    <w:left w:val="nil"/>
                    <w:bottom w:val="single" w:color="auto" w:sz="12" w:space="0"/>
                    <w:right w:val="single" w:color="auto" w:sz="4" w:space="0"/>
                  </w:tcBorders>
                  <w:vAlign w:val="center"/>
                </w:tcPr>
                <w:p>
                  <w:pPr>
                    <w:jc w:val="center"/>
                    <w:rPr>
                      <w:rFonts w:ascii="Times New Roman" w:hAnsi="Times New Roman"/>
                      <w:szCs w:val="21"/>
                    </w:rPr>
                  </w:pPr>
                  <w:r>
                    <w:rPr>
                      <w:rFonts w:ascii="Times New Roman" w:hAnsi="Times New Roman"/>
                      <w:szCs w:val="21"/>
                    </w:rPr>
                    <w:t>厂界监测</w:t>
                  </w:r>
                </w:p>
              </w:tc>
              <w:tc>
                <w:tcPr>
                  <w:tcW w:w="1218" w:type="pct"/>
                  <w:tcBorders>
                    <w:left w:val="single" w:color="auto" w:sz="4" w:space="0"/>
                    <w:bottom w:val="single" w:color="auto" w:sz="12" w:space="0"/>
                    <w:right w:val="single" w:color="auto" w:sz="4" w:space="0"/>
                  </w:tcBorders>
                  <w:vAlign w:val="center"/>
                </w:tcPr>
                <w:p>
                  <w:pPr>
                    <w:jc w:val="center"/>
                    <w:rPr>
                      <w:rFonts w:ascii="Times New Roman" w:hAnsi="Times New Roman"/>
                      <w:szCs w:val="21"/>
                    </w:rPr>
                  </w:pPr>
                  <w:r>
                    <w:rPr>
                      <w:rFonts w:ascii="Times New Roman" w:hAnsi="Times New Roman"/>
                      <w:szCs w:val="21"/>
                    </w:rPr>
                    <w:t>厂界四周外1m</w:t>
                  </w:r>
                </w:p>
              </w:tc>
              <w:tc>
                <w:tcPr>
                  <w:tcW w:w="1012" w:type="pct"/>
                  <w:tcBorders>
                    <w:left w:val="single" w:color="auto" w:sz="4" w:space="0"/>
                    <w:bottom w:val="single" w:color="auto" w:sz="12" w:space="0"/>
                    <w:right w:val="single" w:color="auto" w:sz="4" w:space="0"/>
                  </w:tcBorders>
                  <w:vAlign w:val="center"/>
                </w:tcPr>
                <w:p>
                  <w:pPr>
                    <w:jc w:val="center"/>
                    <w:rPr>
                      <w:rFonts w:ascii="Times New Roman" w:hAnsi="Times New Roman"/>
                      <w:szCs w:val="21"/>
                    </w:rPr>
                  </w:pPr>
                  <w:r>
                    <w:rPr>
                      <w:rFonts w:ascii="Times New Roman" w:hAnsi="Times New Roman"/>
                      <w:szCs w:val="21"/>
                    </w:rPr>
                    <w:t>等效A声级</w:t>
                  </w:r>
                </w:p>
              </w:tc>
              <w:tc>
                <w:tcPr>
                  <w:tcW w:w="818" w:type="pct"/>
                  <w:tcBorders>
                    <w:left w:val="single" w:color="auto" w:sz="4" w:space="0"/>
                    <w:bottom w:val="single" w:color="auto" w:sz="12" w:space="0"/>
                    <w:right w:val="single" w:color="auto" w:sz="4" w:space="0"/>
                  </w:tcBorders>
                  <w:vAlign w:val="center"/>
                </w:tcPr>
                <w:p>
                  <w:pPr>
                    <w:jc w:val="center"/>
                    <w:rPr>
                      <w:rFonts w:ascii="Times New Roman" w:hAnsi="Times New Roman"/>
                      <w:szCs w:val="21"/>
                    </w:rPr>
                  </w:pPr>
                  <w:r>
                    <w:rPr>
                      <w:rFonts w:ascii="Times New Roman" w:hAnsi="Times New Roman"/>
                    </w:rPr>
                    <w:t>1</w:t>
                  </w:r>
                  <w:r>
                    <w:rPr>
                      <w:rFonts w:ascii="Times New Roman" w:hAnsi="Times New Roman"/>
                      <w:szCs w:val="21"/>
                    </w:rPr>
                    <w:t>次/季</w:t>
                  </w:r>
                </w:p>
              </w:tc>
              <w:tc>
                <w:tcPr>
                  <w:tcW w:w="1132" w:type="pct"/>
                  <w:tcBorders>
                    <w:left w:val="single" w:color="auto" w:sz="4" w:space="0"/>
                    <w:bottom w:val="single" w:color="auto" w:sz="12" w:space="0"/>
                    <w:right w:val="nil"/>
                  </w:tcBorders>
                  <w:vAlign w:val="center"/>
                </w:tcPr>
                <w:p>
                  <w:pPr>
                    <w:jc w:val="center"/>
                    <w:rPr>
                      <w:rFonts w:ascii="Times New Roman" w:hAnsi="Times New Roman"/>
                      <w:szCs w:val="21"/>
                    </w:rPr>
                  </w:pPr>
                  <w:r>
                    <w:rPr>
                      <w:rFonts w:ascii="Times New Roman" w:hAnsi="Times New Roman"/>
                      <w:szCs w:val="21"/>
                    </w:rPr>
                    <w:t>企业自行委托</w:t>
                  </w:r>
                </w:p>
              </w:tc>
            </w:tr>
          </w:tbl>
          <w:p>
            <w:pPr>
              <w:overflowPunct w:val="0"/>
              <w:spacing w:line="360" w:lineRule="auto"/>
              <w:ind w:firstLine="482" w:firstLineChars="200"/>
              <w:contextualSpacing/>
              <w:rPr>
                <w:rFonts w:ascii="Times New Roman" w:hAnsi="Times New Roman"/>
                <w:bCs/>
                <w:snapToGrid w:val="0"/>
                <w:sz w:val="24"/>
              </w:rPr>
            </w:pPr>
            <w:r>
              <w:rPr>
                <w:rFonts w:ascii="Times New Roman" w:hAnsi="Times New Roman"/>
                <w:b/>
                <w:snapToGrid w:val="0"/>
                <w:sz w:val="24"/>
              </w:rPr>
              <w:t>4、</w:t>
            </w:r>
            <w:r>
              <w:rPr>
                <w:rFonts w:ascii="Times New Roman" w:hAnsi="Times New Roman"/>
                <w:b/>
                <w:sz w:val="24"/>
              </w:rPr>
              <w:t>运营期固废</w:t>
            </w:r>
            <w:r>
              <w:rPr>
                <w:rFonts w:ascii="Times New Roman" w:hAnsi="Times New Roman"/>
                <w:b/>
                <w:bCs/>
                <w:snapToGrid w:val="0"/>
                <w:sz w:val="24"/>
              </w:rPr>
              <w:t>污染</w:t>
            </w:r>
            <w:r>
              <w:rPr>
                <w:rFonts w:ascii="Times New Roman" w:hAnsi="Times New Roman"/>
                <w:b/>
                <w:snapToGrid w:val="0"/>
                <w:sz w:val="24"/>
              </w:rPr>
              <w:t>物</w:t>
            </w:r>
          </w:p>
          <w:p>
            <w:pPr>
              <w:spacing w:line="360" w:lineRule="auto"/>
              <w:ind w:firstLine="480" w:firstLineChars="200"/>
              <w:rPr>
                <w:rFonts w:ascii="Times New Roman" w:hAnsi="Times New Roman"/>
                <w:sz w:val="24"/>
              </w:rPr>
            </w:pPr>
            <w:r>
              <w:rPr>
                <w:rFonts w:ascii="Times New Roman" w:hAnsi="Times New Roman"/>
                <w:sz w:val="24"/>
              </w:rPr>
              <w:t>项目运营期产生的固废主要有除尘器收集的粉尘和车辆、设备清洗固废。</w:t>
            </w:r>
          </w:p>
          <w:p>
            <w:pPr>
              <w:spacing w:line="360" w:lineRule="auto"/>
              <w:ind w:firstLine="482" w:firstLineChars="200"/>
              <w:rPr>
                <w:rFonts w:ascii="Times New Roman" w:hAnsi="Times New Roman"/>
                <w:b/>
                <w:bCs/>
                <w:sz w:val="24"/>
              </w:rPr>
            </w:pPr>
            <w:r>
              <w:rPr>
                <w:rFonts w:ascii="Times New Roman" w:hAnsi="Times New Roman"/>
                <w:b/>
                <w:bCs/>
                <w:sz w:val="24"/>
              </w:rPr>
              <w:t>4.1除尘器收集的粉尘</w:t>
            </w:r>
          </w:p>
          <w:p>
            <w:pPr>
              <w:spacing w:line="360" w:lineRule="auto"/>
              <w:ind w:firstLine="480" w:firstLineChars="200"/>
              <w:rPr>
                <w:rFonts w:ascii="Times New Roman" w:hAnsi="Times New Roman"/>
                <w:sz w:val="24"/>
              </w:rPr>
            </w:pPr>
            <w:r>
              <w:rPr>
                <w:rFonts w:ascii="Times New Roman" w:hAnsi="Times New Roman"/>
                <w:sz w:val="24"/>
              </w:rPr>
              <w:t>项目水泥筒仓粉尘采用袋式除尘器收集粉尘，根据处理效率，粉尘收集量为</w:t>
            </w:r>
            <w:r>
              <w:rPr>
                <w:rFonts w:hint="eastAsia" w:ascii="Times New Roman" w:hAnsi="Times New Roman"/>
                <w:sz w:val="24"/>
              </w:rPr>
              <w:t>0.758</w:t>
            </w:r>
            <w:r>
              <w:rPr>
                <w:rFonts w:ascii="Times New Roman" w:hAnsi="Times New Roman"/>
                <w:sz w:val="24"/>
              </w:rPr>
              <w:t>t/a，全部回用于生产。</w:t>
            </w:r>
          </w:p>
          <w:p>
            <w:pPr>
              <w:spacing w:line="360" w:lineRule="auto"/>
              <w:ind w:firstLine="482" w:firstLineChars="200"/>
              <w:rPr>
                <w:rFonts w:ascii="Times New Roman" w:hAnsi="Times New Roman"/>
                <w:b/>
                <w:bCs/>
                <w:sz w:val="24"/>
              </w:rPr>
            </w:pPr>
            <w:r>
              <w:rPr>
                <w:rFonts w:ascii="Times New Roman" w:hAnsi="Times New Roman"/>
                <w:b/>
                <w:bCs/>
                <w:sz w:val="24"/>
              </w:rPr>
              <w:t>4.2车辆、设备清洗固废</w:t>
            </w:r>
          </w:p>
          <w:p>
            <w:pPr>
              <w:spacing w:line="360" w:lineRule="auto"/>
              <w:ind w:firstLine="480" w:firstLineChars="200"/>
              <w:rPr>
                <w:rFonts w:ascii="Times New Roman" w:hAnsi="Times New Roman"/>
                <w:sz w:val="24"/>
              </w:rPr>
            </w:pPr>
            <w:r>
              <w:rPr>
                <w:rFonts w:ascii="Times New Roman" w:hAnsi="Times New Roman"/>
                <w:sz w:val="24"/>
              </w:rPr>
              <w:t>本项目搅拌机和水稳材料运输车在卸料时均会有少量混凝土残留其中，在对其进行清洗时，会随着清洗水一起排入沉淀池内。根据同类项目类比，项目搅拌机混凝土残留量一般为35kg/台次，项目平均每天清洗一次搅拌机，则搅拌机清洗水夹带的废弃混凝土总量约为7t/a；项目水稳材料运输车的混凝土残留量一般为15kg/辆次，每天清洗运输车10辆次，则运输车清洗水夹带的废弃混凝土总量为11.25t/a。项目每年产生的废弃混凝土总量为30t/a，经收集后可回用于水稳材料生产中。</w:t>
            </w:r>
          </w:p>
          <w:p>
            <w:pPr>
              <w:spacing w:line="360" w:lineRule="auto"/>
              <w:ind w:firstLine="482" w:firstLineChars="200"/>
              <w:rPr>
                <w:rFonts w:ascii="Times New Roman" w:hAnsi="Times New Roman"/>
                <w:b/>
                <w:bCs/>
                <w:sz w:val="24"/>
              </w:rPr>
            </w:pPr>
            <w:r>
              <w:rPr>
                <w:rFonts w:ascii="Times New Roman" w:hAnsi="Times New Roman"/>
                <w:b/>
                <w:bCs/>
                <w:sz w:val="24"/>
              </w:rPr>
              <w:t>4.3沉淀污泥</w:t>
            </w:r>
          </w:p>
          <w:p>
            <w:pPr>
              <w:spacing w:line="360" w:lineRule="auto"/>
              <w:ind w:firstLine="480" w:firstLineChars="200"/>
              <w:rPr>
                <w:rFonts w:ascii="Times New Roman" w:hAnsi="Times New Roman"/>
                <w:sz w:val="24"/>
              </w:rPr>
            </w:pPr>
            <w:r>
              <w:rPr>
                <w:rFonts w:ascii="Times New Roman" w:hAnsi="Times New Roman"/>
                <w:sz w:val="24"/>
              </w:rPr>
              <w:t>本项目沉淀池会沉淀污泥，产生的废弃混凝土总量为25t/a，集中收集后返回生产线。</w:t>
            </w:r>
          </w:p>
          <w:p>
            <w:pPr>
              <w:spacing w:line="360" w:lineRule="auto"/>
              <w:ind w:firstLine="482" w:firstLineChars="200"/>
              <w:rPr>
                <w:rFonts w:ascii="Times New Roman" w:hAnsi="Times New Roman"/>
                <w:b/>
                <w:bCs/>
                <w:sz w:val="24"/>
              </w:rPr>
            </w:pPr>
            <w:r>
              <w:rPr>
                <w:rFonts w:ascii="Times New Roman" w:hAnsi="Times New Roman"/>
                <w:b/>
                <w:bCs/>
                <w:sz w:val="24"/>
              </w:rPr>
              <w:t>4.3废润滑油</w:t>
            </w:r>
          </w:p>
          <w:p>
            <w:pPr>
              <w:spacing w:line="360" w:lineRule="auto"/>
              <w:ind w:firstLine="480" w:firstLineChars="200"/>
              <w:rPr>
                <w:rFonts w:ascii="Times New Roman" w:hAnsi="Times New Roman"/>
                <w:sz w:val="24"/>
              </w:rPr>
            </w:pPr>
            <w:r>
              <w:rPr>
                <w:rFonts w:ascii="Times New Roman" w:hAnsi="Times New Roman"/>
                <w:sz w:val="24"/>
              </w:rPr>
              <w:t>本项目生产运行过程中使用的机械设备会产生废润滑油，产生量约为 0.2t/a，废润滑油类别为废矿物油与含矿物油废物（HW08），废物代码为 900-214-08。废润滑油不在厂区储存，直接用于输送设备的润滑油。</w:t>
            </w:r>
          </w:p>
          <w:p>
            <w:pPr>
              <w:spacing w:line="360" w:lineRule="auto"/>
              <w:ind w:firstLine="480" w:firstLineChars="200"/>
              <w:rPr>
                <w:rFonts w:ascii="Times New Roman" w:hAnsi="Times New Roman"/>
                <w:sz w:val="24"/>
              </w:rPr>
            </w:pPr>
            <w:r>
              <w:rPr>
                <w:rFonts w:ascii="Times New Roman" w:hAnsi="Times New Roman"/>
                <w:sz w:val="24"/>
              </w:rPr>
              <w:t>本项目固体废物产生及排放情况见表4-1</w:t>
            </w:r>
            <w:r>
              <w:rPr>
                <w:rFonts w:hint="eastAsia" w:ascii="Times New Roman" w:hAnsi="Times New Roman"/>
                <w:sz w:val="24"/>
              </w:rPr>
              <w:t>0</w:t>
            </w:r>
            <w:r>
              <w:rPr>
                <w:rFonts w:ascii="Times New Roman" w:hAnsi="Times New Roman"/>
                <w:sz w:val="24"/>
              </w:rPr>
              <w:t>。</w:t>
            </w:r>
          </w:p>
          <w:p>
            <w:pPr>
              <w:widowControl/>
              <w:jc w:val="center"/>
              <w:rPr>
                <w:rFonts w:ascii="Times New Roman" w:hAnsi="Times New Roman"/>
                <w:szCs w:val="21"/>
              </w:rPr>
            </w:pPr>
            <w:r>
              <w:rPr>
                <w:rFonts w:ascii="Times New Roman" w:hAnsi="Times New Roman"/>
                <w:b/>
                <w:kern w:val="0"/>
                <w:szCs w:val="21"/>
                <w:lang w:bidi="ar"/>
              </w:rPr>
              <w:t>表4-1</w:t>
            </w:r>
            <w:r>
              <w:rPr>
                <w:rFonts w:hint="eastAsia" w:ascii="Times New Roman" w:hAnsi="Times New Roman"/>
                <w:b/>
                <w:kern w:val="0"/>
                <w:szCs w:val="21"/>
                <w:lang w:bidi="ar"/>
              </w:rPr>
              <w:t xml:space="preserve">0  </w:t>
            </w:r>
            <w:r>
              <w:rPr>
                <w:rFonts w:ascii="Times New Roman" w:hAnsi="Times New Roman"/>
                <w:b/>
                <w:kern w:val="0"/>
                <w:szCs w:val="21"/>
                <w:lang w:bidi="ar"/>
              </w:rPr>
              <w:t>营运期固废产排情况一览表</w:t>
            </w:r>
          </w:p>
          <w:tbl>
            <w:tblPr>
              <w:tblStyle w:val="25"/>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771"/>
              <w:gridCol w:w="1022"/>
              <w:gridCol w:w="1427"/>
              <w:gridCol w:w="685"/>
              <w:gridCol w:w="871"/>
              <w:gridCol w:w="1011"/>
              <w:gridCol w:w="871"/>
              <w:gridCol w:w="7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1"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序号</w:t>
                  </w:r>
                </w:p>
              </w:tc>
              <w:tc>
                <w:tcPr>
                  <w:tcW w:w="491"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产生环节</w:t>
                  </w:r>
                </w:p>
              </w:tc>
              <w:tc>
                <w:tcPr>
                  <w:tcW w:w="650"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名称</w:t>
                  </w:r>
                </w:p>
              </w:tc>
              <w:tc>
                <w:tcPr>
                  <w:tcW w:w="908"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属性</w:t>
                  </w:r>
                </w:p>
              </w:tc>
              <w:tc>
                <w:tcPr>
                  <w:tcW w:w="436"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物理性状</w:t>
                  </w:r>
                </w:p>
              </w:tc>
              <w:tc>
                <w:tcPr>
                  <w:tcW w:w="554"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年产生量（t/a）</w:t>
                  </w:r>
                </w:p>
              </w:tc>
              <w:tc>
                <w:tcPr>
                  <w:tcW w:w="643"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处理方式</w:t>
                  </w:r>
                </w:p>
              </w:tc>
              <w:tc>
                <w:tcPr>
                  <w:tcW w:w="554"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年排放量（t/a）</w:t>
                  </w:r>
                </w:p>
              </w:tc>
              <w:tc>
                <w:tcPr>
                  <w:tcW w:w="487" w:type="pct"/>
                  <w:tcBorders>
                    <w:tl2br w:val="nil"/>
                    <w:tr2bl w:val="nil"/>
                  </w:tcBorders>
                  <w:vAlign w:val="center"/>
                </w:tcPr>
                <w:p>
                  <w:pPr>
                    <w:jc w:val="center"/>
                    <w:rPr>
                      <w:rFonts w:ascii="Times New Roman" w:hAnsi="Times New Roman"/>
                      <w:b/>
                      <w:bCs/>
                      <w:szCs w:val="21"/>
                    </w:rPr>
                  </w:pPr>
                  <w:r>
                    <w:rPr>
                      <w:rFonts w:ascii="Times New Roman" w:hAnsi="Times New Roman"/>
                      <w:b/>
                      <w:bCs/>
                      <w:szCs w:val="21"/>
                    </w:rPr>
                    <w:t>最终去向</w:t>
                  </w:r>
                </w:p>
                <w:p>
                  <w:pPr>
                    <w:jc w:val="center"/>
                    <w:rPr>
                      <w:rFonts w:ascii="Times New Roman" w:hAnsi="Times New Roman"/>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1" w:type="pct"/>
                  <w:tcBorders>
                    <w:tl2br w:val="nil"/>
                    <w:tr2bl w:val="nil"/>
                  </w:tcBorders>
                  <w:vAlign w:val="center"/>
                </w:tcPr>
                <w:p>
                  <w:pPr>
                    <w:jc w:val="center"/>
                    <w:rPr>
                      <w:rFonts w:ascii="Times New Roman" w:hAnsi="Times New Roman"/>
                      <w:szCs w:val="21"/>
                    </w:rPr>
                  </w:pPr>
                  <w:r>
                    <w:rPr>
                      <w:rFonts w:ascii="Times New Roman" w:hAnsi="Times New Roman"/>
                      <w:szCs w:val="21"/>
                    </w:rPr>
                    <w:t>1</w:t>
                  </w:r>
                </w:p>
              </w:tc>
              <w:tc>
                <w:tcPr>
                  <w:tcW w:w="491" w:type="pct"/>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生产过程</w:t>
                  </w:r>
                </w:p>
              </w:tc>
              <w:tc>
                <w:tcPr>
                  <w:tcW w:w="650" w:type="pct"/>
                  <w:tcBorders>
                    <w:tl2br w:val="nil"/>
                    <w:tr2bl w:val="nil"/>
                  </w:tcBorders>
                  <w:vAlign w:val="center"/>
                </w:tcPr>
                <w:p>
                  <w:pPr>
                    <w:jc w:val="center"/>
                    <w:rPr>
                      <w:rFonts w:ascii="Times New Roman" w:hAnsi="Times New Roman"/>
                      <w:szCs w:val="21"/>
                    </w:rPr>
                  </w:pPr>
                  <w:r>
                    <w:rPr>
                      <w:rFonts w:ascii="Times New Roman" w:hAnsi="Times New Roman"/>
                      <w:szCs w:val="21"/>
                    </w:rPr>
                    <w:t>除尘器收集的粉尘</w:t>
                  </w:r>
                </w:p>
              </w:tc>
              <w:tc>
                <w:tcPr>
                  <w:tcW w:w="908" w:type="pct"/>
                  <w:tcBorders>
                    <w:tl2br w:val="nil"/>
                    <w:tr2bl w:val="nil"/>
                  </w:tcBorders>
                  <w:vAlign w:val="center"/>
                </w:tcPr>
                <w:p>
                  <w:pPr>
                    <w:jc w:val="center"/>
                    <w:rPr>
                      <w:rFonts w:ascii="Times New Roman" w:hAnsi="Times New Roman"/>
                      <w:szCs w:val="21"/>
                    </w:rPr>
                  </w:pPr>
                  <w:r>
                    <w:rPr>
                      <w:rFonts w:ascii="Times New Roman" w:hAnsi="Times New Roman"/>
                      <w:kern w:val="0"/>
                      <w:szCs w:val="21"/>
                      <w:lang w:bidi="ar"/>
                    </w:rPr>
                    <w:t>900-999-66</w:t>
                  </w:r>
                </w:p>
              </w:tc>
              <w:tc>
                <w:tcPr>
                  <w:tcW w:w="436" w:type="pct"/>
                  <w:tcBorders>
                    <w:tl2br w:val="nil"/>
                    <w:tr2bl w:val="nil"/>
                  </w:tcBorders>
                  <w:vAlign w:val="center"/>
                </w:tcPr>
                <w:p>
                  <w:pPr>
                    <w:widowControl/>
                    <w:jc w:val="center"/>
                    <w:rPr>
                      <w:rFonts w:ascii="Times New Roman" w:hAnsi="Times New Roman"/>
                      <w:szCs w:val="21"/>
                    </w:rPr>
                  </w:pPr>
                  <w:r>
                    <w:rPr>
                      <w:rFonts w:ascii="Times New Roman" w:hAnsi="Times New Roman"/>
                      <w:kern w:val="0"/>
                      <w:szCs w:val="21"/>
                      <w:lang w:bidi="ar"/>
                    </w:rPr>
                    <w:t>固态</w:t>
                  </w:r>
                </w:p>
              </w:tc>
              <w:tc>
                <w:tcPr>
                  <w:tcW w:w="554" w:type="pct"/>
                  <w:tcBorders>
                    <w:tl2br w:val="nil"/>
                    <w:tr2bl w:val="nil"/>
                  </w:tcBorders>
                  <w:vAlign w:val="center"/>
                </w:tcPr>
                <w:p>
                  <w:pPr>
                    <w:jc w:val="center"/>
                    <w:rPr>
                      <w:rFonts w:ascii="Times New Roman" w:hAnsi="Times New Roman"/>
                      <w:szCs w:val="21"/>
                    </w:rPr>
                  </w:pPr>
                  <w:r>
                    <w:rPr>
                      <w:rFonts w:ascii="Times New Roman" w:hAnsi="Times New Roman"/>
                      <w:szCs w:val="21"/>
                    </w:rPr>
                    <w:t>3.06</w:t>
                  </w:r>
                </w:p>
              </w:tc>
              <w:tc>
                <w:tcPr>
                  <w:tcW w:w="643" w:type="pct"/>
                  <w:vMerge w:val="restart"/>
                  <w:tcBorders>
                    <w:tl2br w:val="nil"/>
                    <w:tr2bl w:val="nil"/>
                  </w:tcBorders>
                  <w:vAlign w:val="center"/>
                </w:tcPr>
                <w:p>
                  <w:pPr>
                    <w:jc w:val="center"/>
                    <w:rPr>
                      <w:rFonts w:ascii="Times New Roman" w:hAnsi="Times New Roman"/>
                      <w:szCs w:val="21"/>
                    </w:rPr>
                  </w:pPr>
                  <w:r>
                    <w:rPr>
                      <w:rFonts w:ascii="Times New Roman" w:hAnsi="Times New Roman"/>
                      <w:spacing w:val="-7"/>
                      <w:szCs w:val="21"/>
                    </w:rPr>
                    <w:t>全部回用于生产</w:t>
                  </w:r>
                </w:p>
              </w:tc>
              <w:tc>
                <w:tcPr>
                  <w:tcW w:w="554" w:type="pct"/>
                  <w:tcBorders>
                    <w:tl2br w:val="nil"/>
                    <w:tr2bl w:val="nil"/>
                  </w:tcBorders>
                  <w:vAlign w:val="center"/>
                </w:tcPr>
                <w:p>
                  <w:pPr>
                    <w:jc w:val="center"/>
                    <w:rPr>
                      <w:rFonts w:ascii="Times New Roman" w:hAnsi="Times New Roman"/>
                      <w:szCs w:val="21"/>
                    </w:rPr>
                  </w:pPr>
                  <w:r>
                    <w:rPr>
                      <w:rFonts w:ascii="Times New Roman" w:hAnsi="Times New Roman"/>
                      <w:szCs w:val="21"/>
                    </w:rPr>
                    <w:t>3.06</w:t>
                  </w:r>
                </w:p>
              </w:tc>
              <w:tc>
                <w:tcPr>
                  <w:tcW w:w="487" w:type="pct"/>
                  <w:vMerge w:val="restart"/>
                  <w:tcBorders>
                    <w:tl2br w:val="nil"/>
                    <w:tr2bl w:val="nil"/>
                  </w:tcBorders>
                  <w:vAlign w:val="center"/>
                </w:tcPr>
                <w:p>
                  <w:pPr>
                    <w:jc w:val="center"/>
                    <w:rPr>
                      <w:rFonts w:ascii="Times New Roman" w:hAnsi="Times New Roman"/>
                      <w:szCs w:val="21"/>
                    </w:rPr>
                  </w:pPr>
                  <w:r>
                    <w:rPr>
                      <w:rFonts w:ascii="Times New Roman" w:hAnsi="Times New Roman"/>
                      <w:spacing w:val="-7"/>
                      <w:szCs w:val="21"/>
                    </w:rPr>
                    <w:t>全部回用于生产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1" w:type="pct"/>
                  <w:tcBorders>
                    <w:tl2br w:val="nil"/>
                    <w:tr2bl w:val="nil"/>
                  </w:tcBorders>
                  <w:vAlign w:val="center"/>
                </w:tcPr>
                <w:p>
                  <w:pPr>
                    <w:jc w:val="center"/>
                    <w:rPr>
                      <w:rFonts w:ascii="Times New Roman" w:hAnsi="Times New Roman"/>
                      <w:szCs w:val="21"/>
                    </w:rPr>
                  </w:pPr>
                  <w:r>
                    <w:rPr>
                      <w:rFonts w:ascii="Times New Roman" w:hAnsi="Times New Roman"/>
                      <w:szCs w:val="21"/>
                    </w:rPr>
                    <w:t>2</w:t>
                  </w:r>
                </w:p>
              </w:tc>
              <w:tc>
                <w:tcPr>
                  <w:tcW w:w="491" w:type="pct"/>
                  <w:vMerge w:val="continue"/>
                  <w:tcBorders>
                    <w:tl2br w:val="nil"/>
                    <w:tr2bl w:val="nil"/>
                  </w:tcBorders>
                  <w:vAlign w:val="center"/>
                </w:tcPr>
                <w:p>
                  <w:pPr>
                    <w:jc w:val="center"/>
                    <w:rPr>
                      <w:rFonts w:ascii="Times New Roman" w:hAnsi="Times New Roman"/>
                      <w:szCs w:val="21"/>
                    </w:rPr>
                  </w:pPr>
                </w:p>
              </w:tc>
              <w:tc>
                <w:tcPr>
                  <w:tcW w:w="650" w:type="pct"/>
                  <w:tcBorders>
                    <w:tl2br w:val="nil"/>
                    <w:tr2bl w:val="nil"/>
                  </w:tcBorders>
                  <w:vAlign w:val="center"/>
                </w:tcPr>
                <w:p>
                  <w:pPr>
                    <w:jc w:val="center"/>
                    <w:rPr>
                      <w:rFonts w:ascii="Times New Roman" w:hAnsi="Times New Roman"/>
                      <w:szCs w:val="21"/>
                    </w:rPr>
                  </w:pPr>
                  <w:r>
                    <w:rPr>
                      <w:rFonts w:ascii="Times New Roman" w:hAnsi="Times New Roman"/>
                      <w:szCs w:val="21"/>
                    </w:rPr>
                    <w:t>废弃混凝土</w:t>
                  </w:r>
                </w:p>
              </w:tc>
              <w:tc>
                <w:tcPr>
                  <w:tcW w:w="908" w:type="pct"/>
                  <w:tcBorders>
                    <w:tl2br w:val="nil"/>
                    <w:tr2bl w:val="nil"/>
                  </w:tcBorders>
                  <w:vAlign w:val="center"/>
                </w:tcPr>
                <w:p>
                  <w:pPr>
                    <w:jc w:val="center"/>
                    <w:rPr>
                      <w:rFonts w:ascii="Times New Roman" w:hAnsi="Times New Roman"/>
                      <w:kern w:val="0"/>
                      <w:szCs w:val="21"/>
                      <w:lang w:bidi="ar"/>
                    </w:rPr>
                  </w:pPr>
                  <w:r>
                    <w:rPr>
                      <w:rFonts w:ascii="Times New Roman" w:hAnsi="Times New Roman"/>
                      <w:kern w:val="0"/>
                      <w:szCs w:val="21"/>
                      <w:lang w:bidi="ar"/>
                    </w:rPr>
                    <w:t>900-999-99</w:t>
                  </w:r>
                </w:p>
              </w:tc>
              <w:tc>
                <w:tcPr>
                  <w:tcW w:w="436" w:type="pct"/>
                  <w:tcBorders>
                    <w:tl2br w:val="nil"/>
                    <w:tr2bl w:val="nil"/>
                  </w:tcBorders>
                  <w:vAlign w:val="center"/>
                </w:tcPr>
                <w:p>
                  <w:pPr>
                    <w:widowControl/>
                    <w:jc w:val="center"/>
                    <w:rPr>
                      <w:rFonts w:ascii="Times New Roman" w:hAnsi="Times New Roman"/>
                      <w:kern w:val="0"/>
                      <w:szCs w:val="21"/>
                      <w:lang w:bidi="ar"/>
                    </w:rPr>
                  </w:pPr>
                  <w:r>
                    <w:rPr>
                      <w:rFonts w:ascii="Times New Roman" w:hAnsi="Times New Roman"/>
                      <w:kern w:val="0"/>
                      <w:szCs w:val="21"/>
                      <w:lang w:bidi="ar"/>
                    </w:rPr>
                    <w:t>固态</w:t>
                  </w:r>
                </w:p>
              </w:tc>
              <w:tc>
                <w:tcPr>
                  <w:tcW w:w="554" w:type="pct"/>
                  <w:tcBorders>
                    <w:tl2br w:val="nil"/>
                    <w:tr2bl w:val="nil"/>
                  </w:tcBorders>
                  <w:vAlign w:val="center"/>
                </w:tcPr>
                <w:p>
                  <w:pPr>
                    <w:jc w:val="center"/>
                    <w:rPr>
                      <w:rFonts w:ascii="Times New Roman" w:hAnsi="Times New Roman"/>
                      <w:szCs w:val="21"/>
                    </w:rPr>
                  </w:pPr>
                  <w:r>
                    <w:rPr>
                      <w:rFonts w:ascii="Times New Roman" w:hAnsi="Times New Roman"/>
                      <w:szCs w:val="21"/>
                    </w:rPr>
                    <w:t>37</w:t>
                  </w:r>
                </w:p>
              </w:tc>
              <w:tc>
                <w:tcPr>
                  <w:tcW w:w="643" w:type="pct"/>
                  <w:vMerge w:val="continue"/>
                  <w:tcBorders>
                    <w:tl2br w:val="nil"/>
                    <w:tr2bl w:val="nil"/>
                  </w:tcBorders>
                  <w:vAlign w:val="center"/>
                </w:tcPr>
                <w:p>
                  <w:pPr>
                    <w:jc w:val="center"/>
                    <w:rPr>
                      <w:rFonts w:ascii="Times New Roman" w:hAnsi="Times New Roman"/>
                      <w:spacing w:val="-7"/>
                      <w:szCs w:val="21"/>
                    </w:rPr>
                  </w:pPr>
                </w:p>
              </w:tc>
              <w:tc>
                <w:tcPr>
                  <w:tcW w:w="554" w:type="pct"/>
                  <w:tcBorders>
                    <w:tl2br w:val="nil"/>
                    <w:tr2bl w:val="nil"/>
                  </w:tcBorders>
                  <w:vAlign w:val="center"/>
                </w:tcPr>
                <w:p>
                  <w:pPr>
                    <w:jc w:val="center"/>
                    <w:rPr>
                      <w:rFonts w:ascii="Times New Roman" w:hAnsi="Times New Roman"/>
                      <w:szCs w:val="21"/>
                    </w:rPr>
                  </w:pPr>
                  <w:r>
                    <w:rPr>
                      <w:rFonts w:ascii="Times New Roman" w:hAnsi="Times New Roman"/>
                      <w:szCs w:val="21"/>
                    </w:rPr>
                    <w:t>37</w:t>
                  </w:r>
                </w:p>
              </w:tc>
              <w:tc>
                <w:tcPr>
                  <w:tcW w:w="487" w:type="pct"/>
                  <w:vMerge w:val="continue"/>
                  <w:tcBorders>
                    <w:tl2br w:val="nil"/>
                    <w:tr2bl w:val="nil"/>
                  </w:tcBorders>
                  <w:vAlign w:val="center"/>
                </w:tcPr>
                <w:p>
                  <w:pPr>
                    <w:jc w:val="center"/>
                    <w:rPr>
                      <w:rFonts w:ascii="Times New Roman" w:hAnsi="Times New Roman"/>
                      <w:spacing w:val="-7"/>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1" w:type="pct"/>
                  <w:tcBorders>
                    <w:tl2br w:val="nil"/>
                    <w:tr2bl w:val="nil"/>
                  </w:tcBorders>
                  <w:vAlign w:val="center"/>
                </w:tcPr>
                <w:p>
                  <w:pPr>
                    <w:jc w:val="center"/>
                    <w:rPr>
                      <w:rFonts w:ascii="Times New Roman" w:hAnsi="Times New Roman"/>
                      <w:szCs w:val="21"/>
                    </w:rPr>
                  </w:pPr>
                  <w:r>
                    <w:rPr>
                      <w:rFonts w:ascii="Times New Roman" w:hAnsi="Times New Roman"/>
                      <w:szCs w:val="21"/>
                    </w:rPr>
                    <w:t>3</w:t>
                  </w:r>
                </w:p>
              </w:tc>
              <w:tc>
                <w:tcPr>
                  <w:tcW w:w="491" w:type="pct"/>
                  <w:vMerge w:val="continue"/>
                  <w:tcBorders>
                    <w:tl2br w:val="nil"/>
                    <w:tr2bl w:val="nil"/>
                  </w:tcBorders>
                  <w:vAlign w:val="center"/>
                </w:tcPr>
                <w:p>
                  <w:pPr>
                    <w:jc w:val="center"/>
                    <w:rPr>
                      <w:rFonts w:ascii="Times New Roman" w:hAnsi="Times New Roman"/>
                      <w:szCs w:val="21"/>
                    </w:rPr>
                  </w:pPr>
                </w:p>
              </w:tc>
              <w:tc>
                <w:tcPr>
                  <w:tcW w:w="650" w:type="pct"/>
                  <w:tcBorders>
                    <w:tl2br w:val="nil"/>
                    <w:tr2bl w:val="nil"/>
                  </w:tcBorders>
                  <w:vAlign w:val="center"/>
                </w:tcPr>
                <w:p>
                  <w:pPr>
                    <w:jc w:val="center"/>
                    <w:rPr>
                      <w:rFonts w:ascii="Times New Roman" w:hAnsi="Times New Roman"/>
                      <w:szCs w:val="21"/>
                    </w:rPr>
                  </w:pPr>
                  <w:r>
                    <w:rPr>
                      <w:rFonts w:ascii="Times New Roman" w:hAnsi="Times New Roman"/>
                      <w:bCs/>
                      <w:sz w:val="24"/>
                    </w:rPr>
                    <w:t>沉淀污泥</w:t>
                  </w:r>
                </w:p>
              </w:tc>
              <w:tc>
                <w:tcPr>
                  <w:tcW w:w="908" w:type="pct"/>
                  <w:tcBorders>
                    <w:tl2br w:val="nil"/>
                    <w:tr2bl w:val="nil"/>
                  </w:tcBorders>
                  <w:vAlign w:val="center"/>
                </w:tcPr>
                <w:p>
                  <w:pPr>
                    <w:jc w:val="center"/>
                    <w:rPr>
                      <w:rFonts w:ascii="Times New Roman" w:hAnsi="Times New Roman"/>
                      <w:kern w:val="0"/>
                      <w:szCs w:val="21"/>
                      <w:lang w:bidi="ar"/>
                    </w:rPr>
                  </w:pPr>
                  <w:r>
                    <w:rPr>
                      <w:rFonts w:ascii="Times New Roman" w:hAnsi="Times New Roman"/>
                      <w:kern w:val="0"/>
                      <w:szCs w:val="21"/>
                      <w:lang w:bidi="ar"/>
                    </w:rPr>
                    <w:t>900-999-99</w:t>
                  </w:r>
                </w:p>
              </w:tc>
              <w:tc>
                <w:tcPr>
                  <w:tcW w:w="436" w:type="pct"/>
                  <w:tcBorders>
                    <w:tl2br w:val="nil"/>
                    <w:tr2bl w:val="nil"/>
                  </w:tcBorders>
                  <w:vAlign w:val="center"/>
                </w:tcPr>
                <w:p>
                  <w:pPr>
                    <w:widowControl/>
                    <w:jc w:val="center"/>
                    <w:rPr>
                      <w:rFonts w:ascii="Times New Roman" w:hAnsi="Times New Roman"/>
                      <w:kern w:val="0"/>
                      <w:szCs w:val="21"/>
                      <w:lang w:bidi="ar"/>
                    </w:rPr>
                  </w:pPr>
                  <w:r>
                    <w:rPr>
                      <w:rFonts w:ascii="Times New Roman" w:hAnsi="Times New Roman"/>
                      <w:kern w:val="0"/>
                      <w:szCs w:val="21"/>
                      <w:lang w:bidi="ar"/>
                    </w:rPr>
                    <w:t>固态</w:t>
                  </w:r>
                </w:p>
              </w:tc>
              <w:tc>
                <w:tcPr>
                  <w:tcW w:w="554" w:type="pct"/>
                  <w:tcBorders>
                    <w:tl2br w:val="nil"/>
                    <w:tr2bl w:val="nil"/>
                  </w:tcBorders>
                  <w:vAlign w:val="center"/>
                </w:tcPr>
                <w:p>
                  <w:pPr>
                    <w:jc w:val="center"/>
                    <w:rPr>
                      <w:rFonts w:ascii="Times New Roman" w:hAnsi="Times New Roman"/>
                      <w:szCs w:val="21"/>
                    </w:rPr>
                  </w:pPr>
                  <w:r>
                    <w:rPr>
                      <w:rFonts w:ascii="Times New Roman" w:hAnsi="Times New Roman"/>
                      <w:szCs w:val="21"/>
                    </w:rPr>
                    <w:t>25</w:t>
                  </w:r>
                </w:p>
              </w:tc>
              <w:tc>
                <w:tcPr>
                  <w:tcW w:w="643" w:type="pct"/>
                  <w:vMerge w:val="continue"/>
                  <w:tcBorders>
                    <w:tl2br w:val="nil"/>
                    <w:tr2bl w:val="nil"/>
                  </w:tcBorders>
                  <w:vAlign w:val="center"/>
                </w:tcPr>
                <w:p>
                  <w:pPr>
                    <w:jc w:val="center"/>
                    <w:rPr>
                      <w:rFonts w:ascii="Times New Roman" w:hAnsi="Times New Roman"/>
                      <w:spacing w:val="-7"/>
                      <w:szCs w:val="21"/>
                    </w:rPr>
                  </w:pPr>
                </w:p>
              </w:tc>
              <w:tc>
                <w:tcPr>
                  <w:tcW w:w="554" w:type="pct"/>
                  <w:tcBorders>
                    <w:tl2br w:val="nil"/>
                    <w:tr2bl w:val="nil"/>
                  </w:tcBorders>
                  <w:vAlign w:val="center"/>
                </w:tcPr>
                <w:p>
                  <w:pPr>
                    <w:jc w:val="center"/>
                    <w:rPr>
                      <w:rFonts w:ascii="Times New Roman" w:hAnsi="Times New Roman"/>
                      <w:szCs w:val="21"/>
                    </w:rPr>
                  </w:pPr>
                  <w:r>
                    <w:rPr>
                      <w:rFonts w:ascii="Times New Roman" w:hAnsi="Times New Roman"/>
                      <w:szCs w:val="21"/>
                    </w:rPr>
                    <w:t>25</w:t>
                  </w:r>
                </w:p>
              </w:tc>
              <w:tc>
                <w:tcPr>
                  <w:tcW w:w="487" w:type="pct"/>
                  <w:vMerge w:val="continue"/>
                  <w:tcBorders>
                    <w:tl2br w:val="nil"/>
                    <w:tr2bl w:val="nil"/>
                  </w:tcBorders>
                  <w:vAlign w:val="center"/>
                </w:tcPr>
                <w:p>
                  <w:pPr>
                    <w:jc w:val="center"/>
                    <w:rPr>
                      <w:rFonts w:ascii="Times New Roman" w:hAnsi="Times New Roman"/>
                      <w:spacing w:val="-7"/>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71" w:type="pct"/>
                  <w:tcBorders>
                    <w:tl2br w:val="nil"/>
                    <w:tr2bl w:val="nil"/>
                  </w:tcBorders>
                  <w:vAlign w:val="center"/>
                </w:tcPr>
                <w:p>
                  <w:pPr>
                    <w:jc w:val="center"/>
                    <w:rPr>
                      <w:rFonts w:ascii="Times New Roman" w:hAnsi="Times New Roman"/>
                      <w:szCs w:val="21"/>
                    </w:rPr>
                  </w:pPr>
                  <w:r>
                    <w:rPr>
                      <w:rFonts w:ascii="Times New Roman" w:hAnsi="Times New Roman"/>
                      <w:szCs w:val="21"/>
                    </w:rPr>
                    <w:t>1</w:t>
                  </w:r>
                </w:p>
              </w:tc>
              <w:tc>
                <w:tcPr>
                  <w:tcW w:w="491" w:type="pct"/>
                  <w:tcBorders>
                    <w:tl2br w:val="nil"/>
                    <w:tr2bl w:val="nil"/>
                  </w:tcBorders>
                  <w:vAlign w:val="center"/>
                </w:tcPr>
                <w:p>
                  <w:pPr>
                    <w:jc w:val="center"/>
                    <w:rPr>
                      <w:rFonts w:ascii="Times New Roman" w:hAnsi="Times New Roman"/>
                      <w:kern w:val="0"/>
                      <w:szCs w:val="21"/>
                      <w:lang w:bidi="ar"/>
                    </w:rPr>
                  </w:pPr>
                  <w:r>
                    <w:rPr>
                      <w:rFonts w:ascii="Times New Roman" w:hAnsi="Times New Roman"/>
                      <w:kern w:val="0"/>
                      <w:szCs w:val="21"/>
                      <w:lang w:bidi="ar"/>
                    </w:rPr>
                    <w:t>设备维修</w:t>
                  </w:r>
                </w:p>
              </w:tc>
              <w:tc>
                <w:tcPr>
                  <w:tcW w:w="650" w:type="pct"/>
                  <w:tcBorders>
                    <w:tl2br w:val="nil"/>
                    <w:tr2bl w:val="nil"/>
                  </w:tcBorders>
                  <w:vAlign w:val="center"/>
                </w:tcPr>
                <w:p>
                  <w:pPr>
                    <w:jc w:val="center"/>
                    <w:rPr>
                      <w:rFonts w:ascii="Times New Roman" w:hAnsi="Times New Roman"/>
                      <w:kern w:val="0"/>
                      <w:szCs w:val="21"/>
                      <w:lang w:bidi="ar"/>
                    </w:rPr>
                  </w:pPr>
                  <w:r>
                    <w:rPr>
                      <w:rFonts w:ascii="Times New Roman" w:hAnsi="Times New Roman"/>
                      <w:kern w:val="0"/>
                      <w:szCs w:val="21"/>
                      <w:lang w:bidi="ar"/>
                    </w:rPr>
                    <w:t>废润滑油</w:t>
                  </w:r>
                </w:p>
              </w:tc>
              <w:tc>
                <w:tcPr>
                  <w:tcW w:w="908" w:type="pct"/>
                  <w:tcBorders>
                    <w:tl2br w:val="nil"/>
                    <w:tr2bl w:val="nil"/>
                  </w:tcBorders>
                  <w:vAlign w:val="center"/>
                </w:tcPr>
                <w:p>
                  <w:pPr>
                    <w:jc w:val="center"/>
                    <w:rPr>
                      <w:rFonts w:ascii="Times New Roman" w:hAnsi="Times New Roman"/>
                      <w:kern w:val="0"/>
                      <w:szCs w:val="21"/>
                      <w:lang w:bidi="ar"/>
                    </w:rPr>
                  </w:pPr>
                  <w:r>
                    <w:rPr>
                      <w:rFonts w:ascii="Times New Roman" w:hAnsi="Times New Roman"/>
                      <w:kern w:val="0"/>
                      <w:szCs w:val="21"/>
                      <w:lang w:bidi="ar"/>
                    </w:rPr>
                    <w:t>900-214-08</w:t>
                  </w:r>
                </w:p>
              </w:tc>
              <w:tc>
                <w:tcPr>
                  <w:tcW w:w="436" w:type="pct"/>
                  <w:tcBorders>
                    <w:tl2br w:val="nil"/>
                    <w:tr2bl w:val="nil"/>
                  </w:tcBorders>
                  <w:vAlign w:val="center"/>
                </w:tcPr>
                <w:p>
                  <w:pPr>
                    <w:jc w:val="center"/>
                    <w:rPr>
                      <w:rFonts w:ascii="Times New Roman" w:hAnsi="Times New Roman"/>
                      <w:kern w:val="0"/>
                      <w:szCs w:val="21"/>
                      <w:lang w:bidi="ar"/>
                    </w:rPr>
                  </w:pPr>
                  <w:r>
                    <w:rPr>
                      <w:rFonts w:ascii="Times New Roman" w:hAnsi="Times New Roman"/>
                      <w:kern w:val="0"/>
                      <w:szCs w:val="21"/>
                      <w:lang w:bidi="ar"/>
                    </w:rPr>
                    <w:t>液态</w:t>
                  </w:r>
                </w:p>
              </w:tc>
              <w:tc>
                <w:tcPr>
                  <w:tcW w:w="554" w:type="pct"/>
                  <w:tcBorders>
                    <w:tl2br w:val="nil"/>
                    <w:tr2bl w:val="nil"/>
                  </w:tcBorders>
                  <w:vAlign w:val="center"/>
                </w:tcPr>
                <w:p>
                  <w:pPr>
                    <w:jc w:val="center"/>
                    <w:rPr>
                      <w:rFonts w:ascii="Times New Roman" w:hAnsi="Times New Roman"/>
                      <w:kern w:val="0"/>
                      <w:szCs w:val="21"/>
                      <w:lang w:bidi="ar"/>
                    </w:rPr>
                  </w:pPr>
                  <w:r>
                    <w:rPr>
                      <w:rFonts w:ascii="Times New Roman" w:hAnsi="Times New Roman"/>
                      <w:kern w:val="0"/>
                      <w:szCs w:val="21"/>
                      <w:lang w:bidi="ar"/>
                    </w:rPr>
                    <w:t>0.2</w:t>
                  </w:r>
                </w:p>
              </w:tc>
              <w:tc>
                <w:tcPr>
                  <w:tcW w:w="643" w:type="pct"/>
                  <w:tcBorders>
                    <w:tl2br w:val="nil"/>
                    <w:tr2bl w:val="nil"/>
                  </w:tcBorders>
                  <w:vAlign w:val="center"/>
                </w:tcPr>
                <w:p>
                  <w:pPr>
                    <w:jc w:val="center"/>
                    <w:rPr>
                      <w:rFonts w:ascii="Times New Roman" w:hAnsi="Times New Roman"/>
                      <w:spacing w:val="-7"/>
                      <w:szCs w:val="21"/>
                    </w:rPr>
                  </w:pPr>
                  <w:r>
                    <w:rPr>
                      <w:rFonts w:ascii="Times New Roman" w:hAnsi="Times New Roman"/>
                      <w:spacing w:val="-7"/>
                      <w:szCs w:val="21"/>
                    </w:rPr>
                    <w:t>废润滑油不在厂区储存，直接用于输送设备的润滑油。</w:t>
                  </w:r>
                </w:p>
              </w:tc>
              <w:tc>
                <w:tcPr>
                  <w:tcW w:w="554" w:type="pct"/>
                  <w:tcBorders>
                    <w:tl2br w:val="nil"/>
                    <w:tr2bl w:val="nil"/>
                  </w:tcBorders>
                  <w:vAlign w:val="center"/>
                </w:tcPr>
                <w:p>
                  <w:pPr>
                    <w:jc w:val="center"/>
                    <w:rPr>
                      <w:rFonts w:ascii="Times New Roman" w:hAnsi="Times New Roman"/>
                      <w:szCs w:val="21"/>
                    </w:rPr>
                  </w:pPr>
                  <w:r>
                    <w:rPr>
                      <w:rFonts w:ascii="Times New Roman" w:hAnsi="Times New Roman"/>
                      <w:szCs w:val="21"/>
                    </w:rPr>
                    <w:t>0.2</w:t>
                  </w:r>
                </w:p>
              </w:tc>
              <w:tc>
                <w:tcPr>
                  <w:tcW w:w="487" w:type="pct"/>
                  <w:tcBorders>
                    <w:tl2br w:val="nil"/>
                    <w:tr2bl w:val="nil"/>
                  </w:tcBorders>
                  <w:vAlign w:val="center"/>
                </w:tcPr>
                <w:p>
                  <w:pPr>
                    <w:jc w:val="center"/>
                    <w:rPr>
                      <w:rFonts w:ascii="Times New Roman" w:hAnsi="Times New Roman"/>
                      <w:spacing w:val="-7"/>
                      <w:szCs w:val="21"/>
                    </w:rPr>
                  </w:pPr>
                  <w:r>
                    <w:rPr>
                      <w:rFonts w:ascii="Times New Roman" w:hAnsi="Times New Roman"/>
                      <w:spacing w:val="-7"/>
                      <w:szCs w:val="21"/>
                    </w:rPr>
                    <w:t>不</w:t>
                  </w:r>
                  <w:r>
                    <w:rPr>
                      <w:rFonts w:ascii="Times New Roman" w:hAnsi="Times New Roman"/>
                      <w:sz w:val="24"/>
                    </w:rPr>
                    <w:t>废润滑油不在厂区储存，直接用于输送设备的润滑油。</w:t>
                  </w:r>
                </w:p>
              </w:tc>
            </w:tr>
          </w:tbl>
          <w:p>
            <w:pPr>
              <w:spacing w:line="360" w:lineRule="auto"/>
              <w:ind w:firstLine="482" w:firstLineChars="200"/>
              <w:rPr>
                <w:rFonts w:ascii="Times New Roman" w:hAnsi="Times New Roman"/>
                <w:b/>
                <w:bCs/>
                <w:sz w:val="24"/>
              </w:rPr>
            </w:pPr>
            <w:r>
              <w:rPr>
                <w:rFonts w:ascii="Times New Roman" w:hAnsi="Times New Roman"/>
                <w:b/>
                <w:bCs/>
                <w:sz w:val="24"/>
              </w:rPr>
              <w:t>5、地下水、土壤</w:t>
            </w:r>
          </w:p>
          <w:p>
            <w:pPr>
              <w:spacing w:line="360" w:lineRule="auto"/>
              <w:ind w:firstLine="480" w:firstLineChars="200"/>
              <w:rPr>
                <w:rFonts w:ascii="Times New Roman" w:hAnsi="Times New Roman"/>
                <w:sz w:val="24"/>
              </w:rPr>
            </w:pPr>
            <w:r>
              <w:rPr>
                <w:rFonts w:ascii="Times New Roman" w:hAnsi="Times New Roman"/>
                <w:sz w:val="24"/>
                <w:szCs w:val="32"/>
              </w:rPr>
              <w:t>本项目不存在对地下水、土壤污染源、污染途径，不需要对地下水、土壤环境进行影响分析</w:t>
            </w:r>
            <w:r>
              <w:rPr>
                <w:rFonts w:ascii="Times New Roman" w:hAnsi="Times New Roman"/>
                <w:sz w:val="24"/>
              </w:rPr>
              <w:t>。</w:t>
            </w:r>
          </w:p>
          <w:p>
            <w:pPr>
              <w:spacing w:line="360" w:lineRule="auto"/>
              <w:ind w:firstLine="482" w:firstLineChars="200"/>
              <w:rPr>
                <w:rFonts w:ascii="Times New Roman" w:hAnsi="Times New Roman"/>
                <w:b/>
                <w:bCs/>
                <w:sz w:val="24"/>
              </w:rPr>
            </w:pPr>
            <w:r>
              <w:rPr>
                <w:rFonts w:ascii="Times New Roman" w:hAnsi="Times New Roman"/>
                <w:b/>
                <w:bCs/>
                <w:sz w:val="24"/>
              </w:rPr>
              <w:t>6、环境风险分析</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根据《建设项目环境影响报告表编制技术指南（污染影响类）（试行）》中要求，本项目不涉及到风险物质，不进行环境风险分析。</w:t>
            </w:r>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7、环保投资</w:t>
            </w:r>
          </w:p>
          <w:p>
            <w:pPr>
              <w:adjustRightInd w:val="0"/>
              <w:snapToGrid w:val="0"/>
              <w:spacing w:line="360" w:lineRule="auto"/>
              <w:ind w:firstLine="480" w:firstLineChars="200"/>
              <w:rPr>
                <w:rFonts w:ascii="Times New Roman" w:hAnsi="Times New Roman"/>
                <w:sz w:val="24"/>
              </w:rPr>
            </w:pPr>
            <w:r>
              <w:rPr>
                <w:rFonts w:ascii="Times New Roman" w:hAnsi="Times New Roman"/>
                <w:sz w:val="24"/>
              </w:rPr>
              <w:t>本项目总投资为</w:t>
            </w:r>
            <w:r>
              <w:rPr>
                <w:rFonts w:hint="eastAsia" w:ascii="Times New Roman" w:hAnsi="Times New Roman"/>
                <w:sz w:val="24"/>
              </w:rPr>
              <w:t>30</w:t>
            </w:r>
            <w:r>
              <w:rPr>
                <w:rFonts w:ascii="Times New Roman" w:hAnsi="Times New Roman"/>
                <w:sz w:val="24"/>
              </w:rPr>
              <w:t>万元，其中环保投资</w:t>
            </w:r>
            <w:r>
              <w:rPr>
                <w:rFonts w:hint="eastAsia" w:ascii="Times New Roman" w:hAnsi="Times New Roman"/>
                <w:sz w:val="24"/>
              </w:rPr>
              <w:t>6</w:t>
            </w:r>
            <w:r>
              <w:rPr>
                <w:rFonts w:ascii="Times New Roman" w:hAnsi="Times New Roman"/>
                <w:sz w:val="24"/>
              </w:rPr>
              <w:t>万元，占总投资的</w:t>
            </w:r>
            <w:r>
              <w:rPr>
                <w:rFonts w:hint="eastAsia" w:ascii="Times New Roman" w:hAnsi="Times New Roman"/>
                <w:sz w:val="24"/>
              </w:rPr>
              <w:t>20</w:t>
            </w:r>
            <w:r>
              <w:rPr>
                <w:rFonts w:ascii="Times New Roman" w:hAnsi="Times New Roman"/>
                <w:sz w:val="24"/>
              </w:rPr>
              <w:t>％，详见表4-1</w:t>
            </w:r>
            <w:r>
              <w:rPr>
                <w:rFonts w:hint="eastAsia" w:ascii="Times New Roman" w:hAnsi="Times New Roman"/>
                <w:sz w:val="24"/>
              </w:rPr>
              <w:t>1</w:t>
            </w:r>
            <w:r>
              <w:rPr>
                <w:rFonts w:ascii="Times New Roman" w:hAnsi="Times New Roman"/>
                <w:sz w:val="24"/>
              </w:rPr>
              <w:t>。</w:t>
            </w:r>
          </w:p>
          <w:p>
            <w:pPr>
              <w:jc w:val="center"/>
              <w:rPr>
                <w:rFonts w:ascii="Times New Roman" w:hAnsi="Times New Roman"/>
                <w:sz w:val="24"/>
              </w:rPr>
            </w:pPr>
            <w:r>
              <w:rPr>
                <w:rFonts w:ascii="Times New Roman" w:hAnsi="Times New Roman"/>
                <w:b/>
                <w:szCs w:val="21"/>
              </w:rPr>
              <w:t>表4-1</w:t>
            </w:r>
            <w:r>
              <w:rPr>
                <w:rFonts w:hint="eastAsia" w:ascii="Times New Roman" w:hAnsi="Times New Roman"/>
                <w:b/>
                <w:szCs w:val="21"/>
              </w:rPr>
              <w:t xml:space="preserve">1  </w:t>
            </w:r>
            <w:r>
              <w:rPr>
                <w:rFonts w:ascii="Times New Roman" w:hAnsi="Times New Roman"/>
                <w:b/>
                <w:szCs w:val="21"/>
              </w:rPr>
              <w:t>项目环保投资估算表</w:t>
            </w:r>
          </w:p>
          <w:tbl>
            <w:tblPr>
              <w:tblStyle w:val="37"/>
              <w:tblW w:w="4998" w:type="pct"/>
              <w:tblInd w:w="0" w:type="dxa"/>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Layout w:type="autofit"/>
              <w:tblCellMar>
                <w:top w:w="0" w:type="dxa"/>
                <w:left w:w="0" w:type="dxa"/>
                <w:bottom w:w="0" w:type="dxa"/>
                <w:right w:w="0" w:type="dxa"/>
              </w:tblCellMar>
            </w:tblPr>
            <w:tblGrid>
              <w:gridCol w:w="432"/>
              <w:gridCol w:w="140"/>
              <w:gridCol w:w="1403"/>
              <w:gridCol w:w="4765"/>
              <w:gridCol w:w="1114"/>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PrEx>
              <w:trPr>
                <w:trHeight w:val="490" w:hRule="atLeast"/>
              </w:trPr>
              <w:tc>
                <w:tcPr>
                  <w:tcW w:w="1257" w:type="pct"/>
                  <w:gridSpan w:val="3"/>
                  <w:tcBorders>
                    <w:tl2br w:val="nil"/>
                    <w:tr2bl w:val="nil"/>
                  </w:tcBorders>
                  <w:vAlign w:val="center"/>
                </w:tcPr>
                <w:p>
                  <w:pPr>
                    <w:jc w:val="center"/>
                    <w:rPr>
                      <w:rFonts w:ascii="Times New Roman" w:hAnsi="Times New Roman"/>
                      <w:b/>
                      <w:bCs/>
                      <w:szCs w:val="21"/>
                    </w:rPr>
                  </w:pPr>
                  <w:r>
                    <w:rPr>
                      <w:rFonts w:ascii="Times New Roman" w:hAnsi="Times New Roman"/>
                      <w:b/>
                      <w:bCs/>
                      <w:spacing w:val="-4"/>
                      <w:szCs w:val="21"/>
                    </w:rPr>
                    <w:t>污染物</w:t>
                  </w:r>
                </w:p>
              </w:tc>
              <w:tc>
                <w:tcPr>
                  <w:tcW w:w="3033" w:type="pct"/>
                  <w:tcBorders>
                    <w:tl2br w:val="nil"/>
                    <w:tr2bl w:val="nil"/>
                  </w:tcBorders>
                  <w:vAlign w:val="center"/>
                </w:tcPr>
                <w:p>
                  <w:pPr>
                    <w:jc w:val="center"/>
                    <w:rPr>
                      <w:rFonts w:ascii="Times New Roman" w:hAnsi="Times New Roman"/>
                      <w:b/>
                      <w:bCs/>
                      <w:szCs w:val="21"/>
                    </w:rPr>
                  </w:pPr>
                  <w:r>
                    <w:rPr>
                      <w:rFonts w:ascii="Times New Roman" w:hAnsi="Times New Roman"/>
                      <w:b/>
                      <w:bCs/>
                      <w:spacing w:val="-3"/>
                      <w:szCs w:val="21"/>
                    </w:rPr>
                    <w:t>环保设施</w:t>
                  </w:r>
                </w:p>
              </w:tc>
              <w:tc>
                <w:tcPr>
                  <w:tcW w:w="709" w:type="pct"/>
                  <w:tcBorders>
                    <w:tl2br w:val="nil"/>
                    <w:tr2bl w:val="nil"/>
                  </w:tcBorders>
                  <w:vAlign w:val="center"/>
                </w:tcPr>
                <w:p>
                  <w:pPr>
                    <w:jc w:val="center"/>
                    <w:rPr>
                      <w:rFonts w:ascii="Times New Roman" w:hAnsi="Times New Roman"/>
                      <w:b/>
                      <w:bCs/>
                      <w:szCs w:val="21"/>
                    </w:rPr>
                  </w:pPr>
                  <w:r>
                    <w:rPr>
                      <w:rFonts w:ascii="Times New Roman" w:hAnsi="Times New Roman"/>
                      <w:b/>
                      <w:bCs/>
                      <w:spacing w:val="-3"/>
                      <w:szCs w:val="21"/>
                    </w:rPr>
                    <w:t>环保投资</w:t>
                  </w:r>
                  <w:r>
                    <w:rPr>
                      <w:rFonts w:ascii="Times New Roman" w:hAnsi="Times New Roman"/>
                      <w:b/>
                      <w:bCs/>
                      <w:spacing w:val="-8"/>
                      <w:szCs w:val="21"/>
                    </w:rPr>
                    <w:t>（万元）</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287" w:hRule="atLeast"/>
              </w:trPr>
              <w:tc>
                <w:tcPr>
                  <w:tcW w:w="275" w:type="pct"/>
                  <w:tcBorders>
                    <w:tl2br w:val="nil"/>
                    <w:tr2bl w:val="nil"/>
                  </w:tcBorders>
                  <w:vAlign w:val="center"/>
                </w:tcPr>
                <w:p>
                  <w:pPr>
                    <w:jc w:val="center"/>
                    <w:rPr>
                      <w:rFonts w:ascii="Times New Roman" w:hAnsi="Times New Roman"/>
                      <w:szCs w:val="21"/>
                    </w:rPr>
                  </w:pPr>
                  <w:r>
                    <w:rPr>
                      <w:rFonts w:ascii="Times New Roman" w:hAnsi="Times New Roman"/>
                      <w:szCs w:val="21"/>
                    </w:rPr>
                    <w:t>废</w:t>
                  </w:r>
                </w:p>
                <w:p>
                  <w:pPr>
                    <w:jc w:val="center"/>
                    <w:rPr>
                      <w:rFonts w:ascii="Times New Roman" w:hAnsi="Times New Roman"/>
                      <w:szCs w:val="21"/>
                    </w:rPr>
                  </w:pPr>
                  <w:r>
                    <w:rPr>
                      <w:rFonts w:ascii="Times New Roman" w:hAnsi="Times New Roman"/>
                      <w:szCs w:val="21"/>
                    </w:rPr>
                    <w:t>气</w:t>
                  </w:r>
                </w:p>
              </w:tc>
              <w:tc>
                <w:tcPr>
                  <w:tcW w:w="982" w:type="pct"/>
                  <w:gridSpan w:val="2"/>
                  <w:tcBorders>
                    <w:tl2br w:val="nil"/>
                    <w:tr2bl w:val="nil"/>
                  </w:tcBorders>
                  <w:vAlign w:val="center"/>
                </w:tcPr>
                <w:p>
                  <w:pPr>
                    <w:jc w:val="center"/>
                    <w:rPr>
                      <w:rFonts w:ascii="Times New Roman" w:hAnsi="Times New Roman"/>
                      <w:szCs w:val="21"/>
                    </w:rPr>
                  </w:pPr>
                  <w:r>
                    <w:rPr>
                      <w:rFonts w:ascii="Times New Roman" w:hAnsi="Times New Roman"/>
                      <w:spacing w:val="-4"/>
                      <w:szCs w:val="21"/>
                    </w:rPr>
                    <w:t>筒仓粉尘</w:t>
                  </w:r>
                </w:p>
              </w:tc>
              <w:tc>
                <w:tcPr>
                  <w:tcW w:w="3033" w:type="pct"/>
                  <w:tcBorders>
                    <w:tl2br w:val="nil"/>
                    <w:tr2bl w:val="nil"/>
                  </w:tcBorders>
                  <w:vAlign w:val="center"/>
                </w:tcPr>
                <w:p>
                  <w:pPr>
                    <w:jc w:val="center"/>
                    <w:rPr>
                      <w:rFonts w:ascii="Times New Roman" w:hAnsi="Times New Roman"/>
                      <w:szCs w:val="21"/>
                    </w:rPr>
                  </w:pPr>
                  <w:r>
                    <w:rPr>
                      <w:rFonts w:ascii="Times New Roman" w:hAnsi="Times New Roman"/>
                      <w:spacing w:val="-2"/>
                      <w:szCs w:val="21"/>
                    </w:rPr>
                    <w:t>1套仓顶袋式除尘器</w:t>
                  </w:r>
                </w:p>
              </w:tc>
              <w:tc>
                <w:tcPr>
                  <w:tcW w:w="709"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3</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PrEx>
              <w:trPr>
                <w:trHeight w:val="287" w:hRule="atLeast"/>
              </w:trPr>
              <w:tc>
                <w:tcPr>
                  <w:tcW w:w="1257" w:type="pct"/>
                  <w:gridSpan w:val="3"/>
                  <w:tcBorders>
                    <w:tl2br w:val="nil"/>
                    <w:tr2bl w:val="nil"/>
                  </w:tcBorders>
                  <w:vAlign w:val="center"/>
                </w:tcPr>
                <w:p>
                  <w:pPr>
                    <w:jc w:val="center"/>
                    <w:rPr>
                      <w:rFonts w:ascii="Times New Roman" w:hAnsi="Times New Roman"/>
                      <w:szCs w:val="21"/>
                    </w:rPr>
                  </w:pPr>
                  <w:r>
                    <w:rPr>
                      <w:rFonts w:ascii="Times New Roman" w:hAnsi="Times New Roman"/>
                      <w:spacing w:val="-10"/>
                      <w:szCs w:val="21"/>
                    </w:rPr>
                    <w:t>噪声</w:t>
                  </w:r>
                </w:p>
              </w:tc>
              <w:tc>
                <w:tcPr>
                  <w:tcW w:w="3033" w:type="pct"/>
                  <w:tcBorders>
                    <w:tl2br w:val="nil"/>
                    <w:tr2bl w:val="nil"/>
                  </w:tcBorders>
                  <w:vAlign w:val="center"/>
                </w:tcPr>
                <w:p>
                  <w:pPr>
                    <w:jc w:val="center"/>
                    <w:rPr>
                      <w:rFonts w:ascii="Times New Roman" w:hAnsi="Times New Roman"/>
                      <w:szCs w:val="21"/>
                    </w:rPr>
                  </w:pPr>
                  <w:r>
                    <w:rPr>
                      <w:rFonts w:ascii="Times New Roman" w:hAnsi="Times New Roman"/>
                      <w:spacing w:val="-1"/>
                      <w:szCs w:val="21"/>
                    </w:rPr>
                    <w:t>基础减振等</w:t>
                  </w:r>
                </w:p>
              </w:tc>
              <w:tc>
                <w:tcPr>
                  <w:tcW w:w="709"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1</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482" w:hRule="atLeast"/>
              </w:trPr>
              <w:tc>
                <w:tcPr>
                  <w:tcW w:w="364" w:type="pct"/>
                  <w:gridSpan w:val="2"/>
                  <w:vMerge w:val="restart"/>
                  <w:tcBorders>
                    <w:tl2br w:val="nil"/>
                    <w:tr2bl w:val="nil"/>
                  </w:tcBorders>
                  <w:vAlign w:val="center"/>
                </w:tcPr>
                <w:p>
                  <w:pPr>
                    <w:jc w:val="center"/>
                    <w:rPr>
                      <w:rFonts w:ascii="Times New Roman" w:hAnsi="Times New Roman"/>
                      <w:szCs w:val="21"/>
                    </w:rPr>
                  </w:pPr>
                  <w:r>
                    <w:rPr>
                      <w:rFonts w:ascii="Times New Roman" w:hAnsi="Times New Roman"/>
                      <w:szCs w:val="21"/>
                    </w:rPr>
                    <w:t>固</w:t>
                  </w:r>
                </w:p>
                <w:p>
                  <w:pPr>
                    <w:jc w:val="center"/>
                    <w:rPr>
                      <w:rFonts w:ascii="Times New Roman" w:hAnsi="Times New Roman"/>
                      <w:szCs w:val="21"/>
                    </w:rPr>
                  </w:pPr>
                  <w:r>
                    <w:rPr>
                      <w:rFonts w:ascii="Times New Roman" w:hAnsi="Times New Roman"/>
                      <w:szCs w:val="21"/>
                    </w:rPr>
                    <w:t>废</w:t>
                  </w:r>
                </w:p>
              </w:tc>
              <w:tc>
                <w:tcPr>
                  <w:tcW w:w="893" w:type="pct"/>
                  <w:tcBorders>
                    <w:tl2br w:val="nil"/>
                    <w:tr2bl w:val="nil"/>
                  </w:tcBorders>
                  <w:vAlign w:val="center"/>
                </w:tcPr>
                <w:p>
                  <w:pPr>
                    <w:jc w:val="center"/>
                    <w:rPr>
                      <w:rFonts w:ascii="Times New Roman" w:hAnsi="Times New Roman"/>
                      <w:szCs w:val="21"/>
                    </w:rPr>
                  </w:pPr>
                  <w:r>
                    <w:rPr>
                      <w:rFonts w:ascii="Times New Roman" w:hAnsi="Times New Roman"/>
                      <w:spacing w:val="-5"/>
                      <w:szCs w:val="21"/>
                    </w:rPr>
                    <w:t>除尘器收集</w:t>
                  </w:r>
                  <w:r>
                    <w:rPr>
                      <w:rFonts w:ascii="Times New Roman" w:hAnsi="Times New Roman"/>
                      <w:spacing w:val="-9"/>
                      <w:szCs w:val="21"/>
                    </w:rPr>
                    <w:t>的粉尘</w:t>
                  </w:r>
                </w:p>
              </w:tc>
              <w:tc>
                <w:tcPr>
                  <w:tcW w:w="3033" w:type="pct"/>
                  <w:tcBorders>
                    <w:tl2br w:val="nil"/>
                    <w:tr2bl w:val="nil"/>
                  </w:tcBorders>
                  <w:vAlign w:val="center"/>
                </w:tcPr>
                <w:p>
                  <w:pPr>
                    <w:jc w:val="center"/>
                    <w:rPr>
                      <w:rFonts w:ascii="Times New Roman" w:hAnsi="Times New Roman"/>
                      <w:szCs w:val="21"/>
                    </w:rPr>
                  </w:pPr>
                  <w:r>
                    <w:rPr>
                      <w:rFonts w:ascii="Times New Roman" w:hAnsi="Times New Roman"/>
                      <w:spacing w:val="-6"/>
                      <w:szCs w:val="21"/>
                    </w:rPr>
                    <w:t>回用于生产</w:t>
                  </w:r>
                </w:p>
              </w:tc>
              <w:tc>
                <w:tcPr>
                  <w:tcW w:w="709"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288" w:hRule="atLeast"/>
              </w:trPr>
              <w:tc>
                <w:tcPr>
                  <w:tcW w:w="364" w:type="pct"/>
                  <w:gridSpan w:val="2"/>
                  <w:vMerge w:val="continue"/>
                  <w:tcBorders>
                    <w:tl2br w:val="nil"/>
                    <w:tr2bl w:val="nil"/>
                  </w:tcBorders>
                  <w:vAlign w:val="center"/>
                </w:tcPr>
                <w:p>
                  <w:pPr>
                    <w:jc w:val="center"/>
                    <w:rPr>
                      <w:rFonts w:ascii="Times New Roman" w:hAnsi="Times New Roman"/>
                    </w:rPr>
                  </w:pPr>
                </w:p>
              </w:tc>
              <w:tc>
                <w:tcPr>
                  <w:tcW w:w="893" w:type="pct"/>
                  <w:tcBorders>
                    <w:tl2br w:val="nil"/>
                    <w:tr2bl w:val="nil"/>
                  </w:tcBorders>
                  <w:vAlign w:val="center"/>
                </w:tcPr>
                <w:p>
                  <w:pPr>
                    <w:jc w:val="center"/>
                    <w:rPr>
                      <w:rFonts w:ascii="Times New Roman" w:hAnsi="Times New Roman"/>
                      <w:szCs w:val="21"/>
                    </w:rPr>
                  </w:pPr>
                  <w:r>
                    <w:rPr>
                      <w:rFonts w:ascii="Times New Roman" w:hAnsi="Times New Roman"/>
                      <w:spacing w:val="-3"/>
                      <w:szCs w:val="21"/>
                    </w:rPr>
                    <w:t>生活垃圾</w:t>
                  </w:r>
                </w:p>
              </w:tc>
              <w:tc>
                <w:tcPr>
                  <w:tcW w:w="3033" w:type="pct"/>
                  <w:tcBorders>
                    <w:tl2br w:val="nil"/>
                    <w:tr2bl w:val="nil"/>
                  </w:tcBorders>
                  <w:vAlign w:val="center"/>
                </w:tcPr>
                <w:p>
                  <w:pPr>
                    <w:jc w:val="center"/>
                    <w:rPr>
                      <w:rFonts w:ascii="Times New Roman" w:hAnsi="Times New Roman"/>
                      <w:szCs w:val="21"/>
                    </w:rPr>
                  </w:pPr>
                  <w:r>
                    <w:rPr>
                      <w:rFonts w:ascii="Times New Roman" w:hAnsi="Times New Roman"/>
                      <w:spacing w:val="-1"/>
                      <w:szCs w:val="21"/>
                    </w:rPr>
                    <w:t>垃圾箱</w:t>
                  </w:r>
                </w:p>
              </w:tc>
              <w:tc>
                <w:tcPr>
                  <w:tcW w:w="709" w:type="pct"/>
                  <w:tcBorders>
                    <w:tl2br w:val="nil"/>
                    <w:tr2bl w:val="nil"/>
                  </w:tcBorders>
                  <w:vAlign w:val="center"/>
                </w:tcPr>
                <w:p>
                  <w:pPr>
                    <w:jc w:val="center"/>
                    <w:rPr>
                      <w:rFonts w:ascii="Times New Roman" w:hAnsi="Times New Roman"/>
                      <w:sz w:val="20"/>
                      <w:szCs w:val="20"/>
                    </w:rPr>
                  </w:pPr>
                  <w:r>
                    <w:rPr>
                      <w:rFonts w:ascii="Times New Roman" w:hAnsi="Times New Roman"/>
                      <w:spacing w:val="2"/>
                      <w:w w:val="101"/>
                      <w:sz w:val="20"/>
                      <w:szCs w:val="20"/>
                    </w:rPr>
                    <w:t>1</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309" w:hRule="atLeast"/>
              </w:trPr>
              <w:tc>
                <w:tcPr>
                  <w:tcW w:w="1257" w:type="pct"/>
                  <w:gridSpan w:val="3"/>
                  <w:tcBorders>
                    <w:tl2br w:val="nil"/>
                    <w:tr2bl w:val="nil"/>
                  </w:tcBorders>
                  <w:vAlign w:val="center"/>
                </w:tcPr>
                <w:p>
                  <w:pPr>
                    <w:jc w:val="center"/>
                    <w:rPr>
                      <w:rFonts w:ascii="Times New Roman" w:hAnsi="Times New Roman"/>
                      <w:szCs w:val="21"/>
                    </w:rPr>
                  </w:pPr>
                  <w:r>
                    <w:rPr>
                      <w:rFonts w:ascii="Times New Roman" w:hAnsi="Times New Roman"/>
                      <w:spacing w:val="-3"/>
                      <w:szCs w:val="21"/>
                    </w:rPr>
                    <w:t>环境管理</w:t>
                  </w:r>
                </w:p>
              </w:tc>
              <w:tc>
                <w:tcPr>
                  <w:tcW w:w="3033" w:type="pct"/>
                  <w:tcBorders>
                    <w:tl2br w:val="nil"/>
                    <w:tr2bl w:val="nil"/>
                  </w:tcBorders>
                  <w:vAlign w:val="center"/>
                </w:tcPr>
                <w:p>
                  <w:pPr>
                    <w:jc w:val="center"/>
                    <w:rPr>
                      <w:rFonts w:ascii="Times New Roman" w:hAnsi="Times New Roman"/>
                      <w:szCs w:val="21"/>
                    </w:rPr>
                  </w:pPr>
                  <w:r>
                    <w:rPr>
                      <w:rFonts w:ascii="Times New Roman" w:hAnsi="Times New Roman"/>
                      <w:spacing w:val="-1"/>
                      <w:szCs w:val="21"/>
                    </w:rPr>
                    <w:t>制定环境管理制度、做好运营期监测</w:t>
                  </w:r>
                </w:p>
              </w:tc>
              <w:tc>
                <w:tcPr>
                  <w:tcW w:w="709" w:type="pct"/>
                  <w:tcBorders>
                    <w:tl2br w:val="nil"/>
                    <w:tr2bl w:val="nil"/>
                  </w:tcBorders>
                  <w:vAlign w:val="center"/>
                </w:tcPr>
                <w:p>
                  <w:pPr>
                    <w:jc w:val="center"/>
                    <w:rPr>
                      <w:rFonts w:ascii="Times New Roman" w:hAnsi="Times New Roman" w:eastAsia="Times New Roman"/>
                      <w:szCs w:val="21"/>
                    </w:rPr>
                  </w:pPr>
                  <w:r>
                    <w:rPr>
                      <w:rFonts w:ascii="Times New Roman" w:hAnsi="Times New Roman" w:eastAsia="Times New Roman"/>
                      <w:szCs w:val="21"/>
                    </w:rPr>
                    <w:t>1</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4" w:space="0"/>
                </w:tblBorders>
                <w:tblCellMar>
                  <w:top w:w="0" w:type="dxa"/>
                  <w:left w:w="0" w:type="dxa"/>
                  <w:bottom w:w="0" w:type="dxa"/>
                  <w:right w:w="0" w:type="dxa"/>
                </w:tblCellMar>
              </w:tblPrEx>
              <w:trPr>
                <w:trHeight w:val="309" w:hRule="atLeast"/>
              </w:trPr>
              <w:tc>
                <w:tcPr>
                  <w:tcW w:w="4290" w:type="pct"/>
                  <w:gridSpan w:val="4"/>
                  <w:tcBorders>
                    <w:tl2br w:val="nil"/>
                    <w:tr2bl w:val="nil"/>
                  </w:tcBorders>
                  <w:vAlign w:val="center"/>
                </w:tcPr>
                <w:p>
                  <w:pPr>
                    <w:jc w:val="center"/>
                    <w:rPr>
                      <w:rFonts w:ascii="Times New Roman" w:hAnsi="Times New Roman"/>
                      <w:spacing w:val="-1"/>
                      <w:szCs w:val="21"/>
                    </w:rPr>
                  </w:pPr>
                  <w:r>
                    <w:rPr>
                      <w:rFonts w:ascii="Times New Roman" w:hAnsi="Times New Roman"/>
                      <w:spacing w:val="-1"/>
                      <w:szCs w:val="21"/>
                    </w:rPr>
                    <w:t>合计</w:t>
                  </w:r>
                </w:p>
              </w:tc>
              <w:tc>
                <w:tcPr>
                  <w:tcW w:w="709" w:type="pct"/>
                  <w:tcBorders>
                    <w:tl2br w:val="nil"/>
                    <w:tr2bl w:val="nil"/>
                  </w:tcBorders>
                  <w:vAlign w:val="center"/>
                </w:tcPr>
                <w:p>
                  <w:pPr>
                    <w:jc w:val="center"/>
                    <w:rPr>
                      <w:rFonts w:ascii="Times New Roman" w:hAnsi="Times New Roman"/>
                      <w:szCs w:val="21"/>
                    </w:rPr>
                  </w:pPr>
                  <w:r>
                    <w:rPr>
                      <w:rFonts w:hint="eastAsia" w:ascii="Times New Roman" w:hAnsi="Times New Roman"/>
                      <w:szCs w:val="21"/>
                    </w:rPr>
                    <w:t>6</w:t>
                  </w:r>
                </w:p>
              </w:tc>
            </w:tr>
          </w:tbl>
          <w:p>
            <w:pPr>
              <w:spacing w:line="360" w:lineRule="auto"/>
              <w:ind w:firstLine="482" w:firstLineChars="200"/>
              <w:rPr>
                <w:rFonts w:ascii="Times New Roman" w:hAnsi="Times New Roman"/>
                <w:b/>
                <w:bCs/>
                <w:sz w:val="24"/>
              </w:rPr>
            </w:pPr>
            <w:r>
              <w:rPr>
                <w:rFonts w:ascii="Times New Roman" w:hAnsi="Times New Roman"/>
                <w:b/>
                <w:bCs/>
                <w:sz w:val="24"/>
              </w:rPr>
              <w:t>9、“三同时”验收</w:t>
            </w:r>
          </w:p>
          <w:p>
            <w:pPr>
              <w:spacing w:line="360" w:lineRule="auto"/>
              <w:ind w:firstLine="480" w:firstLineChars="200"/>
              <w:rPr>
                <w:rFonts w:ascii="Times New Roman" w:hAnsi="Times New Roman"/>
                <w:sz w:val="24"/>
              </w:rPr>
            </w:pPr>
            <w:r>
              <w:rPr>
                <w:rFonts w:ascii="Times New Roman" w:hAnsi="Times New Roman"/>
                <w:sz w:val="24"/>
              </w:rPr>
              <w:t>本工程完成后，根据《建设项目环境保护管理条例》（国务院令682号，2017年10月1日实施）和《建设项目环境保护事中事后监督管理办法》的要求，由企业自行进行验收调查。</w:t>
            </w:r>
          </w:p>
          <w:p>
            <w:pPr>
              <w:spacing w:line="360" w:lineRule="auto"/>
              <w:ind w:firstLine="480" w:firstLineChars="200"/>
              <w:rPr>
                <w:rFonts w:ascii="Times New Roman" w:hAnsi="Times New Roman"/>
                <w:b/>
                <w:bCs/>
                <w:szCs w:val="21"/>
              </w:rPr>
            </w:pPr>
            <w:r>
              <w:rPr>
                <w:rFonts w:ascii="Times New Roman" w:hAnsi="Times New Roman"/>
                <w:sz w:val="24"/>
              </w:rPr>
              <w:t>环保验收的主要内容见表4-1</w:t>
            </w:r>
            <w:r>
              <w:rPr>
                <w:rFonts w:hint="eastAsia" w:ascii="Times New Roman" w:hAnsi="Times New Roman"/>
                <w:sz w:val="24"/>
              </w:rPr>
              <w:t>2</w:t>
            </w:r>
            <w:r>
              <w:rPr>
                <w:rFonts w:ascii="Times New Roman" w:hAnsi="Times New Roman"/>
                <w:sz w:val="24"/>
              </w:rPr>
              <w:t>。</w:t>
            </w:r>
          </w:p>
          <w:p>
            <w:pPr>
              <w:adjustRightInd w:val="0"/>
              <w:snapToGrid w:val="0"/>
              <w:spacing w:line="360" w:lineRule="auto"/>
              <w:jc w:val="center"/>
              <w:rPr>
                <w:rFonts w:ascii="Times New Roman" w:hAnsi="Times New Roman"/>
                <w:b/>
                <w:bCs/>
                <w:szCs w:val="21"/>
              </w:rPr>
            </w:pPr>
          </w:p>
          <w:p>
            <w:pPr>
              <w:adjustRightInd w:val="0"/>
              <w:snapToGrid w:val="0"/>
              <w:spacing w:line="360" w:lineRule="auto"/>
              <w:jc w:val="center"/>
              <w:rPr>
                <w:rFonts w:ascii="Times New Roman" w:hAnsi="Times New Roman"/>
                <w:b/>
                <w:bCs/>
                <w:szCs w:val="21"/>
              </w:rPr>
            </w:pPr>
          </w:p>
          <w:p>
            <w:pPr>
              <w:adjustRightInd w:val="0"/>
              <w:snapToGrid w:val="0"/>
              <w:spacing w:line="360" w:lineRule="auto"/>
              <w:jc w:val="center"/>
              <w:rPr>
                <w:rFonts w:ascii="Times New Roman" w:hAnsi="Times New Roman"/>
                <w:b/>
                <w:bCs/>
                <w:szCs w:val="21"/>
              </w:rPr>
            </w:pPr>
            <w:r>
              <w:rPr>
                <w:rFonts w:ascii="Times New Roman" w:hAnsi="Times New Roman"/>
                <w:b/>
                <w:bCs/>
                <w:szCs w:val="21"/>
              </w:rPr>
              <w:t>表4-1</w:t>
            </w:r>
            <w:r>
              <w:rPr>
                <w:rFonts w:hint="eastAsia" w:ascii="Times New Roman" w:hAnsi="Times New Roman"/>
                <w:b/>
                <w:bCs/>
                <w:szCs w:val="21"/>
              </w:rPr>
              <w:t xml:space="preserve">2  </w:t>
            </w:r>
            <w:r>
              <w:rPr>
                <w:rFonts w:ascii="Times New Roman" w:hAnsi="Times New Roman"/>
                <w:b/>
                <w:bCs/>
                <w:szCs w:val="21"/>
              </w:rPr>
              <w:t>环保措施“三同时”竣工验收一览表</w:t>
            </w:r>
          </w:p>
          <w:tbl>
            <w:tblPr>
              <w:tblStyle w:val="24"/>
              <w:tblW w:w="7857" w:type="dxa"/>
              <w:jc w:val="center"/>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autofit"/>
              <w:tblCellMar>
                <w:top w:w="0" w:type="dxa"/>
                <w:left w:w="108" w:type="dxa"/>
                <w:bottom w:w="0" w:type="dxa"/>
                <w:right w:w="108" w:type="dxa"/>
              </w:tblCellMar>
            </w:tblPr>
            <w:tblGrid>
              <w:gridCol w:w="882"/>
              <w:gridCol w:w="651"/>
              <w:gridCol w:w="530"/>
              <w:gridCol w:w="937"/>
              <w:gridCol w:w="1594"/>
              <w:gridCol w:w="1189"/>
              <w:gridCol w:w="1982"/>
              <w:gridCol w:w="92"/>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gridAfter w:val="1"/>
                <w:wAfter w:w="92" w:type="dxa"/>
                <w:trHeight w:val="419" w:hRule="atLeast"/>
                <w:jc w:val="center"/>
              </w:trPr>
              <w:tc>
                <w:tcPr>
                  <w:tcW w:w="882" w:type="dxa"/>
                  <w:vAlign w:val="center"/>
                </w:tcPr>
                <w:p>
                  <w:pPr>
                    <w:widowControl/>
                    <w:jc w:val="center"/>
                    <w:rPr>
                      <w:rFonts w:ascii="Times New Roman" w:hAnsi="Times New Roman"/>
                      <w:b/>
                      <w:bCs/>
                      <w:szCs w:val="21"/>
                    </w:rPr>
                  </w:pPr>
                  <w:r>
                    <w:rPr>
                      <w:rFonts w:ascii="Times New Roman" w:hAnsi="Times New Roman"/>
                      <w:b/>
                      <w:bCs/>
                      <w:szCs w:val="21"/>
                    </w:rPr>
                    <w:t>环保工程</w:t>
                  </w:r>
                </w:p>
              </w:tc>
              <w:tc>
                <w:tcPr>
                  <w:tcW w:w="1181" w:type="dxa"/>
                  <w:gridSpan w:val="2"/>
                  <w:vAlign w:val="center"/>
                </w:tcPr>
                <w:p>
                  <w:pPr>
                    <w:widowControl/>
                    <w:jc w:val="center"/>
                    <w:rPr>
                      <w:rFonts w:ascii="Times New Roman" w:hAnsi="Times New Roman"/>
                      <w:b/>
                      <w:bCs/>
                      <w:szCs w:val="21"/>
                    </w:rPr>
                  </w:pPr>
                  <w:r>
                    <w:rPr>
                      <w:rFonts w:ascii="Times New Roman" w:hAnsi="Times New Roman"/>
                      <w:b/>
                      <w:bCs/>
                      <w:szCs w:val="21"/>
                    </w:rPr>
                    <w:t>污染源</w:t>
                  </w:r>
                </w:p>
              </w:tc>
              <w:tc>
                <w:tcPr>
                  <w:tcW w:w="937" w:type="dxa"/>
                  <w:vAlign w:val="center"/>
                </w:tcPr>
                <w:p>
                  <w:pPr>
                    <w:widowControl/>
                    <w:jc w:val="center"/>
                    <w:rPr>
                      <w:rFonts w:ascii="Times New Roman" w:hAnsi="Times New Roman"/>
                      <w:b/>
                      <w:bCs/>
                      <w:szCs w:val="21"/>
                    </w:rPr>
                  </w:pPr>
                  <w:r>
                    <w:rPr>
                      <w:rFonts w:ascii="Times New Roman" w:hAnsi="Times New Roman"/>
                      <w:b/>
                      <w:bCs/>
                      <w:szCs w:val="21"/>
                    </w:rPr>
                    <w:t>监测项目</w:t>
                  </w:r>
                </w:p>
              </w:tc>
              <w:tc>
                <w:tcPr>
                  <w:tcW w:w="1594" w:type="dxa"/>
                  <w:vAlign w:val="center"/>
                </w:tcPr>
                <w:p>
                  <w:pPr>
                    <w:widowControl/>
                    <w:jc w:val="center"/>
                    <w:rPr>
                      <w:rFonts w:ascii="Times New Roman" w:hAnsi="Times New Roman"/>
                      <w:b/>
                      <w:bCs/>
                      <w:szCs w:val="21"/>
                    </w:rPr>
                  </w:pPr>
                  <w:r>
                    <w:rPr>
                      <w:rFonts w:ascii="Times New Roman" w:hAnsi="Times New Roman"/>
                      <w:b/>
                      <w:bCs/>
                      <w:szCs w:val="21"/>
                    </w:rPr>
                    <w:t>设施或措施内容</w:t>
                  </w:r>
                </w:p>
              </w:tc>
              <w:tc>
                <w:tcPr>
                  <w:tcW w:w="1189" w:type="dxa"/>
                  <w:vAlign w:val="center"/>
                </w:tcPr>
                <w:p>
                  <w:pPr>
                    <w:widowControl/>
                    <w:jc w:val="center"/>
                    <w:rPr>
                      <w:rFonts w:ascii="Times New Roman" w:hAnsi="Times New Roman"/>
                      <w:b/>
                      <w:bCs/>
                      <w:szCs w:val="21"/>
                    </w:rPr>
                  </w:pPr>
                  <w:r>
                    <w:rPr>
                      <w:rFonts w:ascii="Times New Roman" w:hAnsi="Times New Roman"/>
                      <w:b/>
                      <w:bCs/>
                      <w:szCs w:val="21"/>
                    </w:rPr>
                    <w:t>监测位置</w:t>
                  </w:r>
                </w:p>
              </w:tc>
              <w:tc>
                <w:tcPr>
                  <w:tcW w:w="1982" w:type="dxa"/>
                  <w:vAlign w:val="center"/>
                </w:tcPr>
                <w:p>
                  <w:pPr>
                    <w:widowControl/>
                    <w:ind w:firstLine="316" w:firstLineChars="150"/>
                    <w:jc w:val="center"/>
                    <w:rPr>
                      <w:rFonts w:ascii="Times New Roman" w:hAnsi="Times New Roman"/>
                      <w:b/>
                      <w:bCs/>
                      <w:szCs w:val="21"/>
                    </w:rPr>
                  </w:pPr>
                  <w:r>
                    <w:rPr>
                      <w:rFonts w:ascii="Times New Roman" w:hAnsi="Times New Roman"/>
                      <w:b/>
                      <w:bCs/>
                      <w:szCs w:val="21"/>
                    </w:rPr>
                    <w:t>执行标准或监测验收要求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843" w:hRule="atLeast"/>
                <w:jc w:val="center"/>
              </w:trPr>
              <w:tc>
                <w:tcPr>
                  <w:tcW w:w="882" w:type="dxa"/>
                  <w:vMerge w:val="restart"/>
                  <w:vAlign w:val="center"/>
                </w:tcPr>
                <w:p>
                  <w:pPr>
                    <w:widowControl/>
                    <w:jc w:val="center"/>
                    <w:rPr>
                      <w:rFonts w:ascii="Times New Roman" w:hAnsi="Times New Roman"/>
                      <w:szCs w:val="21"/>
                    </w:rPr>
                  </w:pPr>
                  <w:r>
                    <w:rPr>
                      <w:rFonts w:ascii="Times New Roman" w:hAnsi="Times New Roman"/>
                      <w:szCs w:val="21"/>
                    </w:rPr>
                    <w:t>废气治理措施</w:t>
                  </w:r>
                </w:p>
              </w:tc>
              <w:tc>
                <w:tcPr>
                  <w:tcW w:w="651" w:type="dxa"/>
                  <w:vAlign w:val="center"/>
                </w:tcPr>
                <w:p>
                  <w:pPr>
                    <w:widowControl/>
                    <w:jc w:val="center"/>
                    <w:rPr>
                      <w:rFonts w:ascii="Times New Roman" w:hAnsi="Times New Roman"/>
                      <w:szCs w:val="21"/>
                    </w:rPr>
                  </w:pPr>
                  <w:r>
                    <w:rPr>
                      <w:rFonts w:ascii="Times New Roman" w:hAnsi="Times New Roman"/>
                      <w:szCs w:val="21"/>
                    </w:rPr>
                    <w:t>无组织废气</w:t>
                  </w:r>
                </w:p>
              </w:tc>
              <w:tc>
                <w:tcPr>
                  <w:tcW w:w="530" w:type="dxa"/>
                  <w:vAlign w:val="center"/>
                </w:tcPr>
                <w:p>
                  <w:pPr>
                    <w:jc w:val="center"/>
                    <w:rPr>
                      <w:rFonts w:ascii="Times New Roman" w:hAnsi="Times New Roman"/>
                      <w:szCs w:val="21"/>
                    </w:rPr>
                  </w:pPr>
                  <w:r>
                    <w:rPr>
                      <w:rFonts w:ascii="Times New Roman" w:hAnsi="Times New Roman"/>
                      <w:spacing w:val="-4"/>
                      <w:szCs w:val="21"/>
                    </w:rPr>
                    <w:t>筒仓</w:t>
                  </w:r>
                </w:p>
              </w:tc>
              <w:tc>
                <w:tcPr>
                  <w:tcW w:w="937" w:type="dxa"/>
                  <w:vAlign w:val="center"/>
                </w:tcPr>
                <w:p>
                  <w:pPr>
                    <w:widowControl/>
                    <w:jc w:val="center"/>
                    <w:rPr>
                      <w:rFonts w:ascii="Times New Roman" w:hAnsi="Times New Roman"/>
                      <w:szCs w:val="21"/>
                    </w:rPr>
                  </w:pPr>
                  <w:r>
                    <w:rPr>
                      <w:rFonts w:ascii="Times New Roman" w:hAnsi="Times New Roman"/>
                      <w:szCs w:val="21"/>
                    </w:rPr>
                    <w:t>颗粒物</w:t>
                  </w:r>
                </w:p>
              </w:tc>
              <w:tc>
                <w:tcPr>
                  <w:tcW w:w="1594" w:type="dxa"/>
                  <w:vAlign w:val="center"/>
                </w:tcPr>
                <w:p>
                  <w:pPr>
                    <w:widowControl/>
                    <w:jc w:val="center"/>
                    <w:rPr>
                      <w:rFonts w:ascii="Times New Roman" w:hAnsi="Times New Roman"/>
                      <w:szCs w:val="21"/>
                    </w:rPr>
                  </w:pPr>
                  <w:r>
                    <w:rPr>
                      <w:rFonts w:ascii="Times New Roman" w:hAnsi="Times New Roman"/>
                      <w:spacing w:val="-2"/>
                      <w:szCs w:val="21"/>
                    </w:rPr>
                    <w:t>1套仓顶袋式除尘器</w:t>
                  </w:r>
                </w:p>
              </w:tc>
              <w:tc>
                <w:tcPr>
                  <w:tcW w:w="1189" w:type="dxa"/>
                  <w:vAlign w:val="center"/>
                </w:tcPr>
                <w:p>
                  <w:pPr>
                    <w:widowControl/>
                    <w:jc w:val="center"/>
                    <w:rPr>
                      <w:rFonts w:ascii="Times New Roman" w:hAnsi="Times New Roman"/>
                      <w:szCs w:val="21"/>
                    </w:rPr>
                  </w:pPr>
                  <w:r>
                    <w:rPr>
                      <w:rFonts w:ascii="Times New Roman" w:hAnsi="Times New Roman"/>
                      <w:szCs w:val="21"/>
                    </w:rPr>
                    <w:t>/</w:t>
                  </w:r>
                </w:p>
              </w:tc>
              <w:tc>
                <w:tcPr>
                  <w:tcW w:w="2074" w:type="dxa"/>
                  <w:gridSpan w:val="2"/>
                  <w:vAlign w:val="center"/>
                </w:tcPr>
                <w:p>
                  <w:pPr>
                    <w:rPr>
                      <w:rFonts w:ascii="Times New Roman" w:hAnsi="Times New Roman"/>
                    </w:rPr>
                  </w:pPr>
                  <w:r>
                    <w:rPr>
                      <w:rFonts w:ascii="Times New Roman" w:hAnsi="Times New Roman"/>
                      <w:szCs w:val="21"/>
                    </w:rPr>
                    <w:t>水泥工业大气污染物排放标准》（GB4915-2013）表3中粉尘无组织排放限值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690" w:hRule="atLeast"/>
                <w:jc w:val="center"/>
              </w:trPr>
              <w:tc>
                <w:tcPr>
                  <w:tcW w:w="882" w:type="dxa"/>
                  <w:vMerge w:val="continue"/>
                  <w:vAlign w:val="center"/>
                </w:tcPr>
                <w:p>
                  <w:pPr>
                    <w:widowControl/>
                    <w:jc w:val="center"/>
                    <w:rPr>
                      <w:rFonts w:ascii="Times New Roman" w:hAnsi="Times New Roman"/>
                      <w:szCs w:val="21"/>
                    </w:rPr>
                  </w:pPr>
                </w:p>
              </w:tc>
              <w:tc>
                <w:tcPr>
                  <w:tcW w:w="651" w:type="dxa"/>
                  <w:vAlign w:val="center"/>
                </w:tcPr>
                <w:p>
                  <w:pPr>
                    <w:widowControl/>
                    <w:rPr>
                      <w:rFonts w:ascii="Times New Roman" w:hAnsi="Times New Roman"/>
                      <w:szCs w:val="21"/>
                    </w:rPr>
                  </w:pPr>
                  <w:r>
                    <w:rPr>
                      <w:rFonts w:ascii="Times New Roman" w:hAnsi="Times New Roman"/>
                      <w:szCs w:val="21"/>
                    </w:rPr>
                    <w:t>无组织废气</w:t>
                  </w:r>
                </w:p>
              </w:tc>
              <w:tc>
                <w:tcPr>
                  <w:tcW w:w="530" w:type="dxa"/>
                  <w:vAlign w:val="center"/>
                </w:tcPr>
                <w:p>
                  <w:pPr>
                    <w:rPr>
                      <w:rFonts w:ascii="Times New Roman" w:hAnsi="Times New Roman"/>
                      <w:szCs w:val="21"/>
                    </w:rPr>
                  </w:pPr>
                  <w:r>
                    <w:rPr>
                      <w:rFonts w:ascii="Times New Roman" w:hAnsi="Times New Roman"/>
                      <w:szCs w:val="21"/>
                    </w:rPr>
                    <w:t>运输粉尘</w:t>
                  </w:r>
                </w:p>
              </w:tc>
              <w:tc>
                <w:tcPr>
                  <w:tcW w:w="937" w:type="dxa"/>
                  <w:vAlign w:val="center"/>
                </w:tcPr>
                <w:p>
                  <w:pPr>
                    <w:widowControl/>
                    <w:jc w:val="center"/>
                    <w:rPr>
                      <w:rFonts w:ascii="Times New Roman" w:hAnsi="Times New Roman"/>
                      <w:szCs w:val="21"/>
                    </w:rPr>
                  </w:pPr>
                  <w:r>
                    <w:rPr>
                      <w:rFonts w:ascii="Times New Roman" w:hAnsi="Times New Roman"/>
                      <w:szCs w:val="21"/>
                    </w:rPr>
                    <w:t>颗粒物</w:t>
                  </w:r>
                </w:p>
              </w:tc>
              <w:tc>
                <w:tcPr>
                  <w:tcW w:w="1594" w:type="dxa"/>
                  <w:vAlign w:val="center"/>
                </w:tcPr>
                <w:p>
                  <w:pPr>
                    <w:widowControl/>
                    <w:jc w:val="center"/>
                    <w:rPr>
                      <w:rFonts w:ascii="Times New Roman" w:hAnsi="Times New Roman"/>
                      <w:szCs w:val="21"/>
                    </w:rPr>
                  </w:pPr>
                  <w:r>
                    <w:rPr>
                      <w:rFonts w:ascii="Times New Roman" w:hAnsi="Times New Roman"/>
                      <w:spacing w:val="-15"/>
                      <w:szCs w:val="21"/>
                    </w:rPr>
                    <w:t>地面硬化，同时在进厂道路两侧设置洒水喷头，对</w:t>
                  </w:r>
                  <w:r>
                    <w:rPr>
                      <w:rFonts w:ascii="Times New Roman" w:hAnsi="Times New Roman"/>
                      <w:spacing w:val="-2"/>
                      <w:szCs w:val="21"/>
                    </w:rPr>
                    <w:t>道路洒水抑尘</w:t>
                  </w:r>
                </w:p>
              </w:tc>
              <w:tc>
                <w:tcPr>
                  <w:tcW w:w="1189" w:type="dxa"/>
                  <w:vAlign w:val="center"/>
                </w:tcPr>
                <w:p>
                  <w:pPr>
                    <w:widowControl/>
                    <w:jc w:val="center"/>
                    <w:rPr>
                      <w:rFonts w:ascii="Times New Roman" w:hAnsi="Times New Roman"/>
                      <w:szCs w:val="21"/>
                    </w:rPr>
                  </w:pPr>
                  <w:r>
                    <w:rPr>
                      <w:rFonts w:ascii="Times New Roman" w:hAnsi="Times New Roman"/>
                      <w:szCs w:val="21"/>
                    </w:rPr>
                    <w:t>厂界下风向10m处</w:t>
                  </w:r>
                </w:p>
              </w:tc>
              <w:tc>
                <w:tcPr>
                  <w:tcW w:w="2074" w:type="dxa"/>
                  <w:gridSpan w:val="2"/>
                  <w:vAlign w:val="center"/>
                </w:tcPr>
                <w:p>
                  <w:pPr>
                    <w:jc w:val="center"/>
                    <w:rPr>
                      <w:rFonts w:ascii="Times New Roman" w:hAnsi="Times New Roman"/>
                      <w:szCs w:val="21"/>
                    </w:rPr>
                  </w:pPr>
                  <w:r>
                    <w:rPr>
                      <w:rFonts w:ascii="Times New Roman" w:hAnsi="Times New Roman"/>
                      <w:szCs w:val="21"/>
                    </w:rPr>
                    <w:t>《水泥工业大气污染物排放标准》（GB4915-2013）表3中粉尘无组织排放限值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721" w:hRule="atLeast"/>
                <w:jc w:val="center"/>
              </w:trPr>
              <w:tc>
                <w:tcPr>
                  <w:tcW w:w="882" w:type="dxa"/>
                  <w:vAlign w:val="center"/>
                </w:tcPr>
                <w:p>
                  <w:pPr>
                    <w:jc w:val="center"/>
                    <w:rPr>
                      <w:rFonts w:ascii="Times New Roman" w:hAnsi="Times New Roman"/>
                      <w:szCs w:val="21"/>
                    </w:rPr>
                  </w:pPr>
                  <w:r>
                    <w:rPr>
                      <w:rFonts w:ascii="Times New Roman" w:hAnsi="Times New Roman"/>
                      <w:szCs w:val="21"/>
                    </w:rPr>
                    <w:t>废水治理措施</w:t>
                  </w:r>
                </w:p>
              </w:tc>
              <w:tc>
                <w:tcPr>
                  <w:tcW w:w="2118" w:type="dxa"/>
                  <w:gridSpan w:val="3"/>
                  <w:vAlign w:val="center"/>
                </w:tcPr>
                <w:p>
                  <w:pPr>
                    <w:jc w:val="center"/>
                    <w:rPr>
                      <w:rFonts w:ascii="Times New Roman" w:hAnsi="Times New Roman"/>
                      <w:szCs w:val="21"/>
                    </w:rPr>
                  </w:pPr>
                  <w:r>
                    <w:rPr>
                      <w:rFonts w:ascii="Times New Roman" w:hAnsi="Times New Roman"/>
                      <w:spacing w:val="-2"/>
                      <w:szCs w:val="21"/>
                    </w:rPr>
                    <w:t>车辆清洗废水</w:t>
                  </w:r>
                </w:p>
              </w:tc>
              <w:tc>
                <w:tcPr>
                  <w:tcW w:w="1594" w:type="dxa"/>
                  <w:vAlign w:val="center"/>
                </w:tcPr>
                <w:p>
                  <w:pPr>
                    <w:jc w:val="center"/>
                    <w:rPr>
                      <w:rFonts w:ascii="Times New Roman" w:hAnsi="Times New Roman"/>
                      <w:szCs w:val="21"/>
                    </w:rPr>
                  </w:pPr>
                  <w:r>
                    <w:rPr>
                      <w:rFonts w:ascii="Times New Roman" w:hAnsi="Times New Roman"/>
                      <w:spacing w:val="-2"/>
                      <w:szCs w:val="21"/>
                    </w:rPr>
                    <w:t>车</w:t>
                  </w:r>
                  <w:r>
                    <w:rPr>
                      <w:rFonts w:ascii="Times New Roman" w:hAnsi="Times New Roman"/>
                      <w:spacing w:val="-1"/>
                      <w:szCs w:val="21"/>
                    </w:rPr>
                    <w:t>辆清洗装置及沉淀池，</w:t>
                  </w:r>
                  <w:r>
                    <w:rPr>
                      <w:rFonts w:ascii="Times New Roman" w:hAnsi="Times New Roman"/>
                      <w:spacing w:val="-2"/>
                      <w:szCs w:val="21"/>
                    </w:rPr>
                    <w:t>沉淀后循环使用</w:t>
                  </w:r>
                </w:p>
              </w:tc>
              <w:tc>
                <w:tcPr>
                  <w:tcW w:w="1189" w:type="dxa"/>
                  <w:vAlign w:val="center"/>
                </w:tcPr>
                <w:p>
                  <w:pPr>
                    <w:jc w:val="center"/>
                    <w:rPr>
                      <w:rFonts w:ascii="Times New Roman" w:hAnsi="Times New Roman"/>
                      <w:szCs w:val="21"/>
                    </w:rPr>
                  </w:pPr>
                  <w:r>
                    <w:rPr>
                      <w:rFonts w:ascii="Times New Roman" w:hAnsi="Times New Roman"/>
                      <w:szCs w:val="21"/>
                    </w:rPr>
                    <w:t>/</w:t>
                  </w:r>
                </w:p>
              </w:tc>
              <w:tc>
                <w:tcPr>
                  <w:tcW w:w="2074" w:type="dxa"/>
                  <w:gridSpan w:val="2"/>
                  <w:vAlign w:val="center"/>
                </w:tcPr>
                <w:p>
                  <w:pPr>
                    <w:jc w:val="center"/>
                    <w:rPr>
                      <w:rFonts w:ascii="Times New Roman" w:hAnsi="Times New Roman"/>
                      <w:szCs w:val="21"/>
                    </w:rPr>
                  </w:pPr>
                  <w:r>
                    <w:rPr>
                      <w:rFonts w:ascii="Times New Roman" w:hAnsi="Times New Roman"/>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gridAfter w:val="1"/>
                <w:wAfter w:w="92" w:type="dxa"/>
                <w:trHeight w:val="1647" w:hRule="atLeast"/>
                <w:jc w:val="center"/>
              </w:trPr>
              <w:tc>
                <w:tcPr>
                  <w:tcW w:w="882" w:type="dxa"/>
                  <w:vAlign w:val="center"/>
                </w:tcPr>
                <w:p>
                  <w:pPr>
                    <w:jc w:val="center"/>
                    <w:rPr>
                      <w:rFonts w:ascii="Times New Roman" w:hAnsi="Times New Roman"/>
                      <w:szCs w:val="21"/>
                    </w:rPr>
                  </w:pPr>
                  <w:r>
                    <w:rPr>
                      <w:rFonts w:ascii="Times New Roman" w:hAnsi="Times New Roman"/>
                      <w:szCs w:val="21"/>
                    </w:rPr>
                    <w:t>噪声治理措施</w:t>
                  </w:r>
                </w:p>
              </w:tc>
              <w:tc>
                <w:tcPr>
                  <w:tcW w:w="2118" w:type="dxa"/>
                  <w:gridSpan w:val="3"/>
                  <w:vAlign w:val="center"/>
                </w:tcPr>
                <w:p>
                  <w:pPr>
                    <w:jc w:val="center"/>
                    <w:rPr>
                      <w:rFonts w:ascii="Times New Roman" w:hAnsi="Times New Roman"/>
                      <w:szCs w:val="21"/>
                    </w:rPr>
                  </w:pPr>
                  <w:r>
                    <w:rPr>
                      <w:rFonts w:ascii="Times New Roman" w:hAnsi="Times New Roman"/>
                      <w:szCs w:val="21"/>
                    </w:rPr>
                    <w:t>设备噪声</w:t>
                  </w:r>
                </w:p>
              </w:tc>
              <w:tc>
                <w:tcPr>
                  <w:tcW w:w="1594" w:type="dxa"/>
                  <w:vAlign w:val="center"/>
                </w:tcPr>
                <w:p>
                  <w:pPr>
                    <w:jc w:val="center"/>
                    <w:rPr>
                      <w:rFonts w:ascii="Times New Roman" w:hAnsi="Times New Roman"/>
                      <w:szCs w:val="21"/>
                    </w:rPr>
                  </w:pPr>
                  <w:r>
                    <w:rPr>
                      <w:rFonts w:ascii="Times New Roman" w:hAnsi="Times New Roman"/>
                      <w:szCs w:val="21"/>
                    </w:rPr>
                    <w:t>隔声、减振</w:t>
                  </w:r>
                </w:p>
              </w:tc>
              <w:tc>
                <w:tcPr>
                  <w:tcW w:w="1189" w:type="dxa"/>
                  <w:vAlign w:val="center"/>
                </w:tcPr>
                <w:p>
                  <w:pPr>
                    <w:jc w:val="center"/>
                    <w:rPr>
                      <w:rFonts w:ascii="Times New Roman" w:hAnsi="Times New Roman"/>
                      <w:szCs w:val="21"/>
                    </w:rPr>
                  </w:pPr>
                  <w:r>
                    <w:rPr>
                      <w:rFonts w:ascii="Times New Roman" w:hAnsi="Times New Roman"/>
                      <w:szCs w:val="21"/>
                    </w:rPr>
                    <w:t>厂界四周</w:t>
                  </w:r>
                </w:p>
              </w:tc>
              <w:tc>
                <w:tcPr>
                  <w:tcW w:w="1982" w:type="dxa"/>
                  <w:vAlign w:val="center"/>
                </w:tcPr>
                <w:p>
                  <w:pPr>
                    <w:jc w:val="center"/>
                    <w:rPr>
                      <w:rFonts w:ascii="Times New Roman" w:hAnsi="Times New Roman"/>
                      <w:snapToGrid w:val="0"/>
                      <w:szCs w:val="21"/>
                    </w:rPr>
                  </w:pPr>
                  <w:r>
                    <w:rPr>
                      <w:rFonts w:ascii="Times New Roman" w:hAnsi="Times New Roman"/>
                      <w:snapToGrid w:val="0"/>
                      <w:szCs w:val="21"/>
                    </w:rPr>
                    <w:t>执行《工业企业厂界噪声标准》（GB12348-2008）中3类标准，昼间小于65dB（A），夜间小于55dB（A）。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gridAfter w:val="1"/>
                <w:wAfter w:w="92" w:type="dxa"/>
                <w:trHeight w:val="537" w:hRule="atLeast"/>
                <w:jc w:val="center"/>
              </w:trPr>
              <w:tc>
                <w:tcPr>
                  <w:tcW w:w="882" w:type="dxa"/>
                  <w:vMerge w:val="restart"/>
                  <w:vAlign w:val="center"/>
                </w:tcPr>
                <w:p>
                  <w:pPr>
                    <w:jc w:val="center"/>
                    <w:rPr>
                      <w:rFonts w:ascii="Times New Roman" w:hAnsi="Times New Roman"/>
                      <w:szCs w:val="21"/>
                    </w:rPr>
                  </w:pPr>
                  <w:r>
                    <w:rPr>
                      <w:rFonts w:ascii="Times New Roman" w:hAnsi="Times New Roman"/>
                      <w:szCs w:val="21"/>
                    </w:rPr>
                    <w:t>固体废物治理措施</w:t>
                  </w:r>
                </w:p>
              </w:tc>
              <w:tc>
                <w:tcPr>
                  <w:tcW w:w="1181" w:type="dxa"/>
                  <w:gridSpan w:val="2"/>
                  <w:vMerge w:val="restart"/>
                  <w:vAlign w:val="center"/>
                </w:tcPr>
                <w:p>
                  <w:pPr>
                    <w:jc w:val="center"/>
                    <w:rPr>
                      <w:rFonts w:ascii="Times New Roman" w:hAnsi="Times New Roman"/>
                      <w:szCs w:val="21"/>
                    </w:rPr>
                  </w:pPr>
                  <w:r>
                    <w:rPr>
                      <w:rFonts w:ascii="Times New Roman" w:hAnsi="Times New Roman"/>
                      <w:szCs w:val="21"/>
                    </w:rPr>
                    <w:t>一般固体废物</w:t>
                  </w:r>
                </w:p>
              </w:tc>
              <w:tc>
                <w:tcPr>
                  <w:tcW w:w="937" w:type="dxa"/>
                  <w:vAlign w:val="center"/>
                </w:tcPr>
                <w:p>
                  <w:pPr>
                    <w:jc w:val="center"/>
                    <w:rPr>
                      <w:rFonts w:ascii="Times New Roman" w:hAnsi="Times New Roman"/>
                      <w:szCs w:val="21"/>
                    </w:rPr>
                  </w:pPr>
                  <w:r>
                    <w:rPr>
                      <w:rFonts w:ascii="Times New Roman" w:hAnsi="Times New Roman"/>
                      <w:spacing w:val="-15"/>
                      <w:szCs w:val="21"/>
                    </w:rPr>
                    <w:t>除尘器收集粉尘，</w:t>
                  </w:r>
                </w:p>
              </w:tc>
              <w:tc>
                <w:tcPr>
                  <w:tcW w:w="1594" w:type="dxa"/>
                  <w:vAlign w:val="center"/>
                </w:tcPr>
                <w:p>
                  <w:pPr>
                    <w:rPr>
                      <w:rFonts w:ascii="Times New Roman" w:hAnsi="Times New Roman"/>
                      <w:szCs w:val="21"/>
                    </w:rPr>
                  </w:pPr>
                  <w:r>
                    <w:rPr>
                      <w:rFonts w:ascii="Times New Roman" w:hAnsi="Times New Roman"/>
                      <w:spacing w:val="-15"/>
                      <w:szCs w:val="21"/>
                    </w:rPr>
                    <w:t>回用于生产</w:t>
                  </w:r>
                </w:p>
              </w:tc>
              <w:tc>
                <w:tcPr>
                  <w:tcW w:w="1189" w:type="dxa"/>
                  <w:vAlign w:val="center"/>
                </w:tcPr>
                <w:p>
                  <w:pPr>
                    <w:jc w:val="center"/>
                    <w:rPr>
                      <w:rFonts w:ascii="Times New Roman" w:hAnsi="Times New Roman"/>
                      <w:szCs w:val="21"/>
                    </w:rPr>
                  </w:pPr>
                  <w:r>
                    <w:rPr>
                      <w:rFonts w:ascii="Times New Roman" w:hAnsi="Times New Roman"/>
                      <w:szCs w:val="21"/>
                    </w:rPr>
                    <w:t>/</w:t>
                  </w:r>
                </w:p>
              </w:tc>
              <w:tc>
                <w:tcPr>
                  <w:tcW w:w="1982" w:type="dxa"/>
                  <w:vMerge w:val="restart"/>
                  <w:vAlign w:val="center"/>
                </w:tcPr>
                <w:p>
                  <w:pPr>
                    <w:jc w:val="center"/>
                    <w:rPr>
                      <w:rFonts w:ascii="Times New Roman" w:hAnsi="Times New Roman"/>
                      <w:szCs w:val="21"/>
                    </w:rPr>
                  </w:pPr>
                  <w:r>
                    <w:rPr>
                      <w:rFonts w:ascii="Times New Roman" w:hAnsi="Times New Roman"/>
                      <w:szCs w:val="21"/>
                    </w:rPr>
                    <w:t>《一般工业固体废物贮存和填埋污染控制标准》（GB18599-2020）有关规定。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gridAfter w:val="1"/>
                <w:wAfter w:w="92" w:type="dxa"/>
                <w:trHeight w:val="90" w:hRule="atLeast"/>
                <w:jc w:val="center"/>
              </w:trPr>
              <w:tc>
                <w:tcPr>
                  <w:tcW w:w="882" w:type="dxa"/>
                  <w:vMerge w:val="continue"/>
                  <w:vAlign w:val="center"/>
                </w:tcPr>
                <w:p>
                  <w:pPr>
                    <w:jc w:val="center"/>
                    <w:rPr>
                      <w:rFonts w:ascii="Times New Roman" w:hAnsi="Times New Roman"/>
                      <w:szCs w:val="21"/>
                    </w:rPr>
                  </w:pPr>
                </w:p>
              </w:tc>
              <w:tc>
                <w:tcPr>
                  <w:tcW w:w="1181" w:type="dxa"/>
                  <w:gridSpan w:val="2"/>
                  <w:vMerge w:val="continue"/>
                  <w:vAlign w:val="center"/>
                </w:tcPr>
                <w:p>
                  <w:pPr>
                    <w:jc w:val="center"/>
                    <w:rPr>
                      <w:rFonts w:ascii="Times New Roman" w:hAnsi="Times New Roman"/>
                      <w:szCs w:val="21"/>
                    </w:rPr>
                  </w:pPr>
                </w:p>
              </w:tc>
              <w:tc>
                <w:tcPr>
                  <w:tcW w:w="937" w:type="dxa"/>
                  <w:vAlign w:val="center"/>
                </w:tcPr>
                <w:p>
                  <w:pPr>
                    <w:jc w:val="center"/>
                    <w:rPr>
                      <w:rFonts w:ascii="Times New Roman" w:hAnsi="Times New Roman"/>
                      <w:szCs w:val="21"/>
                    </w:rPr>
                  </w:pPr>
                  <w:r>
                    <w:rPr>
                      <w:rFonts w:ascii="Times New Roman" w:hAnsi="Times New Roman"/>
                      <w:szCs w:val="21"/>
                    </w:rPr>
                    <w:t>车辆、设备清洗固废</w:t>
                  </w:r>
                </w:p>
              </w:tc>
              <w:tc>
                <w:tcPr>
                  <w:tcW w:w="1594" w:type="dxa"/>
                  <w:vAlign w:val="center"/>
                </w:tcPr>
                <w:p>
                  <w:pPr>
                    <w:jc w:val="center"/>
                    <w:rPr>
                      <w:rFonts w:ascii="Times New Roman" w:hAnsi="Times New Roman"/>
                      <w:szCs w:val="21"/>
                    </w:rPr>
                  </w:pPr>
                  <w:r>
                    <w:rPr>
                      <w:rFonts w:ascii="Times New Roman" w:hAnsi="Times New Roman"/>
                      <w:spacing w:val="-15"/>
                      <w:szCs w:val="21"/>
                    </w:rPr>
                    <w:t>回用于生产</w:t>
                  </w:r>
                </w:p>
              </w:tc>
              <w:tc>
                <w:tcPr>
                  <w:tcW w:w="1189" w:type="dxa"/>
                  <w:vAlign w:val="center"/>
                </w:tcPr>
                <w:p>
                  <w:pPr>
                    <w:jc w:val="center"/>
                    <w:rPr>
                      <w:rFonts w:ascii="Times New Roman" w:hAnsi="Times New Roman"/>
                      <w:szCs w:val="21"/>
                    </w:rPr>
                  </w:pPr>
                  <w:r>
                    <w:rPr>
                      <w:rFonts w:ascii="Times New Roman" w:hAnsi="Times New Roman"/>
                      <w:szCs w:val="21"/>
                    </w:rPr>
                    <w:t>/</w:t>
                  </w:r>
                </w:p>
              </w:tc>
              <w:tc>
                <w:tcPr>
                  <w:tcW w:w="1982" w:type="dxa"/>
                  <w:vMerge w:val="continue"/>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gridAfter w:val="1"/>
                <w:wAfter w:w="92" w:type="dxa"/>
                <w:trHeight w:val="90" w:hRule="atLeast"/>
                <w:jc w:val="center"/>
              </w:trPr>
              <w:tc>
                <w:tcPr>
                  <w:tcW w:w="882" w:type="dxa"/>
                  <w:vMerge w:val="continue"/>
                  <w:vAlign w:val="center"/>
                </w:tcPr>
                <w:p>
                  <w:pPr>
                    <w:jc w:val="center"/>
                    <w:rPr>
                      <w:rFonts w:ascii="Times New Roman" w:hAnsi="Times New Roman"/>
                      <w:szCs w:val="21"/>
                    </w:rPr>
                  </w:pPr>
                </w:p>
              </w:tc>
              <w:tc>
                <w:tcPr>
                  <w:tcW w:w="1181" w:type="dxa"/>
                  <w:gridSpan w:val="2"/>
                  <w:vAlign w:val="center"/>
                </w:tcPr>
                <w:p>
                  <w:pPr>
                    <w:jc w:val="center"/>
                    <w:rPr>
                      <w:rFonts w:ascii="Times New Roman" w:hAnsi="Times New Roman"/>
                      <w:szCs w:val="21"/>
                    </w:rPr>
                  </w:pPr>
                  <w:r>
                    <w:rPr>
                      <w:rFonts w:ascii="Times New Roman" w:hAnsi="Times New Roman"/>
                      <w:szCs w:val="21"/>
                    </w:rPr>
                    <w:t>危险废物</w:t>
                  </w:r>
                </w:p>
              </w:tc>
              <w:tc>
                <w:tcPr>
                  <w:tcW w:w="937" w:type="dxa"/>
                  <w:vAlign w:val="center"/>
                </w:tcPr>
                <w:p>
                  <w:pPr>
                    <w:jc w:val="center"/>
                    <w:rPr>
                      <w:rFonts w:ascii="Times New Roman" w:hAnsi="Times New Roman"/>
                      <w:szCs w:val="21"/>
                    </w:rPr>
                  </w:pPr>
                  <w:r>
                    <w:rPr>
                      <w:rFonts w:ascii="Times New Roman" w:hAnsi="Times New Roman"/>
                      <w:kern w:val="0"/>
                      <w:szCs w:val="21"/>
                      <w:lang w:bidi="ar"/>
                    </w:rPr>
                    <w:t>废润滑油</w:t>
                  </w:r>
                </w:p>
              </w:tc>
              <w:tc>
                <w:tcPr>
                  <w:tcW w:w="1594" w:type="dxa"/>
                  <w:vAlign w:val="center"/>
                </w:tcPr>
                <w:p>
                  <w:pPr>
                    <w:jc w:val="center"/>
                    <w:rPr>
                      <w:rFonts w:ascii="Times New Roman" w:hAnsi="Times New Roman"/>
                      <w:spacing w:val="-15"/>
                      <w:szCs w:val="21"/>
                    </w:rPr>
                  </w:pPr>
                  <w:r>
                    <w:rPr>
                      <w:rFonts w:ascii="Times New Roman" w:hAnsi="Times New Roman"/>
                      <w:spacing w:val="-7"/>
                      <w:szCs w:val="21"/>
                    </w:rPr>
                    <w:t>不在厂区维修，运至汽车维修电维</w:t>
                  </w:r>
                </w:p>
              </w:tc>
              <w:tc>
                <w:tcPr>
                  <w:tcW w:w="1189" w:type="dxa"/>
                  <w:vAlign w:val="center"/>
                </w:tcPr>
                <w:p>
                  <w:pPr>
                    <w:jc w:val="center"/>
                    <w:rPr>
                      <w:rFonts w:ascii="Times New Roman" w:hAnsi="Times New Roman"/>
                      <w:szCs w:val="21"/>
                    </w:rPr>
                  </w:pPr>
                  <w:r>
                    <w:rPr>
                      <w:rFonts w:ascii="Times New Roman" w:hAnsi="Times New Roman"/>
                      <w:szCs w:val="21"/>
                    </w:rPr>
                    <w:t>/</w:t>
                  </w:r>
                </w:p>
              </w:tc>
              <w:tc>
                <w:tcPr>
                  <w:tcW w:w="1982" w:type="dxa"/>
                  <w:vAlign w:val="center"/>
                </w:tcPr>
                <w:p>
                  <w:pPr>
                    <w:jc w:val="center"/>
                    <w:rPr>
                      <w:rFonts w:ascii="Times New Roman" w:hAnsi="Times New Roman"/>
                      <w:szCs w:val="21"/>
                    </w:rPr>
                  </w:pPr>
                  <w:r>
                    <w:rPr>
                      <w:rFonts w:ascii="Times New Roman" w:hAnsi="Times New Roman"/>
                      <w:szCs w:val="21"/>
                    </w:rPr>
                    <w:t>《危险废物贮存污染控制标准》（GB18597-2023）</w:t>
                  </w:r>
                </w:p>
              </w:tc>
            </w:tr>
          </w:tbl>
          <w:p>
            <w:pPr>
              <w:rPr>
                <w:rFonts w:ascii="Times New Roman" w:hAnsi="Times New Roman"/>
              </w:rPr>
            </w:pPr>
          </w:p>
        </w:tc>
      </w:tr>
    </w:tbl>
    <w:p>
      <w:pPr>
        <w:rPr>
          <w:rFonts w:ascii="Times New Roman" w:hAnsi="Times New Roman"/>
        </w:rPr>
        <w:sectPr>
          <w:pgSz w:w="11906" w:h="16838"/>
          <w:pgMar w:top="1440" w:right="1800" w:bottom="1440" w:left="1800" w:header="851" w:footer="992" w:gutter="0"/>
          <w:pgNumType w:fmt="numberInDash"/>
          <w:cols w:space="720" w:num="1"/>
          <w:docGrid w:type="lines" w:linePitch="312" w:charSpace="0"/>
        </w:sectPr>
      </w:pPr>
    </w:p>
    <w:p>
      <w:pPr>
        <w:pStyle w:val="21"/>
      </w:pPr>
      <w:r>
        <w:t>五、</w:t>
      </w:r>
      <w:bookmarkStart w:id="7" w:name="_Hlk54167917"/>
      <w:r>
        <w:t>环境保护措施监督检查清单</w:t>
      </w:r>
      <w:bookmarkEnd w:id="7"/>
    </w:p>
    <w:tbl>
      <w:tblPr>
        <w:tblStyle w:val="37"/>
        <w:tblW w:w="88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Layout w:type="fixed"/>
        <w:tblCellMar>
          <w:top w:w="0" w:type="dxa"/>
          <w:left w:w="0" w:type="dxa"/>
          <w:bottom w:w="0" w:type="dxa"/>
          <w:right w:w="0" w:type="dxa"/>
        </w:tblCellMar>
      </w:tblPr>
      <w:tblGrid>
        <w:gridCol w:w="1672"/>
        <w:gridCol w:w="1698"/>
        <w:gridCol w:w="1043"/>
        <w:gridCol w:w="2211"/>
        <w:gridCol w:w="21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554" w:hRule="atLeast"/>
          <w:jc w:val="center"/>
        </w:trPr>
        <w:tc>
          <w:tcPr>
            <w:tcW w:w="1672" w:type="dxa"/>
            <w:tcBorders>
              <w:tl2br w:val="nil"/>
              <w:tr2bl w:val="nil"/>
            </w:tcBorders>
            <w:vAlign w:val="center"/>
          </w:tcPr>
          <w:p>
            <w:pPr>
              <w:jc w:val="center"/>
              <w:rPr>
                <w:rFonts w:ascii="Times New Roman" w:hAnsi="Times New Roman"/>
                <w:b/>
                <w:bCs/>
                <w:sz w:val="24"/>
              </w:rPr>
            </w:pPr>
            <w:r>
              <w:rPr>
                <w:rFonts w:ascii="Times New Roman" w:hAnsi="Times New Roman"/>
                <w:b/>
                <w:bCs/>
                <w:spacing w:val="-18"/>
                <w:sz w:val="24"/>
              </w:rPr>
              <w:t>内容</w:t>
            </w:r>
          </w:p>
          <w:p>
            <w:pPr>
              <w:rPr>
                <w:rFonts w:ascii="Times New Roman" w:hAnsi="Times New Roman"/>
                <w:b/>
                <w:bCs/>
                <w:sz w:val="24"/>
              </w:rPr>
            </w:pPr>
            <w:r>
              <w:rPr>
                <w:rFonts w:ascii="Times New Roman" w:hAnsi="Times New Roman"/>
                <w:b/>
                <w:bCs/>
                <w:spacing w:val="-5"/>
                <w:sz w:val="24"/>
              </w:rPr>
              <w:t>要素</w:t>
            </w:r>
          </w:p>
        </w:tc>
        <w:tc>
          <w:tcPr>
            <w:tcW w:w="1698" w:type="dxa"/>
            <w:tcBorders>
              <w:tl2br w:val="nil"/>
              <w:tr2bl w:val="nil"/>
            </w:tcBorders>
            <w:vAlign w:val="center"/>
          </w:tcPr>
          <w:p>
            <w:pPr>
              <w:jc w:val="center"/>
              <w:rPr>
                <w:rFonts w:ascii="Times New Roman" w:hAnsi="Times New Roman"/>
                <w:b/>
                <w:bCs/>
                <w:sz w:val="24"/>
              </w:rPr>
            </w:pPr>
            <w:r>
              <w:rPr>
                <w:rFonts w:ascii="Times New Roman" w:hAnsi="Times New Roman"/>
                <w:b/>
                <w:bCs/>
                <w:spacing w:val="-2"/>
                <w:sz w:val="24"/>
              </w:rPr>
              <w:t>排放口（编号、</w:t>
            </w:r>
          </w:p>
          <w:p>
            <w:pPr>
              <w:jc w:val="center"/>
              <w:rPr>
                <w:rFonts w:ascii="Times New Roman" w:hAnsi="Times New Roman"/>
                <w:b/>
                <w:bCs/>
                <w:sz w:val="24"/>
              </w:rPr>
            </w:pPr>
            <w:r>
              <w:rPr>
                <w:rFonts w:ascii="Times New Roman" w:hAnsi="Times New Roman"/>
                <w:b/>
                <w:bCs/>
                <w:spacing w:val="-2"/>
                <w:sz w:val="24"/>
              </w:rPr>
              <w:t>名称）/污染源</w:t>
            </w:r>
          </w:p>
        </w:tc>
        <w:tc>
          <w:tcPr>
            <w:tcW w:w="1043" w:type="dxa"/>
            <w:tcBorders>
              <w:tl2br w:val="nil"/>
              <w:tr2bl w:val="nil"/>
            </w:tcBorders>
            <w:vAlign w:val="center"/>
          </w:tcPr>
          <w:p>
            <w:pPr>
              <w:jc w:val="center"/>
              <w:rPr>
                <w:rFonts w:ascii="Times New Roman" w:hAnsi="Times New Roman"/>
                <w:b/>
                <w:bCs/>
                <w:sz w:val="24"/>
              </w:rPr>
            </w:pPr>
            <w:r>
              <w:rPr>
                <w:rFonts w:ascii="Times New Roman" w:hAnsi="Times New Roman"/>
                <w:b/>
                <w:bCs/>
                <w:spacing w:val="-4"/>
                <w:sz w:val="24"/>
              </w:rPr>
              <w:t>污染物</w:t>
            </w:r>
            <w:r>
              <w:rPr>
                <w:rFonts w:ascii="Times New Roman" w:hAnsi="Times New Roman"/>
                <w:b/>
                <w:bCs/>
                <w:spacing w:val="-7"/>
                <w:sz w:val="24"/>
              </w:rPr>
              <w:t>项目</w:t>
            </w:r>
          </w:p>
        </w:tc>
        <w:tc>
          <w:tcPr>
            <w:tcW w:w="2211" w:type="dxa"/>
            <w:tcBorders>
              <w:tl2br w:val="nil"/>
              <w:tr2bl w:val="nil"/>
            </w:tcBorders>
            <w:vAlign w:val="center"/>
          </w:tcPr>
          <w:p>
            <w:pPr>
              <w:jc w:val="center"/>
              <w:rPr>
                <w:rFonts w:ascii="Times New Roman" w:hAnsi="Times New Roman"/>
                <w:b/>
                <w:bCs/>
                <w:sz w:val="24"/>
              </w:rPr>
            </w:pPr>
            <w:r>
              <w:rPr>
                <w:rFonts w:ascii="Times New Roman" w:hAnsi="Times New Roman"/>
                <w:b/>
                <w:bCs/>
                <w:spacing w:val="-2"/>
                <w:sz w:val="24"/>
              </w:rPr>
              <w:t>环境保护措施</w:t>
            </w:r>
          </w:p>
        </w:tc>
        <w:tc>
          <w:tcPr>
            <w:tcW w:w="2180" w:type="dxa"/>
            <w:tcBorders>
              <w:tl2br w:val="nil"/>
              <w:tr2bl w:val="nil"/>
            </w:tcBorders>
            <w:vAlign w:val="center"/>
          </w:tcPr>
          <w:p>
            <w:pPr>
              <w:jc w:val="center"/>
              <w:rPr>
                <w:rFonts w:ascii="Times New Roman" w:hAnsi="Times New Roman"/>
                <w:b/>
                <w:bCs/>
                <w:sz w:val="24"/>
              </w:rPr>
            </w:pPr>
            <w:r>
              <w:rPr>
                <w:rFonts w:ascii="Times New Roman" w:hAnsi="Times New Roman"/>
                <w:b/>
                <w:bCs/>
                <w:spacing w:val="-3"/>
                <w:sz w:val="24"/>
              </w:rPr>
              <w:t>执行标准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821" w:hRule="atLeast"/>
          <w:jc w:val="center"/>
        </w:trPr>
        <w:tc>
          <w:tcPr>
            <w:tcW w:w="1672" w:type="dxa"/>
            <w:vMerge w:val="restart"/>
            <w:tcBorders>
              <w:tl2br w:val="nil"/>
              <w:tr2bl w:val="nil"/>
            </w:tcBorders>
            <w:vAlign w:val="center"/>
          </w:tcPr>
          <w:p>
            <w:pPr>
              <w:jc w:val="center"/>
              <w:rPr>
                <w:rFonts w:ascii="Times New Roman" w:hAnsi="Times New Roman"/>
                <w:sz w:val="24"/>
              </w:rPr>
            </w:pPr>
            <w:r>
              <w:rPr>
                <w:rFonts w:ascii="Times New Roman" w:hAnsi="Times New Roman"/>
                <w:spacing w:val="-3"/>
                <w:sz w:val="24"/>
              </w:rPr>
              <w:t>大气环境</w:t>
            </w:r>
          </w:p>
        </w:tc>
        <w:tc>
          <w:tcPr>
            <w:tcW w:w="1698" w:type="dxa"/>
            <w:tcBorders>
              <w:tl2br w:val="nil"/>
              <w:tr2bl w:val="nil"/>
            </w:tcBorders>
            <w:vAlign w:val="center"/>
          </w:tcPr>
          <w:p>
            <w:pPr>
              <w:jc w:val="center"/>
              <w:rPr>
                <w:rFonts w:ascii="Times New Roman" w:hAnsi="Times New Roman"/>
                <w:sz w:val="24"/>
              </w:rPr>
            </w:pPr>
            <w:r>
              <w:rPr>
                <w:rFonts w:ascii="Times New Roman" w:hAnsi="Times New Roman"/>
                <w:spacing w:val="-3"/>
                <w:sz w:val="24"/>
              </w:rPr>
              <w:t>水泥仓顶</w:t>
            </w:r>
          </w:p>
          <w:p>
            <w:pPr>
              <w:jc w:val="center"/>
              <w:rPr>
                <w:rFonts w:ascii="Times New Roman" w:hAnsi="Times New Roman"/>
                <w:sz w:val="24"/>
              </w:rPr>
            </w:pPr>
            <w:r>
              <w:rPr>
                <w:rFonts w:ascii="Times New Roman" w:hAnsi="Times New Roman"/>
                <w:spacing w:val="-4"/>
                <w:sz w:val="24"/>
              </w:rPr>
              <w:t>排气口</w:t>
            </w:r>
          </w:p>
        </w:tc>
        <w:tc>
          <w:tcPr>
            <w:tcW w:w="1043" w:type="dxa"/>
            <w:tcBorders>
              <w:tl2br w:val="nil"/>
              <w:tr2bl w:val="nil"/>
            </w:tcBorders>
            <w:vAlign w:val="center"/>
          </w:tcPr>
          <w:p>
            <w:pPr>
              <w:jc w:val="center"/>
              <w:rPr>
                <w:rFonts w:ascii="Times New Roman" w:hAnsi="Times New Roman"/>
                <w:sz w:val="24"/>
              </w:rPr>
            </w:pPr>
            <w:r>
              <w:rPr>
                <w:rFonts w:ascii="Times New Roman" w:hAnsi="Times New Roman"/>
                <w:spacing w:val="-3"/>
                <w:sz w:val="24"/>
              </w:rPr>
              <w:t>颗粒物</w:t>
            </w:r>
          </w:p>
        </w:tc>
        <w:tc>
          <w:tcPr>
            <w:tcW w:w="2211" w:type="dxa"/>
            <w:tcBorders>
              <w:tl2br w:val="nil"/>
              <w:tr2bl w:val="nil"/>
            </w:tcBorders>
            <w:vAlign w:val="center"/>
          </w:tcPr>
          <w:p>
            <w:pPr>
              <w:jc w:val="center"/>
              <w:rPr>
                <w:rFonts w:ascii="Times New Roman" w:hAnsi="Times New Roman"/>
                <w:sz w:val="24"/>
              </w:rPr>
            </w:pPr>
            <w:r>
              <w:rPr>
                <w:rFonts w:ascii="Times New Roman" w:hAnsi="Times New Roman"/>
                <w:spacing w:val="-2"/>
                <w:sz w:val="24"/>
              </w:rPr>
              <w:t>配备1套仓顶袋式除尘器</w:t>
            </w:r>
          </w:p>
        </w:tc>
        <w:tc>
          <w:tcPr>
            <w:tcW w:w="2180" w:type="dxa"/>
            <w:tcBorders>
              <w:tl2br w:val="nil"/>
              <w:tr2bl w:val="nil"/>
            </w:tcBorders>
            <w:vAlign w:val="center"/>
          </w:tcPr>
          <w:p>
            <w:pPr>
              <w:jc w:val="center"/>
              <w:rPr>
                <w:rFonts w:ascii="Times New Roman" w:hAnsi="Times New Roman"/>
                <w:sz w:val="24"/>
              </w:rPr>
            </w:pPr>
            <w:r>
              <w:rPr>
                <w:rFonts w:ascii="Times New Roman" w:hAnsi="Times New Roman"/>
                <w:sz w:val="24"/>
              </w:rPr>
              <w:t>《水泥工业大气污染物排放标准》（GB4915-2013）表3中粉尘无组织排放限值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821" w:hRule="atLeast"/>
          <w:jc w:val="center"/>
        </w:trPr>
        <w:tc>
          <w:tcPr>
            <w:tcW w:w="1672" w:type="dxa"/>
            <w:vMerge w:val="continue"/>
            <w:tcBorders>
              <w:tl2br w:val="nil"/>
              <w:tr2bl w:val="nil"/>
            </w:tcBorders>
            <w:vAlign w:val="center"/>
          </w:tcPr>
          <w:p>
            <w:pPr>
              <w:jc w:val="center"/>
              <w:rPr>
                <w:rFonts w:ascii="Times New Roman" w:hAnsi="Times New Roman"/>
                <w:sz w:val="24"/>
              </w:rPr>
            </w:pPr>
          </w:p>
        </w:tc>
        <w:tc>
          <w:tcPr>
            <w:tcW w:w="1698" w:type="dxa"/>
            <w:tcBorders>
              <w:tl2br w:val="nil"/>
              <w:tr2bl w:val="nil"/>
            </w:tcBorders>
            <w:vAlign w:val="center"/>
          </w:tcPr>
          <w:p>
            <w:pPr>
              <w:jc w:val="center"/>
              <w:rPr>
                <w:rFonts w:ascii="Times New Roman" w:hAnsi="Times New Roman"/>
                <w:sz w:val="24"/>
              </w:rPr>
            </w:pPr>
            <w:r>
              <w:rPr>
                <w:rFonts w:ascii="Times New Roman" w:hAnsi="Times New Roman"/>
                <w:spacing w:val="-3"/>
                <w:sz w:val="24"/>
              </w:rPr>
              <w:t>车辆运输</w:t>
            </w:r>
          </w:p>
        </w:tc>
        <w:tc>
          <w:tcPr>
            <w:tcW w:w="1043" w:type="dxa"/>
            <w:tcBorders>
              <w:tl2br w:val="nil"/>
              <w:tr2bl w:val="nil"/>
            </w:tcBorders>
            <w:vAlign w:val="center"/>
          </w:tcPr>
          <w:p>
            <w:pPr>
              <w:jc w:val="center"/>
              <w:rPr>
                <w:rFonts w:ascii="Times New Roman" w:hAnsi="Times New Roman"/>
                <w:sz w:val="24"/>
              </w:rPr>
            </w:pPr>
            <w:r>
              <w:rPr>
                <w:rFonts w:ascii="Times New Roman" w:hAnsi="Times New Roman"/>
                <w:spacing w:val="-3"/>
                <w:sz w:val="24"/>
              </w:rPr>
              <w:t>颗粒物</w:t>
            </w:r>
          </w:p>
        </w:tc>
        <w:tc>
          <w:tcPr>
            <w:tcW w:w="2211" w:type="dxa"/>
            <w:tcBorders>
              <w:tl2br w:val="nil"/>
              <w:tr2bl w:val="nil"/>
            </w:tcBorders>
            <w:vAlign w:val="center"/>
          </w:tcPr>
          <w:p>
            <w:pPr>
              <w:jc w:val="center"/>
              <w:rPr>
                <w:rFonts w:ascii="Times New Roman" w:hAnsi="Times New Roman"/>
                <w:sz w:val="24"/>
              </w:rPr>
            </w:pPr>
            <w:r>
              <w:rPr>
                <w:rFonts w:ascii="Times New Roman" w:hAnsi="Times New Roman"/>
                <w:spacing w:val="-19"/>
                <w:sz w:val="24"/>
              </w:rPr>
              <w:t>地面硬化，</w:t>
            </w:r>
            <w:r>
              <w:rPr>
                <w:rFonts w:ascii="Times New Roman" w:hAnsi="Times New Roman"/>
                <w:spacing w:val="-18"/>
                <w:sz w:val="24"/>
              </w:rPr>
              <w:t>对道路洒水抑尘</w:t>
            </w:r>
          </w:p>
        </w:tc>
        <w:tc>
          <w:tcPr>
            <w:tcW w:w="2180" w:type="dxa"/>
            <w:tcBorders>
              <w:tl2br w:val="nil"/>
              <w:tr2bl w:val="nil"/>
            </w:tcBorders>
            <w:vAlign w:val="center"/>
          </w:tcPr>
          <w:p>
            <w:pPr>
              <w:jc w:val="center"/>
              <w:rPr>
                <w:rFonts w:ascii="Times New Roman" w:hAnsi="Times New Roman"/>
                <w:b/>
                <w:bCs/>
                <w:sz w:val="24"/>
              </w:rPr>
            </w:pPr>
            <w:r>
              <w:rPr>
                <w:rFonts w:ascii="Times New Roman" w:hAnsi="Times New Roman"/>
                <w:sz w:val="24"/>
              </w:rPr>
              <w:t>《水泥工业大气污染物排放标准》（GB4915-2013）表3中粉尘无组织排放限值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549" w:hRule="atLeast"/>
          <w:jc w:val="center"/>
        </w:trPr>
        <w:tc>
          <w:tcPr>
            <w:tcW w:w="1672" w:type="dxa"/>
            <w:tcBorders>
              <w:tl2br w:val="nil"/>
              <w:tr2bl w:val="nil"/>
            </w:tcBorders>
            <w:vAlign w:val="center"/>
          </w:tcPr>
          <w:p>
            <w:pPr>
              <w:jc w:val="center"/>
              <w:rPr>
                <w:rFonts w:ascii="Times New Roman" w:hAnsi="Times New Roman"/>
                <w:sz w:val="24"/>
              </w:rPr>
            </w:pPr>
            <w:r>
              <w:rPr>
                <w:rFonts w:ascii="Times New Roman" w:hAnsi="Times New Roman"/>
                <w:spacing w:val="-2"/>
                <w:sz w:val="24"/>
              </w:rPr>
              <w:t>地表水环境</w:t>
            </w:r>
          </w:p>
        </w:tc>
        <w:tc>
          <w:tcPr>
            <w:tcW w:w="1698" w:type="dxa"/>
            <w:tcBorders>
              <w:tl2br w:val="nil"/>
              <w:tr2bl w:val="nil"/>
            </w:tcBorders>
            <w:vAlign w:val="center"/>
          </w:tcPr>
          <w:p>
            <w:pPr>
              <w:jc w:val="center"/>
              <w:rPr>
                <w:rFonts w:ascii="Times New Roman" w:hAnsi="Times New Roman"/>
                <w:sz w:val="24"/>
              </w:rPr>
            </w:pPr>
            <w:r>
              <w:rPr>
                <w:rFonts w:ascii="Times New Roman" w:hAnsi="Times New Roman"/>
                <w:spacing w:val="-2"/>
                <w:sz w:val="24"/>
              </w:rPr>
              <w:t>车辆清洗废水</w:t>
            </w:r>
          </w:p>
        </w:tc>
        <w:tc>
          <w:tcPr>
            <w:tcW w:w="1043" w:type="dxa"/>
            <w:tcBorders>
              <w:tl2br w:val="nil"/>
              <w:tr2bl w:val="nil"/>
            </w:tcBorders>
            <w:vAlign w:val="center"/>
          </w:tcPr>
          <w:p>
            <w:pPr>
              <w:jc w:val="center"/>
              <w:rPr>
                <w:rFonts w:ascii="Times New Roman" w:hAnsi="Times New Roman" w:eastAsia="Times New Roman"/>
                <w:sz w:val="24"/>
              </w:rPr>
            </w:pPr>
            <w:r>
              <w:rPr>
                <w:rFonts w:ascii="Times New Roman" w:hAnsi="Times New Roman" w:eastAsia="Times New Roman"/>
                <w:spacing w:val="-7"/>
                <w:sz w:val="24"/>
              </w:rPr>
              <w:t>SS</w:t>
            </w:r>
          </w:p>
        </w:tc>
        <w:tc>
          <w:tcPr>
            <w:tcW w:w="2211" w:type="dxa"/>
            <w:tcBorders>
              <w:tl2br w:val="nil"/>
              <w:tr2bl w:val="nil"/>
            </w:tcBorders>
            <w:vAlign w:val="center"/>
          </w:tcPr>
          <w:p>
            <w:pPr>
              <w:jc w:val="center"/>
              <w:rPr>
                <w:rFonts w:ascii="Times New Roman" w:hAnsi="Times New Roman"/>
                <w:sz w:val="24"/>
              </w:rPr>
            </w:pPr>
            <w:r>
              <w:rPr>
                <w:rFonts w:ascii="Times New Roman" w:hAnsi="Times New Roman"/>
                <w:spacing w:val="-2"/>
                <w:sz w:val="24"/>
              </w:rPr>
              <w:t>车</w:t>
            </w:r>
            <w:r>
              <w:rPr>
                <w:rFonts w:ascii="Times New Roman" w:hAnsi="Times New Roman"/>
                <w:spacing w:val="-1"/>
                <w:sz w:val="24"/>
              </w:rPr>
              <w:t>辆清洗装置及沉淀池</w:t>
            </w:r>
          </w:p>
        </w:tc>
        <w:tc>
          <w:tcPr>
            <w:tcW w:w="2180" w:type="dxa"/>
            <w:tcBorders>
              <w:tl2br w:val="nil"/>
              <w:tr2bl w:val="nil"/>
            </w:tcBorders>
            <w:vAlign w:val="center"/>
          </w:tcPr>
          <w:p>
            <w:pPr>
              <w:jc w:val="center"/>
              <w:rPr>
                <w:rFonts w:ascii="Times New Roman" w:hAnsi="Times New Roman"/>
                <w:sz w:val="24"/>
              </w:rPr>
            </w:pPr>
            <w:r>
              <w:rPr>
                <w:rFonts w:ascii="Times New Roman" w:hAnsi="Times New Roman"/>
                <w:spacing w:val="-2"/>
                <w:sz w:val="24"/>
              </w:rPr>
              <w:t>沉淀后循环使用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1094" w:hRule="atLeast"/>
          <w:jc w:val="center"/>
        </w:trPr>
        <w:tc>
          <w:tcPr>
            <w:tcW w:w="1672" w:type="dxa"/>
            <w:tcBorders>
              <w:tl2br w:val="nil"/>
              <w:tr2bl w:val="nil"/>
            </w:tcBorders>
            <w:vAlign w:val="center"/>
          </w:tcPr>
          <w:p>
            <w:pPr>
              <w:jc w:val="center"/>
              <w:rPr>
                <w:rFonts w:ascii="Times New Roman" w:hAnsi="Times New Roman"/>
                <w:sz w:val="24"/>
              </w:rPr>
            </w:pPr>
            <w:r>
              <w:rPr>
                <w:rFonts w:ascii="Times New Roman" w:hAnsi="Times New Roman"/>
                <w:spacing w:val="-5"/>
                <w:sz w:val="24"/>
              </w:rPr>
              <w:t>声环境</w:t>
            </w:r>
          </w:p>
        </w:tc>
        <w:tc>
          <w:tcPr>
            <w:tcW w:w="1698" w:type="dxa"/>
            <w:tcBorders>
              <w:tl2br w:val="nil"/>
              <w:tr2bl w:val="nil"/>
            </w:tcBorders>
            <w:vAlign w:val="center"/>
          </w:tcPr>
          <w:p>
            <w:pPr>
              <w:jc w:val="center"/>
              <w:rPr>
                <w:rFonts w:ascii="Times New Roman" w:hAnsi="Times New Roman"/>
                <w:sz w:val="24"/>
              </w:rPr>
            </w:pPr>
            <w:r>
              <w:rPr>
                <w:rFonts w:ascii="Times New Roman" w:hAnsi="Times New Roman"/>
                <w:spacing w:val="-3"/>
                <w:sz w:val="24"/>
              </w:rPr>
              <w:t>生产设备</w:t>
            </w:r>
          </w:p>
        </w:tc>
        <w:tc>
          <w:tcPr>
            <w:tcW w:w="1043" w:type="dxa"/>
            <w:tcBorders>
              <w:tl2br w:val="nil"/>
              <w:tr2bl w:val="nil"/>
            </w:tcBorders>
            <w:vAlign w:val="center"/>
          </w:tcPr>
          <w:p>
            <w:pPr>
              <w:jc w:val="center"/>
              <w:rPr>
                <w:rFonts w:ascii="Times New Roman" w:hAnsi="Times New Roman"/>
                <w:sz w:val="24"/>
              </w:rPr>
            </w:pPr>
            <w:r>
              <w:rPr>
                <w:rFonts w:ascii="Times New Roman" w:hAnsi="Times New Roman"/>
                <w:spacing w:val="-10"/>
                <w:sz w:val="24"/>
              </w:rPr>
              <w:t>噪声</w:t>
            </w:r>
          </w:p>
        </w:tc>
        <w:tc>
          <w:tcPr>
            <w:tcW w:w="2211" w:type="dxa"/>
            <w:tcBorders>
              <w:tl2br w:val="nil"/>
              <w:tr2bl w:val="nil"/>
            </w:tcBorders>
            <w:vAlign w:val="center"/>
          </w:tcPr>
          <w:p>
            <w:pPr>
              <w:jc w:val="center"/>
              <w:rPr>
                <w:rFonts w:ascii="Times New Roman" w:hAnsi="Times New Roman"/>
                <w:sz w:val="24"/>
              </w:rPr>
            </w:pPr>
            <w:r>
              <w:rPr>
                <w:rFonts w:ascii="Times New Roman" w:hAnsi="Times New Roman"/>
                <w:spacing w:val="-2"/>
                <w:sz w:val="24"/>
              </w:rPr>
              <w:t>基础减振</w:t>
            </w:r>
          </w:p>
        </w:tc>
        <w:tc>
          <w:tcPr>
            <w:tcW w:w="2180" w:type="dxa"/>
            <w:tcBorders>
              <w:tl2br w:val="nil"/>
              <w:tr2bl w:val="nil"/>
            </w:tcBorders>
            <w:vAlign w:val="center"/>
          </w:tcPr>
          <w:p>
            <w:pPr>
              <w:jc w:val="center"/>
              <w:rPr>
                <w:rFonts w:ascii="Times New Roman" w:hAnsi="Times New Roman"/>
                <w:sz w:val="24"/>
              </w:rPr>
            </w:pPr>
            <w:r>
              <w:rPr>
                <w:rFonts w:ascii="Times New Roman" w:hAnsi="Times New Roman"/>
                <w:spacing w:val="-2"/>
                <w:sz w:val="24"/>
              </w:rPr>
              <w:t>《工业企业厂界环境</w:t>
            </w:r>
            <w:r>
              <w:rPr>
                <w:rFonts w:ascii="Times New Roman" w:hAnsi="Times New Roman"/>
                <w:spacing w:val="-3"/>
                <w:sz w:val="24"/>
              </w:rPr>
              <w:t>噪声排放标准》</w:t>
            </w:r>
            <w:r>
              <w:rPr>
                <w:rFonts w:ascii="Times New Roman" w:hAnsi="Times New Roman"/>
                <w:spacing w:val="-1"/>
                <w:sz w:val="24"/>
              </w:rPr>
              <w:t>（</w:t>
            </w:r>
            <w:r>
              <w:rPr>
                <w:rFonts w:ascii="Times New Roman" w:hAnsi="Times New Roman" w:eastAsia="Times New Roman"/>
                <w:spacing w:val="-1"/>
                <w:sz w:val="24"/>
              </w:rPr>
              <w:t>GB12348-2008</w:t>
            </w:r>
            <w:r>
              <w:rPr>
                <w:rFonts w:ascii="Times New Roman" w:hAnsi="Times New Roman"/>
                <w:spacing w:val="-1"/>
                <w:sz w:val="24"/>
              </w:rPr>
              <w:t>）3</w:t>
            </w:r>
            <w:r>
              <w:rPr>
                <w:rFonts w:ascii="Times New Roman" w:hAnsi="Times New Roman"/>
                <w:spacing w:val="-4"/>
                <w:sz w:val="24"/>
              </w:rPr>
              <w:t>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430" w:hRule="atLeast"/>
          <w:jc w:val="center"/>
        </w:trPr>
        <w:tc>
          <w:tcPr>
            <w:tcW w:w="1672" w:type="dxa"/>
            <w:tcBorders>
              <w:tl2br w:val="nil"/>
              <w:tr2bl w:val="nil"/>
            </w:tcBorders>
            <w:vAlign w:val="center"/>
          </w:tcPr>
          <w:p>
            <w:pPr>
              <w:jc w:val="center"/>
              <w:rPr>
                <w:rFonts w:ascii="Times New Roman" w:hAnsi="Times New Roman"/>
                <w:sz w:val="24"/>
              </w:rPr>
            </w:pPr>
            <w:r>
              <w:rPr>
                <w:rFonts w:ascii="Times New Roman" w:hAnsi="Times New Roman"/>
                <w:spacing w:val="-9"/>
                <w:sz w:val="24"/>
              </w:rPr>
              <w:t>电磁辐射</w:t>
            </w:r>
          </w:p>
        </w:tc>
        <w:tc>
          <w:tcPr>
            <w:tcW w:w="1698" w:type="dxa"/>
            <w:tcBorders>
              <w:tl2br w:val="nil"/>
              <w:tr2bl w:val="nil"/>
            </w:tcBorders>
            <w:vAlign w:val="center"/>
          </w:tcPr>
          <w:p>
            <w:pPr>
              <w:jc w:val="center"/>
              <w:rPr>
                <w:rFonts w:ascii="Times New Roman" w:hAnsi="Times New Roman"/>
                <w:sz w:val="24"/>
              </w:rPr>
            </w:pPr>
            <w:r>
              <w:rPr>
                <w:rFonts w:ascii="Times New Roman" w:hAnsi="Times New Roman"/>
                <w:sz w:val="24"/>
              </w:rPr>
              <w:t>/</w:t>
            </w:r>
          </w:p>
        </w:tc>
        <w:tc>
          <w:tcPr>
            <w:tcW w:w="1043" w:type="dxa"/>
            <w:tcBorders>
              <w:tl2br w:val="nil"/>
              <w:tr2bl w:val="nil"/>
            </w:tcBorders>
            <w:vAlign w:val="center"/>
          </w:tcPr>
          <w:p>
            <w:pPr>
              <w:jc w:val="center"/>
              <w:rPr>
                <w:rFonts w:ascii="Times New Roman" w:hAnsi="Times New Roman"/>
                <w:sz w:val="24"/>
              </w:rPr>
            </w:pPr>
            <w:r>
              <w:rPr>
                <w:rFonts w:ascii="Times New Roman" w:hAnsi="Times New Roman"/>
                <w:sz w:val="24"/>
              </w:rPr>
              <w:t>/</w:t>
            </w:r>
          </w:p>
        </w:tc>
        <w:tc>
          <w:tcPr>
            <w:tcW w:w="2211" w:type="dxa"/>
            <w:tcBorders>
              <w:tl2br w:val="nil"/>
              <w:tr2bl w:val="nil"/>
            </w:tcBorders>
            <w:vAlign w:val="center"/>
          </w:tcPr>
          <w:p>
            <w:pPr>
              <w:jc w:val="center"/>
              <w:rPr>
                <w:rFonts w:ascii="Times New Roman" w:hAnsi="Times New Roman"/>
                <w:sz w:val="24"/>
              </w:rPr>
            </w:pPr>
            <w:r>
              <w:rPr>
                <w:rFonts w:ascii="Times New Roman" w:hAnsi="Times New Roman"/>
                <w:sz w:val="24"/>
              </w:rPr>
              <w:t>/</w:t>
            </w:r>
          </w:p>
        </w:tc>
        <w:tc>
          <w:tcPr>
            <w:tcW w:w="2180" w:type="dxa"/>
            <w:tcBorders>
              <w:tl2br w:val="nil"/>
              <w:tr2bl w:val="nil"/>
            </w:tcBorders>
            <w:vAlign w:val="center"/>
          </w:tcPr>
          <w:p>
            <w:pPr>
              <w:jc w:val="center"/>
              <w:rPr>
                <w:rFonts w:ascii="Times New Roman" w:hAnsi="Times New Roman"/>
                <w:sz w:val="24"/>
              </w:rPr>
            </w:pPr>
            <w:r>
              <w:rPr>
                <w:rFonts w:ascii="Times New Roman" w:hAnsi="Times New Roman"/>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940" w:hRule="atLeast"/>
          <w:jc w:val="center"/>
        </w:trPr>
        <w:tc>
          <w:tcPr>
            <w:tcW w:w="1672" w:type="dxa"/>
            <w:tcBorders>
              <w:tl2br w:val="nil"/>
              <w:tr2bl w:val="nil"/>
            </w:tcBorders>
            <w:vAlign w:val="center"/>
          </w:tcPr>
          <w:p>
            <w:pPr>
              <w:spacing w:line="360" w:lineRule="auto"/>
              <w:jc w:val="center"/>
              <w:rPr>
                <w:rFonts w:ascii="Times New Roman" w:hAnsi="Times New Roman"/>
                <w:spacing w:val="-15"/>
                <w:sz w:val="24"/>
              </w:rPr>
            </w:pPr>
            <w:r>
              <w:rPr>
                <w:rFonts w:ascii="Times New Roman" w:hAnsi="Times New Roman"/>
                <w:spacing w:val="-15"/>
                <w:sz w:val="24"/>
              </w:rPr>
              <w:t>固体废物</w:t>
            </w:r>
          </w:p>
        </w:tc>
        <w:tc>
          <w:tcPr>
            <w:tcW w:w="7132" w:type="dxa"/>
            <w:gridSpan w:val="4"/>
            <w:tcBorders>
              <w:tl2br w:val="nil"/>
              <w:tr2bl w:val="nil"/>
            </w:tcBorders>
            <w:vAlign w:val="center"/>
          </w:tcPr>
          <w:p>
            <w:pPr>
              <w:spacing w:line="360" w:lineRule="auto"/>
              <w:jc w:val="center"/>
              <w:rPr>
                <w:rFonts w:ascii="Times New Roman" w:hAnsi="Times New Roman"/>
                <w:spacing w:val="-15"/>
                <w:sz w:val="24"/>
              </w:rPr>
            </w:pPr>
            <w:r>
              <w:rPr>
                <w:rFonts w:ascii="Times New Roman" w:hAnsi="Times New Roman"/>
                <w:spacing w:val="-15"/>
                <w:sz w:val="24"/>
              </w:rPr>
              <w:t>除尘器收集粉尘和车辆、设备清洗固废回用于生产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1407" w:hRule="atLeast"/>
          <w:jc w:val="center"/>
        </w:trPr>
        <w:tc>
          <w:tcPr>
            <w:tcW w:w="1672" w:type="dxa"/>
            <w:tcBorders>
              <w:tl2br w:val="nil"/>
              <w:tr2bl w:val="nil"/>
            </w:tcBorders>
            <w:vAlign w:val="center"/>
          </w:tcPr>
          <w:p>
            <w:pPr>
              <w:spacing w:line="360" w:lineRule="auto"/>
              <w:jc w:val="center"/>
              <w:rPr>
                <w:rFonts w:ascii="Times New Roman" w:hAnsi="Times New Roman"/>
                <w:sz w:val="24"/>
              </w:rPr>
            </w:pPr>
            <w:r>
              <w:rPr>
                <w:rFonts w:ascii="Times New Roman" w:hAnsi="Times New Roman"/>
                <w:spacing w:val="-2"/>
                <w:sz w:val="24"/>
              </w:rPr>
              <w:t>土壤及地下水</w:t>
            </w:r>
            <w:r>
              <w:rPr>
                <w:rFonts w:ascii="Times New Roman" w:hAnsi="Times New Roman"/>
                <w:spacing w:val="-3"/>
                <w:sz w:val="24"/>
              </w:rPr>
              <w:t>污染防治措施</w:t>
            </w:r>
          </w:p>
        </w:tc>
        <w:tc>
          <w:tcPr>
            <w:tcW w:w="7132" w:type="dxa"/>
            <w:gridSpan w:val="4"/>
            <w:tcBorders>
              <w:tl2br w:val="nil"/>
              <w:tr2bl w:val="nil"/>
            </w:tcBorders>
            <w:vAlign w:val="center"/>
          </w:tcPr>
          <w:p>
            <w:pPr>
              <w:spacing w:line="360" w:lineRule="auto"/>
              <w:jc w:val="center"/>
              <w:rPr>
                <w:rFonts w:ascii="Times New Roman" w:hAnsi="Times New Roman"/>
                <w:sz w:val="24"/>
              </w:rPr>
            </w:pPr>
            <w:r>
              <w:rPr>
                <w:rFonts w:ascii="Times New Roman" w:hAnsi="Times New Roman"/>
                <w:spacing w:val="-10"/>
                <w:sz w:val="24"/>
              </w:rPr>
              <w:t>运营期间确保环保设施的正常运行，做好保养工作，确保项目正常运行</w:t>
            </w:r>
            <w:r>
              <w:rPr>
                <w:rFonts w:ascii="Times New Roman" w:hAnsi="Times New Roman"/>
                <w:spacing w:val="-15"/>
                <w:sz w:val="24"/>
              </w:rPr>
              <w:t>期间，污染物达标排放；按照环评要求切实落实各种污染控制措施，项目运</w:t>
            </w:r>
            <w:r>
              <w:rPr>
                <w:rFonts w:ascii="Times New Roman" w:hAnsi="Times New Roman"/>
                <w:spacing w:val="-1"/>
                <w:sz w:val="24"/>
              </w:rPr>
              <w:t>营后对区域土壤、地下水环境影响较小。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466" w:hRule="atLeast"/>
          <w:jc w:val="center"/>
        </w:trPr>
        <w:tc>
          <w:tcPr>
            <w:tcW w:w="1672" w:type="dxa"/>
            <w:tcBorders>
              <w:tl2br w:val="nil"/>
              <w:tr2bl w:val="nil"/>
            </w:tcBorders>
            <w:vAlign w:val="center"/>
          </w:tcPr>
          <w:p>
            <w:pPr>
              <w:spacing w:line="360" w:lineRule="auto"/>
              <w:jc w:val="center"/>
              <w:rPr>
                <w:rFonts w:ascii="Times New Roman" w:hAnsi="Times New Roman"/>
                <w:sz w:val="24"/>
              </w:rPr>
            </w:pPr>
            <w:r>
              <w:rPr>
                <w:rFonts w:ascii="Times New Roman" w:hAnsi="Times New Roman"/>
                <w:spacing w:val="-2"/>
                <w:sz w:val="24"/>
              </w:rPr>
              <w:t>生态保护措施</w:t>
            </w:r>
          </w:p>
        </w:tc>
        <w:tc>
          <w:tcPr>
            <w:tcW w:w="7132" w:type="dxa"/>
            <w:gridSpan w:val="4"/>
            <w:tcBorders>
              <w:tl2br w:val="nil"/>
              <w:tr2bl w:val="nil"/>
            </w:tcBorders>
            <w:vAlign w:val="center"/>
          </w:tcPr>
          <w:p>
            <w:pPr>
              <w:spacing w:line="360" w:lineRule="auto"/>
              <w:jc w:val="center"/>
              <w:rPr>
                <w:rFonts w:ascii="Times New Roman" w:hAnsi="Times New Roman"/>
                <w:sz w:val="24"/>
              </w:rPr>
            </w:pPr>
            <w:r>
              <w:rPr>
                <w:rFonts w:ascii="Times New Roman" w:hAnsi="Times New Roman"/>
                <w:spacing w:val="-15"/>
                <w:sz w:val="24"/>
                <w:lang w:eastAsia="zh-Hans"/>
              </w:rPr>
              <w:t>加强厂区周边绿化</w:t>
            </w:r>
            <w:r>
              <w:rPr>
                <w:rFonts w:ascii="Times New Roman" w:hAnsi="Times New Roman"/>
                <w:spacing w:val="-15"/>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1407" w:hRule="atLeast"/>
          <w:jc w:val="center"/>
        </w:trPr>
        <w:tc>
          <w:tcPr>
            <w:tcW w:w="1672" w:type="dxa"/>
            <w:tcBorders>
              <w:tl2br w:val="nil"/>
              <w:tr2bl w:val="nil"/>
            </w:tcBorders>
            <w:vAlign w:val="center"/>
          </w:tcPr>
          <w:p>
            <w:pPr>
              <w:spacing w:line="360" w:lineRule="auto"/>
              <w:jc w:val="center"/>
              <w:rPr>
                <w:rFonts w:ascii="Times New Roman" w:hAnsi="Times New Roman"/>
                <w:sz w:val="24"/>
              </w:rPr>
            </w:pPr>
            <w:r>
              <w:rPr>
                <w:rFonts w:ascii="Times New Roman" w:hAnsi="Times New Roman"/>
                <w:spacing w:val="-11"/>
                <w:sz w:val="24"/>
              </w:rPr>
              <w:t>环境风险</w:t>
            </w:r>
            <w:r>
              <w:rPr>
                <w:rFonts w:ascii="Times New Roman" w:hAnsi="Times New Roman"/>
                <w:spacing w:val="-14"/>
                <w:sz w:val="24"/>
              </w:rPr>
              <w:t>防范措施</w:t>
            </w:r>
          </w:p>
        </w:tc>
        <w:tc>
          <w:tcPr>
            <w:tcW w:w="7132" w:type="dxa"/>
            <w:gridSpan w:val="4"/>
            <w:tcBorders>
              <w:tl2br w:val="nil"/>
              <w:tr2bl w:val="nil"/>
            </w:tcBorders>
            <w:vAlign w:val="center"/>
          </w:tcPr>
          <w:p>
            <w:pPr>
              <w:spacing w:line="360" w:lineRule="auto"/>
              <w:jc w:val="center"/>
              <w:rPr>
                <w:rFonts w:ascii="Times New Roman" w:hAnsi="Times New Roman"/>
                <w:sz w:val="24"/>
              </w:rPr>
            </w:pPr>
            <w:r>
              <w:rPr>
                <w:rFonts w:ascii="Times New Roman" w:hAnsi="Times New Roman"/>
                <w:spacing w:val="-6"/>
                <w:sz w:val="24"/>
              </w:rPr>
              <w:t>制定完善的安全、防火制度，加强对化粪池、污水管道等排污设施的管</w:t>
            </w:r>
            <w:r>
              <w:rPr>
                <w:rFonts w:ascii="Times New Roman" w:hAnsi="Times New Roman"/>
                <w:spacing w:val="-15"/>
                <w:sz w:val="24"/>
              </w:rPr>
              <w:t>理、巡视和检查，运营期间确保环保设施的正常运行，做好保养工作，一旦</w:t>
            </w:r>
            <w:r>
              <w:rPr>
                <w:rFonts w:ascii="Times New Roman" w:hAnsi="Times New Roman"/>
                <w:spacing w:val="-10"/>
                <w:sz w:val="24"/>
              </w:rPr>
              <w:t>环保设施出现故障，立即停产修理。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2" w:space="0"/>
          </w:tblBorders>
          <w:tblCellMar>
            <w:top w:w="0" w:type="dxa"/>
            <w:left w:w="0" w:type="dxa"/>
            <w:bottom w:w="0" w:type="dxa"/>
            <w:right w:w="0" w:type="dxa"/>
          </w:tblCellMar>
        </w:tblPrEx>
        <w:trPr>
          <w:trHeight w:val="1038" w:hRule="atLeast"/>
          <w:jc w:val="center"/>
        </w:trPr>
        <w:tc>
          <w:tcPr>
            <w:tcW w:w="1672" w:type="dxa"/>
            <w:tcBorders>
              <w:tl2br w:val="nil"/>
              <w:tr2bl w:val="nil"/>
            </w:tcBorders>
            <w:vAlign w:val="center"/>
          </w:tcPr>
          <w:p>
            <w:pPr>
              <w:rPr>
                <w:rFonts w:ascii="Times New Roman" w:hAnsi="Times New Roman"/>
                <w:sz w:val="24"/>
              </w:rPr>
            </w:pPr>
            <w:r>
              <w:rPr>
                <w:rFonts w:ascii="Times New Roman" w:hAnsi="Times New Roman"/>
                <w:spacing w:val="-11"/>
                <w:sz w:val="24"/>
              </w:rPr>
              <w:t>其他环境</w:t>
            </w:r>
            <w:r>
              <w:rPr>
                <w:rFonts w:ascii="Times New Roman" w:hAnsi="Times New Roman"/>
                <w:spacing w:val="-12"/>
                <w:sz w:val="24"/>
              </w:rPr>
              <w:t>管理要求</w:t>
            </w:r>
          </w:p>
        </w:tc>
        <w:tc>
          <w:tcPr>
            <w:tcW w:w="7132" w:type="dxa"/>
            <w:gridSpan w:val="4"/>
            <w:tcBorders>
              <w:tl2br w:val="nil"/>
              <w:tr2bl w:val="nil"/>
            </w:tcBorders>
            <w:vAlign w:val="center"/>
          </w:tcPr>
          <w:p>
            <w:pPr>
              <w:pStyle w:val="40"/>
              <w:numPr>
                <w:ilvl w:val="0"/>
                <w:numId w:val="4"/>
              </w:numPr>
              <w:spacing w:line="360" w:lineRule="auto"/>
              <w:ind w:firstLine="482" w:firstLineChars="200"/>
              <w:rPr>
                <w:rFonts w:ascii="Times New Roman" w:hAnsi="Times New Roman"/>
                <w:b/>
                <w:bCs/>
                <w:szCs w:val="24"/>
                <w:lang w:val="en-US"/>
              </w:rPr>
            </w:pPr>
            <w:r>
              <w:rPr>
                <w:rFonts w:ascii="Times New Roman" w:hAnsi="Times New Roman"/>
                <w:b/>
                <w:bCs/>
                <w:szCs w:val="24"/>
                <w:lang w:val="en-US"/>
              </w:rPr>
              <w:t>排污许可</w:t>
            </w:r>
          </w:p>
          <w:p>
            <w:pPr>
              <w:pStyle w:val="14"/>
              <w:kinsoku w:val="0"/>
              <w:overflowPunct w:val="0"/>
              <w:spacing w:before="0" w:after="0" w:line="360" w:lineRule="auto"/>
              <w:ind w:right="0" w:firstLine="480" w:firstLineChars="200"/>
              <w:rPr>
                <w:rFonts w:ascii="Times New Roman" w:hAnsi="Times New Roman"/>
                <w:sz w:val="24"/>
                <w:szCs w:val="24"/>
              </w:rPr>
            </w:pPr>
            <w:r>
              <w:rPr>
                <w:rFonts w:ascii="Times New Roman" w:hAnsi="Times New Roman"/>
                <w:sz w:val="24"/>
                <w:szCs w:val="24"/>
              </w:rPr>
              <w:t>建设单位应当在项目投入生产或使用并产生实际排污行为之前申请领取排污许可证。依法按照排污许可证申请与核发技术规范提交排污许可申请，申报排放污染物种类、排放浓度等，测算并申报污染物排放量。建设单位应当严格执行排污许可证的规定，禁止无证排污或不按证排污。</w:t>
            </w:r>
          </w:p>
          <w:p>
            <w:pPr>
              <w:pStyle w:val="14"/>
              <w:kinsoku w:val="0"/>
              <w:overflowPunct w:val="0"/>
              <w:spacing w:before="0" w:after="0" w:line="360" w:lineRule="auto"/>
              <w:ind w:right="0" w:firstLine="480" w:firstLineChars="200"/>
              <w:rPr>
                <w:rFonts w:ascii="Times New Roman" w:hAnsi="Times New Roman"/>
                <w:sz w:val="24"/>
                <w:szCs w:val="24"/>
              </w:rPr>
            </w:pPr>
            <w:r>
              <w:rPr>
                <w:rFonts w:ascii="Times New Roman" w:hAnsi="Times New Roman"/>
                <w:sz w:val="24"/>
                <w:szCs w:val="24"/>
              </w:rPr>
              <w:t>根据《固定污染源排污许可分类管理名录（2019年版）》（环境保护部令第11号），本项目属于二十五、生态保护和环境治理业63水泥制品及类似制品制造-水泥制品制造3021，属于登记管理。</w:t>
            </w:r>
          </w:p>
          <w:p>
            <w:pPr>
              <w:pStyle w:val="14"/>
              <w:kinsoku w:val="0"/>
              <w:overflowPunct w:val="0"/>
              <w:spacing w:before="0" w:after="0" w:line="360" w:lineRule="auto"/>
              <w:ind w:right="0" w:firstLine="480" w:firstLineChars="200"/>
              <w:rPr>
                <w:rFonts w:ascii="Times New Roman" w:hAnsi="Times New Roman"/>
                <w:sz w:val="24"/>
                <w:szCs w:val="24"/>
              </w:rPr>
            </w:pPr>
            <w:r>
              <w:rPr>
                <w:rFonts w:ascii="Times New Roman" w:hAnsi="Times New Roman"/>
                <w:sz w:val="24"/>
                <w:szCs w:val="24"/>
              </w:rPr>
              <w:t>根据规定“新建排污单位应当在启动生产设施或者发生实际排污之前申请取得排污许可证或者填报排污登记表。”建设单位在发生实际排污之前尽快取得排污许可证或者填报排污登记表</w:t>
            </w:r>
          </w:p>
          <w:p>
            <w:pPr>
              <w:pStyle w:val="14"/>
              <w:kinsoku w:val="0"/>
              <w:overflowPunct w:val="0"/>
              <w:spacing w:before="0" w:after="0" w:line="360" w:lineRule="auto"/>
              <w:ind w:right="0" w:firstLine="480" w:firstLineChars="200"/>
              <w:rPr>
                <w:rFonts w:ascii="Times New Roman" w:hAnsi="Times New Roman"/>
                <w:spacing w:val="-2"/>
                <w:sz w:val="24"/>
                <w:szCs w:val="24"/>
              </w:rPr>
            </w:pPr>
            <w:r>
              <w:rPr>
                <w:rFonts w:ascii="Times New Roman" w:hAnsi="Times New Roman"/>
                <w:sz w:val="24"/>
                <w:szCs w:val="24"/>
              </w:rPr>
              <w:t>建设单位应落实污染物排放控制措施和其他各项环境管理要求，确保污染物排放种类、浓度和排放量等达到许可要求，不断提高污染治理和环境管理水平，自觉接受监督检查。</w:t>
            </w:r>
          </w:p>
          <w:p>
            <w:pPr>
              <w:spacing w:line="360" w:lineRule="auto"/>
              <w:ind w:firstLine="474" w:firstLineChars="200"/>
              <w:rPr>
                <w:rFonts w:ascii="Times New Roman" w:hAnsi="Times New Roman"/>
                <w:b/>
                <w:bCs/>
                <w:sz w:val="24"/>
              </w:rPr>
            </w:pPr>
            <w:r>
              <w:rPr>
                <w:rFonts w:ascii="Times New Roman" w:hAnsi="Times New Roman"/>
                <w:b/>
                <w:bCs/>
                <w:spacing w:val="-2"/>
                <w:sz w:val="24"/>
              </w:rPr>
              <w:t>2、环境管理制度</w:t>
            </w:r>
          </w:p>
          <w:p>
            <w:pPr>
              <w:spacing w:line="360" w:lineRule="auto"/>
              <w:ind w:firstLine="456" w:firstLineChars="200"/>
              <w:rPr>
                <w:rFonts w:ascii="Times New Roman" w:hAnsi="Times New Roman"/>
                <w:spacing w:val="-6"/>
                <w:sz w:val="24"/>
              </w:rPr>
            </w:pPr>
            <w:r>
              <w:rPr>
                <w:rFonts w:ascii="Times New Roman" w:hAnsi="Times New Roman"/>
                <w:spacing w:val="-6"/>
                <w:sz w:val="24"/>
              </w:rPr>
              <w:t>环境管理是环境保护领域的重要手段，为认真贯彻执行国家有关的环境保护法律法规，建设单位应做好以下几个方面的环境管理工作：</w:t>
            </w:r>
          </w:p>
          <w:p>
            <w:pPr>
              <w:spacing w:line="360" w:lineRule="auto"/>
              <w:ind w:firstLine="456" w:firstLineChars="200"/>
              <w:rPr>
                <w:rFonts w:ascii="Times New Roman" w:hAnsi="Times New Roman"/>
                <w:spacing w:val="-6"/>
                <w:sz w:val="24"/>
              </w:rPr>
            </w:pPr>
            <w:r>
              <w:rPr>
                <w:rFonts w:ascii="Times New Roman" w:hAnsi="Times New Roman"/>
                <w:spacing w:val="-6"/>
                <w:sz w:val="24"/>
              </w:rPr>
              <w:t>①结合工程工艺状况，制定并贯彻落实符合拟建项目特点的环保方针。遵守国家地方的有关法律法规以及其它的有关规定。</w:t>
            </w:r>
          </w:p>
          <w:p>
            <w:pPr>
              <w:spacing w:line="360" w:lineRule="auto"/>
              <w:ind w:firstLine="456" w:firstLineChars="200"/>
              <w:rPr>
                <w:rFonts w:ascii="Times New Roman" w:hAnsi="Times New Roman"/>
                <w:spacing w:val="-6"/>
                <w:sz w:val="24"/>
              </w:rPr>
            </w:pPr>
            <w:r>
              <w:rPr>
                <w:rFonts w:ascii="Times New Roman" w:hAnsi="Times New Roman"/>
                <w:spacing w:val="-6"/>
                <w:sz w:val="24"/>
              </w:rPr>
              <w:t>②根据制定的环保方针，确定本项目的环保工程目标和可量化的环保指标，使全体员工都参与到环保工作中。</w:t>
            </w:r>
          </w:p>
          <w:p>
            <w:pPr>
              <w:spacing w:line="360" w:lineRule="auto"/>
              <w:ind w:firstLine="456" w:firstLineChars="200"/>
              <w:rPr>
                <w:rFonts w:ascii="Times New Roman" w:hAnsi="Times New Roman"/>
                <w:spacing w:val="-6"/>
                <w:sz w:val="24"/>
              </w:rPr>
            </w:pPr>
            <w:r>
              <w:rPr>
                <w:rFonts w:ascii="Times New Roman" w:hAnsi="Times New Roman"/>
                <w:spacing w:val="-6"/>
                <w:sz w:val="24"/>
              </w:rPr>
              <w:t>③宣传、贯彻国家及地方的环境保护方针、法规、政策，不断增强全体员工的环保意识和遵守环保法规的自觉性。</w:t>
            </w:r>
          </w:p>
          <w:p>
            <w:pPr>
              <w:spacing w:line="360" w:lineRule="auto"/>
              <w:ind w:firstLine="456" w:firstLineChars="200"/>
              <w:rPr>
                <w:rFonts w:ascii="Times New Roman" w:hAnsi="Times New Roman"/>
                <w:spacing w:val="-6"/>
                <w:sz w:val="24"/>
              </w:rPr>
            </w:pPr>
            <w:r>
              <w:rPr>
                <w:rFonts w:ascii="Times New Roman" w:hAnsi="Times New Roman"/>
                <w:spacing w:val="-6"/>
                <w:sz w:val="24"/>
              </w:rPr>
              <w:t>④组织实施环境保护工作计划和环境监测计划。</w:t>
            </w:r>
          </w:p>
          <w:p>
            <w:pPr>
              <w:spacing w:line="360" w:lineRule="auto"/>
              <w:ind w:firstLine="456" w:firstLineChars="200"/>
              <w:rPr>
                <w:rFonts w:ascii="Times New Roman" w:hAnsi="Times New Roman"/>
                <w:spacing w:val="-6"/>
                <w:sz w:val="24"/>
              </w:rPr>
            </w:pPr>
            <w:r>
              <w:rPr>
                <w:rFonts w:ascii="Times New Roman" w:hAnsi="Times New Roman"/>
                <w:spacing w:val="-6"/>
                <w:sz w:val="24"/>
              </w:rPr>
              <w:t>⑤环保设施的运行管理，保证其正常运行；掌握运行过程中存在的问题，及时提出解决办法和改进措施，监督检查环保设施的日常维护工作。</w:t>
            </w:r>
          </w:p>
          <w:p>
            <w:pPr>
              <w:spacing w:line="360" w:lineRule="auto"/>
              <w:ind w:firstLine="456" w:firstLineChars="200"/>
              <w:rPr>
                <w:rFonts w:ascii="Times New Roman" w:hAnsi="Times New Roman"/>
                <w:spacing w:val="-6"/>
                <w:sz w:val="24"/>
              </w:rPr>
            </w:pPr>
            <w:r>
              <w:rPr>
                <w:rFonts w:ascii="Times New Roman" w:hAnsi="Times New Roman"/>
                <w:spacing w:val="-6"/>
                <w:sz w:val="24"/>
              </w:rPr>
              <w:t>⑥建立本项目环保设施运行情况、污染物排放情况的逐月记录工作。</w:t>
            </w:r>
          </w:p>
          <w:p>
            <w:pPr>
              <w:spacing w:line="360" w:lineRule="auto"/>
              <w:ind w:firstLine="456" w:firstLineChars="200"/>
              <w:rPr>
                <w:rFonts w:ascii="Times New Roman" w:hAnsi="Times New Roman"/>
                <w:spacing w:val="-6"/>
                <w:sz w:val="24"/>
              </w:rPr>
            </w:pPr>
            <w:r>
              <w:rPr>
                <w:rFonts w:ascii="Times New Roman" w:hAnsi="Times New Roman"/>
                <w:spacing w:val="-6"/>
                <w:sz w:val="24"/>
              </w:rPr>
              <w:t>⑦按照公司监测计划，配合检测机构完成对本项目“三废”污染源监测或环境监测。</w:t>
            </w:r>
          </w:p>
          <w:p>
            <w:pPr>
              <w:spacing w:line="360" w:lineRule="auto"/>
              <w:ind w:firstLine="456" w:firstLineChars="200"/>
              <w:rPr>
                <w:rFonts w:ascii="Times New Roman" w:hAnsi="Times New Roman"/>
                <w:spacing w:val="-6"/>
                <w:sz w:val="24"/>
              </w:rPr>
            </w:pPr>
            <w:r>
              <w:rPr>
                <w:rFonts w:ascii="Times New Roman" w:hAnsi="Times New Roman"/>
                <w:spacing w:val="-6"/>
                <w:sz w:val="24"/>
              </w:rPr>
              <w:t>⑧准备和接受环保部门对本项目的排污监理、环保监察、执法检查等工作，并协调处理工作中出现的问题。</w:t>
            </w:r>
          </w:p>
          <w:p>
            <w:pPr>
              <w:spacing w:line="360" w:lineRule="auto"/>
              <w:ind w:firstLine="456" w:firstLineChars="200"/>
              <w:rPr>
                <w:rFonts w:ascii="Times New Roman" w:hAnsi="Times New Roman"/>
                <w:spacing w:val="-6"/>
                <w:sz w:val="24"/>
              </w:rPr>
            </w:pPr>
            <w:r>
              <w:rPr>
                <w:rFonts w:ascii="Times New Roman" w:hAnsi="Times New Roman"/>
                <w:spacing w:val="-6"/>
                <w:sz w:val="24"/>
              </w:rPr>
              <w:t>⑨开展环保管理评审工作，总结环保工作中的成绩和存在的问题，提出改进措施。</w:t>
            </w:r>
          </w:p>
          <w:p>
            <w:pPr>
              <w:spacing w:line="360" w:lineRule="auto"/>
              <w:ind w:firstLine="456" w:firstLineChars="200"/>
              <w:rPr>
                <w:rFonts w:ascii="Times New Roman" w:hAnsi="Times New Roman"/>
                <w:spacing w:val="-6"/>
                <w:sz w:val="24"/>
              </w:rPr>
            </w:pPr>
            <w:r>
              <w:rPr>
                <w:rFonts w:ascii="Times New Roman" w:hAnsi="Times New Roman"/>
                <w:spacing w:val="-6"/>
                <w:sz w:val="24"/>
              </w:rPr>
              <w:t>（2）排污口规范化设置</w:t>
            </w:r>
          </w:p>
          <w:p>
            <w:pPr>
              <w:spacing w:line="360" w:lineRule="auto"/>
              <w:ind w:firstLine="456" w:firstLineChars="200"/>
              <w:rPr>
                <w:rFonts w:ascii="Times New Roman" w:hAnsi="Times New Roman"/>
                <w:spacing w:val="-6"/>
                <w:sz w:val="24"/>
              </w:rPr>
            </w:pPr>
            <w:r>
              <w:rPr>
                <w:rFonts w:ascii="Times New Roman" w:hAnsi="Times New Roman"/>
                <w:spacing w:val="-6"/>
                <w:sz w:val="24"/>
              </w:rPr>
              <w:t>该项目的排污口设置必须符合《排污许可证申请与核发技术规范总则》（HJ942-2018）中的相关排污口规范化的要求。</w:t>
            </w:r>
          </w:p>
          <w:p>
            <w:pPr>
              <w:spacing w:line="360" w:lineRule="auto"/>
              <w:ind w:firstLine="456" w:firstLineChars="200"/>
              <w:rPr>
                <w:rFonts w:ascii="Times New Roman" w:hAnsi="Times New Roman"/>
                <w:spacing w:val="-6"/>
                <w:sz w:val="24"/>
              </w:rPr>
            </w:pPr>
            <w:r>
              <w:rPr>
                <w:rFonts w:ascii="Times New Roman" w:hAnsi="Times New Roman"/>
                <w:spacing w:val="-6"/>
                <w:sz w:val="24"/>
              </w:rPr>
              <w:t>①废气排放口（3个）</w:t>
            </w:r>
          </w:p>
          <w:p>
            <w:pPr>
              <w:spacing w:line="360" w:lineRule="auto"/>
              <w:ind w:firstLine="456" w:firstLineChars="200"/>
              <w:rPr>
                <w:rFonts w:ascii="Times New Roman" w:hAnsi="Times New Roman"/>
                <w:spacing w:val="-6"/>
                <w:sz w:val="24"/>
              </w:rPr>
            </w:pPr>
            <w:r>
              <w:rPr>
                <w:rFonts w:ascii="Times New Roman" w:hAnsi="Times New Roman"/>
                <w:spacing w:val="-6"/>
                <w:sz w:val="24"/>
              </w:rPr>
              <w:t>项目建成后，在废气处理措施醒目处设置环保图形标志牌，标明排气筒高度、出口内径、排放污染物种类等。</w:t>
            </w:r>
          </w:p>
          <w:p>
            <w:pPr>
              <w:spacing w:line="360" w:lineRule="auto"/>
              <w:ind w:firstLine="456" w:firstLineChars="200"/>
              <w:rPr>
                <w:rFonts w:ascii="Times New Roman" w:hAnsi="Times New Roman"/>
                <w:spacing w:val="-6"/>
                <w:sz w:val="24"/>
              </w:rPr>
            </w:pPr>
            <w:r>
              <w:rPr>
                <w:rFonts w:ascii="Times New Roman" w:hAnsi="Times New Roman"/>
                <w:spacing w:val="-6"/>
                <w:sz w:val="24"/>
              </w:rPr>
              <w:t>②固定噪声排放源</w:t>
            </w:r>
          </w:p>
          <w:p>
            <w:pPr>
              <w:spacing w:line="360" w:lineRule="auto"/>
              <w:ind w:firstLine="456" w:firstLineChars="200"/>
              <w:rPr>
                <w:rFonts w:ascii="Times New Roman" w:hAnsi="Times New Roman"/>
                <w:spacing w:val="-6"/>
                <w:sz w:val="24"/>
              </w:rPr>
            </w:pPr>
            <w:r>
              <w:rPr>
                <w:rFonts w:ascii="Times New Roman" w:hAnsi="Times New Roman"/>
                <w:spacing w:val="-6"/>
                <w:sz w:val="24"/>
              </w:rPr>
              <w:t>按规定对固定噪声进行治理，并在边界噪声敏感点且对外界影响最大处设置标志牌。</w:t>
            </w:r>
          </w:p>
          <w:p>
            <w:pPr>
              <w:spacing w:line="360" w:lineRule="auto"/>
              <w:ind w:firstLine="456" w:firstLineChars="200"/>
              <w:rPr>
                <w:rFonts w:ascii="Times New Roman" w:hAnsi="Times New Roman"/>
                <w:spacing w:val="-6"/>
                <w:sz w:val="24"/>
              </w:rPr>
            </w:pPr>
            <w:r>
              <w:rPr>
                <w:rFonts w:ascii="Times New Roman" w:hAnsi="Times New Roman"/>
                <w:spacing w:val="-6"/>
                <w:sz w:val="24"/>
              </w:rPr>
              <w:t>③设置标志牌要求</w:t>
            </w:r>
          </w:p>
          <w:p>
            <w:pPr>
              <w:spacing w:line="360" w:lineRule="auto"/>
              <w:ind w:firstLine="456" w:firstLineChars="200"/>
              <w:rPr>
                <w:rFonts w:ascii="Times New Roman" w:hAnsi="Times New Roman"/>
                <w:spacing w:val="-6"/>
                <w:sz w:val="24"/>
              </w:rPr>
            </w:pPr>
            <w:r>
              <w:rPr>
                <w:rFonts w:ascii="Times New Roman" w:hAnsi="Times New Roman"/>
                <w:spacing w:val="-6"/>
                <w:sz w:val="24"/>
              </w:rPr>
              <w:t>环境保护图形标志由国家环保局统一定点制作，并由市环境监理部门根据企业排污情况统一向国家环保局订购。企业排污口分布图由环境监察支队统一订制。排放一般污染物口（源），设置提示式标志牌，排放有毒有害等污染物的排污口设置警告标志牌。</w:t>
            </w:r>
          </w:p>
          <w:p>
            <w:pPr>
              <w:spacing w:line="360" w:lineRule="auto"/>
              <w:ind w:firstLine="456" w:firstLineChars="200"/>
              <w:rPr>
                <w:rFonts w:ascii="Times New Roman" w:hAnsi="Times New Roman"/>
                <w:spacing w:val="-6"/>
                <w:sz w:val="24"/>
              </w:rPr>
            </w:pPr>
            <w:r>
              <w:rPr>
                <w:rFonts w:ascii="Times New Roman" w:hAnsi="Times New Roman"/>
                <w:spacing w:val="-6"/>
                <w:sz w:val="24"/>
              </w:rPr>
              <w:t>标志牌设置位置在排污口（采样口）附近且醒目处，高度为标志牌上端离地面2m。排污口附近1m范围内有建筑物的，设平面式标志牌，无建筑物设立式标志牌。</w:t>
            </w:r>
          </w:p>
          <w:p>
            <w:pPr>
              <w:spacing w:line="360" w:lineRule="auto"/>
              <w:ind w:firstLine="456" w:firstLineChars="200"/>
              <w:rPr>
                <w:rFonts w:ascii="Times New Roman" w:hAnsi="Times New Roman"/>
                <w:spacing w:val="-6"/>
                <w:sz w:val="24"/>
              </w:rPr>
            </w:pPr>
            <w:r>
              <w:rPr>
                <w:rFonts w:ascii="Times New Roman" w:hAnsi="Times New Roman"/>
                <w:spacing w:val="-6"/>
                <w:sz w:val="24"/>
              </w:rPr>
              <w:t>规范化排污口的有关设置（如图形标志牌、计量装置、监控装置等）属环保设施，排污单位必须负责日常的维护保养，任何单位和个人不得擅自拆除；如果需要变更的必须报环境监理部门同意并办理变更手续。</w:t>
            </w:r>
          </w:p>
          <w:p>
            <w:pPr>
              <w:spacing w:line="360" w:lineRule="auto"/>
              <w:ind w:firstLine="456" w:firstLineChars="200"/>
              <w:rPr>
                <w:rFonts w:ascii="Times New Roman" w:hAnsi="Times New Roman"/>
                <w:spacing w:val="-6"/>
                <w:sz w:val="24"/>
              </w:rPr>
            </w:pPr>
            <w:r>
              <w:rPr>
                <w:rFonts w:ascii="Times New Roman" w:hAnsi="Times New Roman"/>
                <w:spacing w:val="-6"/>
                <w:sz w:val="24"/>
              </w:rPr>
              <w:t>按照原国家环境保护总局制定的《〈环境保护图形标志〉实施细则（试行）》（环监[1996]463号）的规定，在各排污口设立相应的环境保护图形标志牌。具体见表5-1。</w:t>
            </w:r>
          </w:p>
          <w:p>
            <w:pPr>
              <w:spacing w:before="181" w:line="184" w:lineRule="auto"/>
              <w:ind w:firstLine="1651"/>
              <w:rPr>
                <w:rFonts w:ascii="Times New Roman" w:hAnsi="Times New Roman"/>
                <w:b/>
                <w:bCs/>
                <w:szCs w:val="21"/>
              </w:rPr>
            </w:pPr>
            <w:r>
              <w:rPr>
                <w:rFonts w:ascii="Times New Roman" w:hAnsi="Times New Roman"/>
                <w:b/>
                <w:bCs/>
                <w:spacing w:val="-1"/>
                <w:szCs w:val="21"/>
              </w:rPr>
              <w:t>表</w:t>
            </w:r>
            <w:r>
              <w:rPr>
                <w:rFonts w:ascii="Times New Roman" w:hAnsi="Times New Roman"/>
                <w:b/>
                <w:bCs/>
                <w:spacing w:val="-43"/>
                <w:szCs w:val="21"/>
              </w:rPr>
              <w:t>5--1</w:t>
            </w:r>
            <w:r>
              <w:rPr>
                <w:rFonts w:ascii="Times New Roman" w:hAnsi="Times New Roman"/>
                <w:b/>
                <w:bCs/>
                <w:spacing w:val="-1"/>
                <w:szCs w:val="21"/>
              </w:rPr>
              <w:t>各排污口环境保护图形标志一览表</w:t>
            </w:r>
          </w:p>
          <w:p>
            <w:pPr>
              <w:spacing w:line="51" w:lineRule="exact"/>
              <w:rPr>
                <w:rFonts w:ascii="Times New Roman" w:hAnsi="Times New Roman"/>
              </w:rPr>
            </w:pPr>
          </w:p>
          <w:tbl>
            <w:tblPr>
              <w:tblStyle w:val="37"/>
              <w:tblW w:w="69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1"/>
              <w:gridCol w:w="1276"/>
              <w:gridCol w:w="1277"/>
              <w:gridCol w:w="1133"/>
              <w:gridCol w:w="2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601" w:type="dxa"/>
                  <w:tcBorders>
                    <w:top w:val="single" w:color="000000" w:sz="10" w:space="0"/>
                    <w:left w:val="nil"/>
                  </w:tcBorders>
                  <w:textDirection w:val="tbRlV"/>
                  <w:vAlign w:val="center"/>
                </w:tcPr>
                <w:p>
                  <w:pPr>
                    <w:spacing w:before="191" w:line="180" w:lineRule="auto"/>
                    <w:ind w:firstLine="55"/>
                    <w:jc w:val="center"/>
                    <w:rPr>
                      <w:rFonts w:ascii="Times New Roman" w:hAnsi="Times New Roman"/>
                      <w:b/>
                      <w:bCs/>
                      <w:szCs w:val="21"/>
                    </w:rPr>
                  </w:pPr>
                  <w:r>
                    <w:rPr>
                      <w:rFonts w:ascii="Times New Roman" w:hAnsi="Times New Roman"/>
                      <w:b/>
                      <w:bCs/>
                      <w:spacing w:val="-1"/>
                      <w:szCs w:val="21"/>
                    </w:rPr>
                    <w:t>序号</w:t>
                  </w:r>
                </w:p>
              </w:tc>
              <w:tc>
                <w:tcPr>
                  <w:tcW w:w="1276" w:type="dxa"/>
                  <w:tcBorders>
                    <w:top w:val="single" w:color="000000" w:sz="10" w:space="0"/>
                  </w:tcBorders>
                  <w:vAlign w:val="center"/>
                </w:tcPr>
                <w:p>
                  <w:pPr>
                    <w:spacing w:before="211" w:line="184" w:lineRule="auto"/>
                    <w:ind w:firstLine="115"/>
                    <w:jc w:val="center"/>
                    <w:rPr>
                      <w:rFonts w:ascii="Times New Roman" w:hAnsi="Times New Roman"/>
                      <w:b/>
                      <w:bCs/>
                      <w:szCs w:val="21"/>
                    </w:rPr>
                  </w:pPr>
                  <w:r>
                    <w:rPr>
                      <w:rFonts w:ascii="Times New Roman" w:hAnsi="Times New Roman"/>
                      <w:b/>
                      <w:bCs/>
                      <w:spacing w:val="-2"/>
                      <w:szCs w:val="21"/>
                    </w:rPr>
                    <w:t>排放口名称</w:t>
                  </w:r>
                </w:p>
              </w:tc>
              <w:tc>
                <w:tcPr>
                  <w:tcW w:w="1277" w:type="dxa"/>
                  <w:tcBorders>
                    <w:top w:val="single" w:color="000000" w:sz="10" w:space="0"/>
                  </w:tcBorders>
                  <w:vAlign w:val="center"/>
                </w:tcPr>
                <w:p>
                  <w:pPr>
                    <w:spacing w:before="211" w:line="184" w:lineRule="auto"/>
                    <w:ind w:firstLine="242"/>
                    <w:jc w:val="center"/>
                    <w:rPr>
                      <w:rFonts w:ascii="Times New Roman" w:hAnsi="Times New Roman"/>
                      <w:b/>
                      <w:bCs/>
                      <w:szCs w:val="21"/>
                    </w:rPr>
                  </w:pPr>
                  <w:r>
                    <w:rPr>
                      <w:rFonts w:ascii="Times New Roman" w:hAnsi="Times New Roman"/>
                      <w:b/>
                      <w:bCs/>
                      <w:spacing w:val="-8"/>
                      <w:szCs w:val="21"/>
                    </w:rPr>
                    <w:t>图形标志</w:t>
                  </w:r>
                </w:p>
              </w:tc>
              <w:tc>
                <w:tcPr>
                  <w:tcW w:w="1133" w:type="dxa"/>
                  <w:tcBorders>
                    <w:top w:val="single" w:color="000000" w:sz="10" w:space="0"/>
                  </w:tcBorders>
                  <w:vAlign w:val="center"/>
                </w:tcPr>
                <w:p>
                  <w:pPr>
                    <w:spacing w:before="55" w:line="229" w:lineRule="auto"/>
                    <w:ind w:left="359" w:right="143" w:hanging="207"/>
                    <w:jc w:val="center"/>
                    <w:rPr>
                      <w:rFonts w:ascii="Times New Roman" w:hAnsi="Times New Roman"/>
                      <w:b/>
                      <w:bCs/>
                      <w:szCs w:val="21"/>
                    </w:rPr>
                  </w:pPr>
                  <w:r>
                    <w:rPr>
                      <w:rFonts w:ascii="Times New Roman" w:hAnsi="Times New Roman"/>
                      <w:b/>
                      <w:bCs/>
                      <w:spacing w:val="-4"/>
                      <w:szCs w:val="21"/>
                    </w:rPr>
                    <w:t>警告图形</w:t>
                  </w:r>
                  <w:r>
                    <w:rPr>
                      <w:rFonts w:ascii="Times New Roman" w:hAnsi="Times New Roman"/>
                      <w:b/>
                      <w:bCs/>
                      <w:spacing w:val="-6"/>
                      <w:szCs w:val="21"/>
                    </w:rPr>
                    <w:t>符号</w:t>
                  </w:r>
                </w:p>
              </w:tc>
              <w:tc>
                <w:tcPr>
                  <w:tcW w:w="2632" w:type="dxa"/>
                  <w:tcBorders>
                    <w:top w:val="single" w:color="000000" w:sz="10" w:space="0"/>
                    <w:right w:val="nil"/>
                  </w:tcBorders>
                  <w:vAlign w:val="center"/>
                </w:tcPr>
                <w:p>
                  <w:pPr>
                    <w:spacing w:before="211" w:line="184" w:lineRule="auto"/>
                    <w:ind w:firstLine="1112"/>
                    <w:jc w:val="center"/>
                    <w:rPr>
                      <w:rFonts w:ascii="Times New Roman" w:hAnsi="Times New Roman"/>
                      <w:b/>
                      <w:bCs/>
                      <w:szCs w:val="21"/>
                    </w:rPr>
                  </w:pPr>
                  <w:r>
                    <w:rPr>
                      <w:rFonts w:ascii="Times New Roman" w:hAnsi="Times New Roman"/>
                      <w:b/>
                      <w:bCs/>
                      <w:spacing w:val="-7"/>
                      <w:szCs w:val="21"/>
                    </w:rPr>
                    <w:t>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jc w:val="center"/>
              </w:trPr>
              <w:tc>
                <w:tcPr>
                  <w:tcW w:w="601" w:type="dxa"/>
                  <w:tcBorders>
                    <w:left w:val="nil"/>
                  </w:tcBorders>
                  <w:vAlign w:val="center"/>
                </w:tcPr>
                <w:p>
                  <w:pPr>
                    <w:spacing w:before="61" w:line="180" w:lineRule="auto"/>
                    <w:jc w:val="center"/>
                    <w:rPr>
                      <w:rFonts w:ascii="Times New Roman" w:hAnsi="Times New Roman" w:eastAsia="Times New Roman"/>
                      <w:szCs w:val="21"/>
                    </w:rPr>
                  </w:pPr>
                  <w:r>
                    <w:rPr>
                      <w:rFonts w:ascii="Times New Roman" w:hAnsi="Times New Roman" w:eastAsia="Times New Roman"/>
                      <w:szCs w:val="21"/>
                    </w:rPr>
                    <w:t>1</w:t>
                  </w:r>
                </w:p>
              </w:tc>
              <w:tc>
                <w:tcPr>
                  <w:tcW w:w="1276" w:type="dxa"/>
                  <w:vAlign w:val="center"/>
                </w:tcPr>
                <w:p>
                  <w:pPr>
                    <w:spacing w:before="69" w:line="184" w:lineRule="auto"/>
                    <w:jc w:val="center"/>
                    <w:rPr>
                      <w:rFonts w:ascii="Times New Roman" w:hAnsi="Times New Roman"/>
                      <w:szCs w:val="21"/>
                    </w:rPr>
                  </w:pPr>
                  <w:r>
                    <w:rPr>
                      <w:rFonts w:ascii="Times New Roman" w:hAnsi="Times New Roman"/>
                      <w:spacing w:val="-2"/>
                      <w:szCs w:val="21"/>
                    </w:rPr>
                    <w:t>废气排放口</w:t>
                  </w:r>
                </w:p>
              </w:tc>
              <w:tc>
                <w:tcPr>
                  <w:tcW w:w="1277" w:type="dxa"/>
                  <w:vAlign w:val="center"/>
                </w:tcPr>
                <w:p>
                  <w:pPr>
                    <w:spacing w:before="4" w:line="926" w:lineRule="exact"/>
                    <w:ind w:firstLine="227"/>
                    <w:jc w:val="center"/>
                    <w:textAlignment w:val="center"/>
                    <w:rPr>
                      <w:rFonts w:ascii="Times New Roman" w:hAnsi="Times New Roman"/>
                    </w:rPr>
                  </w:pPr>
                  <w:r>
                    <w:rPr>
                      <w:rFonts w:ascii="Times New Roman" w:hAnsi="Times New Roman"/>
                    </w:rPr>
                    <w:drawing>
                      <wp:inline distT="0" distB="0" distL="114300" distR="114300">
                        <wp:extent cx="514985" cy="588010"/>
                        <wp:effectExtent l="0" t="0" r="18415" b="2540"/>
                        <wp:docPr id="43" name="图片 47"/>
                        <wp:cNvGraphicFramePr/>
                        <a:graphic xmlns:a="http://schemas.openxmlformats.org/drawingml/2006/main">
                          <a:graphicData uri="http://schemas.openxmlformats.org/drawingml/2006/picture">
                            <pic:pic xmlns:pic="http://schemas.openxmlformats.org/drawingml/2006/picture">
                              <pic:nvPicPr>
                                <pic:cNvPr id="43" name="图片 47"/>
                                <pic:cNvPicPr/>
                              </pic:nvPicPr>
                              <pic:blipFill>
                                <a:blip r:embed="rId27"/>
                                <a:stretch>
                                  <a:fillRect/>
                                </a:stretch>
                              </pic:blipFill>
                              <pic:spPr>
                                <a:xfrm>
                                  <a:off x="0" y="0"/>
                                  <a:ext cx="514985" cy="588010"/>
                                </a:xfrm>
                                <a:prstGeom prst="rect">
                                  <a:avLst/>
                                </a:prstGeom>
                                <a:noFill/>
                                <a:ln>
                                  <a:noFill/>
                                </a:ln>
                              </pic:spPr>
                            </pic:pic>
                          </a:graphicData>
                        </a:graphic>
                      </wp:inline>
                    </w:drawing>
                  </w:r>
                </w:p>
              </w:tc>
              <w:tc>
                <w:tcPr>
                  <w:tcW w:w="1133" w:type="dxa"/>
                  <w:vAlign w:val="center"/>
                </w:tcPr>
                <w:p>
                  <w:pPr>
                    <w:spacing w:before="59" w:line="825" w:lineRule="exact"/>
                    <w:ind w:firstLine="102"/>
                    <w:jc w:val="center"/>
                    <w:textAlignment w:val="center"/>
                    <w:rPr>
                      <w:rFonts w:ascii="Times New Roman" w:hAnsi="Times New Roman"/>
                    </w:rPr>
                  </w:pPr>
                  <w:r>
                    <w:rPr>
                      <w:rFonts w:ascii="Times New Roman" w:hAnsi="Times New Roman"/>
                    </w:rPr>
                    <w:drawing>
                      <wp:inline distT="0" distB="0" distL="114300" distR="114300">
                        <wp:extent cx="647700" cy="523875"/>
                        <wp:effectExtent l="0" t="0" r="0" b="9525"/>
                        <wp:docPr id="34" name="图片 48"/>
                        <wp:cNvGraphicFramePr/>
                        <a:graphic xmlns:a="http://schemas.openxmlformats.org/drawingml/2006/main">
                          <a:graphicData uri="http://schemas.openxmlformats.org/drawingml/2006/picture">
                            <pic:pic xmlns:pic="http://schemas.openxmlformats.org/drawingml/2006/picture">
                              <pic:nvPicPr>
                                <pic:cNvPr id="34" name="图片 48"/>
                                <pic:cNvPicPr/>
                              </pic:nvPicPr>
                              <pic:blipFill>
                                <a:blip r:embed="rId28"/>
                                <a:stretch>
                                  <a:fillRect/>
                                </a:stretch>
                              </pic:blipFill>
                              <pic:spPr>
                                <a:xfrm>
                                  <a:off x="0" y="0"/>
                                  <a:ext cx="647700" cy="523875"/>
                                </a:xfrm>
                                <a:prstGeom prst="rect">
                                  <a:avLst/>
                                </a:prstGeom>
                                <a:noFill/>
                                <a:ln>
                                  <a:noFill/>
                                </a:ln>
                              </pic:spPr>
                            </pic:pic>
                          </a:graphicData>
                        </a:graphic>
                      </wp:inline>
                    </w:drawing>
                  </w:r>
                </w:p>
              </w:tc>
              <w:tc>
                <w:tcPr>
                  <w:tcW w:w="2632" w:type="dxa"/>
                  <w:tcBorders>
                    <w:right w:val="nil"/>
                  </w:tcBorders>
                  <w:vAlign w:val="center"/>
                </w:tcPr>
                <w:p>
                  <w:pPr>
                    <w:spacing w:before="69" w:line="184" w:lineRule="auto"/>
                    <w:jc w:val="center"/>
                    <w:rPr>
                      <w:rFonts w:ascii="Times New Roman" w:hAnsi="Times New Roman"/>
                      <w:szCs w:val="21"/>
                    </w:rPr>
                  </w:pPr>
                  <w:r>
                    <w:rPr>
                      <w:rFonts w:ascii="Times New Roman" w:hAnsi="Times New Roman"/>
                      <w:spacing w:val="-1"/>
                      <w:szCs w:val="21"/>
                    </w:rPr>
                    <w:t>表示废气向大气环境排放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jc w:val="center"/>
              </w:trPr>
              <w:tc>
                <w:tcPr>
                  <w:tcW w:w="601" w:type="dxa"/>
                  <w:tcBorders>
                    <w:left w:val="nil"/>
                    <w:bottom w:val="single" w:color="000000" w:sz="10" w:space="0"/>
                  </w:tcBorders>
                  <w:vAlign w:val="center"/>
                </w:tcPr>
                <w:p>
                  <w:pPr>
                    <w:spacing w:before="61" w:line="180" w:lineRule="auto"/>
                    <w:jc w:val="center"/>
                    <w:rPr>
                      <w:rFonts w:ascii="Times New Roman" w:hAnsi="Times New Roman" w:eastAsia="Times New Roman"/>
                      <w:szCs w:val="21"/>
                    </w:rPr>
                  </w:pPr>
                  <w:r>
                    <w:rPr>
                      <w:rFonts w:ascii="Times New Roman" w:hAnsi="Times New Roman" w:eastAsia="Times New Roman"/>
                      <w:szCs w:val="21"/>
                    </w:rPr>
                    <w:t>2</w:t>
                  </w:r>
                </w:p>
              </w:tc>
              <w:tc>
                <w:tcPr>
                  <w:tcW w:w="1276" w:type="dxa"/>
                  <w:tcBorders>
                    <w:bottom w:val="single" w:color="000000" w:sz="10" w:space="0"/>
                  </w:tcBorders>
                  <w:vAlign w:val="center"/>
                </w:tcPr>
                <w:p>
                  <w:pPr>
                    <w:spacing w:before="68" w:line="184" w:lineRule="auto"/>
                    <w:jc w:val="center"/>
                    <w:rPr>
                      <w:rFonts w:ascii="Times New Roman" w:hAnsi="Times New Roman"/>
                      <w:szCs w:val="21"/>
                    </w:rPr>
                  </w:pPr>
                  <w:r>
                    <w:rPr>
                      <w:rFonts w:ascii="Times New Roman" w:hAnsi="Times New Roman"/>
                      <w:spacing w:val="-4"/>
                      <w:szCs w:val="21"/>
                    </w:rPr>
                    <w:t>噪声排放源</w:t>
                  </w:r>
                </w:p>
              </w:tc>
              <w:tc>
                <w:tcPr>
                  <w:tcW w:w="1277" w:type="dxa"/>
                  <w:tcBorders>
                    <w:bottom w:val="single" w:color="000000" w:sz="10" w:space="0"/>
                  </w:tcBorders>
                  <w:vAlign w:val="center"/>
                </w:tcPr>
                <w:p>
                  <w:pPr>
                    <w:spacing w:before="14" w:line="936" w:lineRule="exact"/>
                    <w:ind w:firstLine="227"/>
                    <w:jc w:val="center"/>
                    <w:textAlignment w:val="center"/>
                    <w:rPr>
                      <w:rFonts w:ascii="Times New Roman" w:hAnsi="Times New Roman"/>
                    </w:rPr>
                  </w:pPr>
                  <w:r>
                    <w:rPr>
                      <w:rFonts w:ascii="Times New Roman" w:hAnsi="Times New Roman"/>
                    </w:rPr>
                    <w:drawing>
                      <wp:inline distT="0" distB="0" distL="114300" distR="114300">
                        <wp:extent cx="514985" cy="593725"/>
                        <wp:effectExtent l="0" t="0" r="18415" b="15875"/>
                        <wp:docPr id="35" name="图片 49"/>
                        <wp:cNvGraphicFramePr/>
                        <a:graphic xmlns:a="http://schemas.openxmlformats.org/drawingml/2006/main">
                          <a:graphicData uri="http://schemas.openxmlformats.org/drawingml/2006/picture">
                            <pic:pic xmlns:pic="http://schemas.openxmlformats.org/drawingml/2006/picture">
                              <pic:nvPicPr>
                                <pic:cNvPr id="35" name="图片 49"/>
                                <pic:cNvPicPr/>
                              </pic:nvPicPr>
                              <pic:blipFill>
                                <a:blip r:embed="rId29"/>
                                <a:stretch>
                                  <a:fillRect/>
                                </a:stretch>
                              </pic:blipFill>
                              <pic:spPr>
                                <a:xfrm>
                                  <a:off x="0" y="0"/>
                                  <a:ext cx="514985" cy="593725"/>
                                </a:xfrm>
                                <a:prstGeom prst="rect">
                                  <a:avLst/>
                                </a:prstGeom>
                                <a:noFill/>
                                <a:ln>
                                  <a:noFill/>
                                </a:ln>
                              </pic:spPr>
                            </pic:pic>
                          </a:graphicData>
                        </a:graphic>
                      </wp:inline>
                    </w:drawing>
                  </w:r>
                </w:p>
              </w:tc>
              <w:tc>
                <w:tcPr>
                  <w:tcW w:w="1133" w:type="dxa"/>
                  <w:tcBorders>
                    <w:bottom w:val="single" w:color="000000" w:sz="10" w:space="0"/>
                  </w:tcBorders>
                  <w:vAlign w:val="center"/>
                </w:tcPr>
                <w:p>
                  <w:pPr>
                    <w:spacing w:before="47" w:line="871" w:lineRule="exact"/>
                    <w:ind w:firstLine="102"/>
                    <w:jc w:val="center"/>
                    <w:textAlignment w:val="center"/>
                    <w:rPr>
                      <w:rFonts w:ascii="Times New Roman" w:hAnsi="Times New Roman"/>
                    </w:rPr>
                  </w:pPr>
                  <w:r>
                    <w:rPr>
                      <w:rFonts w:ascii="Times New Roman" w:hAnsi="Times New Roman"/>
                    </w:rPr>
                    <w:drawing>
                      <wp:inline distT="0" distB="0" distL="114300" distR="114300">
                        <wp:extent cx="647700" cy="553720"/>
                        <wp:effectExtent l="0" t="0" r="0" b="17780"/>
                        <wp:docPr id="44" name="图片 50"/>
                        <wp:cNvGraphicFramePr/>
                        <a:graphic xmlns:a="http://schemas.openxmlformats.org/drawingml/2006/main">
                          <a:graphicData uri="http://schemas.openxmlformats.org/drawingml/2006/picture">
                            <pic:pic xmlns:pic="http://schemas.openxmlformats.org/drawingml/2006/picture">
                              <pic:nvPicPr>
                                <pic:cNvPr id="44" name="图片 50"/>
                                <pic:cNvPicPr/>
                              </pic:nvPicPr>
                              <pic:blipFill>
                                <a:blip r:embed="rId30"/>
                                <a:stretch>
                                  <a:fillRect/>
                                </a:stretch>
                              </pic:blipFill>
                              <pic:spPr>
                                <a:xfrm>
                                  <a:off x="0" y="0"/>
                                  <a:ext cx="647700" cy="553720"/>
                                </a:xfrm>
                                <a:prstGeom prst="rect">
                                  <a:avLst/>
                                </a:prstGeom>
                                <a:noFill/>
                                <a:ln>
                                  <a:noFill/>
                                </a:ln>
                              </pic:spPr>
                            </pic:pic>
                          </a:graphicData>
                        </a:graphic>
                      </wp:inline>
                    </w:drawing>
                  </w:r>
                </w:p>
              </w:tc>
              <w:tc>
                <w:tcPr>
                  <w:tcW w:w="2632" w:type="dxa"/>
                  <w:tcBorders>
                    <w:bottom w:val="single" w:color="000000" w:sz="10" w:space="0"/>
                    <w:right w:val="nil"/>
                  </w:tcBorders>
                  <w:vAlign w:val="center"/>
                </w:tcPr>
                <w:p>
                  <w:pPr>
                    <w:spacing w:before="68" w:line="184" w:lineRule="auto"/>
                    <w:jc w:val="center"/>
                    <w:rPr>
                      <w:rFonts w:ascii="Times New Roman" w:hAnsi="Times New Roman"/>
                      <w:szCs w:val="21"/>
                    </w:rPr>
                  </w:pPr>
                  <w:r>
                    <w:rPr>
                      <w:rFonts w:ascii="Times New Roman" w:hAnsi="Times New Roman"/>
                      <w:spacing w:val="-1"/>
                      <w:szCs w:val="21"/>
                    </w:rPr>
                    <w:t>表示噪声向外环境排放</w:t>
                  </w:r>
                </w:p>
              </w:tc>
            </w:tr>
          </w:tbl>
          <w:p>
            <w:pPr>
              <w:spacing w:line="360" w:lineRule="auto"/>
              <w:ind w:firstLine="480" w:firstLineChars="200"/>
              <w:rPr>
                <w:rFonts w:ascii="Times New Roman" w:hAnsi="Times New Roman"/>
                <w:sz w:val="24"/>
              </w:rPr>
            </w:pPr>
          </w:p>
        </w:tc>
      </w:tr>
    </w:tbl>
    <w:p>
      <w:pPr>
        <w:pStyle w:val="21"/>
      </w:pPr>
      <w:r>
        <w:br w:type="page"/>
      </w:r>
      <w:r>
        <w:t>六、结论</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adjustRightInd w:val="0"/>
              <w:snapToGrid w:val="0"/>
              <w:spacing w:line="360" w:lineRule="auto"/>
              <w:ind w:firstLine="480" w:firstLineChars="200"/>
              <w:rPr>
                <w:rFonts w:ascii="Times New Roman" w:hAnsi="Times New Roman"/>
                <w:sz w:val="24"/>
              </w:rPr>
            </w:pPr>
            <w:r>
              <w:rPr>
                <w:rFonts w:ascii="Times New Roman" w:hAnsi="Times New Roman"/>
                <w:sz w:val="24"/>
              </w:rPr>
              <w:t>本工程建设符合国家产业政策，在严格采取环评报告规定的环境保护对策后，各污染源所排放污染物可以达标排放，对环境影响较小。只要在企业的开发建设和日常运转管理中，切实落实好本评价提出的有关环境保护的对策和措施，那么从环境保护的角度而言，该项目是可行的。</w:t>
            </w:r>
          </w:p>
          <w:p>
            <w:pPr>
              <w:pStyle w:val="30"/>
              <w:spacing w:line="360" w:lineRule="auto"/>
              <w:ind w:firstLine="482" w:firstLineChars="200"/>
              <w:jc w:val="both"/>
              <w:rPr>
                <w:color w:val="auto"/>
              </w:rPr>
            </w:pPr>
          </w:p>
        </w:tc>
      </w:tr>
    </w:tbl>
    <w:p>
      <w:pPr>
        <w:rPr>
          <w:rFonts w:ascii="Times New Roman" w:hAnsi="Times New Roman"/>
        </w:rPr>
        <w:sectPr>
          <w:pgSz w:w="11906" w:h="16838"/>
          <w:pgMar w:top="1701" w:right="1531" w:bottom="1701" w:left="1531" w:header="851" w:footer="851" w:gutter="0"/>
          <w:pgNumType w:fmt="numberInDash"/>
          <w:cols w:space="720" w:num="1"/>
          <w:docGrid w:linePitch="312" w:charSpace="0"/>
        </w:sectPr>
      </w:pPr>
    </w:p>
    <w:p>
      <w:pPr>
        <w:pStyle w:val="21"/>
      </w:pPr>
      <w:r>
        <w:t>附表</w:t>
      </w:r>
    </w:p>
    <w:p>
      <w:pPr>
        <w:jc w:val="center"/>
        <w:rPr>
          <w:rFonts w:ascii="Times New Roman" w:hAnsi="Times New Roman"/>
          <w:b/>
          <w:bCs/>
          <w:sz w:val="28"/>
          <w:szCs w:val="28"/>
        </w:rPr>
      </w:pPr>
      <w:r>
        <w:rPr>
          <w:rFonts w:ascii="Times New Roman" w:hAnsi="Times New Roman"/>
          <w:b/>
          <w:bCs/>
          <w:sz w:val="28"/>
          <w:szCs w:val="28"/>
        </w:rPr>
        <w:t>建设项目污染物排放量汇总表</w:t>
      </w:r>
    </w:p>
    <w:tbl>
      <w:tblPr>
        <w:tblStyle w:val="37"/>
        <w:tblW w:w="14066" w:type="dxa"/>
        <w:jc w:val="center"/>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Layout w:type="fixed"/>
        <w:tblCellMar>
          <w:top w:w="0" w:type="dxa"/>
          <w:left w:w="0" w:type="dxa"/>
          <w:bottom w:w="0" w:type="dxa"/>
          <w:right w:w="0" w:type="dxa"/>
        </w:tblCellMar>
      </w:tblPr>
      <w:tblGrid>
        <w:gridCol w:w="1596"/>
        <w:gridCol w:w="1416"/>
        <w:gridCol w:w="1699"/>
        <w:gridCol w:w="1275"/>
        <w:gridCol w:w="1699"/>
        <w:gridCol w:w="1557"/>
        <w:gridCol w:w="1759"/>
        <w:gridCol w:w="1957"/>
        <w:gridCol w:w="1108"/>
      </w:tblGrid>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845" w:hRule="atLeast"/>
          <w:jc w:val="center"/>
        </w:trPr>
        <w:tc>
          <w:tcPr>
            <w:tcW w:w="1596" w:type="dxa"/>
            <w:tcBorders>
              <w:tl2br w:val="nil"/>
              <w:tr2bl w:val="nil"/>
            </w:tcBorders>
            <w:vAlign w:val="center"/>
          </w:tcPr>
          <w:p>
            <w:pPr>
              <w:snapToGrid w:val="0"/>
              <w:jc w:val="center"/>
              <w:rPr>
                <w:rFonts w:ascii="Times New Roman" w:hAnsi="Times New Roman" w:eastAsia="黑体"/>
                <w:szCs w:val="21"/>
              </w:rPr>
            </w:pPr>
            <w:r>
              <w:rPr>
                <w:rFonts w:ascii="Times New Roman" w:hAnsi="Times New Roman" w:eastAsia="黑体"/>
                <w:spacing w:val="-5"/>
                <w:szCs w:val="21"/>
              </w:rPr>
              <w:t>项目</w:t>
            </w:r>
          </w:p>
          <w:p>
            <w:pPr>
              <w:snapToGrid w:val="0"/>
              <w:jc w:val="center"/>
              <w:rPr>
                <w:rFonts w:ascii="Times New Roman" w:hAnsi="Times New Roman" w:eastAsia="黑体"/>
                <w:szCs w:val="21"/>
              </w:rPr>
            </w:pPr>
            <w:r>
              <w:rPr>
                <w:rFonts w:ascii="Times New Roman" w:hAnsi="Times New Roman" w:eastAsia="黑体"/>
                <w:spacing w:val="-8"/>
                <w:szCs w:val="21"/>
              </w:rPr>
              <w:t>分类</w:t>
            </w:r>
          </w:p>
        </w:tc>
        <w:tc>
          <w:tcPr>
            <w:tcW w:w="1416" w:type="dxa"/>
            <w:tcBorders>
              <w:tl2br w:val="nil"/>
              <w:tr2bl w:val="nil"/>
            </w:tcBorders>
            <w:vAlign w:val="center"/>
          </w:tcPr>
          <w:p>
            <w:pPr>
              <w:snapToGrid w:val="0"/>
              <w:jc w:val="center"/>
              <w:rPr>
                <w:rFonts w:ascii="Times New Roman" w:hAnsi="Times New Roman" w:eastAsia="黑体"/>
                <w:szCs w:val="21"/>
              </w:rPr>
            </w:pPr>
            <w:r>
              <w:rPr>
                <w:rFonts w:ascii="Times New Roman" w:hAnsi="Times New Roman" w:eastAsia="黑体"/>
                <w:spacing w:val="-11"/>
                <w:szCs w:val="21"/>
              </w:rPr>
              <w:t>污染物名称</w:t>
            </w:r>
          </w:p>
        </w:tc>
        <w:tc>
          <w:tcPr>
            <w:tcW w:w="1699" w:type="dxa"/>
            <w:tcBorders>
              <w:tl2br w:val="nil"/>
              <w:tr2bl w:val="nil"/>
            </w:tcBorders>
            <w:vAlign w:val="center"/>
          </w:tcPr>
          <w:p>
            <w:pPr>
              <w:snapToGrid w:val="0"/>
              <w:jc w:val="center"/>
              <w:rPr>
                <w:rFonts w:ascii="Times New Roman" w:hAnsi="Times New Roman" w:eastAsia="黑体"/>
                <w:szCs w:val="21"/>
              </w:rPr>
            </w:pPr>
            <w:r>
              <w:rPr>
                <w:rFonts w:ascii="Times New Roman" w:hAnsi="Times New Roman" w:eastAsia="黑体"/>
                <w:spacing w:val="-9"/>
                <w:szCs w:val="21"/>
              </w:rPr>
              <w:t>现有工程</w:t>
            </w:r>
          </w:p>
          <w:p>
            <w:pPr>
              <w:snapToGrid w:val="0"/>
              <w:jc w:val="center"/>
              <w:rPr>
                <w:rFonts w:ascii="Times New Roman" w:hAnsi="Times New Roman" w:eastAsia="黑体"/>
                <w:szCs w:val="21"/>
              </w:rPr>
            </w:pPr>
            <w:r>
              <w:rPr>
                <w:rFonts w:ascii="Times New Roman" w:hAnsi="Times New Roman" w:eastAsia="黑体"/>
                <w:spacing w:val="-11"/>
                <w:szCs w:val="21"/>
              </w:rPr>
              <w:t>排放量（固体废物</w:t>
            </w:r>
          </w:p>
          <w:p>
            <w:pPr>
              <w:snapToGrid w:val="0"/>
              <w:jc w:val="center"/>
              <w:rPr>
                <w:rFonts w:ascii="Times New Roman" w:hAnsi="Times New Roman" w:eastAsia="黑体"/>
                <w:szCs w:val="21"/>
              </w:rPr>
            </w:pPr>
            <w:r>
              <w:rPr>
                <w:rFonts w:ascii="Times New Roman" w:hAnsi="Times New Roman" w:eastAsia="黑体"/>
                <w:spacing w:val="-19"/>
                <w:w w:val="93"/>
                <w:szCs w:val="21"/>
              </w:rPr>
              <w:t>产生量）①</w:t>
            </w:r>
          </w:p>
        </w:tc>
        <w:tc>
          <w:tcPr>
            <w:tcW w:w="1275" w:type="dxa"/>
            <w:tcBorders>
              <w:tl2br w:val="nil"/>
              <w:tr2bl w:val="nil"/>
            </w:tcBorders>
            <w:vAlign w:val="center"/>
          </w:tcPr>
          <w:p>
            <w:pPr>
              <w:snapToGrid w:val="0"/>
              <w:jc w:val="center"/>
              <w:rPr>
                <w:rFonts w:ascii="Times New Roman" w:hAnsi="Times New Roman" w:eastAsia="黑体"/>
                <w:szCs w:val="21"/>
              </w:rPr>
            </w:pPr>
            <w:r>
              <w:rPr>
                <w:rFonts w:ascii="Times New Roman" w:hAnsi="Times New Roman" w:eastAsia="黑体"/>
                <w:spacing w:val="-9"/>
                <w:szCs w:val="21"/>
              </w:rPr>
              <w:t>现有工程</w:t>
            </w:r>
          </w:p>
          <w:p>
            <w:pPr>
              <w:snapToGrid w:val="0"/>
              <w:jc w:val="center"/>
              <w:rPr>
                <w:rFonts w:ascii="Times New Roman" w:hAnsi="Times New Roman" w:eastAsia="黑体"/>
                <w:szCs w:val="21"/>
              </w:rPr>
            </w:pPr>
            <w:r>
              <w:rPr>
                <w:rFonts w:ascii="Times New Roman" w:hAnsi="Times New Roman" w:eastAsia="黑体"/>
                <w:spacing w:val="-10"/>
                <w:szCs w:val="21"/>
              </w:rPr>
              <w:t>许可排放量</w:t>
            </w:r>
          </w:p>
          <w:p>
            <w:pPr>
              <w:snapToGrid w:val="0"/>
              <w:jc w:val="center"/>
              <w:rPr>
                <w:rFonts w:ascii="Times New Roman" w:hAnsi="Times New Roman" w:eastAsia="黑体"/>
                <w:szCs w:val="21"/>
              </w:rPr>
            </w:pPr>
            <w:r>
              <w:rPr>
                <w:rFonts w:ascii="Times New Roman" w:hAnsi="Times New Roman" w:eastAsia="黑体"/>
                <w:szCs w:val="21"/>
              </w:rPr>
              <w:t>②</w:t>
            </w:r>
          </w:p>
        </w:tc>
        <w:tc>
          <w:tcPr>
            <w:tcW w:w="1699" w:type="dxa"/>
            <w:tcBorders>
              <w:tl2br w:val="nil"/>
              <w:tr2bl w:val="nil"/>
            </w:tcBorders>
            <w:vAlign w:val="center"/>
          </w:tcPr>
          <w:p>
            <w:pPr>
              <w:snapToGrid w:val="0"/>
              <w:jc w:val="center"/>
              <w:rPr>
                <w:rFonts w:ascii="Times New Roman" w:hAnsi="Times New Roman" w:eastAsia="黑体"/>
                <w:szCs w:val="21"/>
              </w:rPr>
            </w:pPr>
            <w:r>
              <w:rPr>
                <w:rFonts w:ascii="Times New Roman" w:hAnsi="Times New Roman" w:eastAsia="黑体"/>
                <w:spacing w:val="-8"/>
                <w:szCs w:val="21"/>
              </w:rPr>
              <w:t>在建工程</w:t>
            </w:r>
          </w:p>
          <w:p>
            <w:pPr>
              <w:snapToGrid w:val="0"/>
              <w:jc w:val="center"/>
              <w:rPr>
                <w:rFonts w:ascii="Times New Roman" w:hAnsi="Times New Roman" w:eastAsia="黑体"/>
                <w:szCs w:val="21"/>
              </w:rPr>
            </w:pPr>
            <w:r>
              <w:rPr>
                <w:rFonts w:ascii="Times New Roman" w:hAnsi="Times New Roman" w:eastAsia="黑体"/>
                <w:spacing w:val="-11"/>
                <w:szCs w:val="21"/>
              </w:rPr>
              <w:t>排放量（固体废物</w:t>
            </w:r>
          </w:p>
          <w:p>
            <w:pPr>
              <w:snapToGrid w:val="0"/>
              <w:jc w:val="center"/>
              <w:rPr>
                <w:rFonts w:ascii="Times New Roman" w:hAnsi="Times New Roman" w:eastAsia="黑体"/>
                <w:szCs w:val="21"/>
              </w:rPr>
            </w:pPr>
            <w:r>
              <w:rPr>
                <w:rFonts w:ascii="Times New Roman" w:hAnsi="Times New Roman" w:eastAsia="黑体"/>
                <w:spacing w:val="-19"/>
                <w:w w:val="93"/>
                <w:szCs w:val="21"/>
              </w:rPr>
              <w:t>产生量）③</w:t>
            </w:r>
          </w:p>
        </w:tc>
        <w:tc>
          <w:tcPr>
            <w:tcW w:w="1557" w:type="dxa"/>
            <w:tcBorders>
              <w:tl2br w:val="nil"/>
              <w:tr2bl w:val="nil"/>
            </w:tcBorders>
            <w:vAlign w:val="center"/>
          </w:tcPr>
          <w:p>
            <w:pPr>
              <w:snapToGrid w:val="0"/>
              <w:jc w:val="center"/>
              <w:rPr>
                <w:rFonts w:ascii="Times New Roman" w:hAnsi="Times New Roman" w:eastAsia="黑体"/>
                <w:szCs w:val="21"/>
              </w:rPr>
            </w:pPr>
            <w:r>
              <w:rPr>
                <w:rFonts w:ascii="Times New Roman" w:hAnsi="Times New Roman" w:eastAsia="黑体"/>
                <w:spacing w:val="-8"/>
                <w:szCs w:val="21"/>
              </w:rPr>
              <w:t>本项目</w:t>
            </w:r>
          </w:p>
          <w:p>
            <w:pPr>
              <w:snapToGrid w:val="0"/>
              <w:jc w:val="center"/>
              <w:rPr>
                <w:rFonts w:ascii="Times New Roman" w:hAnsi="Times New Roman" w:eastAsia="黑体"/>
                <w:szCs w:val="21"/>
              </w:rPr>
            </w:pPr>
            <w:r>
              <w:rPr>
                <w:rFonts w:ascii="Times New Roman" w:hAnsi="Times New Roman" w:eastAsia="黑体"/>
                <w:spacing w:val="-21"/>
                <w:szCs w:val="21"/>
              </w:rPr>
              <w:t>排放量（固体废物</w:t>
            </w:r>
          </w:p>
          <w:p>
            <w:pPr>
              <w:snapToGrid w:val="0"/>
              <w:jc w:val="center"/>
              <w:rPr>
                <w:rFonts w:ascii="Times New Roman" w:hAnsi="Times New Roman" w:eastAsia="黑体"/>
                <w:szCs w:val="21"/>
              </w:rPr>
            </w:pPr>
            <w:r>
              <w:rPr>
                <w:rFonts w:ascii="Times New Roman" w:hAnsi="Times New Roman" w:eastAsia="黑体"/>
                <w:spacing w:val="-19"/>
                <w:w w:val="93"/>
                <w:szCs w:val="21"/>
              </w:rPr>
              <w:t>产生量）④</w:t>
            </w:r>
          </w:p>
        </w:tc>
        <w:tc>
          <w:tcPr>
            <w:tcW w:w="1759" w:type="dxa"/>
            <w:tcBorders>
              <w:tl2br w:val="nil"/>
              <w:tr2bl w:val="nil"/>
            </w:tcBorders>
            <w:vAlign w:val="center"/>
          </w:tcPr>
          <w:p>
            <w:pPr>
              <w:snapToGrid w:val="0"/>
              <w:jc w:val="center"/>
              <w:rPr>
                <w:rFonts w:ascii="Times New Roman" w:hAnsi="Times New Roman" w:eastAsia="黑体"/>
                <w:szCs w:val="21"/>
              </w:rPr>
            </w:pPr>
            <w:r>
              <w:rPr>
                <w:rFonts w:ascii="Times New Roman" w:hAnsi="Times New Roman" w:eastAsia="黑体"/>
                <w:spacing w:val="-20"/>
                <w:w w:val="94"/>
                <w:szCs w:val="21"/>
              </w:rPr>
              <w:t>以新带老削减量</w:t>
            </w:r>
            <w:r>
              <w:rPr>
                <w:rFonts w:ascii="Times New Roman" w:hAnsi="Times New Roman" w:eastAsia="黑体"/>
                <w:spacing w:val="-19"/>
                <w:w w:val="90"/>
                <w:szCs w:val="21"/>
              </w:rPr>
              <w:t>（新建项目不填）⑤</w:t>
            </w:r>
          </w:p>
        </w:tc>
        <w:tc>
          <w:tcPr>
            <w:tcW w:w="1957" w:type="dxa"/>
            <w:tcBorders>
              <w:tl2br w:val="nil"/>
              <w:tr2bl w:val="nil"/>
            </w:tcBorders>
            <w:vAlign w:val="center"/>
          </w:tcPr>
          <w:p>
            <w:pPr>
              <w:snapToGrid w:val="0"/>
              <w:jc w:val="center"/>
              <w:rPr>
                <w:rFonts w:ascii="Times New Roman" w:hAnsi="Times New Roman" w:eastAsia="黑体"/>
                <w:szCs w:val="21"/>
              </w:rPr>
            </w:pPr>
            <w:r>
              <w:rPr>
                <w:rFonts w:ascii="Times New Roman" w:hAnsi="Times New Roman" w:eastAsia="黑体"/>
                <w:spacing w:val="-20"/>
                <w:w w:val="98"/>
                <w:szCs w:val="21"/>
              </w:rPr>
              <w:t>本项目建成后</w:t>
            </w:r>
          </w:p>
          <w:p>
            <w:pPr>
              <w:snapToGrid w:val="0"/>
              <w:jc w:val="center"/>
              <w:rPr>
                <w:rFonts w:ascii="Times New Roman" w:hAnsi="Times New Roman" w:eastAsia="黑体"/>
                <w:szCs w:val="21"/>
              </w:rPr>
            </w:pPr>
            <w:r>
              <w:rPr>
                <w:rFonts w:ascii="Times New Roman" w:hAnsi="Times New Roman" w:eastAsia="黑体"/>
                <w:spacing w:val="-19"/>
                <w:w w:val="91"/>
                <w:szCs w:val="21"/>
              </w:rPr>
              <w:t>全厂排放量（固体废物产</w:t>
            </w:r>
          </w:p>
          <w:p>
            <w:pPr>
              <w:snapToGrid w:val="0"/>
              <w:jc w:val="center"/>
              <w:rPr>
                <w:rFonts w:ascii="Times New Roman" w:hAnsi="Times New Roman" w:eastAsia="黑体"/>
                <w:szCs w:val="21"/>
              </w:rPr>
            </w:pPr>
            <w:r>
              <w:rPr>
                <w:rFonts w:ascii="Times New Roman" w:hAnsi="Times New Roman" w:eastAsia="黑体"/>
                <w:spacing w:val="-18"/>
                <w:w w:val="85"/>
                <w:szCs w:val="21"/>
              </w:rPr>
              <w:t>生量）⑥</w:t>
            </w:r>
          </w:p>
        </w:tc>
        <w:tc>
          <w:tcPr>
            <w:tcW w:w="1108" w:type="dxa"/>
            <w:tcBorders>
              <w:tl2br w:val="nil"/>
              <w:tr2bl w:val="nil"/>
            </w:tcBorders>
            <w:vAlign w:val="center"/>
          </w:tcPr>
          <w:p>
            <w:pPr>
              <w:snapToGrid w:val="0"/>
              <w:jc w:val="center"/>
              <w:rPr>
                <w:rFonts w:ascii="Times New Roman" w:hAnsi="Times New Roman" w:eastAsia="黑体"/>
                <w:szCs w:val="21"/>
              </w:rPr>
            </w:pPr>
            <w:r>
              <w:rPr>
                <w:rFonts w:ascii="Times New Roman" w:hAnsi="Times New Roman" w:eastAsia="黑体"/>
                <w:spacing w:val="-9"/>
                <w:szCs w:val="21"/>
              </w:rPr>
              <w:t>变化量</w:t>
            </w:r>
          </w:p>
          <w:p>
            <w:pPr>
              <w:snapToGrid w:val="0"/>
              <w:jc w:val="center"/>
              <w:rPr>
                <w:rFonts w:ascii="Times New Roman" w:hAnsi="Times New Roman" w:eastAsia="黑体"/>
                <w:szCs w:val="21"/>
              </w:rPr>
            </w:pPr>
            <w:r>
              <w:rPr>
                <w:rFonts w:ascii="Times New Roman" w:hAnsi="Times New Roman" w:eastAsia="黑体"/>
                <w:szCs w:val="21"/>
              </w:rPr>
              <w:t>⑦</w:t>
            </w:r>
          </w:p>
        </w:tc>
      </w:tr>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485" w:hRule="atLeast"/>
          <w:jc w:val="center"/>
        </w:trPr>
        <w:tc>
          <w:tcPr>
            <w:tcW w:w="1596"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spacing w:val="-5"/>
                <w:szCs w:val="21"/>
              </w:rPr>
              <w:t>废气</w:t>
            </w:r>
          </w:p>
        </w:tc>
        <w:tc>
          <w:tcPr>
            <w:tcW w:w="1416" w:type="dxa"/>
            <w:tcBorders>
              <w:tl2br w:val="nil"/>
              <w:tr2bl w:val="nil"/>
            </w:tcBorders>
            <w:vAlign w:val="center"/>
          </w:tcPr>
          <w:p>
            <w:pPr>
              <w:jc w:val="center"/>
              <w:rPr>
                <w:rFonts w:ascii="Times New Roman" w:hAnsi="Times New Roman"/>
                <w:szCs w:val="21"/>
              </w:rPr>
            </w:pPr>
            <w:r>
              <w:rPr>
                <w:rFonts w:ascii="Times New Roman" w:hAnsi="Times New Roman"/>
                <w:spacing w:val="-7"/>
                <w:szCs w:val="21"/>
              </w:rPr>
              <w:t>水泥筒仓</w:t>
            </w:r>
            <w:r>
              <w:rPr>
                <w:rFonts w:ascii="Times New Roman" w:hAnsi="Times New Roman"/>
                <w:spacing w:val="-3"/>
                <w:szCs w:val="21"/>
              </w:rPr>
              <w:t>颗粒物</w:t>
            </w:r>
          </w:p>
        </w:tc>
        <w:tc>
          <w:tcPr>
            <w:tcW w:w="1699" w:type="dxa"/>
            <w:tcBorders>
              <w:tl2br w:val="nil"/>
              <w:tr2bl w:val="nil"/>
            </w:tcBorders>
            <w:vAlign w:val="center"/>
          </w:tcPr>
          <w:p>
            <w:pPr>
              <w:jc w:val="center"/>
              <w:rPr>
                <w:rFonts w:ascii="Times New Roman" w:hAnsi="Times New Roman"/>
              </w:rPr>
            </w:pPr>
          </w:p>
        </w:tc>
        <w:tc>
          <w:tcPr>
            <w:tcW w:w="1275" w:type="dxa"/>
            <w:tcBorders>
              <w:tl2br w:val="nil"/>
              <w:tr2bl w:val="nil"/>
            </w:tcBorders>
            <w:vAlign w:val="center"/>
          </w:tcPr>
          <w:p>
            <w:pPr>
              <w:rPr>
                <w:rFonts w:ascii="Times New Roman" w:hAnsi="Times New Roman"/>
              </w:rPr>
            </w:pPr>
          </w:p>
        </w:tc>
        <w:tc>
          <w:tcPr>
            <w:tcW w:w="1699" w:type="dxa"/>
            <w:tcBorders>
              <w:tl2br w:val="nil"/>
              <w:tr2bl w:val="nil"/>
            </w:tcBorders>
            <w:vAlign w:val="center"/>
          </w:tcPr>
          <w:p>
            <w:pPr>
              <w:snapToGrid w:val="0"/>
              <w:jc w:val="center"/>
              <w:rPr>
                <w:rFonts w:ascii="Times New Roman" w:hAnsi="Times New Roman"/>
              </w:rPr>
            </w:pPr>
          </w:p>
        </w:tc>
        <w:tc>
          <w:tcPr>
            <w:tcW w:w="1557" w:type="dxa"/>
            <w:tcBorders>
              <w:tl2br w:val="nil"/>
              <w:tr2bl w:val="nil"/>
            </w:tcBorders>
            <w:vAlign w:val="center"/>
          </w:tcPr>
          <w:p>
            <w:pPr>
              <w:jc w:val="center"/>
              <w:rPr>
                <w:rFonts w:ascii="Times New Roman" w:hAnsi="Times New Roman" w:eastAsia="Times New Roman"/>
                <w:szCs w:val="21"/>
              </w:rPr>
            </w:pPr>
            <w:r>
              <w:rPr>
                <w:rFonts w:ascii="Times New Roman" w:hAnsi="Times New Roman"/>
                <w:spacing w:val="-1"/>
                <w:szCs w:val="21"/>
              </w:rPr>
              <w:t>0.00</w:t>
            </w:r>
            <w:r>
              <w:rPr>
                <w:rFonts w:hint="eastAsia" w:ascii="Times New Roman" w:hAnsi="Times New Roman"/>
                <w:spacing w:val="-1"/>
                <w:szCs w:val="21"/>
              </w:rPr>
              <w:t>2</w:t>
            </w:r>
            <w:r>
              <w:rPr>
                <w:rFonts w:ascii="Times New Roman" w:hAnsi="Times New Roman" w:eastAsia="Times New Roman"/>
                <w:spacing w:val="-1"/>
                <w:szCs w:val="21"/>
              </w:rPr>
              <w:t>t/a</w:t>
            </w:r>
          </w:p>
        </w:tc>
        <w:tc>
          <w:tcPr>
            <w:tcW w:w="1759" w:type="dxa"/>
            <w:tcBorders>
              <w:tl2br w:val="nil"/>
              <w:tr2bl w:val="nil"/>
            </w:tcBorders>
            <w:vAlign w:val="center"/>
          </w:tcPr>
          <w:p>
            <w:pPr>
              <w:snapToGrid w:val="0"/>
              <w:jc w:val="center"/>
              <w:rPr>
                <w:rFonts w:ascii="Times New Roman" w:hAnsi="Times New Roman"/>
              </w:rPr>
            </w:pPr>
            <w:r>
              <w:rPr>
                <w:rFonts w:ascii="Times New Roman" w:hAnsi="Times New Roman"/>
              </w:rPr>
              <w:t>0</w:t>
            </w:r>
          </w:p>
        </w:tc>
        <w:tc>
          <w:tcPr>
            <w:tcW w:w="1957" w:type="dxa"/>
            <w:tcBorders>
              <w:tl2br w:val="nil"/>
              <w:tr2bl w:val="nil"/>
            </w:tcBorders>
            <w:vAlign w:val="center"/>
          </w:tcPr>
          <w:p>
            <w:pPr>
              <w:jc w:val="center"/>
              <w:rPr>
                <w:rFonts w:ascii="Times New Roman" w:hAnsi="Times New Roman" w:eastAsia="Times New Roman"/>
                <w:szCs w:val="21"/>
              </w:rPr>
            </w:pPr>
            <w:r>
              <w:rPr>
                <w:rFonts w:ascii="Times New Roman" w:hAnsi="Times New Roman"/>
                <w:spacing w:val="-1"/>
                <w:szCs w:val="21"/>
              </w:rPr>
              <w:t>0.00</w:t>
            </w:r>
            <w:r>
              <w:rPr>
                <w:rFonts w:hint="eastAsia" w:ascii="Times New Roman" w:hAnsi="Times New Roman"/>
                <w:spacing w:val="-1"/>
                <w:szCs w:val="21"/>
              </w:rPr>
              <w:t>2</w:t>
            </w:r>
            <w:r>
              <w:rPr>
                <w:rFonts w:ascii="Times New Roman" w:hAnsi="Times New Roman" w:eastAsia="Times New Roman"/>
                <w:spacing w:val="-1"/>
                <w:szCs w:val="21"/>
              </w:rPr>
              <w:t>t/a</w:t>
            </w:r>
          </w:p>
        </w:tc>
        <w:tc>
          <w:tcPr>
            <w:tcW w:w="1108" w:type="dxa"/>
            <w:tcBorders>
              <w:tl2br w:val="nil"/>
              <w:tr2bl w:val="nil"/>
            </w:tcBorders>
            <w:vAlign w:val="center"/>
          </w:tcPr>
          <w:p>
            <w:pPr>
              <w:jc w:val="center"/>
              <w:rPr>
                <w:rFonts w:ascii="Times New Roman" w:hAnsi="Times New Roman" w:eastAsia="Times New Roman"/>
                <w:szCs w:val="21"/>
              </w:rPr>
            </w:pPr>
            <w:r>
              <w:rPr>
                <w:rFonts w:ascii="Times New Roman" w:hAnsi="Times New Roman"/>
                <w:spacing w:val="-1"/>
                <w:szCs w:val="21"/>
              </w:rPr>
              <w:t>+0.00</w:t>
            </w:r>
            <w:r>
              <w:rPr>
                <w:rFonts w:hint="eastAsia" w:ascii="Times New Roman" w:hAnsi="Times New Roman"/>
                <w:spacing w:val="-1"/>
                <w:szCs w:val="21"/>
              </w:rPr>
              <w:t>2</w:t>
            </w:r>
            <w:r>
              <w:rPr>
                <w:rFonts w:ascii="Times New Roman" w:hAnsi="Times New Roman" w:eastAsia="Times New Roman"/>
                <w:spacing w:val="-1"/>
                <w:szCs w:val="21"/>
              </w:rPr>
              <w:t>t/a</w:t>
            </w:r>
          </w:p>
        </w:tc>
      </w:tr>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485" w:hRule="atLeast"/>
          <w:jc w:val="center"/>
        </w:trPr>
        <w:tc>
          <w:tcPr>
            <w:tcW w:w="1596" w:type="dxa"/>
            <w:vMerge w:val="continue"/>
            <w:tcBorders>
              <w:tl2br w:val="nil"/>
              <w:tr2bl w:val="nil"/>
            </w:tcBorders>
            <w:vAlign w:val="center"/>
          </w:tcPr>
          <w:p>
            <w:pPr>
              <w:snapToGrid w:val="0"/>
              <w:jc w:val="center"/>
              <w:rPr>
                <w:rFonts w:ascii="Times New Roman" w:hAnsi="Times New Roman"/>
                <w:spacing w:val="-5"/>
                <w:szCs w:val="21"/>
              </w:rPr>
            </w:pPr>
          </w:p>
        </w:tc>
        <w:tc>
          <w:tcPr>
            <w:tcW w:w="1416" w:type="dxa"/>
            <w:tcBorders>
              <w:tl2br w:val="nil"/>
              <w:tr2bl w:val="nil"/>
            </w:tcBorders>
            <w:vAlign w:val="center"/>
          </w:tcPr>
          <w:p>
            <w:pPr>
              <w:jc w:val="center"/>
              <w:rPr>
                <w:rFonts w:ascii="Times New Roman" w:hAnsi="Times New Roman"/>
                <w:spacing w:val="-5"/>
                <w:szCs w:val="21"/>
              </w:rPr>
            </w:pPr>
            <w:r>
              <w:rPr>
                <w:rFonts w:ascii="Times New Roman" w:hAnsi="Times New Roman"/>
                <w:spacing w:val="-6"/>
                <w:szCs w:val="21"/>
              </w:rPr>
              <w:t>运输</w:t>
            </w:r>
            <w:r>
              <w:rPr>
                <w:rFonts w:ascii="Times New Roman" w:hAnsi="Times New Roman"/>
                <w:spacing w:val="-5"/>
                <w:szCs w:val="21"/>
              </w:rPr>
              <w:t>扬尘</w:t>
            </w:r>
            <w:r>
              <w:rPr>
                <w:rFonts w:ascii="Times New Roman" w:hAnsi="Times New Roman"/>
                <w:spacing w:val="-3"/>
                <w:szCs w:val="21"/>
              </w:rPr>
              <w:t>颗粒物</w:t>
            </w:r>
          </w:p>
        </w:tc>
        <w:tc>
          <w:tcPr>
            <w:tcW w:w="1699" w:type="dxa"/>
            <w:tcBorders>
              <w:tl2br w:val="nil"/>
              <w:tr2bl w:val="nil"/>
            </w:tcBorders>
            <w:vAlign w:val="center"/>
          </w:tcPr>
          <w:p>
            <w:pPr>
              <w:jc w:val="center"/>
              <w:rPr>
                <w:rFonts w:ascii="Times New Roman" w:hAnsi="Times New Roman"/>
              </w:rPr>
            </w:pPr>
          </w:p>
        </w:tc>
        <w:tc>
          <w:tcPr>
            <w:tcW w:w="1275" w:type="dxa"/>
            <w:tcBorders>
              <w:tl2br w:val="nil"/>
              <w:tr2bl w:val="nil"/>
            </w:tcBorders>
            <w:vAlign w:val="center"/>
          </w:tcPr>
          <w:p>
            <w:pPr>
              <w:rPr>
                <w:rFonts w:ascii="Times New Roman" w:hAnsi="Times New Roman" w:eastAsia="Times New Roman"/>
                <w:spacing w:val="-2"/>
                <w:szCs w:val="21"/>
              </w:rPr>
            </w:pPr>
          </w:p>
        </w:tc>
        <w:tc>
          <w:tcPr>
            <w:tcW w:w="1699" w:type="dxa"/>
            <w:tcBorders>
              <w:tl2br w:val="nil"/>
              <w:tr2bl w:val="nil"/>
            </w:tcBorders>
            <w:vAlign w:val="center"/>
          </w:tcPr>
          <w:p>
            <w:pPr>
              <w:snapToGrid w:val="0"/>
              <w:jc w:val="center"/>
              <w:rPr>
                <w:rFonts w:ascii="Times New Roman" w:hAnsi="Times New Roman"/>
              </w:rPr>
            </w:pPr>
          </w:p>
        </w:tc>
        <w:tc>
          <w:tcPr>
            <w:tcW w:w="1557" w:type="dxa"/>
            <w:tcBorders>
              <w:tl2br w:val="nil"/>
              <w:tr2bl w:val="nil"/>
            </w:tcBorders>
            <w:vAlign w:val="center"/>
          </w:tcPr>
          <w:p>
            <w:pPr>
              <w:jc w:val="center"/>
              <w:rPr>
                <w:rFonts w:ascii="Times New Roman" w:hAnsi="Times New Roman" w:eastAsia="Times New Roman"/>
                <w:spacing w:val="-1"/>
                <w:szCs w:val="21"/>
              </w:rPr>
            </w:pPr>
            <w:r>
              <w:rPr>
                <w:rFonts w:ascii="Times New Roman" w:hAnsi="Times New Roman"/>
                <w:szCs w:val="21"/>
              </w:rPr>
              <w:t>0.34</w:t>
            </w:r>
            <w:r>
              <w:rPr>
                <w:rFonts w:ascii="Times New Roman" w:hAnsi="Times New Roman" w:eastAsia="Times New Roman"/>
                <w:spacing w:val="-1"/>
                <w:szCs w:val="21"/>
              </w:rPr>
              <w:t>t/a</w:t>
            </w:r>
          </w:p>
        </w:tc>
        <w:tc>
          <w:tcPr>
            <w:tcW w:w="1759" w:type="dxa"/>
            <w:tcBorders>
              <w:tl2br w:val="nil"/>
              <w:tr2bl w:val="nil"/>
            </w:tcBorders>
            <w:vAlign w:val="center"/>
          </w:tcPr>
          <w:p>
            <w:pPr>
              <w:snapToGrid w:val="0"/>
              <w:jc w:val="center"/>
              <w:rPr>
                <w:rFonts w:ascii="Times New Roman" w:hAnsi="Times New Roman"/>
              </w:rPr>
            </w:pPr>
            <w:r>
              <w:rPr>
                <w:rFonts w:ascii="Times New Roman" w:hAnsi="Times New Roman"/>
              </w:rPr>
              <w:t>0</w:t>
            </w:r>
          </w:p>
        </w:tc>
        <w:tc>
          <w:tcPr>
            <w:tcW w:w="1957" w:type="dxa"/>
            <w:tcBorders>
              <w:tl2br w:val="nil"/>
              <w:tr2bl w:val="nil"/>
            </w:tcBorders>
            <w:vAlign w:val="center"/>
          </w:tcPr>
          <w:p>
            <w:pPr>
              <w:jc w:val="center"/>
              <w:rPr>
                <w:rFonts w:ascii="Times New Roman" w:hAnsi="Times New Roman" w:eastAsia="Times New Roman"/>
                <w:spacing w:val="-1"/>
                <w:szCs w:val="21"/>
              </w:rPr>
            </w:pPr>
            <w:r>
              <w:rPr>
                <w:rFonts w:ascii="Times New Roman" w:hAnsi="Times New Roman"/>
                <w:szCs w:val="21"/>
              </w:rPr>
              <w:t>0.34</w:t>
            </w:r>
            <w:r>
              <w:rPr>
                <w:rFonts w:ascii="Times New Roman" w:hAnsi="Times New Roman" w:eastAsia="Times New Roman"/>
                <w:spacing w:val="-1"/>
                <w:szCs w:val="21"/>
              </w:rPr>
              <w:t>t/a</w:t>
            </w:r>
          </w:p>
        </w:tc>
        <w:tc>
          <w:tcPr>
            <w:tcW w:w="1108" w:type="dxa"/>
            <w:tcBorders>
              <w:tl2br w:val="nil"/>
              <w:tr2bl w:val="nil"/>
            </w:tcBorders>
            <w:vAlign w:val="center"/>
          </w:tcPr>
          <w:p>
            <w:pPr>
              <w:jc w:val="center"/>
              <w:rPr>
                <w:rFonts w:ascii="Times New Roman" w:hAnsi="Times New Roman" w:eastAsia="Times New Roman"/>
                <w:spacing w:val="-1"/>
                <w:szCs w:val="21"/>
              </w:rPr>
            </w:pPr>
            <w:r>
              <w:rPr>
                <w:rFonts w:ascii="Times New Roman" w:hAnsi="Times New Roman"/>
                <w:szCs w:val="21"/>
              </w:rPr>
              <w:t>+0.34</w:t>
            </w:r>
            <w:r>
              <w:rPr>
                <w:rFonts w:ascii="Times New Roman" w:hAnsi="Times New Roman" w:eastAsia="Times New Roman"/>
                <w:spacing w:val="-1"/>
                <w:szCs w:val="21"/>
              </w:rPr>
              <w:t>t/a</w:t>
            </w:r>
          </w:p>
        </w:tc>
      </w:tr>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485" w:hRule="atLeast"/>
          <w:jc w:val="center"/>
        </w:trPr>
        <w:tc>
          <w:tcPr>
            <w:tcW w:w="1596" w:type="dxa"/>
            <w:tcBorders>
              <w:tl2br w:val="nil"/>
              <w:tr2bl w:val="nil"/>
            </w:tcBorders>
            <w:vAlign w:val="center"/>
          </w:tcPr>
          <w:p>
            <w:pPr>
              <w:snapToGrid w:val="0"/>
              <w:jc w:val="center"/>
              <w:rPr>
                <w:rFonts w:ascii="Times New Roman" w:hAnsi="Times New Roman"/>
                <w:szCs w:val="21"/>
              </w:rPr>
            </w:pPr>
            <w:r>
              <w:rPr>
                <w:rFonts w:ascii="Times New Roman" w:hAnsi="Times New Roman"/>
                <w:spacing w:val="-5"/>
                <w:szCs w:val="21"/>
              </w:rPr>
              <w:t>废水</w:t>
            </w:r>
          </w:p>
        </w:tc>
        <w:tc>
          <w:tcPr>
            <w:tcW w:w="1416" w:type="dxa"/>
            <w:tcBorders>
              <w:tl2br w:val="nil"/>
              <w:tr2bl w:val="nil"/>
            </w:tcBorders>
            <w:vAlign w:val="center"/>
          </w:tcPr>
          <w:p>
            <w:pPr>
              <w:snapToGrid w:val="0"/>
              <w:jc w:val="center"/>
              <w:rPr>
                <w:rFonts w:ascii="Times New Roman" w:hAnsi="Times New Roman"/>
                <w:szCs w:val="21"/>
              </w:rPr>
            </w:pPr>
            <w:r>
              <w:rPr>
                <w:rFonts w:ascii="Times New Roman" w:hAnsi="Times New Roman"/>
                <w:szCs w:val="21"/>
              </w:rPr>
              <w:t>生产废水</w:t>
            </w:r>
          </w:p>
        </w:tc>
        <w:tc>
          <w:tcPr>
            <w:tcW w:w="1699" w:type="dxa"/>
            <w:tcBorders>
              <w:tl2br w:val="nil"/>
              <w:tr2bl w:val="nil"/>
            </w:tcBorders>
            <w:vAlign w:val="center"/>
          </w:tcPr>
          <w:p>
            <w:pPr>
              <w:snapToGrid w:val="0"/>
              <w:jc w:val="center"/>
              <w:rPr>
                <w:rFonts w:ascii="Times New Roman" w:hAnsi="Times New Roman"/>
                <w:szCs w:val="21"/>
              </w:rPr>
            </w:pPr>
          </w:p>
        </w:tc>
        <w:tc>
          <w:tcPr>
            <w:tcW w:w="1275" w:type="dxa"/>
            <w:tcBorders>
              <w:tl2br w:val="nil"/>
              <w:tr2bl w:val="nil"/>
            </w:tcBorders>
            <w:vAlign w:val="center"/>
          </w:tcPr>
          <w:p>
            <w:pPr>
              <w:snapToGrid w:val="0"/>
              <w:jc w:val="center"/>
              <w:rPr>
                <w:rFonts w:ascii="Times New Roman" w:hAnsi="Times New Roman"/>
                <w:szCs w:val="21"/>
              </w:rPr>
            </w:pPr>
          </w:p>
        </w:tc>
        <w:tc>
          <w:tcPr>
            <w:tcW w:w="1699" w:type="dxa"/>
            <w:tcBorders>
              <w:tl2br w:val="nil"/>
              <w:tr2bl w:val="nil"/>
            </w:tcBorders>
            <w:vAlign w:val="center"/>
          </w:tcPr>
          <w:p>
            <w:pPr>
              <w:snapToGrid w:val="0"/>
              <w:jc w:val="center"/>
              <w:rPr>
                <w:rFonts w:ascii="Times New Roman" w:hAnsi="Times New Roman"/>
                <w:szCs w:val="21"/>
              </w:rPr>
            </w:pPr>
          </w:p>
        </w:tc>
        <w:tc>
          <w:tcPr>
            <w:tcW w:w="1557" w:type="dxa"/>
            <w:tcBorders>
              <w:tl2br w:val="nil"/>
              <w:tr2bl w:val="nil"/>
            </w:tcBorders>
            <w:vAlign w:val="center"/>
          </w:tcPr>
          <w:p>
            <w:pPr>
              <w:snapToGrid w:val="0"/>
              <w:jc w:val="center"/>
              <w:rPr>
                <w:rFonts w:ascii="Times New Roman" w:hAnsi="Times New Roman" w:eastAsia="Times New Roman"/>
                <w:szCs w:val="21"/>
              </w:rPr>
            </w:pPr>
            <w:r>
              <w:rPr>
                <w:rFonts w:ascii="Times New Roman" w:hAnsi="Times New Roman"/>
                <w:szCs w:val="21"/>
              </w:rPr>
              <w:t>0</w:t>
            </w:r>
          </w:p>
        </w:tc>
        <w:tc>
          <w:tcPr>
            <w:tcW w:w="1759" w:type="dxa"/>
            <w:tcBorders>
              <w:tl2br w:val="nil"/>
              <w:tr2bl w:val="nil"/>
            </w:tcBorders>
            <w:vAlign w:val="center"/>
          </w:tcPr>
          <w:p>
            <w:pPr>
              <w:snapToGrid w:val="0"/>
              <w:jc w:val="center"/>
              <w:rPr>
                <w:rFonts w:ascii="Times New Roman" w:hAnsi="Times New Roman"/>
                <w:szCs w:val="21"/>
              </w:rPr>
            </w:pPr>
            <w:r>
              <w:rPr>
                <w:rFonts w:ascii="Times New Roman" w:hAnsi="Times New Roman"/>
                <w:szCs w:val="21"/>
              </w:rPr>
              <w:t>0</w:t>
            </w:r>
          </w:p>
        </w:tc>
        <w:tc>
          <w:tcPr>
            <w:tcW w:w="1957" w:type="dxa"/>
            <w:tcBorders>
              <w:tl2br w:val="nil"/>
              <w:tr2bl w:val="nil"/>
            </w:tcBorders>
            <w:vAlign w:val="center"/>
          </w:tcPr>
          <w:p>
            <w:pPr>
              <w:snapToGrid w:val="0"/>
              <w:jc w:val="center"/>
              <w:rPr>
                <w:rFonts w:ascii="Times New Roman" w:hAnsi="Times New Roman" w:eastAsia="Times New Roman"/>
                <w:szCs w:val="21"/>
              </w:rPr>
            </w:pPr>
            <w:r>
              <w:rPr>
                <w:rFonts w:ascii="Times New Roman" w:hAnsi="Times New Roman"/>
                <w:szCs w:val="21"/>
              </w:rPr>
              <w:t>0</w:t>
            </w:r>
          </w:p>
        </w:tc>
        <w:tc>
          <w:tcPr>
            <w:tcW w:w="1108" w:type="dxa"/>
            <w:tcBorders>
              <w:tl2br w:val="nil"/>
              <w:tr2bl w:val="nil"/>
            </w:tcBorders>
            <w:vAlign w:val="center"/>
          </w:tcPr>
          <w:p>
            <w:pPr>
              <w:snapToGrid w:val="0"/>
              <w:jc w:val="center"/>
              <w:rPr>
                <w:rFonts w:ascii="Times New Roman" w:hAnsi="Times New Roman" w:eastAsia="Times New Roman"/>
                <w:szCs w:val="21"/>
              </w:rPr>
            </w:pPr>
            <w:r>
              <w:rPr>
                <w:rFonts w:ascii="Times New Roman" w:hAnsi="Times New Roman"/>
                <w:szCs w:val="21"/>
              </w:rPr>
              <w:t>0</w:t>
            </w:r>
          </w:p>
        </w:tc>
      </w:tr>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548" w:hRule="atLeast"/>
          <w:jc w:val="center"/>
        </w:trPr>
        <w:tc>
          <w:tcPr>
            <w:tcW w:w="1596" w:type="dxa"/>
            <w:vMerge w:val="restart"/>
            <w:tcBorders>
              <w:tl2br w:val="nil"/>
              <w:tr2bl w:val="nil"/>
            </w:tcBorders>
            <w:vAlign w:val="center"/>
          </w:tcPr>
          <w:p>
            <w:pPr>
              <w:snapToGrid w:val="0"/>
              <w:jc w:val="center"/>
              <w:rPr>
                <w:rFonts w:ascii="Times New Roman" w:hAnsi="Times New Roman"/>
                <w:szCs w:val="21"/>
              </w:rPr>
            </w:pPr>
            <w:r>
              <w:rPr>
                <w:rFonts w:ascii="Times New Roman" w:hAnsi="Times New Roman"/>
                <w:spacing w:val="-4"/>
                <w:szCs w:val="21"/>
              </w:rPr>
              <w:t>一般工业</w:t>
            </w:r>
            <w:r>
              <w:rPr>
                <w:rFonts w:ascii="Times New Roman" w:hAnsi="Times New Roman"/>
                <w:spacing w:val="-7"/>
                <w:szCs w:val="21"/>
              </w:rPr>
              <w:t>固体废物</w:t>
            </w:r>
          </w:p>
        </w:tc>
        <w:tc>
          <w:tcPr>
            <w:tcW w:w="1416" w:type="dxa"/>
            <w:tcBorders>
              <w:tl2br w:val="nil"/>
              <w:tr2bl w:val="nil"/>
            </w:tcBorders>
            <w:vAlign w:val="center"/>
          </w:tcPr>
          <w:p>
            <w:pPr>
              <w:snapToGrid w:val="0"/>
              <w:jc w:val="center"/>
              <w:rPr>
                <w:rFonts w:ascii="Times New Roman" w:hAnsi="Times New Roman"/>
                <w:szCs w:val="21"/>
              </w:rPr>
            </w:pPr>
            <w:r>
              <w:rPr>
                <w:rFonts w:ascii="Times New Roman" w:hAnsi="Times New Roman"/>
                <w:spacing w:val="-5"/>
                <w:szCs w:val="21"/>
              </w:rPr>
              <w:t>除尘器收集</w:t>
            </w:r>
            <w:r>
              <w:rPr>
                <w:rFonts w:ascii="Times New Roman" w:hAnsi="Times New Roman"/>
                <w:spacing w:val="-9"/>
                <w:szCs w:val="21"/>
              </w:rPr>
              <w:t>的粉尘</w:t>
            </w:r>
          </w:p>
        </w:tc>
        <w:tc>
          <w:tcPr>
            <w:tcW w:w="1699" w:type="dxa"/>
            <w:tcBorders>
              <w:tl2br w:val="nil"/>
              <w:tr2bl w:val="nil"/>
            </w:tcBorders>
            <w:vAlign w:val="center"/>
          </w:tcPr>
          <w:p>
            <w:pPr>
              <w:snapToGrid w:val="0"/>
              <w:jc w:val="center"/>
              <w:rPr>
                <w:rFonts w:ascii="Times New Roman" w:hAnsi="Times New Roman"/>
              </w:rPr>
            </w:pPr>
          </w:p>
        </w:tc>
        <w:tc>
          <w:tcPr>
            <w:tcW w:w="1275" w:type="dxa"/>
            <w:tcBorders>
              <w:tl2br w:val="nil"/>
              <w:tr2bl w:val="nil"/>
            </w:tcBorders>
            <w:vAlign w:val="center"/>
          </w:tcPr>
          <w:p>
            <w:pPr>
              <w:snapToGrid w:val="0"/>
              <w:jc w:val="center"/>
              <w:rPr>
                <w:rFonts w:ascii="Times New Roman" w:hAnsi="Times New Roman"/>
              </w:rPr>
            </w:pPr>
          </w:p>
        </w:tc>
        <w:tc>
          <w:tcPr>
            <w:tcW w:w="1699" w:type="dxa"/>
            <w:tcBorders>
              <w:tl2br w:val="nil"/>
              <w:tr2bl w:val="nil"/>
            </w:tcBorders>
            <w:vAlign w:val="center"/>
          </w:tcPr>
          <w:p>
            <w:pPr>
              <w:snapToGrid w:val="0"/>
              <w:jc w:val="center"/>
              <w:rPr>
                <w:rFonts w:ascii="Times New Roman" w:hAnsi="Times New Roman"/>
              </w:rPr>
            </w:pPr>
          </w:p>
        </w:tc>
        <w:tc>
          <w:tcPr>
            <w:tcW w:w="1557" w:type="dxa"/>
            <w:tcBorders>
              <w:tl2br w:val="nil"/>
              <w:tr2bl w:val="nil"/>
            </w:tcBorders>
            <w:vAlign w:val="center"/>
          </w:tcPr>
          <w:p>
            <w:pPr>
              <w:snapToGrid w:val="0"/>
              <w:jc w:val="center"/>
              <w:rPr>
                <w:rFonts w:ascii="Times New Roman" w:hAnsi="Times New Roman" w:eastAsia="Times New Roman"/>
                <w:szCs w:val="21"/>
              </w:rPr>
            </w:pPr>
            <w:r>
              <w:rPr>
                <w:rFonts w:ascii="Times New Roman" w:hAnsi="Times New Roman"/>
                <w:spacing w:val="-2"/>
                <w:szCs w:val="21"/>
              </w:rPr>
              <w:t>3.06</w:t>
            </w:r>
            <w:r>
              <w:rPr>
                <w:rFonts w:ascii="Times New Roman" w:hAnsi="Times New Roman" w:eastAsia="Times New Roman"/>
                <w:spacing w:val="-2"/>
                <w:szCs w:val="21"/>
              </w:rPr>
              <w:t>t/a</w:t>
            </w:r>
          </w:p>
        </w:tc>
        <w:tc>
          <w:tcPr>
            <w:tcW w:w="1759" w:type="dxa"/>
            <w:tcBorders>
              <w:tl2br w:val="nil"/>
              <w:tr2bl w:val="nil"/>
            </w:tcBorders>
            <w:vAlign w:val="center"/>
          </w:tcPr>
          <w:p>
            <w:pPr>
              <w:snapToGrid w:val="0"/>
              <w:jc w:val="center"/>
              <w:rPr>
                <w:rFonts w:ascii="Times New Roman" w:hAnsi="Times New Roman"/>
              </w:rPr>
            </w:pPr>
            <w:r>
              <w:rPr>
                <w:rFonts w:ascii="Times New Roman" w:hAnsi="Times New Roman"/>
              </w:rPr>
              <w:t>0</w:t>
            </w:r>
          </w:p>
        </w:tc>
        <w:tc>
          <w:tcPr>
            <w:tcW w:w="1957" w:type="dxa"/>
            <w:tcBorders>
              <w:tl2br w:val="nil"/>
              <w:tr2bl w:val="nil"/>
            </w:tcBorders>
            <w:vAlign w:val="center"/>
          </w:tcPr>
          <w:p>
            <w:pPr>
              <w:snapToGrid w:val="0"/>
              <w:jc w:val="center"/>
              <w:rPr>
                <w:rFonts w:ascii="Times New Roman" w:hAnsi="Times New Roman" w:eastAsia="Times New Roman"/>
                <w:szCs w:val="21"/>
              </w:rPr>
            </w:pPr>
            <w:r>
              <w:rPr>
                <w:rFonts w:ascii="Times New Roman" w:hAnsi="Times New Roman"/>
                <w:spacing w:val="-2"/>
                <w:szCs w:val="21"/>
              </w:rPr>
              <w:t>3.06</w:t>
            </w:r>
            <w:r>
              <w:rPr>
                <w:rFonts w:ascii="Times New Roman" w:hAnsi="Times New Roman" w:eastAsia="Times New Roman"/>
                <w:spacing w:val="-2"/>
                <w:szCs w:val="21"/>
              </w:rPr>
              <w:t>t/a</w:t>
            </w:r>
          </w:p>
        </w:tc>
        <w:tc>
          <w:tcPr>
            <w:tcW w:w="1108" w:type="dxa"/>
            <w:tcBorders>
              <w:tl2br w:val="nil"/>
              <w:tr2bl w:val="nil"/>
            </w:tcBorders>
            <w:vAlign w:val="center"/>
          </w:tcPr>
          <w:p>
            <w:pPr>
              <w:snapToGrid w:val="0"/>
              <w:jc w:val="center"/>
              <w:rPr>
                <w:rFonts w:ascii="Times New Roman" w:hAnsi="Times New Roman" w:eastAsia="Times New Roman"/>
                <w:szCs w:val="21"/>
              </w:rPr>
            </w:pPr>
            <w:r>
              <w:rPr>
                <w:rFonts w:ascii="Times New Roman" w:hAnsi="Times New Roman"/>
                <w:spacing w:val="-2"/>
                <w:szCs w:val="21"/>
              </w:rPr>
              <w:t>+3.06</w:t>
            </w:r>
            <w:r>
              <w:rPr>
                <w:rFonts w:ascii="Times New Roman" w:hAnsi="Times New Roman" w:eastAsia="Times New Roman"/>
                <w:spacing w:val="-2"/>
                <w:szCs w:val="21"/>
              </w:rPr>
              <w:t>t/a</w:t>
            </w:r>
          </w:p>
        </w:tc>
      </w:tr>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548" w:hRule="atLeast"/>
          <w:jc w:val="center"/>
        </w:trPr>
        <w:tc>
          <w:tcPr>
            <w:tcW w:w="1596" w:type="dxa"/>
            <w:vMerge w:val="continue"/>
            <w:tcBorders>
              <w:tl2br w:val="nil"/>
              <w:tr2bl w:val="nil"/>
            </w:tcBorders>
            <w:vAlign w:val="center"/>
          </w:tcPr>
          <w:p>
            <w:pPr>
              <w:snapToGrid w:val="0"/>
              <w:jc w:val="center"/>
              <w:rPr>
                <w:rFonts w:ascii="Times New Roman" w:hAnsi="Times New Roman"/>
                <w:szCs w:val="21"/>
              </w:rPr>
            </w:pPr>
          </w:p>
        </w:tc>
        <w:tc>
          <w:tcPr>
            <w:tcW w:w="1416" w:type="dxa"/>
            <w:tcBorders>
              <w:tl2br w:val="nil"/>
              <w:tr2bl w:val="nil"/>
            </w:tcBorders>
            <w:vAlign w:val="center"/>
          </w:tcPr>
          <w:p>
            <w:pPr>
              <w:snapToGrid w:val="0"/>
              <w:jc w:val="center"/>
              <w:rPr>
                <w:rFonts w:ascii="Times New Roman" w:hAnsi="Times New Roman"/>
                <w:spacing w:val="-5"/>
                <w:szCs w:val="21"/>
              </w:rPr>
            </w:pPr>
            <w:r>
              <w:rPr>
                <w:rFonts w:ascii="Times New Roman" w:hAnsi="Times New Roman"/>
                <w:spacing w:val="-5"/>
                <w:szCs w:val="21"/>
              </w:rPr>
              <w:t>废混凝土</w:t>
            </w:r>
          </w:p>
        </w:tc>
        <w:tc>
          <w:tcPr>
            <w:tcW w:w="1699" w:type="dxa"/>
            <w:tcBorders>
              <w:tl2br w:val="nil"/>
              <w:tr2bl w:val="nil"/>
            </w:tcBorders>
            <w:vAlign w:val="center"/>
          </w:tcPr>
          <w:p>
            <w:pPr>
              <w:snapToGrid w:val="0"/>
              <w:jc w:val="center"/>
              <w:rPr>
                <w:rFonts w:ascii="Times New Roman" w:hAnsi="Times New Roman"/>
              </w:rPr>
            </w:pPr>
          </w:p>
        </w:tc>
        <w:tc>
          <w:tcPr>
            <w:tcW w:w="1275" w:type="dxa"/>
            <w:tcBorders>
              <w:tl2br w:val="nil"/>
              <w:tr2bl w:val="nil"/>
            </w:tcBorders>
            <w:vAlign w:val="center"/>
          </w:tcPr>
          <w:p>
            <w:pPr>
              <w:snapToGrid w:val="0"/>
              <w:jc w:val="center"/>
              <w:rPr>
                <w:rFonts w:ascii="Times New Roman" w:hAnsi="Times New Roman"/>
              </w:rPr>
            </w:pPr>
          </w:p>
        </w:tc>
        <w:tc>
          <w:tcPr>
            <w:tcW w:w="1699" w:type="dxa"/>
            <w:tcBorders>
              <w:tl2br w:val="nil"/>
              <w:tr2bl w:val="nil"/>
            </w:tcBorders>
            <w:vAlign w:val="center"/>
          </w:tcPr>
          <w:p>
            <w:pPr>
              <w:snapToGrid w:val="0"/>
              <w:jc w:val="center"/>
              <w:rPr>
                <w:rFonts w:ascii="Times New Roman" w:hAnsi="Times New Roman"/>
              </w:rPr>
            </w:pPr>
          </w:p>
        </w:tc>
        <w:tc>
          <w:tcPr>
            <w:tcW w:w="1557" w:type="dxa"/>
            <w:tcBorders>
              <w:tl2br w:val="nil"/>
              <w:tr2bl w:val="nil"/>
            </w:tcBorders>
            <w:vAlign w:val="center"/>
          </w:tcPr>
          <w:p>
            <w:pPr>
              <w:snapToGrid w:val="0"/>
              <w:jc w:val="center"/>
              <w:rPr>
                <w:rFonts w:ascii="Times New Roman" w:hAnsi="Times New Roman"/>
                <w:spacing w:val="-2"/>
                <w:szCs w:val="21"/>
              </w:rPr>
            </w:pPr>
            <w:r>
              <w:rPr>
                <w:rFonts w:ascii="Times New Roman" w:hAnsi="Times New Roman"/>
                <w:spacing w:val="-2"/>
                <w:szCs w:val="21"/>
              </w:rPr>
              <w:t>37</w:t>
            </w:r>
            <w:r>
              <w:rPr>
                <w:rFonts w:ascii="Times New Roman" w:hAnsi="Times New Roman" w:eastAsia="Times New Roman"/>
                <w:spacing w:val="-2"/>
                <w:szCs w:val="21"/>
              </w:rPr>
              <w:t>t/a</w:t>
            </w:r>
          </w:p>
        </w:tc>
        <w:tc>
          <w:tcPr>
            <w:tcW w:w="1759" w:type="dxa"/>
            <w:tcBorders>
              <w:tl2br w:val="nil"/>
              <w:tr2bl w:val="nil"/>
            </w:tcBorders>
            <w:vAlign w:val="center"/>
          </w:tcPr>
          <w:p>
            <w:pPr>
              <w:snapToGrid w:val="0"/>
              <w:jc w:val="center"/>
              <w:rPr>
                <w:rFonts w:ascii="Times New Roman" w:hAnsi="Times New Roman"/>
              </w:rPr>
            </w:pPr>
            <w:r>
              <w:rPr>
                <w:rFonts w:ascii="Times New Roman" w:hAnsi="Times New Roman"/>
              </w:rPr>
              <w:t>0</w:t>
            </w:r>
          </w:p>
        </w:tc>
        <w:tc>
          <w:tcPr>
            <w:tcW w:w="1957" w:type="dxa"/>
            <w:tcBorders>
              <w:tl2br w:val="nil"/>
              <w:tr2bl w:val="nil"/>
            </w:tcBorders>
            <w:vAlign w:val="center"/>
          </w:tcPr>
          <w:p>
            <w:pPr>
              <w:snapToGrid w:val="0"/>
              <w:jc w:val="center"/>
              <w:rPr>
                <w:rFonts w:ascii="Times New Roman" w:hAnsi="Times New Roman" w:eastAsia="Times New Roman"/>
                <w:spacing w:val="-2"/>
                <w:szCs w:val="21"/>
              </w:rPr>
            </w:pPr>
            <w:r>
              <w:rPr>
                <w:rFonts w:ascii="Times New Roman" w:hAnsi="Times New Roman"/>
                <w:spacing w:val="-2"/>
                <w:szCs w:val="21"/>
              </w:rPr>
              <w:t>85</w:t>
            </w:r>
            <w:r>
              <w:rPr>
                <w:rFonts w:ascii="Times New Roman" w:hAnsi="Times New Roman" w:eastAsia="Times New Roman"/>
                <w:spacing w:val="-2"/>
                <w:szCs w:val="21"/>
              </w:rPr>
              <w:t>t/a</w:t>
            </w:r>
          </w:p>
        </w:tc>
        <w:tc>
          <w:tcPr>
            <w:tcW w:w="1108" w:type="dxa"/>
            <w:tcBorders>
              <w:tl2br w:val="nil"/>
              <w:tr2bl w:val="nil"/>
            </w:tcBorders>
            <w:vAlign w:val="center"/>
          </w:tcPr>
          <w:p>
            <w:pPr>
              <w:snapToGrid w:val="0"/>
              <w:jc w:val="center"/>
              <w:rPr>
                <w:rFonts w:ascii="Times New Roman" w:hAnsi="Times New Roman" w:eastAsia="Times New Roman"/>
                <w:spacing w:val="-2"/>
                <w:szCs w:val="21"/>
              </w:rPr>
            </w:pPr>
            <w:r>
              <w:rPr>
                <w:rFonts w:ascii="Times New Roman" w:hAnsi="Times New Roman"/>
                <w:spacing w:val="-2"/>
                <w:szCs w:val="21"/>
              </w:rPr>
              <w:t>+37</w:t>
            </w:r>
            <w:r>
              <w:rPr>
                <w:rFonts w:ascii="Times New Roman" w:hAnsi="Times New Roman" w:eastAsia="Times New Roman"/>
                <w:spacing w:val="-2"/>
                <w:szCs w:val="21"/>
              </w:rPr>
              <w:t>t/a</w:t>
            </w:r>
          </w:p>
        </w:tc>
      </w:tr>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485" w:hRule="atLeast"/>
          <w:jc w:val="center"/>
        </w:trPr>
        <w:tc>
          <w:tcPr>
            <w:tcW w:w="1596" w:type="dxa"/>
            <w:tcBorders>
              <w:tl2br w:val="nil"/>
              <w:tr2bl w:val="nil"/>
            </w:tcBorders>
            <w:vAlign w:val="center"/>
          </w:tcPr>
          <w:p>
            <w:pPr>
              <w:snapToGrid w:val="0"/>
              <w:jc w:val="center"/>
              <w:rPr>
                <w:rFonts w:ascii="Times New Roman" w:hAnsi="Times New Roman"/>
                <w:szCs w:val="21"/>
              </w:rPr>
            </w:pPr>
            <w:r>
              <w:rPr>
                <w:rFonts w:ascii="Times New Roman" w:hAnsi="Times New Roman"/>
                <w:spacing w:val="-3"/>
                <w:szCs w:val="21"/>
              </w:rPr>
              <w:t>危险废物</w:t>
            </w:r>
          </w:p>
        </w:tc>
        <w:tc>
          <w:tcPr>
            <w:tcW w:w="1416" w:type="dxa"/>
            <w:tcBorders>
              <w:tl2br w:val="nil"/>
              <w:tr2bl w:val="nil"/>
            </w:tcBorders>
            <w:vAlign w:val="center"/>
          </w:tcPr>
          <w:p>
            <w:pPr>
              <w:snapToGrid w:val="0"/>
              <w:jc w:val="center"/>
              <w:rPr>
                <w:rFonts w:ascii="Times New Roman" w:hAnsi="Times New Roman"/>
              </w:rPr>
            </w:pPr>
            <w:r>
              <w:rPr>
                <w:rFonts w:ascii="Times New Roman" w:hAnsi="Times New Roman"/>
                <w:szCs w:val="21"/>
              </w:rPr>
              <w:t>废润滑油</w:t>
            </w:r>
          </w:p>
        </w:tc>
        <w:tc>
          <w:tcPr>
            <w:tcW w:w="1699" w:type="dxa"/>
            <w:tcBorders>
              <w:tl2br w:val="nil"/>
              <w:tr2bl w:val="nil"/>
            </w:tcBorders>
            <w:vAlign w:val="center"/>
          </w:tcPr>
          <w:p>
            <w:pPr>
              <w:snapToGrid w:val="0"/>
              <w:jc w:val="center"/>
              <w:rPr>
                <w:rFonts w:ascii="Times New Roman" w:hAnsi="Times New Roman"/>
              </w:rPr>
            </w:pPr>
          </w:p>
        </w:tc>
        <w:tc>
          <w:tcPr>
            <w:tcW w:w="1275" w:type="dxa"/>
            <w:tcBorders>
              <w:tl2br w:val="nil"/>
              <w:tr2bl w:val="nil"/>
            </w:tcBorders>
            <w:vAlign w:val="center"/>
          </w:tcPr>
          <w:p>
            <w:pPr>
              <w:snapToGrid w:val="0"/>
              <w:jc w:val="center"/>
              <w:rPr>
                <w:rFonts w:ascii="Times New Roman" w:hAnsi="Times New Roman"/>
              </w:rPr>
            </w:pPr>
          </w:p>
        </w:tc>
        <w:tc>
          <w:tcPr>
            <w:tcW w:w="1699" w:type="dxa"/>
            <w:tcBorders>
              <w:tl2br w:val="nil"/>
              <w:tr2bl w:val="nil"/>
            </w:tcBorders>
            <w:vAlign w:val="center"/>
          </w:tcPr>
          <w:p>
            <w:pPr>
              <w:snapToGrid w:val="0"/>
              <w:jc w:val="center"/>
              <w:rPr>
                <w:rFonts w:ascii="Times New Roman" w:hAnsi="Times New Roman"/>
              </w:rPr>
            </w:pPr>
          </w:p>
        </w:tc>
        <w:tc>
          <w:tcPr>
            <w:tcW w:w="1557" w:type="dxa"/>
            <w:tcBorders>
              <w:tl2br w:val="nil"/>
              <w:tr2bl w:val="nil"/>
            </w:tcBorders>
            <w:vAlign w:val="center"/>
          </w:tcPr>
          <w:p>
            <w:pPr>
              <w:snapToGrid w:val="0"/>
              <w:jc w:val="center"/>
              <w:rPr>
                <w:rFonts w:ascii="Times New Roman" w:hAnsi="Times New Roman"/>
              </w:rPr>
            </w:pPr>
            <w:r>
              <w:rPr>
                <w:rFonts w:ascii="Times New Roman" w:hAnsi="Times New Roman"/>
              </w:rPr>
              <w:t>0.2</w:t>
            </w:r>
          </w:p>
        </w:tc>
        <w:tc>
          <w:tcPr>
            <w:tcW w:w="1759" w:type="dxa"/>
            <w:tcBorders>
              <w:tl2br w:val="nil"/>
              <w:tr2bl w:val="nil"/>
            </w:tcBorders>
            <w:vAlign w:val="center"/>
          </w:tcPr>
          <w:p>
            <w:pPr>
              <w:snapToGrid w:val="0"/>
              <w:jc w:val="center"/>
              <w:rPr>
                <w:rFonts w:ascii="Times New Roman" w:hAnsi="Times New Roman"/>
              </w:rPr>
            </w:pPr>
            <w:r>
              <w:rPr>
                <w:rFonts w:ascii="Times New Roman" w:hAnsi="Times New Roman"/>
              </w:rPr>
              <w:t>0</w:t>
            </w:r>
          </w:p>
        </w:tc>
        <w:tc>
          <w:tcPr>
            <w:tcW w:w="1957" w:type="dxa"/>
            <w:tcBorders>
              <w:tl2br w:val="nil"/>
              <w:tr2bl w:val="nil"/>
            </w:tcBorders>
            <w:vAlign w:val="center"/>
          </w:tcPr>
          <w:p>
            <w:pPr>
              <w:snapToGrid w:val="0"/>
              <w:jc w:val="center"/>
              <w:rPr>
                <w:rFonts w:ascii="Times New Roman" w:hAnsi="Times New Roman"/>
              </w:rPr>
            </w:pPr>
            <w:r>
              <w:rPr>
                <w:rFonts w:ascii="Times New Roman" w:hAnsi="Times New Roman"/>
              </w:rPr>
              <w:t>0.2</w:t>
            </w:r>
          </w:p>
        </w:tc>
        <w:tc>
          <w:tcPr>
            <w:tcW w:w="1108" w:type="dxa"/>
            <w:tcBorders>
              <w:tl2br w:val="nil"/>
              <w:tr2bl w:val="nil"/>
            </w:tcBorders>
            <w:vAlign w:val="center"/>
          </w:tcPr>
          <w:p>
            <w:pPr>
              <w:snapToGrid w:val="0"/>
              <w:jc w:val="center"/>
              <w:rPr>
                <w:rFonts w:ascii="Times New Roman" w:hAnsi="Times New Roman"/>
              </w:rPr>
            </w:pPr>
            <w:r>
              <w:rPr>
                <w:rFonts w:ascii="Times New Roman" w:hAnsi="Times New Roman"/>
              </w:rPr>
              <w:t>+0.2</w:t>
            </w:r>
          </w:p>
        </w:tc>
      </w:tr>
      <w:tr>
        <w:tblPrEx>
          <w:tblBorders>
            <w:top w:val="single" w:color="000000" w:sz="6" w:space="0"/>
            <w:left w:val="single" w:color="000000" w:sz="6" w:space="0"/>
            <w:bottom w:val="single" w:color="000000" w:sz="6" w:space="0"/>
            <w:right w:val="single" w:color="000000" w:sz="6" w:space="0"/>
            <w:insideH w:val="single" w:color="000000" w:sz="2" w:space="0"/>
            <w:insideV w:val="single" w:color="000000" w:sz="2" w:space="0"/>
          </w:tblBorders>
          <w:tblCellMar>
            <w:top w:w="0" w:type="dxa"/>
            <w:left w:w="0" w:type="dxa"/>
            <w:bottom w:w="0" w:type="dxa"/>
            <w:right w:w="0" w:type="dxa"/>
          </w:tblCellMar>
        </w:tblPrEx>
        <w:trPr>
          <w:trHeight w:val="485" w:hRule="atLeast"/>
          <w:jc w:val="center"/>
        </w:trPr>
        <w:tc>
          <w:tcPr>
            <w:tcW w:w="1596" w:type="dxa"/>
            <w:tcBorders>
              <w:tl2br w:val="nil"/>
              <w:tr2bl w:val="nil"/>
            </w:tcBorders>
            <w:vAlign w:val="center"/>
          </w:tcPr>
          <w:p>
            <w:pPr>
              <w:snapToGrid w:val="0"/>
              <w:jc w:val="center"/>
              <w:rPr>
                <w:rFonts w:ascii="Times New Roman" w:hAnsi="Times New Roman"/>
                <w:spacing w:val="-3"/>
                <w:szCs w:val="21"/>
              </w:rPr>
            </w:pPr>
            <w:r>
              <w:rPr>
                <w:rFonts w:ascii="Times New Roman" w:hAnsi="Times New Roman"/>
                <w:spacing w:val="-3"/>
                <w:szCs w:val="21"/>
              </w:rPr>
              <w:t>生活垃圾</w:t>
            </w:r>
          </w:p>
        </w:tc>
        <w:tc>
          <w:tcPr>
            <w:tcW w:w="1416" w:type="dxa"/>
            <w:tcBorders>
              <w:tl2br w:val="nil"/>
              <w:tr2bl w:val="nil"/>
            </w:tcBorders>
            <w:vAlign w:val="center"/>
          </w:tcPr>
          <w:p>
            <w:pPr>
              <w:snapToGrid w:val="0"/>
              <w:jc w:val="center"/>
              <w:rPr>
                <w:rFonts w:ascii="Times New Roman" w:hAnsi="Times New Roman"/>
                <w:szCs w:val="21"/>
              </w:rPr>
            </w:pPr>
            <w:r>
              <w:rPr>
                <w:rFonts w:ascii="Times New Roman" w:hAnsi="Times New Roman"/>
                <w:szCs w:val="21"/>
              </w:rPr>
              <w:t>生活垃圾</w:t>
            </w:r>
          </w:p>
        </w:tc>
        <w:tc>
          <w:tcPr>
            <w:tcW w:w="1699" w:type="dxa"/>
            <w:tcBorders>
              <w:tl2br w:val="nil"/>
              <w:tr2bl w:val="nil"/>
            </w:tcBorders>
            <w:vAlign w:val="center"/>
          </w:tcPr>
          <w:p>
            <w:pPr>
              <w:snapToGrid w:val="0"/>
              <w:jc w:val="center"/>
              <w:rPr>
                <w:rFonts w:ascii="Times New Roman" w:hAnsi="Times New Roman"/>
              </w:rPr>
            </w:pPr>
          </w:p>
        </w:tc>
        <w:tc>
          <w:tcPr>
            <w:tcW w:w="1275" w:type="dxa"/>
            <w:tcBorders>
              <w:tl2br w:val="nil"/>
              <w:tr2bl w:val="nil"/>
            </w:tcBorders>
            <w:vAlign w:val="center"/>
          </w:tcPr>
          <w:p>
            <w:pPr>
              <w:snapToGrid w:val="0"/>
              <w:jc w:val="center"/>
              <w:rPr>
                <w:rFonts w:ascii="Times New Roman" w:hAnsi="Times New Roman"/>
              </w:rPr>
            </w:pPr>
          </w:p>
        </w:tc>
        <w:tc>
          <w:tcPr>
            <w:tcW w:w="1699" w:type="dxa"/>
            <w:tcBorders>
              <w:tl2br w:val="nil"/>
              <w:tr2bl w:val="nil"/>
            </w:tcBorders>
            <w:vAlign w:val="center"/>
          </w:tcPr>
          <w:p>
            <w:pPr>
              <w:snapToGrid w:val="0"/>
              <w:jc w:val="center"/>
              <w:rPr>
                <w:rFonts w:ascii="Times New Roman" w:hAnsi="Times New Roman"/>
              </w:rPr>
            </w:pPr>
          </w:p>
        </w:tc>
        <w:tc>
          <w:tcPr>
            <w:tcW w:w="1557" w:type="dxa"/>
            <w:tcBorders>
              <w:tl2br w:val="nil"/>
              <w:tr2bl w:val="nil"/>
            </w:tcBorders>
            <w:vAlign w:val="center"/>
          </w:tcPr>
          <w:p>
            <w:pPr>
              <w:snapToGrid w:val="0"/>
              <w:jc w:val="center"/>
              <w:rPr>
                <w:rFonts w:ascii="Times New Roman" w:hAnsi="Times New Roman"/>
              </w:rPr>
            </w:pPr>
            <w:r>
              <w:rPr>
                <w:rFonts w:ascii="Times New Roman" w:hAnsi="Times New Roman"/>
              </w:rPr>
              <w:t>0.42</w:t>
            </w:r>
          </w:p>
        </w:tc>
        <w:tc>
          <w:tcPr>
            <w:tcW w:w="1759" w:type="dxa"/>
            <w:tcBorders>
              <w:tl2br w:val="nil"/>
              <w:tr2bl w:val="nil"/>
            </w:tcBorders>
            <w:vAlign w:val="center"/>
          </w:tcPr>
          <w:p>
            <w:pPr>
              <w:snapToGrid w:val="0"/>
              <w:jc w:val="center"/>
              <w:rPr>
                <w:rFonts w:ascii="Times New Roman" w:hAnsi="Times New Roman"/>
              </w:rPr>
            </w:pPr>
            <w:r>
              <w:rPr>
                <w:rFonts w:ascii="Times New Roman" w:hAnsi="Times New Roman"/>
              </w:rPr>
              <w:t>0</w:t>
            </w:r>
          </w:p>
        </w:tc>
        <w:tc>
          <w:tcPr>
            <w:tcW w:w="1957" w:type="dxa"/>
            <w:tcBorders>
              <w:tl2br w:val="nil"/>
              <w:tr2bl w:val="nil"/>
            </w:tcBorders>
            <w:vAlign w:val="center"/>
          </w:tcPr>
          <w:p>
            <w:pPr>
              <w:snapToGrid w:val="0"/>
              <w:jc w:val="center"/>
              <w:rPr>
                <w:rFonts w:ascii="Times New Roman" w:hAnsi="Times New Roman"/>
              </w:rPr>
            </w:pPr>
            <w:r>
              <w:rPr>
                <w:rFonts w:ascii="Times New Roman" w:hAnsi="Times New Roman"/>
              </w:rPr>
              <w:t>0.42</w:t>
            </w:r>
          </w:p>
        </w:tc>
        <w:tc>
          <w:tcPr>
            <w:tcW w:w="1108" w:type="dxa"/>
            <w:tcBorders>
              <w:tl2br w:val="nil"/>
              <w:tr2bl w:val="nil"/>
            </w:tcBorders>
            <w:vAlign w:val="center"/>
          </w:tcPr>
          <w:p>
            <w:pPr>
              <w:snapToGrid w:val="0"/>
              <w:jc w:val="center"/>
              <w:rPr>
                <w:rFonts w:ascii="Times New Roman" w:hAnsi="Times New Roman"/>
              </w:rPr>
            </w:pPr>
            <w:r>
              <w:rPr>
                <w:rFonts w:ascii="Times New Roman" w:hAnsi="Times New Roman"/>
              </w:rPr>
              <w:t>0.42</w:t>
            </w:r>
          </w:p>
        </w:tc>
      </w:tr>
    </w:tbl>
    <w:p>
      <w:pPr>
        <w:pStyle w:val="35"/>
        <w:spacing w:before="249" w:beforeLines="80" w:after="31"/>
        <w:ind w:left="420" w:hanging="420"/>
        <w:jc w:val="both"/>
        <w:rPr>
          <w:rFonts w:ascii="Times New Roman" w:hAnsi="Times New Roman"/>
        </w:rPr>
      </w:pPr>
      <w:r>
        <w:rPr>
          <w:rFonts w:ascii="Times New Roman" w:hAnsi="Times New Roman"/>
          <w:snapToGrid w:val="0"/>
          <w:kern w:val="21"/>
          <w:szCs w:val="21"/>
        </w:rPr>
        <w:t>注：</w:t>
      </w:r>
      <w:r>
        <w:rPr>
          <w:rFonts w:ascii="Times New Roman" w:hAnsi="Times New Roman"/>
          <w:snapToGrid w:val="0"/>
          <w:spacing w:val="-16"/>
          <w:kern w:val="21"/>
          <w:szCs w:val="21"/>
        </w:rPr>
        <w:fldChar w:fldCharType="begin"/>
      </w:r>
      <w:r>
        <w:rPr>
          <w:rFonts w:ascii="Times New Roman" w:hAnsi="Times New Roman"/>
          <w:snapToGrid w:val="0"/>
          <w:spacing w:val="-16"/>
          <w:kern w:val="21"/>
          <w:szCs w:val="21"/>
        </w:rPr>
        <w:instrText xml:space="preserve"> = 6 \* GB3 \* MERGEFORMAT </w:instrText>
      </w:r>
      <w:r>
        <w:rPr>
          <w:rFonts w:ascii="Times New Roman" w:hAnsi="Times New Roman"/>
          <w:snapToGrid w:val="0"/>
          <w:spacing w:val="-16"/>
          <w:kern w:val="21"/>
          <w:szCs w:val="21"/>
        </w:rPr>
        <w:fldChar w:fldCharType="separate"/>
      </w:r>
      <w:r>
        <w:rPr>
          <w:rFonts w:ascii="Times New Roman" w:hAnsi="Times New Roman"/>
          <w:szCs w:val="21"/>
        </w:rPr>
        <w:t>⑥</w:t>
      </w:r>
      <w:r>
        <w:rPr>
          <w:rFonts w:ascii="Times New Roman" w:hAnsi="Times New Roman"/>
          <w:snapToGrid w:val="0"/>
          <w:spacing w:val="-16"/>
          <w:kern w:val="21"/>
          <w:szCs w:val="21"/>
        </w:rPr>
        <w:fldChar w:fldCharType="end"/>
      </w:r>
      <w:r>
        <w:rPr>
          <w:rFonts w:ascii="Times New Roman" w:hAnsi="Times New Roman"/>
          <w:snapToGrid w:val="0"/>
          <w:spacing w:val="-16"/>
          <w:kern w:val="21"/>
          <w:szCs w:val="21"/>
        </w:rPr>
        <w:t>=</w:t>
      </w:r>
      <w:r>
        <w:rPr>
          <w:rFonts w:ascii="Times New Roman" w:hAnsi="Times New Roman"/>
          <w:snapToGrid w:val="0"/>
          <w:spacing w:val="-6"/>
          <w:kern w:val="21"/>
          <w:szCs w:val="21"/>
        </w:rPr>
        <w:fldChar w:fldCharType="begin"/>
      </w:r>
      <w:r>
        <w:rPr>
          <w:rFonts w:ascii="Times New Roman" w:hAnsi="Times New Roman"/>
          <w:snapToGrid w:val="0"/>
          <w:spacing w:val="-6"/>
          <w:kern w:val="21"/>
          <w:szCs w:val="21"/>
        </w:rPr>
        <w:instrText xml:space="preserve"> = 1 \* GB3 \* MERGEFORMAT </w:instrText>
      </w:r>
      <w:r>
        <w:rPr>
          <w:rFonts w:ascii="Times New Roman" w:hAnsi="Times New Roman"/>
          <w:snapToGrid w:val="0"/>
          <w:spacing w:val="-6"/>
          <w:kern w:val="21"/>
          <w:szCs w:val="21"/>
        </w:rPr>
        <w:fldChar w:fldCharType="separate"/>
      </w:r>
      <w:r>
        <w:rPr>
          <w:rFonts w:ascii="Times New Roman" w:hAnsi="Times New Roman"/>
          <w:szCs w:val="21"/>
        </w:rPr>
        <w:t>①</w:t>
      </w:r>
      <w:r>
        <w:rPr>
          <w:rFonts w:ascii="Times New Roman" w:hAnsi="Times New Roman"/>
          <w:snapToGrid w:val="0"/>
          <w:spacing w:val="-6"/>
          <w:kern w:val="21"/>
          <w:szCs w:val="21"/>
        </w:rPr>
        <w:fldChar w:fldCharType="end"/>
      </w:r>
      <w:r>
        <w:rPr>
          <w:rFonts w:ascii="Times New Roman" w:hAnsi="Times New Roman"/>
          <w:snapToGrid w:val="0"/>
          <w:spacing w:val="-6"/>
          <w:kern w:val="21"/>
          <w:szCs w:val="21"/>
        </w:rPr>
        <w:t>+</w:t>
      </w:r>
      <w:r>
        <w:rPr>
          <w:rFonts w:ascii="Times New Roman" w:hAnsi="Times New Roman"/>
          <w:snapToGrid w:val="0"/>
          <w:spacing w:val="-6"/>
          <w:kern w:val="21"/>
          <w:szCs w:val="21"/>
        </w:rPr>
        <w:fldChar w:fldCharType="begin"/>
      </w:r>
      <w:r>
        <w:rPr>
          <w:rFonts w:ascii="Times New Roman" w:hAnsi="Times New Roman"/>
          <w:snapToGrid w:val="0"/>
          <w:spacing w:val="-6"/>
          <w:kern w:val="21"/>
          <w:szCs w:val="21"/>
        </w:rPr>
        <w:instrText xml:space="preserve"> = 3 \* GB3 \* MERGEFORMAT </w:instrText>
      </w:r>
      <w:r>
        <w:rPr>
          <w:rFonts w:ascii="Times New Roman" w:hAnsi="Times New Roman"/>
          <w:snapToGrid w:val="0"/>
          <w:spacing w:val="-6"/>
          <w:kern w:val="21"/>
          <w:szCs w:val="21"/>
        </w:rPr>
        <w:fldChar w:fldCharType="separate"/>
      </w:r>
      <w:r>
        <w:rPr>
          <w:rFonts w:ascii="Times New Roman" w:hAnsi="Times New Roman"/>
          <w:szCs w:val="21"/>
        </w:rPr>
        <w:t>③</w:t>
      </w:r>
      <w:r>
        <w:rPr>
          <w:rFonts w:ascii="Times New Roman" w:hAnsi="Times New Roman"/>
          <w:snapToGrid w:val="0"/>
          <w:spacing w:val="-6"/>
          <w:kern w:val="21"/>
          <w:szCs w:val="21"/>
        </w:rPr>
        <w:fldChar w:fldCharType="end"/>
      </w:r>
      <w:r>
        <w:rPr>
          <w:rFonts w:ascii="Times New Roman" w:hAnsi="Times New Roman"/>
          <w:snapToGrid w:val="0"/>
          <w:spacing w:val="-6"/>
          <w:kern w:val="21"/>
          <w:szCs w:val="21"/>
        </w:rPr>
        <w:t>+</w:t>
      </w:r>
      <w:r>
        <w:rPr>
          <w:rFonts w:ascii="Times New Roman" w:hAnsi="Times New Roman"/>
          <w:snapToGrid w:val="0"/>
          <w:spacing w:val="-6"/>
          <w:kern w:val="21"/>
          <w:szCs w:val="21"/>
        </w:rPr>
        <w:fldChar w:fldCharType="begin"/>
      </w:r>
      <w:r>
        <w:rPr>
          <w:rFonts w:ascii="Times New Roman" w:hAnsi="Times New Roman"/>
          <w:snapToGrid w:val="0"/>
          <w:spacing w:val="-6"/>
          <w:kern w:val="21"/>
          <w:szCs w:val="21"/>
        </w:rPr>
        <w:instrText xml:space="preserve"> = 4 \* GB3 \* MERGEFORMAT </w:instrText>
      </w:r>
      <w:r>
        <w:rPr>
          <w:rFonts w:ascii="Times New Roman" w:hAnsi="Times New Roman"/>
          <w:snapToGrid w:val="0"/>
          <w:spacing w:val="-6"/>
          <w:kern w:val="21"/>
          <w:szCs w:val="21"/>
        </w:rPr>
        <w:fldChar w:fldCharType="separate"/>
      </w:r>
      <w:r>
        <w:rPr>
          <w:rFonts w:ascii="Times New Roman" w:hAnsi="Times New Roman"/>
          <w:szCs w:val="21"/>
        </w:rPr>
        <w:t>④</w:t>
      </w:r>
      <w:r>
        <w:rPr>
          <w:rFonts w:ascii="Times New Roman" w:hAnsi="Times New Roman"/>
          <w:snapToGrid w:val="0"/>
          <w:spacing w:val="-6"/>
          <w:kern w:val="21"/>
          <w:szCs w:val="21"/>
        </w:rPr>
        <w:fldChar w:fldCharType="end"/>
      </w:r>
      <w:r>
        <w:rPr>
          <w:rFonts w:ascii="Times New Roman" w:hAnsi="Times New Roman"/>
          <w:snapToGrid w:val="0"/>
          <w:spacing w:val="-6"/>
          <w:kern w:val="21"/>
          <w:szCs w:val="21"/>
        </w:rPr>
        <w:t>-</w:t>
      </w:r>
      <w:r>
        <w:rPr>
          <w:rFonts w:ascii="Times New Roman" w:hAnsi="Times New Roman"/>
          <w:snapToGrid w:val="0"/>
          <w:spacing w:val="-16"/>
          <w:kern w:val="21"/>
          <w:szCs w:val="21"/>
        </w:rPr>
        <w:fldChar w:fldCharType="begin"/>
      </w:r>
      <w:r>
        <w:rPr>
          <w:rFonts w:ascii="Times New Roman" w:hAnsi="Times New Roman"/>
          <w:snapToGrid w:val="0"/>
          <w:spacing w:val="-16"/>
          <w:kern w:val="21"/>
          <w:szCs w:val="21"/>
        </w:rPr>
        <w:instrText xml:space="preserve"> = 5 \* GB3 \* MERGEFORMAT </w:instrText>
      </w:r>
      <w:r>
        <w:rPr>
          <w:rFonts w:ascii="Times New Roman" w:hAnsi="Times New Roman"/>
          <w:snapToGrid w:val="0"/>
          <w:spacing w:val="-16"/>
          <w:kern w:val="21"/>
          <w:szCs w:val="21"/>
        </w:rPr>
        <w:fldChar w:fldCharType="separate"/>
      </w:r>
      <w:r>
        <w:rPr>
          <w:rFonts w:ascii="Times New Roman" w:hAnsi="Times New Roman"/>
          <w:szCs w:val="21"/>
        </w:rPr>
        <w:t>⑤</w:t>
      </w:r>
      <w:r>
        <w:rPr>
          <w:rFonts w:ascii="Times New Roman" w:hAnsi="Times New Roman"/>
          <w:snapToGrid w:val="0"/>
          <w:spacing w:val="-16"/>
          <w:kern w:val="21"/>
          <w:szCs w:val="21"/>
        </w:rPr>
        <w:fldChar w:fldCharType="end"/>
      </w:r>
      <w:r>
        <w:rPr>
          <w:rFonts w:ascii="Times New Roman" w:hAnsi="Times New Roman"/>
          <w:snapToGrid w:val="0"/>
          <w:spacing w:val="-16"/>
          <w:kern w:val="21"/>
          <w:szCs w:val="21"/>
        </w:rPr>
        <w:t>；</w:t>
      </w:r>
      <w:r>
        <w:rPr>
          <w:rFonts w:ascii="Times New Roman" w:hAnsi="Times New Roman"/>
          <w:snapToGrid w:val="0"/>
          <w:spacing w:val="-6"/>
          <w:kern w:val="21"/>
          <w:szCs w:val="21"/>
        </w:rPr>
        <w:fldChar w:fldCharType="begin"/>
      </w:r>
      <w:r>
        <w:rPr>
          <w:rFonts w:ascii="Times New Roman" w:hAnsi="Times New Roman"/>
          <w:snapToGrid w:val="0"/>
          <w:spacing w:val="-6"/>
          <w:kern w:val="21"/>
          <w:szCs w:val="21"/>
        </w:rPr>
        <w:instrText xml:space="preserve"> = 7 \* GB3 \* MERGEFORMAT </w:instrText>
      </w:r>
      <w:r>
        <w:rPr>
          <w:rFonts w:ascii="Times New Roman" w:hAnsi="Times New Roman"/>
          <w:snapToGrid w:val="0"/>
          <w:spacing w:val="-6"/>
          <w:kern w:val="21"/>
          <w:szCs w:val="21"/>
        </w:rPr>
        <w:fldChar w:fldCharType="separate"/>
      </w:r>
      <w:r>
        <w:rPr>
          <w:rFonts w:ascii="Times New Roman" w:hAnsi="Times New Roman"/>
          <w:szCs w:val="21"/>
        </w:rPr>
        <w:t>⑦</w:t>
      </w:r>
      <w:r>
        <w:rPr>
          <w:rFonts w:ascii="Times New Roman" w:hAnsi="Times New Roman"/>
          <w:snapToGrid w:val="0"/>
          <w:spacing w:val="-6"/>
          <w:kern w:val="21"/>
          <w:szCs w:val="21"/>
        </w:rPr>
        <w:fldChar w:fldCharType="end"/>
      </w:r>
      <w:r>
        <w:rPr>
          <w:rFonts w:ascii="Times New Roman" w:hAnsi="Times New Roman"/>
          <w:snapToGrid w:val="0"/>
          <w:spacing w:val="-6"/>
          <w:kern w:val="21"/>
          <w:szCs w:val="21"/>
        </w:rPr>
        <w:t>=</w:t>
      </w:r>
      <w:r>
        <w:rPr>
          <w:rFonts w:ascii="Times New Roman" w:hAnsi="Times New Roman"/>
          <w:snapToGrid w:val="0"/>
          <w:spacing w:val="-16"/>
          <w:kern w:val="21"/>
          <w:szCs w:val="21"/>
        </w:rPr>
        <w:fldChar w:fldCharType="begin"/>
      </w:r>
      <w:r>
        <w:rPr>
          <w:rFonts w:ascii="Times New Roman" w:hAnsi="Times New Roman"/>
          <w:snapToGrid w:val="0"/>
          <w:spacing w:val="-16"/>
          <w:kern w:val="21"/>
          <w:szCs w:val="21"/>
        </w:rPr>
        <w:instrText xml:space="preserve"> = 6 \* GB3 \* MERGEFORMAT </w:instrText>
      </w:r>
      <w:r>
        <w:rPr>
          <w:rFonts w:ascii="Times New Roman" w:hAnsi="Times New Roman"/>
          <w:snapToGrid w:val="0"/>
          <w:spacing w:val="-16"/>
          <w:kern w:val="21"/>
          <w:szCs w:val="21"/>
        </w:rPr>
        <w:fldChar w:fldCharType="separate"/>
      </w:r>
      <w:r>
        <w:rPr>
          <w:rFonts w:ascii="Times New Roman" w:hAnsi="Times New Roman"/>
          <w:szCs w:val="21"/>
        </w:rPr>
        <w:t>⑥</w:t>
      </w:r>
      <w:r>
        <w:rPr>
          <w:rFonts w:ascii="Times New Roman" w:hAnsi="Times New Roman"/>
          <w:snapToGrid w:val="0"/>
          <w:spacing w:val="-16"/>
          <w:kern w:val="21"/>
          <w:szCs w:val="21"/>
        </w:rPr>
        <w:fldChar w:fldCharType="end"/>
      </w:r>
      <w:r>
        <w:rPr>
          <w:rFonts w:ascii="Times New Roman" w:hAnsi="Times New Roman"/>
          <w:snapToGrid w:val="0"/>
          <w:spacing w:val="-16"/>
          <w:kern w:val="21"/>
          <w:szCs w:val="21"/>
        </w:rPr>
        <w:t>-</w:t>
      </w:r>
      <w:r>
        <w:rPr>
          <w:rFonts w:ascii="Times New Roman" w:hAnsi="Times New Roman"/>
          <w:snapToGrid w:val="0"/>
          <w:spacing w:val="-6"/>
          <w:kern w:val="21"/>
          <w:szCs w:val="21"/>
        </w:rPr>
        <w:fldChar w:fldCharType="begin"/>
      </w:r>
      <w:r>
        <w:rPr>
          <w:rFonts w:ascii="Times New Roman" w:hAnsi="Times New Roman"/>
          <w:snapToGrid w:val="0"/>
          <w:spacing w:val="-6"/>
          <w:kern w:val="21"/>
          <w:szCs w:val="21"/>
        </w:rPr>
        <w:instrText xml:space="preserve"> = 1 \* GB3 \* MERGEFORMAT </w:instrText>
      </w:r>
      <w:r>
        <w:rPr>
          <w:rFonts w:ascii="Times New Roman" w:hAnsi="Times New Roman"/>
          <w:snapToGrid w:val="0"/>
          <w:spacing w:val="-6"/>
          <w:kern w:val="21"/>
          <w:szCs w:val="21"/>
        </w:rPr>
        <w:fldChar w:fldCharType="separate"/>
      </w:r>
      <w:r>
        <w:rPr>
          <w:rFonts w:ascii="Times New Roman" w:hAnsi="Times New Roman"/>
          <w:szCs w:val="21"/>
        </w:rPr>
        <w:t>①</w:t>
      </w:r>
      <w:r>
        <w:rPr>
          <w:rFonts w:ascii="Times New Roman" w:hAnsi="Times New Roman"/>
          <w:snapToGrid w:val="0"/>
          <w:spacing w:val="-6"/>
          <w:kern w:val="21"/>
          <w:szCs w:val="21"/>
        </w:rPr>
        <w:fldChar w:fldCharType="end"/>
      </w:r>
    </w:p>
    <w:sectPr>
      <w:footerReference r:id="rId5"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A5E954CF-9B4F-47D2-B176-03E2754DFD62}"/>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E0227B58-B88C-4212-9E9D-EC23948C8F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embedRegular r:id="rId3" w:fontKey="{7CBA622F-FA75-4D7D-B8CD-9A99DCDFE709}"/>
  </w:font>
  <w:font w:name="楷体_GB2312">
    <w:altName w:val="楷体"/>
    <w:panose1 w:val="00000000000000000000"/>
    <w:charset w:val="86"/>
    <w:family w:val="modern"/>
    <w:pitch w:val="default"/>
    <w:sig w:usb0="00000000" w:usb1="00000000" w:usb2="00000000" w:usb3="00000000" w:csb0="00040000" w:csb1="00000000"/>
    <w:embedRegular r:id="rId4" w:fontKey="{DBA61F4C-15E8-47E1-A8BD-0D5190042FA9}"/>
  </w:font>
  <w:font w:name="仿宋">
    <w:panose1 w:val="02010609060101010101"/>
    <w:charset w:val="86"/>
    <w:family w:val="modern"/>
    <w:pitch w:val="default"/>
    <w:sig w:usb0="800002BF" w:usb1="38CF7CFA" w:usb2="00000016" w:usb3="00000000" w:csb0="00040001" w:csb1="00000000"/>
    <w:embedRegular r:id="rId5" w:fontKey="{DFFD8944-2234-4F57-9E6E-69D1F7A6F2D9}"/>
  </w:font>
  <w:font w:name="仿宋_GB2312">
    <w:panose1 w:val="02010609030101010101"/>
    <w:charset w:val="86"/>
    <w:family w:val="modern"/>
    <w:pitch w:val="default"/>
    <w:sig w:usb0="00000001" w:usb1="080E0000" w:usb2="00000000" w:usb3="00000000" w:csb0="00040000" w:csb1="00000000"/>
    <w:embedRegular r:id="rId6" w:fontKey="{261A4A8B-C638-4E53-87A9-1897867B046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- 1 -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- 35 -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g0GZ8MBAACP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FtQ5e3lDhuceLnp8fzj1/nn98J&#10;+lCgPkCNeQ8BM9Pwzg+4NrMf0Jl5Dyra/EVGBOMo7+kirxwSEfnRarlaVRgSGJsviM+en4cI6b30&#10;lmSjoRHnV2Tlx4+QxtQ5JVdz/l4bU2Zo3F8OxMwelnsfe8xWGnbDRGjn2xPy6XH0DXW46ZSYDw6V&#10;zVsyG3E2dpORa0B4e0hYuPSTUUeoqRjOqTCadiovwp/3kvX8H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yDQZnwwEAAI8DAAAOAAAAAAAAAAEAIAAAAB4BAABkcnMvZTJvRG9jLnhtbFBL&#10;BQYAAAAABgAGAFkBAABT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- 35 -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7BE36"/>
    <w:multiLevelType w:val="singleLevel"/>
    <w:tmpl w:val="87F7BE36"/>
    <w:lvl w:ilvl="0" w:tentative="0">
      <w:start w:val="1"/>
      <w:numFmt w:val="decimal"/>
      <w:suff w:val="nothing"/>
      <w:lvlText w:val="%1、"/>
      <w:lvlJc w:val="left"/>
    </w:lvl>
  </w:abstractNum>
  <w:abstractNum w:abstractNumId="1">
    <w:nsid w:val="2131547F"/>
    <w:multiLevelType w:val="multilevel"/>
    <w:tmpl w:val="2131547F"/>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tabs>
          <w:tab w:val="left" w:pos="0"/>
        </w:tabs>
        <w:ind w:left="0" w:firstLine="0"/>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58A66D2A"/>
    <w:multiLevelType w:val="singleLevel"/>
    <w:tmpl w:val="58A66D2A"/>
    <w:lvl w:ilvl="0" w:tentative="0">
      <w:start w:val="1"/>
      <w:numFmt w:val="decimal"/>
      <w:suff w:val="nothing"/>
      <w:lvlText w:val="%1、"/>
      <w:lvlJc w:val="left"/>
    </w:lvl>
  </w:abstractNum>
  <w:abstractNum w:abstractNumId="3">
    <w:nsid w:val="65DA7A7A"/>
    <w:multiLevelType w:val="singleLevel"/>
    <w:tmpl w:val="65DA7A7A"/>
    <w:lvl w:ilvl="0" w:tentative="0">
      <w:start w:val="4"/>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OTEzNjcyNjk1NjBhYjIxZTc4NGIwYjAxMmI0OTgifQ=="/>
  </w:docVars>
  <w:rsids>
    <w:rsidRoot w:val="3F9F6444"/>
    <w:rsid w:val="00005B5C"/>
    <w:rsid w:val="000274F6"/>
    <w:rsid w:val="00040C27"/>
    <w:rsid w:val="00042BAD"/>
    <w:rsid w:val="0006526C"/>
    <w:rsid w:val="001E3944"/>
    <w:rsid w:val="00257D57"/>
    <w:rsid w:val="002F0F52"/>
    <w:rsid w:val="00377771"/>
    <w:rsid w:val="003B4FF6"/>
    <w:rsid w:val="004037B0"/>
    <w:rsid w:val="00413CF8"/>
    <w:rsid w:val="00486BBB"/>
    <w:rsid w:val="00562BE7"/>
    <w:rsid w:val="00575EB9"/>
    <w:rsid w:val="00620A8D"/>
    <w:rsid w:val="00621F16"/>
    <w:rsid w:val="0064774C"/>
    <w:rsid w:val="00726690"/>
    <w:rsid w:val="007F4DF4"/>
    <w:rsid w:val="00852439"/>
    <w:rsid w:val="008A38BF"/>
    <w:rsid w:val="00901569"/>
    <w:rsid w:val="009C4434"/>
    <w:rsid w:val="00A4516B"/>
    <w:rsid w:val="00A72D0C"/>
    <w:rsid w:val="00B454FA"/>
    <w:rsid w:val="00B72A04"/>
    <w:rsid w:val="00C23B5E"/>
    <w:rsid w:val="00C77ADB"/>
    <w:rsid w:val="00CB5F75"/>
    <w:rsid w:val="00CC2F59"/>
    <w:rsid w:val="00D13E4E"/>
    <w:rsid w:val="00D848CB"/>
    <w:rsid w:val="00DF5F65"/>
    <w:rsid w:val="00E305ED"/>
    <w:rsid w:val="00E97E92"/>
    <w:rsid w:val="00FC7266"/>
    <w:rsid w:val="011164C1"/>
    <w:rsid w:val="01964270"/>
    <w:rsid w:val="043A7C8C"/>
    <w:rsid w:val="058D7842"/>
    <w:rsid w:val="06450047"/>
    <w:rsid w:val="067F52D3"/>
    <w:rsid w:val="07A8432A"/>
    <w:rsid w:val="082C5D81"/>
    <w:rsid w:val="09AB081C"/>
    <w:rsid w:val="09CD56F5"/>
    <w:rsid w:val="09EC7A57"/>
    <w:rsid w:val="0C6B582D"/>
    <w:rsid w:val="0D71793F"/>
    <w:rsid w:val="0F7B797C"/>
    <w:rsid w:val="10372407"/>
    <w:rsid w:val="11EC4876"/>
    <w:rsid w:val="145507C8"/>
    <w:rsid w:val="151E03AD"/>
    <w:rsid w:val="15B27798"/>
    <w:rsid w:val="16BF34C9"/>
    <w:rsid w:val="17957F0C"/>
    <w:rsid w:val="18574301"/>
    <w:rsid w:val="1861209F"/>
    <w:rsid w:val="18C065D0"/>
    <w:rsid w:val="192104AB"/>
    <w:rsid w:val="1B3D090F"/>
    <w:rsid w:val="1C032DB0"/>
    <w:rsid w:val="1C091AEB"/>
    <w:rsid w:val="1D0F6E9D"/>
    <w:rsid w:val="1F262C04"/>
    <w:rsid w:val="22E0267F"/>
    <w:rsid w:val="23D72B80"/>
    <w:rsid w:val="26CC0108"/>
    <w:rsid w:val="26EF48E0"/>
    <w:rsid w:val="27100E1A"/>
    <w:rsid w:val="277C2A62"/>
    <w:rsid w:val="27AE1B22"/>
    <w:rsid w:val="295B3526"/>
    <w:rsid w:val="29B9008A"/>
    <w:rsid w:val="2A5A1A2F"/>
    <w:rsid w:val="2A800A30"/>
    <w:rsid w:val="2C3D6F12"/>
    <w:rsid w:val="320E0170"/>
    <w:rsid w:val="339E69C4"/>
    <w:rsid w:val="34594409"/>
    <w:rsid w:val="370F48A6"/>
    <w:rsid w:val="37F714C1"/>
    <w:rsid w:val="392F0EB2"/>
    <w:rsid w:val="39A045B9"/>
    <w:rsid w:val="3B600A24"/>
    <w:rsid w:val="3C0C73C4"/>
    <w:rsid w:val="3C212D8D"/>
    <w:rsid w:val="3C3A5F50"/>
    <w:rsid w:val="3E9668A4"/>
    <w:rsid w:val="3E9E08AA"/>
    <w:rsid w:val="3F9F6444"/>
    <w:rsid w:val="3FCB4B12"/>
    <w:rsid w:val="42D863FB"/>
    <w:rsid w:val="44F17A51"/>
    <w:rsid w:val="45846BD2"/>
    <w:rsid w:val="46095FDB"/>
    <w:rsid w:val="480F12E3"/>
    <w:rsid w:val="497E5F7B"/>
    <w:rsid w:val="4B176411"/>
    <w:rsid w:val="4D937D80"/>
    <w:rsid w:val="4DE60D60"/>
    <w:rsid w:val="4FF14469"/>
    <w:rsid w:val="51381C17"/>
    <w:rsid w:val="523257B1"/>
    <w:rsid w:val="565C51BC"/>
    <w:rsid w:val="56FF3222"/>
    <w:rsid w:val="57253283"/>
    <w:rsid w:val="5748004A"/>
    <w:rsid w:val="58382B00"/>
    <w:rsid w:val="5AA22899"/>
    <w:rsid w:val="5AFD0B51"/>
    <w:rsid w:val="5C0870DF"/>
    <w:rsid w:val="5E146E1D"/>
    <w:rsid w:val="5FF13CC0"/>
    <w:rsid w:val="60DF4FFE"/>
    <w:rsid w:val="61975AE0"/>
    <w:rsid w:val="6233139D"/>
    <w:rsid w:val="635C56E6"/>
    <w:rsid w:val="64DA0138"/>
    <w:rsid w:val="662F598D"/>
    <w:rsid w:val="696A3312"/>
    <w:rsid w:val="697370B8"/>
    <w:rsid w:val="6A6403B6"/>
    <w:rsid w:val="6AB951F1"/>
    <w:rsid w:val="6AF36238"/>
    <w:rsid w:val="6B9D2CBF"/>
    <w:rsid w:val="6C1235C6"/>
    <w:rsid w:val="6EDD04FC"/>
    <w:rsid w:val="6EEE3AC1"/>
    <w:rsid w:val="6F4032F1"/>
    <w:rsid w:val="733B6CF0"/>
    <w:rsid w:val="73DE629D"/>
    <w:rsid w:val="748A28EC"/>
    <w:rsid w:val="74D13C69"/>
    <w:rsid w:val="74D47A9C"/>
    <w:rsid w:val="757A6223"/>
    <w:rsid w:val="76435C5C"/>
    <w:rsid w:val="76CD0BBE"/>
    <w:rsid w:val="76FD1DA6"/>
    <w:rsid w:val="796F3198"/>
    <w:rsid w:val="79877439"/>
    <w:rsid w:val="7A2217D6"/>
    <w:rsid w:val="7A5A200A"/>
    <w:rsid w:val="7AD74133"/>
    <w:rsid w:val="7B641393"/>
    <w:rsid w:val="7BB36B1C"/>
    <w:rsid w:val="7C921561"/>
    <w:rsid w:val="7C9E3525"/>
    <w:rsid w:val="7DA4016C"/>
    <w:rsid w:val="7DF924AD"/>
    <w:rsid w:val="7E5971A9"/>
    <w:rsid w:val="7EBB2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link w:val="29"/>
    <w:autoRedefine/>
    <w:semiHidden/>
    <w:unhideWhenUsed/>
    <w:qFormat/>
    <w:uiPriority w:val="0"/>
    <w:pPr>
      <w:numPr>
        <w:ilvl w:val="1"/>
        <w:numId w:val="1"/>
      </w:numPr>
      <w:spacing w:line="360" w:lineRule="auto"/>
      <w:jc w:val="left"/>
      <w:outlineLvl w:val="1"/>
    </w:pPr>
    <w:rPr>
      <w:rFonts w:ascii="Times New Roman" w:hAnsi="Times New Roman"/>
      <w:bCs/>
      <w:sz w:val="28"/>
      <w:szCs w:val="28"/>
      <w:lang w:val="zh-CN" w:bidi="zh-CN"/>
    </w:rPr>
  </w:style>
  <w:style w:type="paragraph" w:styleId="4">
    <w:name w:val="heading 3"/>
    <w:basedOn w:val="1"/>
    <w:next w:val="1"/>
    <w:autoRedefine/>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link w:val="28"/>
    <w:autoRedefine/>
    <w:semiHidden/>
    <w:unhideWhenUsed/>
    <w:qFormat/>
    <w:uiPriority w:val="0"/>
    <w:pPr>
      <w:keepNext/>
      <w:keepLines/>
      <w:numPr>
        <w:ilvl w:val="3"/>
        <w:numId w:val="1"/>
      </w:numPr>
      <w:tabs>
        <w:tab w:val="clear" w:pos="0"/>
      </w:tabs>
      <w:spacing w:line="360" w:lineRule="auto"/>
      <w:ind w:firstLine="400" w:firstLineChars="200"/>
      <w:outlineLvl w:val="3"/>
    </w:pPr>
    <w:rPr>
      <w:rFonts w:ascii="Times New Roman" w:hAnsi="Times New Roman"/>
      <w:b/>
      <w:bCs/>
      <w:iCs/>
      <w:color w:val="000000"/>
      <w:sz w:val="24"/>
      <w:lang w:val="zh-CN" w:bidi="zh-CN"/>
    </w:rPr>
  </w:style>
  <w:style w:type="paragraph" w:styleId="6">
    <w:name w:val="heading 5"/>
    <w:basedOn w:val="1"/>
    <w:next w:val="1"/>
    <w:autoRedefine/>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1"/>
      </w:numPr>
      <w:tabs>
        <w:tab w:val="left" w:pos="0"/>
      </w:tabs>
      <w:spacing w:before="240" w:after="64" w:line="317" w:lineRule="auto"/>
      <w:outlineLvl w:val="5"/>
    </w:pPr>
    <w:rPr>
      <w:rFonts w:ascii="Arial" w:hAnsi="Arial" w:eastAsia="黑体"/>
      <w:b/>
      <w:sz w:val="24"/>
    </w:rPr>
  </w:style>
  <w:style w:type="paragraph" w:styleId="8">
    <w:name w:val="heading 7"/>
    <w:basedOn w:val="1"/>
    <w:next w:val="1"/>
    <w:autoRedefine/>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autoRedefine/>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autoRedefine/>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next w:val="12"/>
    <w:autoRedefine/>
    <w:qFormat/>
    <w:uiPriority w:val="0"/>
    <w:pPr>
      <w:ind w:firstLine="420" w:firstLineChars="200"/>
    </w:pPr>
  </w:style>
  <w:style w:type="paragraph" w:styleId="12">
    <w:name w:val="Body Text First Indent 2"/>
    <w:basedOn w:val="13"/>
    <w:next w:val="14"/>
    <w:autoRedefine/>
    <w:qFormat/>
    <w:uiPriority w:val="0"/>
    <w:pPr>
      <w:ind w:firstLine="420" w:firstLineChars="200"/>
    </w:pPr>
    <w:rPr>
      <w:szCs w:val="24"/>
    </w:rPr>
  </w:style>
  <w:style w:type="paragraph" w:styleId="13">
    <w:name w:val="Body Text Indent"/>
    <w:basedOn w:val="1"/>
    <w:next w:val="12"/>
    <w:autoRedefine/>
    <w:qFormat/>
    <w:uiPriority w:val="0"/>
    <w:pPr>
      <w:spacing w:after="120"/>
      <w:ind w:left="420" w:leftChars="200"/>
    </w:pPr>
    <w:rPr>
      <w:kern w:val="0"/>
      <w:sz w:val="24"/>
      <w:szCs w:val="20"/>
    </w:rPr>
  </w:style>
  <w:style w:type="paragraph" w:styleId="14">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15">
    <w:name w:val="annotation text"/>
    <w:basedOn w:val="1"/>
    <w:autoRedefine/>
    <w:semiHidden/>
    <w:qFormat/>
    <w:uiPriority w:val="0"/>
    <w:pPr>
      <w:jc w:val="left"/>
    </w:pPr>
  </w:style>
  <w:style w:type="paragraph" w:styleId="16">
    <w:name w:val="Balloon Text"/>
    <w:basedOn w:val="1"/>
    <w:link w:val="49"/>
    <w:autoRedefine/>
    <w:qFormat/>
    <w:uiPriority w:val="0"/>
    <w:rPr>
      <w:sz w:val="18"/>
      <w:szCs w:val="18"/>
    </w:rPr>
  </w:style>
  <w:style w:type="paragraph" w:styleId="17">
    <w:name w:val="footer"/>
    <w:basedOn w:val="1"/>
    <w:autoRedefine/>
    <w:qFormat/>
    <w:uiPriority w:val="99"/>
    <w:pPr>
      <w:tabs>
        <w:tab w:val="center" w:pos="4153"/>
        <w:tab w:val="right" w:pos="8306"/>
      </w:tabs>
      <w:snapToGrid w:val="0"/>
      <w:jc w:val="left"/>
    </w:pPr>
    <w:rPr>
      <w:kern w:val="0"/>
      <w:sz w:val="18"/>
      <w:szCs w:val="20"/>
    </w:rPr>
  </w:style>
  <w:style w:type="paragraph" w:styleId="18">
    <w:name w:val="header"/>
    <w:basedOn w:val="1"/>
    <w:link w:val="50"/>
    <w:autoRedefine/>
    <w:qFormat/>
    <w:uiPriority w:val="0"/>
    <w:pPr>
      <w:pBdr>
        <w:bottom w:val="single" w:color="auto" w:sz="6" w:space="1"/>
      </w:pBdr>
      <w:tabs>
        <w:tab w:val="center" w:pos="4153"/>
        <w:tab w:val="right" w:pos="8306"/>
      </w:tabs>
      <w:snapToGrid w:val="0"/>
      <w:jc w:val="center"/>
    </w:pPr>
    <w:rPr>
      <w:sz w:val="18"/>
      <w:szCs w:val="18"/>
    </w:rPr>
  </w:style>
  <w:style w:type="paragraph" w:styleId="19">
    <w:name w:val="List"/>
    <w:basedOn w:val="1"/>
    <w:next w:val="1"/>
    <w:autoRedefine/>
    <w:qFormat/>
    <w:uiPriority w:val="0"/>
    <w:pPr>
      <w:ind w:left="200" w:hanging="200" w:hangingChars="200"/>
    </w:pPr>
  </w:style>
  <w:style w:type="paragraph" w:styleId="20">
    <w:name w:val="Body Text 2"/>
    <w:basedOn w:val="1"/>
    <w:autoRedefine/>
    <w:unhideWhenUsed/>
    <w:qFormat/>
    <w:uiPriority w:val="99"/>
    <w:pPr>
      <w:spacing w:after="120" w:line="480" w:lineRule="auto"/>
    </w:pPr>
  </w:style>
  <w:style w:type="paragraph" w:styleId="21">
    <w:name w:val="Normal (Web)"/>
    <w:basedOn w:val="1"/>
    <w:autoRedefine/>
    <w:qFormat/>
    <w:uiPriority w:val="0"/>
    <w:pPr>
      <w:widowControl/>
      <w:spacing w:before="100" w:beforeAutospacing="1" w:after="100" w:afterAutospacing="1"/>
      <w:jc w:val="center"/>
      <w:outlineLvl w:val="0"/>
    </w:pPr>
    <w:rPr>
      <w:rFonts w:ascii="Times New Roman" w:hAnsi="Times New Roman" w:eastAsia="黑体"/>
      <w:snapToGrid w:val="0"/>
      <w:kern w:val="0"/>
      <w:sz w:val="24"/>
    </w:rPr>
  </w:style>
  <w:style w:type="paragraph" w:styleId="22">
    <w:name w:val="Title"/>
    <w:basedOn w:val="1"/>
    <w:autoRedefine/>
    <w:qFormat/>
    <w:uiPriority w:val="0"/>
    <w:pPr>
      <w:spacing w:before="240" w:after="60"/>
      <w:jc w:val="center"/>
      <w:outlineLvl w:val="0"/>
    </w:pPr>
    <w:rPr>
      <w:rFonts w:ascii="Arial" w:hAnsi="Arial"/>
      <w:b/>
      <w:sz w:val="32"/>
    </w:rPr>
  </w:style>
  <w:style w:type="paragraph" w:styleId="23">
    <w:name w:val="Body Text First Indent"/>
    <w:basedOn w:val="14"/>
    <w:autoRedefine/>
    <w:qFormat/>
    <w:uiPriority w:val="0"/>
    <w:pPr>
      <w:spacing w:after="120"/>
      <w:ind w:firstLine="420" w:firstLineChars="100"/>
    </w:pPr>
    <w:rPr>
      <w:kern w:val="2"/>
      <w:szCs w:val="24"/>
    </w:rPr>
  </w:style>
  <w:style w:type="table" w:styleId="25">
    <w:name w:val="Table Grid"/>
    <w:basedOn w:val="2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0"/>
    <w:rPr>
      <w:b/>
    </w:rPr>
  </w:style>
  <w:style w:type="character" w:customStyle="1" w:styleId="28">
    <w:name w:val="标题 4 Char"/>
    <w:link w:val="5"/>
    <w:autoRedefine/>
    <w:qFormat/>
    <w:uiPriority w:val="0"/>
    <w:rPr>
      <w:rFonts w:ascii="Times New Roman" w:hAnsi="Times New Roman" w:eastAsia="宋体" w:cs="Times New Roman"/>
      <w:b/>
      <w:bCs/>
      <w:color w:val="000000"/>
      <w:kern w:val="2"/>
      <w:sz w:val="24"/>
      <w:szCs w:val="24"/>
      <w:lang w:val="zh-CN" w:bidi="zh-CN"/>
    </w:rPr>
  </w:style>
  <w:style w:type="character" w:customStyle="1" w:styleId="29">
    <w:name w:val="标题 2 Char"/>
    <w:basedOn w:val="26"/>
    <w:link w:val="3"/>
    <w:autoRedefine/>
    <w:qFormat/>
    <w:uiPriority w:val="1"/>
    <w:rPr>
      <w:rFonts w:ascii="Times New Roman" w:hAnsi="Times New Roman" w:eastAsia="宋体" w:cs="Times New Roman"/>
      <w:b/>
      <w:bCs/>
      <w:kern w:val="0"/>
      <w:sz w:val="28"/>
      <w:szCs w:val="28"/>
      <w:lang w:val="zh-CN" w:bidi="zh-CN"/>
    </w:rPr>
  </w:style>
  <w:style w:type="paragraph" w:customStyle="1" w:styleId="30">
    <w:name w:val="Default"/>
    <w:basedOn w:val="31"/>
    <w:autoRedefine/>
    <w:qFormat/>
    <w:uiPriority w:val="0"/>
    <w:pPr>
      <w:tabs>
        <w:tab w:val="left" w:pos="2760"/>
      </w:tabs>
      <w:autoSpaceDE w:val="0"/>
      <w:autoSpaceDN w:val="0"/>
    </w:pPr>
    <w:rPr>
      <w:rFonts w:ascii="Times New Roman" w:hAnsi="Times New Roman"/>
      <w:sz w:val="24"/>
      <w:szCs w:val="24"/>
    </w:rPr>
  </w:style>
  <w:style w:type="paragraph" w:customStyle="1" w:styleId="31">
    <w:name w:val="1 表头"/>
    <w:basedOn w:val="1"/>
    <w:autoRedefine/>
    <w:qFormat/>
    <w:uiPriority w:val="0"/>
    <w:pPr>
      <w:adjustRightInd w:val="0"/>
      <w:snapToGrid w:val="0"/>
      <w:jc w:val="center"/>
    </w:pPr>
    <w:rPr>
      <w:b/>
      <w:color w:val="000000"/>
      <w:szCs w:val="21"/>
    </w:rPr>
  </w:style>
  <w:style w:type="paragraph" w:customStyle="1" w:styleId="32">
    <w:name w:val="Body Text 21"/>
    <w:basedOn w:val="1"/>
    <w:autoRedefine/>
    <w:qFormat/>
    <w:uiPriority w:val="0"/>
    <w:pPr>
      <w:spacing w:after="120" w:line="480" w:lineRule="auto"/>
    </w:pPr>
  </w:style>
  <w:style w:type="paragraph" w:customStyle="1" w:styleId="33">
    <w:name w:val="中文报告书样式"/>
    <w:basedOn w:val="1"/>
    <w:autoRedefine/>
    <w:qFormat/>
    <w:uiPriority w:val="0"/>
    <w:pPr>
      <w:adjustRightInd w:val="0"/>
      <w:spacing w:line="480" w:lineRule="atLeast"/>
      <w:ind w:firstLine="482"/>
      <w:textAlignment w:val="baseline"/>
    </w:pPr>
    <w:rPr>
      <w:kern w:val="24"/>
      <w:sz w:val="24"/>
    </w:rPr>
  </w:style>
  <w:style w:type="paragraph" w:customStyle="1" w:styleId="34">
    <w:name w:val="表头"/>
    <w:basedOn w:val="35"/>
    <w:next w:val="1"/>
    <w:autoRedefine/>
    <w:qFormat/>
    <w:uiPriority w:val="0"/>
    <w:pPr>
      <w:tabs>
        <w:tab w:val="left" w:pos="360"/>
        <w:tab w:val="left" w:pos="1620"/>
      </w:tabs>
      <w:spacing w:line="560" w:lineRule="exact"/>
    </w:pPr>
    <w:rPr>
      <w:rFonts w:hAnsi="宋体"/>
      <w:b/>
      <w:color w:val="000000"/>
      <w:szCs w:val="21"/>
    </w:rPr>
  </w:style>
  <w:style w:type="paragraph" w:customStyle="1" w:styleId="35">
    <w:name w:val="表格"/>
    <w:basedOn w:val="19"/>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36">
    <w:name w:val="正文11"/>
    <w:basedOn w:val="1"/>
    <w:autoRedefine/>
    <w:qFormat/>
    <w:uiPriority w:val="0"/>
    <w:pPr>
      <w:spacing w:line="480" w:lineRule="exact"/>
      <w:ind w:firstLine="200" w:firstLineChars="200"/>
    </w:pPr>
    <w:rPr>
      <w:rFonts w:ascii="宋体" w:hAnsi="宋体" w:cs="宋体"/>
      <w:sz w:val="24"/>
    </w:rPr>
  </w:style>
  <w:style w:type="table" w:customStyle="1" w:styleId="37">
    <w:name w:val="Table Normal"/>
    <w:autoRedefine/>
    <w:unhideWhenUsed/>
    <w:qFormat/>
    <w:uiPriority w:val="0"/>
    <w:tblPr>
      <w:tblCellMar>
        <w:top w:w="0" w:type="dxa"/>
        <w:left w:w="0" w:type="dxa"/>
        <w:bottom w:w="0" w:type="dxa"/>
        <w:right w:w="0" w:type="dxa"/>
      </w:tblCellMar>
    </w:tblPr>
  </w:style>
  <w:style w:type="character" w:customStyle="1" w:styleId="38">
    <w:name w:val="font161"/>
    <w:basedOn w:val="26"/>
    <w:autoRedefine/>
    <w:qFormat/>
    <w:uiPriority w:val="0"/>
    <w:rPr>
      <w:rFonts w:ascii="宋体" w:hAnsi="宋体" w:eastAsia="宋体" w:cs="宋体"/>
      <w:color w:val="000000"/>
      <w:sz w:val="8"/>
      <w:szCs w:val="8"/>
      <w:u w:val="none"/>
    </w:rPr>
  </w:style>
  <w:style w:type="paragraph" w:customStyle="1" w:styleId="39">
    <w:name w:val="样式 正文缩进正文缩进2正文缩进 Char Char正文缩进 Char Char Char Char正文缩进 Char ..."/>
    <w:basedOn w:val="11"/>
    <w:autoRedefine/>
    <w:qFormat/>
    <w:uiPriority w:val="0"/>
    <w:pPr>
      <w:spacing w:line="360" w:lineRule="auto"/>
      <w:ind w:firstLine="200"/>
    </w:pPr>
    <w:rPr>
      <w:rFonts w:cs="宋体"/>
      <w:sz w:val="24"/>
    </w:rPr>
  </w:style>
  <w:style w:type="paragraph" w:customStyle="1" w:styleId="40">
    <w:name w:val="[Normal]"/>
    <w:autoRedefine/>
    <w:qFormat/>
    <w:uiPriority w:val="0"/>
    <w:rPr>
      <w:rFonts w:ascii="宋体" w:hAnsi="宋体" w:eastAsia="宋体" w:cs="Times New Roman"/>
      <w:sz w:val="24"/>
      <w:szCs w:val="22"/>
      <w:lang w:val="zh-CN" w:eastAsia="zh-CN" w:bidi="ar-SA"/>
    </w:rPr>
  </w:style>
  <w:style w:type="paragraph" w:customStyle="1" w:styleId="41">
    <w:name w:val="表格内容1"/>
    <w:basedOn w:val="1"/>
    <w:autoRedefine/>
    <w:qFormat/>
    <w:uiPriority w:val="0"/>
    <w:pPr>
      <w:adjustRightInd w:val="0"/>
      <w:snapToGrid w:val="0"/>
      <w:jc w:val="center"/>
      <w:textAlignment w:val="baseline"/>
    </w:pPr>
    <w:rPr>
      <w:rFonts w:ascii="Times New Roman" w:hAnsi="Times New Roman"/>
      <w:szCs w:val="21"/>
    </w:rPr>
  </w:style>
  <w:style w:type="paragraph" w:customStyle="1" w:styleId="42">
    <w:name w:val="报告表正文"/>
    <w:basedOn w:val="43"/>
    <w:autoRedefine/>
    <w:qFormat/>
    <w:uiPriority w:val="0"/>
    <w:pPr>
      <w:adjustRightInd w:val="0"/>
      <w:ind w:firstLine="482"/>
      <w:textAlignment w:val="baseline"/>
    </w:pPr>
  </w:style>
  <w:style w:type="paragraph" w:customStyle="1" w:styleId="43">
    <w:name w:val="报告正文"/>
    <w:basedOn w:val="44"/>
    <w:autoRedefine/>
    <w:qFormat/>
    <w:uiPriority w:val="0"/>
    <w:pPr>
      <w:widowControl w:val="0"/>
      <w:snapToGrid w:val="0"/>
      <w:spacing w:line="360" w:lineRule="auto"/>
      <w:ind w:firstLine="200" w:firstLineChars="200"/>
    </w:pPr>
    <w:rPr>
      <w:rFonts w:ascii="Times New Roman" w:hAnsi="Times New Roman" w:cs="Times New Roman"/>
      <w:snapToGrid w:val="0"/>
      <w:sz w:val="24"/>
      <w:szCs w:val="28"/>
    </w:rPr>
  </w:style>
  <w:style w:type="paragraph" w:customStyle="1" w:styleId="44">
    <w:name w:val="p17"/>
    <w:basedOn w:val="1"/>
    <w:autoRedefine/>
    <w:qFormat/>
    <w:uiPriority w:val="0"/>
    <w:pPr>
      <w:widowControl/>
    </w:pPr>
    <w:rPr>
      <w:rFonts w:ascii="宋体" w:hAnsi="宋体" w:cs="宋体"/>
      <w:kern w:val="0"/>
      <w:szCs w:val="21"/>
    </w:rPr>
  </w:style>
  <w:style w:type="paragraph" w:customStyle="1" w:styleId="45">
    <w:name w:val="表格内"/>
    <w:basedOn w:val="1"/>
    <w:autoRedefine/>
    <w:qFormat/>
    <w:uiPriority w:val="0"/>
    <w:pPr>
      <w:adjustRightInd w:val="0"/>
      <w:spacing w:line="240" w:lineRule="atLeast"/>
      <w:jc w:val="center"/>
      <w:textAlignment w:val="baseline"/>
    </w:pPr>
    <w:rPr>
      <w:rFonts w:ascii="宋体" w:hAnsi="Times New Roman"/>
      <w:kern w:val="0"/>
      <w:sz w:val="28"/>
      <w:szCs w:val="20"/>
    </w:rPr>
  </w:style>
  <w:style w:type="character" w:customStyle="1" w:styleId="46">
    <w:name w:val="font51"/>
    <w:basedOn w:val="26"/>
    <w:autoRedefine/>
    <w:qFormat/>
    <w:uiPriority w:val="0"/>
    <w:rPr>
      <w:rFonts w:ascii="Calibri" w:hAnsi="Calibri" w:cs="Calibri"/>
      <w:b/>
      <w:bCs/>
      <w:color w:val="000000"/>
      <w:sz w:val="14"/>
      <w:szCs w:val="14"/>
      <w:u w:val="none"/>
    </w:rPr>
  </w:style>
  <w:style w:type="paragraph" w:customStyle="1" w:styleId="47">
    <w:name w:val="样式 加粗 居中 行距: 固定值 25 磅"/>
    <w:basedOn w:val="1"/>
    <w:autoRedefine/>
    <w:qFormat/>
    <w:uiPriority w:val="0"/>
    <w:pPr>
      <w:spacing w:line="500" w:lineRule="exact"/>
      <w:jc w:val="center"/>
    </w:pPr>
    <w:rPr>
      <w:rFonts w:cs="宋体"/>
      <w:b/>
      <w:bCs/>
      <w:szCs w:val="20"/>
    </w:rPr>
  </w:style>
  <w:style w:type="paragraph" w:customStyle="1" w:styleId="48">
    <w:name w:val="表格文字"/>
    <w:basedOn w:val="23"/>
    <w:next w:val="1"/>
    <w:autoRedefine/>
    <w:qFormat/>
    <w:uiPriority w:val="0"/>
    <w:pPr>
      <w:overflowPunct w:val="0"/>
      <w:autoSpaceDE w:val="0"/>
      <w:autoSpaceDN w:val="0"/>
      <w:adjustRightInd w:val="0"/>
      <w:spacing w:after="0" w:line="240" w:lineRule="auto"/>
      <w:ind w:right="0" w:firstLine="0" w:firstLineChars="0"/>
      <w:jc w:val="center"/>
      <w:textAlignment w:val="center"/>
    </w:pPr>
    <w:rPr>
      <w:rFonts w:ascii="Times New Roman" w:hAnsi="Times New Roman"/>
      <w:sz w:val="21"/>
      <w:szCs w:val="18"/>
    </w:rPr>
  </w:style>
  <w:style w:type="character" w:customStyle="1" w:styleId="49">
    <w:name w:val="批注框文本 Char"/>
    <w:basedOn w:val="26"/>
    <w:link w:val="16"/>
    <w:autoRedefine/>
    <w:qFormat/>
    <w:uiPriority w:val="0"/>
    <w:rPr>
      <w:rFonts w:ascii="Calibri" w:hAnsi="Calibri"/>
      <w:kern w:val="2"/>
      <w:sz w:val="18"/>
      <w:szCs w:val="18"/>
    </w:rPr>
  </w:style>
  <w:style w:type="character" w:customStyle="1" w:styleId="50">
    <w:name w:val="页眉 Char"/>
    <w:basedOn w:val="26"/>
    <w:link w:val="18"/>
    <w:autoRedefine/>
    <w:qFormat/>
    <w:uiPriority w:val="0"/>
    <w:rPr>
      <w:rFonts w:ascii="Calibri" w:hAnsi="Calibri"/>
      <w:kern w:val="2"/>
      <w:sz w:val="18"/>
      <w:szCs w:val="18"/>
    </w:rPr>
  </w:style>
  <w:style w:type="paragraph" w:customStyle="1" w:styleId="51">
    <w:name w:val="表格内容"/>
    <w:basedOn w:val="52"/>
    <w:next w:val="1"/>
    <w:autoRedefine/>
    <w:qFormat/>
    <w:uiPriority w:val="0"/>
    <w:pPr>
      <w:ind w:firstLine="0"/>
      <w:jc w:val="center"/>
    </w:pPr>
    <w:rPr>
      <w:kern w:val="0"/>
    </w:rPr>
  </w:style>
  <w:style w:type="paragraph" w:customStyle="1" w:styleId="52">
    <w:name w:val="WW-正文缩进"/>
    <w:basedOn w:val="1"/>
    <w:autoRedefine/>
    <w:semiHidden/>
    <w:qFormat/>
    <w:uiPriority w:val="0"/>
    <w:pPr>
      <w:ind w:firstLine="420"/>
    </w:pPr>
    <w:rPr>
      <w:sz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6.jpeg"/><Relationship Id="rId3" Type="http://schemas.openxmlformats.org/officeDocument/2006/relationships/footer" Target="footer1.xml"/><Relationship Id="rId29" Type="http://schemas.openxmlformats.org/officeDocument/2006/relationships/image" Target="media/image15.png"/><Relationship Id="rId28" Type="http://schemas.openxmlformats.org/officeDocument/2006/relationships/image" Target="media/image14.jpeg"/><Relationship Id="rId27" Type="http://schemas.openxmlformats.org/officeDocument/2006/relationships/image" Target="media/image13.png"/><Relationship Id="rId26" Type="http://schemas.openxmlformats.org/officeDocument/2006/relationships/image" Target="media/image12.wmf"/><Relationship Id="rId25" Type="http://schemas.openxmlformats.org/officeDocument/2006/relationships/oleObject" Target="embeddings/oleObject8.bin"/><Relationship Id="rId24" Type="http://schemas.openxmlformats.org/officeDocument/2006/relationships/image" Target="media/image11.wmf"/><Relationship Id="rId23" Type="http://schemas.openxmlformats.org/officeDocument/2006/relationships/oleObject" Target="embeddings/oleObject7.bin"/><Relationship Id="rId22" Type="http://schemas.openxmlformats.org/officeDocument/2006/relationships/image" Target="media/image10.wmf"/><Relationship Id="rId21" Type="http://schemas.openxmlformats.org/officeDocument/2006/relationships/oleObject" Target="embeddings/oleObject6.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8.wmf"/><Relationship Id="rId17" Type="http://schemas.openxmlformats.org/officeDocument/2006/relationships/oleObject" Target="embeddings/oleObject4.bin"/><Relationship Id="rId16" Type="http://schemas.openxmlformats.org/officeDocument/2006/relationships/image" Target="media/image7.wmf"/><Relationship Id="rId15" Type="http://schemas.openxmlformats.org/officeDocument/2006/relationships/oleObject" Target="embeddings/oleObject3.bin"/><Relationship Id="rId14" Type="http://schemas.openxmlformats.org/officeDocument/2006/relationships/image" Target="media/image6.wmf"/><Relationship Id="rId13" Type="http://schemas.openxmlformats.org/officeDocument/2006/relationships/oleObject" Target="embeddings/oleObject2.bin"/><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3266</Words>
  <Characters>18618</Characters>
  <Lines>155</Lines>
  <Paragraphs>43</Paragraphs>
  <TotalTime>7</TotalTime>
  <ScaleCrop>false</ScaleCrop>
  <LinksUpToDate>false</LinksUpToDate>
  <CharactersWithSpaces>21841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2023-08-30T03:33:00Z</dcterms:created>
  <dc:creator>赵--</dc:creator>
  <cp:lastModifiedBy>シキガ</cp:lastModifiedBy>
  <dcterms:modified xsi:type="dcterms:W3CDTF">2024-04-01T08:17:18Z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693D166654EB42A4938C7838487B75AF_13</vt:lpwstr>
  </property>
</Properties>
</file>