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 w:cs="黑体"/>
          <w:sz w:val="32"/>
          <w:szCs w:val="32"/>
        </w:rPr>
        <w:t>附件1：出让探矿权基本情况表</w:t>
      </w:r>
    </w:p>
    <w:tbl>
      <w:tblPr>
        <w:tblStyle w:val="7"/>
        <w:tblpPr w:leftFromText="180" w:rightFromText="180" w:vertAnchor="text" w:horzAnchor="page" w:tblpX="1266" w:tblpY="306"/>
        <w:tblOverlap w:val="never"/>
        <w:tblW w:w="14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485"/>
        <w:gridCol w:w="3506"/>
        <w:gridCol w:w="479"/>
        <w:gridCol w:w="888"/>
        <w:gridCol w:w="1016"/>
        <w:gridCol w:w="888"/>
        <w:gridCol w:w="877"/>
        <w:gridCol w:w="4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序号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出让探矿权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名称</w:t>
            </w:r>
          </w:p>
        </w:tc>
        <w:tc>
          <w:tcPr>
            <w:tcW w:w="3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拟出让矿区范围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拐点坐标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（2000国家大地坐标系）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矿种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面积（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km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）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出让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起始价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（万元）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增价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幅度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万元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竞买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保证金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万元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吐鲁番市高昌区南部矿区34号大理岩矿普查</w:t>
            </w:r>
          </w:p>
        </w:tc>
        <w:tc>
          <w:tcPr>
            <w:tcW w:w="3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1.88°57′56″,42°04′17″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2.88°57′56″,42°05′02″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3.89°00′02″,42°05′02″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4.89°00′02″,42°04′17″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大理岩矿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4.0213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94.72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94.72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拟出让探矿权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行政区划隶属吐鲁番市高昌区管辖，位于高昌区187°方向，直线距离约100千米处，距吐鲁番市高铁北站108千米，距吐鲁番市飞机场109千米，周边地形较为平坦，其宽缓冲沟可通行大小车辆，交通较为便利。根据《新疆吐鲁番市高昌区南部矿区34号大理岩矿普查探矿权出让收益评估报告》，建议出让底价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94.72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万元。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1" w:hRule="atLeast"/>
        </w:trPr>
        <w:tc>
          <w:tcPr>
            <w:tcW w:w="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  <w:t>新疆吐鲁番市彩云山大理岩矿普查</w:t>
            </w:r>
          </w:p>
        </w:tc>
        <w:tc>
          <w:tcPr>
            <w:tcW w:w="3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1.89°10′59″,42°03′43″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2.89°08′11″,42°03′43″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3.89°08′11″,42°04′34″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4.89°10′30″,42°04′34″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5.89°10′30″,42°04′10″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6.89°10′59″,42°04′10″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大理岩矿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5.5837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131.53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131.53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拟出让探矿权行政区划隶属吐鲁番市高昌区管辖，位于高昌区南部矿区，直线距离约100千米处，距吐鲁番市高铁北站约110千米，距吐鲁番市飞机场约110千米，周边地形较为平坦，其宽缓冲沟可通行大小车辆，交通较为便利。根据《新疆吐鲁番市彩云山大理岩矿普查探矿权出让收益评估报告》，建议出让底价131.53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新疆吐鲁番市高昌区南部矿区石膏矿普查</w:t>
            </w:r>
          </w:p>
        </w:tc>
        <w:tc>
          <w:tcPr>
            <w:tcW w:w="3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1.88°53′08″,42°14′16″ 2.88°50′24″,42°13′35″ 3.88°50′27″,42°14′48″ 4.88°51′49″,42°14′54″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石膏矿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5.4611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318.38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8.38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拟出让探矿权行政区划隶属于吐鲁番市高昌区管辖，位于高昌区205°方向，直线距离84千米，从托克逊县沿314国道向南行驶至47千米处下高速路，改向东行驶30千米即可到达，交通较为便利。根据《新疆吐鲁番市高昌区南部矿区石膏矿普查探矿权出让收益评估报告》，建议出让底价318.38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</w:trPr>
        <w:tc>
          <w:tcPr>
            <w:tcW w:w="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新疆鄯善县尤勒塔格花岗岩饰面石材矿（三）普查</w:t>
            </w:r>
          </w:p>
        </w:tc>
        <w:tc>
          <w:tcPr>
            <w:tcW w:w="3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1.89°53′34″,42°08′50″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2.89°54′37″,42°08′50″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3.89°54′37″,42°08′28″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4.89°55′07″,42°08′27″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5.89°55′07″,42°07′48″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6.89°54′18″,42°07′48″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7.89°54′18″,42°07′59″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8.89°53′51″,42°07′59″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9.89°53′51″,42°08′19″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10.89°53′34″,42°08′19″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花岗岩矿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3.0234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168.66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168.66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拟出让探矿权行政区划隶属于鄯善县管辖，位于鄯善县195°方位，直线距离90千米处，向北通过简易公路经迪坎尔、连木沁镇与312国道相连，向东经过康古尔金矿、南湖煤矿至哈密市与312国道相连，交通较为便利。根据《新疆鄯善县尤勒塔格花岗岩饰面石材矿（三）普查探矿权出让收益评估报告》，建议出让底价168.66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6" w:hRule="atLeast"/>
        </w:trPr>
        <w:tc>
          <w:tcPr>
            <w:tcW w:w="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新疆鄯善县西盐池西玄武岩矿普查2</w:t>
            </w:r>
          </w:p>
        </w:tc>
        <w:tc>
          <w:tcPr>
            <w:tcW w:w="3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1.90°52′53.000″,43°23′05.000″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2.90°52′52.945″,43°23′48.764″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3.90°53′00.355″,43°23′48.764″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4.90°53′00.343″,43°23′55.960″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5.90°54′06.000″,43°23′56.000″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6.90°54′06.000″,43°23′05.000″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玄武岩矿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2.5488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74.42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74.42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拟出让探矿权行政区划隶属于新疆鄯善县管辖，位于鄯善县约40°方位，直线距离约85千米处，附近地区大部地段有简易牧道可通行越野汽车，南部有省道241至连霍高速可通往鄯善县，全长约100千米，交通较为便利。根据《新疆鄯善县西盐池西玄武岩矿普查2探矿权出让收益评估报告》，建议出让底价74.42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新疆托克逊县库米什石灰岩矿普查</w:t>
            </w:r>
          </w:p>
        </w:tc>
        <w:tc>
          <w:tcPr>
            <w:tcW w:w="3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1.88°07′28″,42°23′43″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2.88°08′57″,42°23′43″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3.88°08′57″,42°23′02″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4.88°07′28″,42°23′02″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石灰岩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2.5754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160.22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160.22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拟出让探矿权行政区划隶属于新疆托克逊县管辖，位于托克逊县库米什矿区，北距县城60千米，从托克逊县出发沿着314国道向西行驶92公里到达库米什镇，向北有简易路到达勘查区，交通较为便利。根据《新疆托克逊县库米什石灰岩矿普查探矿权出让收益评估报告》，建议出让底价160.22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3" w:hRule="atLeast"/>
        </w:trPr>
        <w:tc>
          <w:tcPr>
            <w:tcW w:w="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新疆托克逊县柯尔克孜塔木石英岩矿普查</w:t>
            </w:r>
          </w:p>
        </w:tc>
        <w:tc>
          <w:tcPr>
            <w:tcW w:w="3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1.88°28′21″,42°14′40″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2.88°29′22″,42°14′40″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3.88°29′22″,42°13′25″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4.88°28′21″,42°13′25″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石英岩矿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3.2368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174.93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174.93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拟出让探矿权行政区划隶属于新疆托克逊县管辖，位于托克逊县城190°方位，直线距离约60千米处，从托克逊县城到勘查区全程约120千米，其中托克逊县至库米什镇为95千米，库米什镇至英博斯坦村20千米为简易砂石路面，英博斯坦村至矿区约5千米，交通较为便利。根据《新疆托克逊县柯尔克孜塔木石英岩矿普查探矿权出让收益评估报告》，建议出让底价174.93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</w:trPr>
        <w:tc>
          <w:tcPr>
            <w:tcW w:w="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新疆托克逊县阔什铁热克砂岩矿普查</w:t>
            </w:r>
          </w:p>
        </w:tc>
        <w:tc>
          <w:tcPr>
            <w:tcW w:w="3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1.88°19′49″,42°24′31″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2.88°19′49″,42°24′46″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3.88°18′36″,42°24′46″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4.88°18′36″,42°25′07″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5.88°20′46″,42°25′07″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6.88°20′44″,42°24′31″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砂岩矿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2.5038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拟出让探矿权行政区划隶属于新疆托克逊县管辖，位于托克逊县库米什矿区，北距县城约60千米，从托克逊县出发沿着314国道向西行驶92千米到达库米什镇，库米什镇向北有简易路到达勘查区，交通较便利。根据《新疆托克逊县阔什铁热克砂岩矿普查探矿权出让收益评估报告》，建议出让底价为136.63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</w:trPr>
        <w:tc>
          <w:tcPr>
            <w:tcW w:w="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新疆托克逊县甘沟长石矿普查</w:t>
            </w:r>
          </w:p>
        </w:tc>
        <w:tc>
          <w:tcPr>
            <w:tcW w:w="3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1.88°44′00″,42°26′34″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2.88°44′00″,42°26′51″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3.88°45′04″,42°26′51″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4.88°45′04″,42°27′22″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5.88°45′52″,42°27′22″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6.88°45′52″,42°27′08″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7.88°46′04″,42°27′08″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8.88°46′04″,42°26′34″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长石矿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2.6795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150.61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150.61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拟出让探矿权行政区划隶属托克逊县管辖，位于托克逊县城以南约170千米，从勘查区至吐鲁番市、托克逊县、鄯善县均有简易公路相通，西气东输管线维护简易道路从勘查区南侧通过，交通便利。根据《新疆托克逊县甘沟长石矿普查探矿权出让收益评估报告》，建议出让底价150.61万元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textAlignment w:val="auto"/>
        <w:rPr>
          <w:rFonts w:hint="eastAsia" w:ascii="楷体" w:hAnsi="楷体" w:eastAsia="楷体" w:cs="楷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left="560" w:hanging="560" w:hangingChars="200"/>
        <w:textAlignment w:val="auto"/>
        <w:rPr>
          <w:rFonts w:hint="eastAsia" w:ascii="楷体" w:hAnsi="楷体" w:eastAsia="楷体" w:cs="楷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28"/>
          <w:szCs w:val="28"/>
          <w:u w:val="none"/>
          <w:lang w:val="en-US" w:eastAsia="zh-CN"/>
        </w:rPr>
        <w:t>注：1.</w:t>
      </w:r>
      <w:r>
        <w:rPr>
          <w:rFonts w:hint="eastAsia" w:ascii="楷体" w:hAnsi="楷体" w:eastAsia="楷体" w:cs="楷体"/>
          <w:color w:val="auto"/>
          <w:kern w:val="0"/>
          <w:sz w:val="28"/>
          <w:szCs w:val="28"/>
          <w:u w:val="none"/>
          <w:lang w:val="zh-CN"/>
        </w:rPr>
        <w:t>竞买保证金</w:t>
      </w:r>
      <w:r>
        <w:rPr>
          <w:rFonts w:hint="eastAsia" w:ascii="楷体" w:hAnsi="楷体" w:eastAsia="楷体" w:cs="楷体"/>
          <w:color w:val="auto"/>
          <w:kern w:val="0"/>
          <w:sz w:val="28"/>
          <w:szCs w:val="28"/>
          <w:u w:val="none"/>
          <w:lang w:val="en-US" w:eastAsia="zh-CN"/>
        </w:rPr>
        <w:t>或保函（单）</w:t>
      </w: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u w:val="none"/>
          <w:lang w:eastAsia="zh-CN"/>
        </w:rPr>
        <w:t>的</w:t>
      </w: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u w:val="none"/>
          <w:lang w:val="en-US" w:eastAsia="zh-CN"/>
        </w:rPr>
        <w:t>金额</w:t>
      </w: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u w:val="none"/>
          <w:lang w:eastAsia="zh-CN"/>
        </w:rPr>
        <w:t>以</w:t>
      </w: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u w:val="none"/>
          <w:lang w:val="en-US" w:eastAsia="zh-CN"/>
        </w:rPr>
        <w:t>自治区自然资源厅《关于印发〈新疆维吾尔自治区矿产资源管理若干事项暂行办法〉的通知》(新自然资规〔2021〕1号)</w:t>
      </w: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u w:val="none"/>
          <w:lang w:eastAsia="zh-CN"/>
        </w:rPr>
        <w:t>中“</w:t>
      </w:r>
      <w:r>
        <w:rPr>
          <w:rFonts w:hint="eastAsia" w:ascii="楷体" w:hAnsi="楷体" w:eastAsia="楷体" w:cs="楷体"/>
          <w:color w:val="auto"/>
          <w:sz w:val="28"/>
          <w:szCs w:val="28"/>
          <w:u w:val="none"/>
          <w:lang w:eastAsia="zh-CN"/>
        </w:rPr>
        <w:t>矿业权出让收益低于</w:t>
      </w:r>
      <w:r>
        <w:rPr>
          <w:rFonts w:hint="eastAsia" w:ascii="楷体" w:hAnsi="楷体" w:eastAsia="楷体" w:cs="楷体"/>
          <w:color w:val="auto"/>
          <w:sz w:val="28"/>
          <w:szCs w:val="28"/>
          <w:u w:val="none"/>
          <w:lang w:val="en-US" w:eastAsia="zh-CN"/>
        </w:rPr>
        <w:t>500万元（含）的，须在办理矿业权登记前一次性缴纳；500万元至1000万元（含）的，首次缴纳不低于50%；1000万元至2000万元(含)的，首次缴纳不低于40%；2000-5000万元(含)的，首次缴纳不低于30%；5000万元以上的，首次缴纳不低于20%</w:t>
      </w: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u w:val="none"/>
          <w:lang w:eastAsia="zh-CN"/>
        </w:rPr>
        <w:t>”</w:t>
      </w:r>
      <w:r>
        <w:rPr>
          <w:rFonts w:hint="eastAsia" w:ascii="楷体" w:hAnsi="楷体" w:eastAsia="楷体" w:cs="楷体"/>
          <w:color w:val="auto"/>
          <w:sz w:val="28"/>
          <w:szCs w:val="28"/>
          <w:u w:val="none"/>
          <w:lang w:eastAsia="zh-CN"/>
        </w:rPr>
        <w:t>为依据，综合考虑竞价因素后确定。</w:t>
      </w:r>
      <w:r>
        <w:rPr>
          <w:rFonts w:hint="eastAsia" w:ascii="楷体" w:hAnsi="楷体" w:eastAsia="楷体" w:cs="楷体"/>
          <w:color w:val="auto"/>
          <w:sz w:val="28"/>
          <w:szCs w:val="28"/>
          <w:u w:val="none"/>
          <w:lang w:val="en-US" w:eastAsia="zh-CN"/>
        </w:rPr>
        <w:t>保证金的提交手续须在报名截止日期前办理完毕。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560" w:firstLineChars="200"/>
        <w:textAlignment w:val="auto"/>
        <w:rPr>
          <w:rFonts w:hint="eastAsia" w:ascii="楷体" w:hAnsi="楷体" w:eastAsia="楷体" w:cs="楷体"/>
          <w:color w:val="auto"/>
          <w:sz w:val="28"/>
          <w:szCs w:val="28"/>
          <w:u w:val="none"/>
          <w:lang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u w:val="none"/>
          <w:lang w:val="en-US" w:eastAsia="zh-CN"/>
        </w:rPr>
        <w:t>2.增价幅度参照全疆探矿权挂牌出让惯例，按拟出让探矿权出让底价的2%设定，</w:t>
      </w:r>
      <w:r>
        <w:rPr>
          <w:rFonts w:hint="eastAsia" w:ascii="楷体" w:hAnsi="楷体" w:eastAsia="楷体" w:cs="楷体"/>
          <w:color w:val="auto"/>
          <w:sz w:val="28"/>
          <w:szCs w:val="28"/>
          <w:u w:val="none"/>
          <w:lang w:eastAsia="zh-CN"/>
        </w:rPr>
        <w:t>综合考虑竞价因素后确定。</w:t>
      </w:r>
    </w:p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5A7010"/>
    <w:multiLevelType w:val="singleLevel"/>
    <w:tmpl w:val="F85A7010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4YzJkNGE3NGRjZTdiZGQ0NTczMTk4YzAzNDQ3MGQifQ=="/>
  </w:docVars>
  <w:rsids>
    <w:rsidRoot w:val="7C650708"/>
    <w:rsid w:val="190A53CF"/>
    <w:rsid w:val="30051D10"/>
    <w:rsid w:val="38E17869"/>
    <w:rsid w:val="49262F5F"/>
    <w:rsid w:val="56C520AC"/>
    <w:rsid w:val="74D55A5F"/>
    <w:rsid w:val="7C65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next w:val="5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eastAsia="宋体" w:cs="宋体"/>
      <w:sz w:val="22"/>
      <w:szCs w:val="21"/>
      <w:lang w:val="en-US" w:eastAsia="zh-CN" w:bidi="ar-SA"/>
    </w:rPr>
  </w:style>
  <w:style w:type="paragraph" w:styleId="5">
    <w:name w:val="List Number 5"/>
    <w:basedOn w:val="1"/>
    <w:qFormat/>
    <w:uiPriority w:val="0"/>
    <w:pPr>
      <w:numPr>
        <w:ilvl w:val="0"/>
        <w:numId w:val="1"/>
      </w:numPr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2296</Words>
  <Characters>3090</Characters>
  <Lines>0</Lines>
  <Paragraphs>0</Paragraphs>
  <TotalTime>14</TotalTime>
  <ScaleCrop>false</ScaleCrop>
  <LinksUpToDate>false</LinksUpToDate>
  <CharactersWithSpaces>3096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2022-11-29T15:28:00Z</dcterms:created>
  <dc:creator>NTKO</dc:creator>
  <cp:lastModifiedBy>Administrator</cp:lastModifiedBy>
  <dcterms:modified xsi:type="dcterms:W3CDTF">2022-12-02T09:52:05Z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9F63E6F6119B414998A1ADB7815D6970</vt:lpwstr>
  </property>
</Properties>
</file>