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吐鲁番市医疗保障局2019年调整预算</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补充公开</w:t>
      </w:r>
    </w:p>
    <w:p>
      <w:pPr>
        <w:jc w:val="center"/>
        <w:rPr>
          <w:rFonts w:ascii="方正小标宋_GBK" w:hAnsi="华文中宋" w:eastAsia="方正小标宋_GBK"/>
          <w:sz w:val="32"/>
          <w:szCs w:val="32"/>
        </w:rPr>
      </w:pP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sz w:val="32"/>
          <w:szCs w:val="32"/>
        </w:rPr>
      </w:pPr>
      <w:r>
        <w:rPr>
          <w:rFonts w:hint="eastAsia" w:ascii="仿宋" w:hAnsi="仿宋" w:eastAsia="仿宋"/>
          <w:sz w:val="32"/>
          <w:szCs w:val="32"/>
        </w:rPr>
        <w:t>根据吐鲁番市委办公室、吐鲁番市人民政府办公室《关于〈吐鲁番市机构改革方案〉的实施意见》，调整部门单位预算。现将我单位预算调整情况补充公开如下：</w:t>
      </w:r>
    </w:p>
    <w:p>
      <w:pPr>
        <w:pStyle w:val="9"/>
        <w:keepNext w:val="0"/>
        <w:keepLines w:val="0"/>
        <w:pageBreakBefore w:val="0"/>
        <w:kinsoku/>
        <w:wordWrap/>
        <w:overflowPunct/>
        <w:topLinePunct w:val="0"/>
        <w:autoSpaceDE/>
        <w:autoSpaceDN/>
        <w:bidi w:val="0"/>
        <w:adjustRightInd/>
        <w:snapToGrid/>
        <w:spacing w:line="520" w:lineRule="exact"/>
        <w:ind w:firstLine="640"/>
        <w:textAlignment w:val="auto"/>
        <w:outlineLvl w:val="9"/>
        <w:rPr>
          <w:rFonts w:ascii="黑体" w:hAnsi="黑体" w:eastAsia="黑体"/>
          <w:sz w:val="32"/>
          <w:szCs w:val="32"/>
        </w:rPr>
      </w:pPr>
      <w:r>
        <w:rPr>
          <w:rFonts w:hint="eastAsia" w:ascii="黑体" w:hAnsi="黑体" w:eastAsia="黑体"/>
          <w:sz w:val="32"/>
          <w:szCs w:val="32"/>
        </w:rPr>
        <w:t>一、单位职能划转情况</w:t>
      </w:r>
    </w:p>
    <w:p>
      <w:pPr>
        <w:pStyle w:val="9"/>
        <w:keepNext w:val="0"/>
        <w:keepLines w:val="0"/>
        <w:pageBreakBefore w:val="0"/>
        <w:kinsoku/>
        <w:wordWrap/>
        <w:overflowPunct/>
        <w:topLinePunct w:val="0"/>
        <w:autoSpaceDE/>
        <w:autoSpaceDN/>
        <w:bidi w:val="0"/>
        <w:adjustRightInd/>
        <w:snapToGrid/>
        <w:spacing w:line="520" w:lineRule="exact"/>
        <w:ind w:firstLine="640"/>
        <w:textAlignment w:val="auto"/>
        <w:outlineLvl w:val="9"/>
        <w:rPr>
          <w:rFonts w:ascii="仿宋_GB2312" w:hAnsi="华文中宋" w:eastAsia="仿宋_GB2312"/>
          <w:sz w:val="32"/>
          <w:szCs w:val="32"/>
        </w:rPr>
      </w:pPr>
      <w:r>
        <w:rPr>
          <w:rFonts w:hint="eastAsia" w:ascii="仿宋" w:hAnsi="仿宋" w:eastAsia="仿宋"/>
          <w:kern w:val="0"/>
          <w:sz w:val="32"/>
          <w:szCs w:val="32"/>
        </w:rPr>
        <w:t>根据“关于印发《吐鲁番市医疗保障局职能配置、内设机构和人员编制规定》的通知（吐市党办发[2019]42号），市医疗保障局贯彻落实党中央关于医疗保障工作的方针政策和决策部署以及自治区党委、市委工作要求，在履行职责过程中坚持和加强党对医疗保障工作的集中统一领导。主要职责是：（一）贯彻实施国家医疗保险、生育保险、医疗救助等医疗保障制度，组织落实医疗保障制度法规、政策、规划和标准；组织实施人身意外伤害保险、大额医疗补助、公务员医疗补助、企事业单位补充医疗保险、离休人员和优抚对象医疗保障政策及管理办法；拟订并组织实施吐鲁番市本级医疗保险、生育保险等政策。（二）组织并实施医疗保障基金监督管理办法、建立健全医疗保障基金安全防护机制，承担推进医疗保障基金支付方式改革工作，编制吐鲁番市医疗保障基金预决算草案。（三）组织实施医疗保障筹资和待遇政策，完善动态调整和区域调剂平衡机制，统筹城乡医疗保障待遇标准，建立健全与筹资水平相适应的待遇调整机制。拟订贯彻长期护理保险制度改革的方案并组织实施。（四）组织实施药品、医用耗材价格和医疗服务项目、医疗服务设施收费等政策并监督实施，组织实施药品、医用耗材的招标采购政策并监督实施，建立医保支付医药服务价格合理确定和动态调整机制。建立市场主导的社会医药服务价格形成机制，建立医药服务价格信息检测和信息发布制度，指导药品、医用耗材招标采购平台建设。（五）组织实施药品、医用耗材、医疗服务项目、医疗服务设施等医保目录和支付标准，建立动态调整机制。（六）组织实施定点医药机构协议和支付管理办法，建立健全医疗保障信用评价体系和信息披露制度，监督管理纳入医保范围的医疗服务行为和医疗费用，依法查处医疗保障、生育保险领域违法违规行为。（七）负责医疗保障经办管理、公共服务体系和信息化建设。贯彻落实国家跨省异地就医管理和费用结算政策，组织实施异地就医和费用结算政策。建立健全医疗保障关系转移接续制度。指导医疗保障经办机构开展业务工作。（八）完成市委、市人民政府交办的其他工作。（九）职能转变。市医疗保障局应完善统一的城乡居民基本医疗保险制度和大病保险制度、建立健全覆盖全民、城乡统筹的多层次医疗保障体系，不断提高医疗保障水平，确保医保资金合理使用、安全可控，推进医疗、医保、医药“三医联动”改革，更好保障</w:t>
      </w:r>
      <w:r>
        <w:rPr>
          <w:rFonts w:hint="eastAsia" w:ascii="仿宋" w:hAnsi="仿宋" w:eastAsia="仿宋"/>
          <w:kern w:val="0"/>
          <w:sz w:val="32"/>
          <w:szCs w:val="32"/>
          <w:lang w:eastAsia="zh-CN"/>
        </w:rPr>
        <w:t>人民群众</w:t>
      </w:r>
      <w:bookmarkStart w:id="0" w:name="_GoBack"/>
      <w:bookmarkEnd w:id="0"/>
      <w:r>
        <w:rPr>
          <w:rFonts w:hint="eastAsia" w:ascii="仿宋" w:hAnsi="仿宋" w:eastAsia="仿宋"/>
          <w:kern w:val="0"/>
          <w:sz w:val="32"/>
          <w:szCs w:val="32"/>
        </w:rPr>
        <w:t>就医需求、减轻医药费要负担。（十）与市卫生健康委员会的有关职责分工。市卫生健康委员会、市医疗保障局等部门在医疗、医保、医药等方面加强制度、政策衔接，建立沟通协商机制，协同推进改革，提高医疗资源使用效率和医疗保障水平。</w:t>
      </w:r>
      <w:r>
        <w:rPr>
          <w:rFonts w:hint="eastAsia" w:ascii="仿宋_GB2312" w:hAnsi="华文中宋" w:eastAsia="仿宋_GB2312"/>
          <w:sz w:val="32"/>
          <w:szCs w:val="32"/>
        </w:rPr>
        <w:t xml:space="preserve"> </w:t>
      </w:r>
    </w:p>
    <w:p>
      <w:pPr>
        <w:pStyle w:val="9"/>
        <w:keepNext w:val="0"/>
        <w:keepLines w:val="0"/>
        <w:pageBreakBefore w:val="0"/>
        <w:numPr>
          <w:ilvl w:val="0"/>
          <w:numId w:val="1"/>
        </w:numPr>
        <w:kinsoku/>
        <w:wordWrap/>
        <w:overflowPunct/>
        <w:topLinePunct w:val="0"/>
        <w:autoSpaceDE/>
        <w:autoSpaceDN/>
        <w:bidi w:val="0"/>
        <w:adjustRightInd/>
        <w:snapToGrid/>
        <w:spacing w:line="520" w:lineRule="exact"/>
        <w:ind w:firstLine="640"/>
        <w:textAlignment w:val="auto"/>
        <w:outlineLvl w:val="9"/>
        <w:rPr>
          <w:rFonts w:ascii="黑体" w:hAnsi="黑体" w:eastAsia="黑体" w:cs="宋体"/>
          <w:bCs/>
          <w:kern w:val="0"/>
          <w:sz w:val="32"/>
          <w:szCs w:val="32"/>
        </w:rPr>
      </w:pPr>
      <w:r>
        <w:rPr>
          <w:rFonts w:hint="eastAsia" w:ascii="黑体" w:hAnsi="黑体" w:eastAsia="黑体" w:cs="宋体"/>
          <w:bCs/>
          <w:kern w:val="0"/>
          <w:sz w:val="32"/>
          <w:szCs w:val="32"/>
        </w:rPr>
        <w:t>机构设置及人员调整情况</w:t>
      </w:r>
    </w:p>
    <w:p>
      <w:pPr>
        <w:keepNext w:val="0"/>
        <w:keepLines w:val="0"/>
        <w:pageBreakBefore w:val="0"/>
        <w:widowControl/>
        <w:kinsoku/>
        <w:wordWrap/>
        <w:overflowPunct/>
        <w:topLinePunct w:val="0"/>
        <w:autoSpaceDE/>
        <w:autoSpaceDN/>
        <w:bidi w:val="0"/>
        <w:adjustRightInd/>
        <w:snapToGrid/>
        <w:spacing w:line="520" w:lineRule="exact"/>
        <w:ind w:firstLine="640"/>
        <w:jc w:val="left"/>
        <w:textAlignment w:val="auto"/>
        <w:outlineLvl w:val="9"/>
        <w:rPr>
          <w:rFonts w:ascii="仿宋" w:hAnsi="仿宋" w:eastAsia="仿宋" w:cs="宋体"/>
          <w:kern w:val="0"/>
          <w:sz w:val="32"/>
          <w:szCs w:val="32"/>
        </w:rPr>
      </w:pPr>
      <w:r>
        <w:rPr>
          <w:rFonts w:hint="eastAsia" w:ascii="仿宋" w:hAnsi="仿宋" w:eastAsia="仿宋" w:cs="宋体"/>
          <w:kern w:val="0"/>
          <w:sz w:val="32"/>
          <w:szCs w:val="32"/>
        </w:rPr>
        <w:t>机构改革后，</w:t>
      </w:r>
      <w:r>
        <w:rPr>
          <w:rFonts w:hint="eastAsia" w:ascii="仿宋" w:hAnsi="仿宋" w:eastAsia="仿宋" w:cs="宋体"/>
          <w:bCs/>
          <w:kern w:val="0"/>
          <w:sz w:val="32"/>
          <w:szCs w:val="32"/>
        </w:rPr>
        <w:t>吐鲁番市医疗保障局无下属预算单位，下设3个科室，分别是：办公室（医药价格和招标采购科）、规划财务基金监管科、医药服务待遇保障科</w:t>
      </w:r>
      <w:r>
        <w:rPr>
          <w:rFonts w:hint="eastAsia" w:ascii="仿宋" w:hAnsi="仿宋" w:eastAsia="仿宋" w:cs="宋体"/>
          <w:kern w:val="0"/>
          <w:sz w:val="32"/>
          <w:szCs w:val="32"/>
        </w:rPr>
        <w:t>。</w:t>
      </w:r>
    </w:p>
    <w:p>
      <w:pPr>
        <w:keepNext w:val="0"/>
        <w:keepLines w:val="0"/>
        <w:pageBreakBefore w:val="0"/>
        <w:widowControl/>
        <w:kinsoku/>
        <w:wordWrap/>
        <w:overflowPunct/>
        <w:topLinePunct w:val="0"/>
        <w:autoSpaceDE/>
        <w:autoSpaceDN/>
        <w:bidi w:val="0"/>
        <w:adjustRightInd/>
        <w:snapToGrid/>
        <w:spacing w:line="520" w:lineRule="exact"/>
        <w:ind w:firstLine="640"/>
        <w:jc w:val="left"/>
        <w:textAlignment w:val="auto"/>
        <w:outlineLvl w:val="9"/>
        <w:rPr>
          <w:rFonts w:ascii="仿宋" w:hAnsi="仿宋" w:eastAsia="仿宋" w:cs="宋体"/>
          <w:bCs/>
          <w:kern w:val="0"/>
          <w:sz w:val="32"/>
          <w:szCs w:val="32"/>
        </w:rPr>
      </w:pPr>
      <w:r>
        <w:rPr>
          <w:rFonts w:hint="eastAsia" w:ascii="仿宋" w:hAnsi="仿宋" w:eastAsia="仿宋" w:cs="宋体"/>
          <w:bCs/>
          <w:kern w:val="0"/>
          <w:sz w:val="32"/>
          <w:szCs w:val="32"/>
        </w:rPr>
        <w:t>吐鲁番市医疗保障局行政</w:t>
      </w:r>
      <w:r>
        <w:rPr>
          <w:rFonts w:hint="eastAsia" w:ascii="仿宋" w:hAnsi="仿宋" w:eastAsia="仿宋" w:cs="宋体"/>
          <w:kern w:val="0"/>
          <w:sz w:val="32"/>
          <w:szCs w:val="32"/>
        </w:rPr>
        <w:t>编制数7名，机关工勤事业编制1名。实有人数4人，其中：在职4人，增加或减少0人；退休 0人，增加或减少0人；离休0人，增加或减少0人。</w:t>
      </w:r>
    </w:p>
    <w:p>
      <w:pPr>
        <w:pStyle w:val="9"/>
        <w:keepNext w:val="0"/>
        <w:keepLines w:val="0"/>
        <w:pageBreakBefore w:val="0"/>
        <w:kinsoku/>
        <w:wordWrap/>
        <w:overflowPunct/>
        <w:topLinePunct w:val="0"/>
        <w:autoSpaceDE/>
        <w:autoSpaceDN/>
        <w:bidi w:val="0"/>
        <w:adjustRightInd/>
        <w:snapToGrid/>
        <w:spacing w:line="520" w:lineRule="exact"/>
        <w:ind w:left="480" w:firstLine="320" w:firstLineChars="100"/>
        <w:textAlignment w:val="auto"/>
        <w:outlineLvl w:val="9"/>
        <w:rPr>
          <w:rFonts w:ascii="黑体" w:hAnsi="黑体" w:eastAsia="黑体"/>
          <w:sz w:val="32"/>
          <w:szCs w:val="32"/>
        </w:rPr>
      </w:pPr>
      <w:r>
        <w:rPr>
          <w:rFonts w:hint="eastAsia" w:ascii="黑体" w:hAnsi="黑体" w:eastAsia="黑体"/>
          <w:sz w:val="32"/>
          <w:szCs w:val="32"/>
        </w:rPr>
        <w:t>三、预算调整情况</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sz w:val="32"/>
          <w:szCs w:val="32"/>
        </w:rPr>
      </w:pPr>
      <w:r>
        <w:rPr>
          <w:rFonts w:hint="eastAsia" w:ascii="仿宋" w:hAnsi="仿宋" w:eastAsia="仿宋"/>
          <w:sz w:val="32"/>
          <w:szCs w:val="32"/>
        </w:rPr>
        <w:t>经吐鲁番市人大常委会批复，2019年</w:t>
      </w:r>
      <w:r>
        <w:rPr>
          <w:rFonts w:hint="eastAsia" w:ascii="仿宋" w:hAnsi="仿宋" w:eastAsia="仿宋" w:cs="宋体"/>
          <w:bCs/>
          <w:kern w:val="0"/>
          <w:sz w:val="32"/>
          <w:szCs w:val="32"/>
        </w:rPr>
        <w:t>吐鲁番市医疗保障局</w:t>
      </w:r>
      <w:r>
        <w:rPr>
          <w:rFonts w:hint="eastAsia" w:ascii="仿宋" w:hAnsi="仿宋" w:eastAsia="仿宋"/>
          <w:sz w:val="32"/>
          <w:szCs w:val="32"/>
        </w:rPr>
        <w:t>部门单位预算划入预算307.95千元，调整为307.95千元。具体情况为：</w:t>
      </w:r>
    </w:p>
    <w:p>
      <w:pPr>
        <w:keepNext w:val="0"/>
        <w:keepLines w:val="0"/>
        <w:pageBreakBefore w:val="0"/>
        <w:numPr>
          <w:ilvl w:val="0"/>
          <w:numId w:val="2"/>
        </w:numPr>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sz w:val="32"/>
          <w:szCs w:val="32"/>
        </w:rPr>
      </w:pPr>
      <w:r>
        <w:rPr>
          <w:rFonts w:hint="eastAsia" w:ascii="仿宋" w:hAnsi="仿宋" w:eastAsia="仿宋"/>
          <w:sz w:val="32"/>
          <w:szCs w:val="32"/>
        </w:rPr>
        <w:t>因相关单位</w:t>
      </w:r>
      <w:r>
        <w:rPr>
          <w:rFonts w:hint="eastAsia" w:ascii="仿宋" w:hAnsi="仿宋" w:eastAsia="仿宋" w:cs="宋体"/>
          <w:bCs/>
          <w:kern w:val="0"/>
          <w:sz w:val="32"/>
          <w:szCs w:val="32"/>
        </w:rPr>
        <w:t>医疗保障</w:t>
      </w:r>
      <w:r>
        <w:rPr>
          <w:rFonts w:hint="eastAsia" w:ascii="仿宋" w:hAnsi="仿宋" w:eastAsia="仿宋"/>
          <w:sz w:val="32"/>
          <w:szCs w:val="32"/>
        </w:rPr>
        <w:t>职能划入吐鲁番市医疗保障局，划入预算 307.95千元。其中，基本支出307.95千元（从市卫健委划入预算 121.61千元；从市社保局划入预算 69.49千元；从人力资源和社会保障局划入预算 66.85千元；从市发改委划入预算 50.00千元）。项目支出0千元。</w:t>
      </w:r>
    </w:p>
    <w:p>
      <w:pPr>
        <w:keepNext w:val="0"/>
        <w:keepLines w:val="0"/>
        <w:pageBreakBefore w:val="0"/>
        <w:numPr>
          <w:ilvl w:val="0"/>
          <w:numId w:val="2"/>
        </w:numPr>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sz w:val="32"/>
          <w:szCs w:val="32"/>
        </w:rPr>
      </w:pPr>
      <w:r>
        <w:rPr>
          <w:rFonts w:hint="eastAsia" w:ascii="仿宋" w:hAnsi="仿宋" w:eastAsia="仿宋"/>
          <w:sz w:val="32"/>
          <w:szCs w:val="32"/>
        </w:rPr>
        <w:t>“三公”经费变化情况为：公务用车维护费0    千元、公务接待费0千元、公务出国费用0千元。</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ascii="黑体" w:hAnsi="黑体" w:eastAsia="黑体"/>
          <w:sz w:val="32"/>
          <w:szCs w:val="32"/>
        </w:rPr>
      </w:pPr>
      <w:r>
        <w:rPr>
          <w:rFonts w:hint="eastAsia" w:ascii="黑体" w:hAnsi="黑体" w:eastAsia="黑体"/>
          <w:sz w:val="32"/>
          <w:szCs w:val="32"/>
        </w:rPr>
        <w:t>四、国有资产占用使用调整情况</w:t>
      </w:r>
    </w:p>
    <w:p>
      <w:pPr>
        <w:keepNext w:val="0"/>
        <w:keepLines w:val="0"/>
        <w:pageBreakBefore w:val="0"/>
        <w:widowControl/>
        <w:kinsoku/>
        <w:wordWrap/>
        <w:overflowPunct/>
        <w:topLinePunct w:val="0"/>
        <w:autoSpaceDE/>
        <w:autoSpaceDN/>
        <w:bidi w:val="0"/>
        <w:adjustRightInd/>
        <w:snapToGrid/>
        <w:spacing w:line="520" w:lineRule="exact"/>
        <w:ind w:firstLine="640"/>
        <w:jc w:val="left"/>
        <w:textAlignment w:val="auto"/>
        <w:outlineLvl w:val="9"/>
        <w:rPr>
          <w:rFonts w:ascii="仿宋" w:hAnsi="仿宋" w:eastAsia="仿宋" w:cs="宋体"/>
          <w:kern w:val="0"/>
          <w:sz w:val="32"/>
          <w:szCs w:val="32"/>
        </w:rPr>
      </w:pPr>
      <w:r>
        <w:rPr>
          <w:rFonts w:hint="eastAsia" w:ascii="仿宋" w:hAnsi="仿宋" w:eastAsia="仿宋" w:cs="宋体"/>
          <w:kern w:val="0"/>
          <w:sz w:val="32"/>
          <w:szCs w:val="32"/>
        </w:rPr>
        <w:t>机构改革后，</w:t>
      </w:r>
      <w:r>
        <w:rPr>
          <w:rFonts w:hint="eastAsia" w:ascii="仿宋" w:hAnsi="仿宋" w:eastAsia="仿宋" w:cs="宋体"/>
          <w:bCs/>
          <w:kern w:val="0"/>
          <w:sz w:val="32"/>
          <w:szCs w:val="32"/>
        </w:rPr>
        <w:t>吐鲁番市医疗保障局</w:t>
      </w:r>
      <w:r>
        <w:rPr>
          <w:rFonts w:hint="eastAsia" w:ascii="仿宋" w:hAnsi="仿宋" w:eastAsia="仿宋" w:cs="宋体"/>
          <w:kern w:val="0"/>
          <w:sz w:val="32"/>
          <w:szCs w:val="32"/>
        </w:rPr>
        <w:t>占用使用国有资产变化情况为</w:t>
      </w:r>
    </w:p>
    <w:p>
      <w:pPr>
        <w:keepNext w:val="0"/>
        <w:keepLines w:val="0"/>
        <w:pageBreakBefore w:val="0"/>
        <w:widowControl/>
        <w:kinsoku/>
        <w:wordWrap/>
        <w:overflowPunct/>
        <w:topLinePunct w:val="0"/>
        <w:autoSpaceDE/>
        <w:autoSpaceDN/>
        <w:bidi w:val="0"/>
        <w:adjustRightInd/>
        <w:snapToGrid/>
        <w:spacing w:line="520" w:lineRule="exact"/>
        <w:ind w:firstLine="640"/>
        <w:jc w:val="left"/>
        <w:textAlignment w:val="auto"/>
        <w:outlineLvl w:val="9"/>
        <w:rPr>
          <w:rFonts w:ascii="仿宋" w:hAnsi="仿宋" w:eastAsia="仿宋" w:cs="宋体"/>
          <w:kern w:val="0"/>
          <w:sz w:val="32"/>
          <w:szCs w:val="32"/>
        </w:rPr>
      </w:pPr>
      <w:r>
        <w:rPr>
          <w:rFonts w:hint="eastAsia" w:ascii="仿宋" w:hAnsi="仿宋" w:eastAsia="仿宋" w:cs="宋体"/>
          <w:kern w:val="0"/>
          <w:sz w:val="32"/>
          <w:szCs w:val="32"/>
        </w:rPr>
        <w:t>1.房屋0平方米，价值0千元。</w:t>
      </w:r>
    </w:p>
    <w:p>
      <w:pPr>
        <w:keepNext w:val="0"/>
        <w:keepLines w:val="0"/>
        <w:pageBreakBefore w:val="0"/>
        <w:widowControl/>
        <w:kinsoku/>
        <w:wordWrap/>
        <w:overflowPunct/>
        <w:topLinePunct w:val="0"/>
        <w:autoSpaceDE/>
        <w:autoSpaceDN/>
        <w:bidi w:val="0"/>
        <w:adjustRightInd/>
        <w:snapToGrid/>
        <w:spacing w:line="520" w:lineRule="exact"/>
        <w:ind w:firstLine="640"/>
        <w:jc w:val="left"/>
        <w:textAlignment w:val="auto"/>
        <w:outlineLvl w:val="9"/>
        <w:rPr>
          <w:rFonts w:ascii="仿宋" w:hAnsi="仿宋" w:eastAsia="仿宋" w:cs="宋体"/>
          <w:kern w:val="0"/>
          <w:sz w:val="32"/>
          <w:szCs w:val="32"/>
        </w:rPr>
      </w:pPr>
      <w:r>
        <w:rPr>
          <w:rFonts w:hint="eastAsia" w:ascii="仿宋" w:hAnsi="仿宋" w:eastAsia="仿宋" w:cs="宋体"/>
          <w:kern w:val="0"/>
          <w:sz w:val="32"/>
          <w:szCs w:val="32"/>
        </w:rPr>
        <w:t>2.车辆0辆，价值0千元；其中：一般公务用0辆，价值0千元；执法执勤用车0辆，价值0千元；其他车0辆，价值0千元。</w:t>
      </w:r>
    </w:p>
    <w:p>
      <w:pPr>
        <w:keepNext w:val="0"/>
        <w:keepLines w:val="0"/>
        <w:pageBreakBefore w:val="0"/>
        <w:widowControl/>
        <w:kinsoku/>
        <w:wordWrap/>
        <w:overflowPunct/>
        <w:topLinePunct w:val="0"/>
        <w:autoSpaceDE/>
        <w:autoSpaceDN/>
        <w:bidi w:val="0"/>
        <w:adjustRightInd/>
        <w:snapToGrid/>
        <w:spacing w:line="520" w:lineRule="exact"/>
        <w:ind w:firstLine="640"/>
        <w:jc w:val="left"/>
        <w:textAlignment w:val="auto"/>
        <w:outlineLvl w:val="9"/>
        <w:rPr>
          <w:rFonts w:ascii="仿宋" w:hAnsi="仿宋" w:eastAsia="仿宋" w:cs="宋体"/>
          <w:kern w:val="0"/>
          <w:sz w:val="32"/>
          <w:szCs w:val="32"/>
        </w:rPr>
      </w:pPr>
      <w:r>
        <w:rPr>
          <w:rFonts w:hint="eastAsia" w:ascii="仿宋" w:hAnsi="仿宋" w:eastAsia="仿宋" w:cs="宋体"/>
          <w:kern w:val="0"/>
          <w:sz w:val="32"/>
          <w:szCs w:val="32"/>
        </w:rPr>
        <w:t>3.办公家具价值0千元。</w:t>
      </w:r>
    </w:p>
    <w:p>
      <w:pPr>
        <w:keepNext w:val="0"/>
        <w:keepLines w:val="0"/>
        <w:pageBreakBefore w:val="0"/>
        <w:widowControl/>
        <w:kinsoku/>
        <w:wordWrap/>
        <w:overflowPunct/>
        <w:topLinePunct w:val="0"/>
        <w:autoSpaceDE/>
        <w:autoSpaceDN/>
        <w:bidi w:val="0"/>
        <w:adjustRightInd/>
        <w:snapToGrid/>
        <w:spacing w:line="520" w:lineRule="exact"/>
        <w:ind w:firstLine="640"/>
        <w:jc w:val="left"/>
        <w:textAlignment w:val="auto"/>
        <w:outlineLvl w:val="9"/>
        <w:rPr>
          <w:rFonts w:ascii="仿宋" w:hAnsi="仿宋" w:eastAsia="仿宋" w:cs="宋体"/>
          <w:kern w:val="0"/>
          <w:sz w:val="32"/>
          <w:szCs w:val="32"/>
        </w:rPr>
      </w:pPr>
      <w:r>
        <w:rPr>
          <w:rFonts w:hint="eastAsia" w:ascii="仿宋" w:hAnsi="仿宋" w:eastAsia="仿宋" w:cs="宋体"/>
          <w:kern w:val="0"/>
          <w:sz w:val="32"/>
          <w:szCs w:val="32"/>
        </w:rPr>
        <w:t>4.其他资产价值0千元。</w:t>
      </w:r>
    </w:p>
    <w:p>
      <w:pPr>
        <w:keepNext w:val="0"/>
        <w:keepLines w:val="0"/>
        <w:pageBreakBefore w:val="0"/>
        <w:widowControl/>
        <w:kinsoku/>
        <w:wordWrap/>
        <w:overflowPunct/>
        <w:topLinePunct w:val="0"/>
        <w:autoSpaceDE/>
        <w:autoSpaceDN/>
        <w:bidi w:val="0"/>
        <w:adjustRightInd/>
        <w:snapToGrid/>
        <w:spacing w:line="520" w:lineRule="exact"/>
        <w:ind w:firstLine="640"/>
        <w:jc w:val="left"/>
        <w:textAlignment w:val="auto"/>
        <w:outlineLvl w:val="9"/>
        <w:rPr>
          <w:rFonts w:ascii="仿宋" w:hAnsi="仿宋" w:eastAsia="仿宋"/>
          <w:sz w:val="32"/>
          <w:szCs w:val="32"/>
        </w:rPr>
      </w:pPr>
      <w:r>
        <w:rPr>
          <w:rFonts w:hint="eastAsia" w:ascii="仿宋" w:hAnsi="仿宋" w:eastAsia="仿宋" w:cs="宋体"/>
          <w:kern w:val="0"/>
          <w:sz w:val="32"/>
          <w:szCs w:val="32"/>
        </w:rPr>
        <w:t>单位价值500千元以上大型设备0台（套），单位价值1000千元以上大型设备0台（套）。</w:t>
      </w:r>
    </w:p>
    <w:p>
      <w:pPr>
        <w:pStyle w:val="9"/>
        <w:keepNext w:val="0"/>
        <w:keepLines w:val="0"/>
        <w:pageBreakBefore w:val="0"/>
        <w:kinsoku/>
        <w:wordWrap/>
        <w:overflowPunct/>
        <w:topLinePunct w:val="0"/>
        <w:autoSpaceDE/>
        <w:autoSpaceDN/>
        <w:bidi w:val="0"/>
        <w:adjustRightInd/>
        <w:snapToGrid/>
        <w:spacing w:line="520" w:lineRule="exact"/>
        <w:ind w:firstLine="640"/>
        <w:textAlignment w:val="auto"/>
        <w:outlineLvl w:val="9"/>
        <w:rPr>
          <w:rFonts w:ascii="黑体" w:hAnsi="黑体" w:eastAsia="黑体"/>
          <w:sz w:val="32"/>
          <w:szCs w:val="32"/>
        </w:rPr>
      </w:pPr>
      <w:r>
        <w:rPr>
          <w:rFonts w:hint="eastAsia" w:ascii="黑体" w:hAnsi="黑体" w:eastAsia="黑体"/>
          <w:sz w:val="32"/>
          <w:szCs w:val="32"/>
        </w:rPr>
        <w:t>五、绩效目标调整情况</w:t>
      </w:r>
    </w:p>
    <w:p>
      <w:pPr>
        <w:keepNext w:val="0"/>
        <w:keepLines w:val="0"/>
        <w:pageBreakBefore w:val="0"/>
        <w:kinsoku/>
        <w:wordWrap/>
        <w:overflowPunct/>
        <w:topLinePunct w:val="0"/>
        <w:autoSpaceDE/>
        <w:autoSpaceDN/>
        <w:bidi w:val="0"/>
        <w:adjustRightInd/>
        <w:snapToGrid/>
        <w:spacing w:line="520" w:lineRule="exact"/>
        <w:textAlignment w:val="auto"/>
        <w:outlineLvl w:val="9"/>
        <w:rPr>
          <w:rFonts w:ascii="仿宋" w:hAnsi="仿宋" w:eastAsia="仿宋"/>
          <w:sz w:val="32"/>
          <w:szCs w:val="32"/>
        </w:rPr>
      </w:pPr>
      <w:r>
        <w:rPr>
          <w:rFonts w:hint="eastAsia" w:ascii="仿宋_GB2312" w:hAnsi="华文中宋" w:eastAsia="仿宋_GB2312"/>
          <w:sz w:val="32"/>
          <w:szCs w:val="32"/>
        </w:rPr>
        <w:t xml:space="preserve">   </w:t>
      </w:r>
      <w:r>
        <w:rPr>
          <w:rFonts w:hint="eastAsia" w:ascii="仿宋" w:hAnsi="仿宋" w:eastAsia="仿宋"/>
          <w:sz w:val="32"/>
          <w:szCs w:val="32"/>
        </w:rPr>
        <w:t xml:space="preserve"> 项目经费0千元。</w:t>
      </w:r>
    </w:p>
    <w:p>
      <w:pPr>
        <w:keepNext w:val="0"/>
        <w:keepLines w:val="0"/>
        <w:pageBreakBefore w:val="0"/>
        <w:kinsoku/>
        <w:wordWrap/>
        <w:overflowPunct/>
        <w:topLinePunct w:val="0"/>
        <w:autoSpaceDE/>
        <w:autoSpaceDN/>
        <w:bidi w:val="0"/>
        <w:adjustRightInd/>
        <w:snapToGrid/>
        <w:spacing w:line="520" w:lineRule="exact"/>
        <w:ind w:left="481" w:leftChars="229" w:firstLine="160" w:firstLineChars="50"/>
        <w:textAlignment w:val="auto"/>
        <w:outlineLvl w:val="9"/>
        <w:rPr>
          <w:rFonts w:ascii="仿宋" w:hAnsi="仿宋" w:eastAsia="仿宋"/>
          <w:sz w:val="32"/>
          <w:szCs w:val="32"/>
        </w:rPr>
      </w:pPr>
      <w:r>
        <w:rPr>
          <w:rFonts w:hint="eastAsia" w:ascii="仿宋" w:hAnsi="仿宋" w:eastAsia="仿宋"/>
          <w:sz w:val="32"/>
          <w:szCs w:val="32"/>
        </w:rPr>
        <w:t>以上具体情况，详见附件。</w:t>
      </w:r>
    </w:p>
    <w:p>
      <w:pPr>
        <w:keepNext w:val="0"/>
        <w:keepLines w:val="0"/>
        <w:pageBreakBefore w:val="0"/>
        <w:kinsoku/>
        <w:wordWrap/>
        <w:overflowPunct/>
        <w:topLinePunct w:val="0"/>
        <w:autoSpaceDE/>
        <w:autoSpaceDN/>
        <w:bidi w:val="0"/>
        <w:adjustRightInd/>
        <w:snapToGrid/>
        <w:spacing w:line="520" w:lineRule="exact"/>
        <w:ind w:left="283" w:leftChars="135" w:firstLine="320" w:firstLineChars="100"/>
        <w:textAlignment w:val="auto"/>
        <w:outlineLvl w:val="9"/>
        <w:rPr>
          <w:rFonts w:ascii="仿宋" w:hAnsi="仿宋" w:eastAsia="仿宋"/>
          <w:sz w:val="32"/>
          <w:szCs w:val="32"/>
        </w:rPr>
      </w:pPr>
      <w:r>
        <w:rPr>
          <w:rFonts w:hint="eastAsia" w:ascii="仿宋" w:hAnsi="仿宋" w:eastAsia="仿宋"/>
          <w:sz w:val="32"/>
          <w:szCs w:val="32"/>
        </w:rPr>
        <w:t>附件：</w:t>
      </w:r>
      <w:r>
        <w:rPr>
          <w:rFonts w:hint="eastAsia" w:ascii="仿宋" w:hAnsi="仿宋" w:eastAsia="仿宋" w:cs="宋体"/>
          <w:bCs/>
          <w:kern w:val="0"/>
          <w:sz w:val="32"/>
          <w:szCs w:val="32"/>
        </w:rPr>
        <w:t>吐鲁番市医疗保障局</w:t>
      </w:r>
      <w:r>
        <w:rPr>
          <w:rFonts w:hint="eastAsia" w:ascii="仿宋" w:hAnsi="仿宋" w:eastAsia="仿宋"/>
          <w:sz w:val="32"/>
          <w:szCs w:val="32"/>
        </w:rPr>
        <w:t>机构改革预算调整表</w:t>
      </w:r>
    </w:p>
    <w:p>
      <w:pPr>
        <w:keepNext w:val="0"/>
        <w:keepLines w:val="0"/>
        <w:pageBreakBefore w:val="0"/>
        <w:kinsoku/>
        <w:wordWrap/>
        <w:overflowPunct/>
        <w:topLinePunct w:val="0"/>
        <w:autoSpaceDE/>
        <w:autoSpaceDN/>
        <w:bidi w:val="0"/>
        <w:adjustRightInd/>
        <w:snapToGrid/>
        <w:spacing w:line="520" w:lineRule="exact"/>
        <w:textAlignment w:val="auto"/>
        <w:outlineLvl w:val="9"/>
        <w:rPr>
          <w:rFonts w:ascii="仿宋" w:hAnsi="仿宋" w:eastAsia="仿宋"/>
          <w:sz w:val="32"/>
          <w:szCs w:val="32"/>
        </w:rPr>
      </w:pPr>
      <w:r>
        <w:rPr>
          <w:rFonts w:hint="eastAsia" w:ascii="仿宋" w:hAnsi="仿宋" w:eastAsia="仿宋"/>
          <w:sz w:val="32"/>
          <w:szCs w:val="32"/>
        </w:rPr>
        <w:t xml:space="preserve">           </w:t>
      </w:r>
    </w:p>
    <w:p>
      <w:pPr>
        <w:keepNext w:val="0"/>
        <w:keepLines w:val="0"/>
        <w:pageBreakBefore w:val="0"/>
        <w:kinsoku/>
        <w:wordWrap/>
        <w:overflowPunct/>
        <w:topLinePunct w:val="0"/>
        <w:autoSpaceDE/>
        <w:autoSpaceDN/>
        <w:bidi w:val="0"/>
        <w:adjustRightInd/>
        <w:snapToGrid/>
        <w:spacing w:line="520" w:lineRule="exact"/>
        <w:ind w:left="1440" w:leftChars="305" w:hanging="800" w:hangingChars="250"/>
        <w:textAlignment w:val="auto"/>
        <w:outlineLvl w:val="9"/>
        <w:rPr>
          <w:rFonts w:ascii="仿宋" w:hAnsi="仿宋" w:eastAsia="仿宋"/>
          <w:sz w:val="32"/>
          <w:szCs w:val="32"/>
        </w:rPr>
      </w:pPr>
      <w:r>
        <w:rPr>
          <w:rFonts w:hint="eastAsia" w:ascii="仿宋" w:hAnsi="仿宋" w:eastAsia="仿宋"/>
          <w:sz w:val="32"/>
          <w:szCs w:val="32"/>
        </w:rPr>
        <w:t xml:space="preserve">                          </w:t>
      </w:r>
    </w:p>
    <w:p>
      <w:pPr>
        <w:keepNext w:val="0"/>
        <w:keepLines w:val="0"/>
        <w:pageBreakBefore w:val="0"/>
        <w:kinsoku/>
        <w:wordWrap/>
        <w:overflowPunct/>
        <w:topLinePunct w:val="0"/>
        <w:autoSpaceDE/>
        <w:autoSpaceDN/>
        <w:bidi w:val="0"/>
        <w:adjustRightInd/>
        <w:snapToGrid/>
        <w:spacing w:line="520" w:lineRule="exact"/>
        <w:ind w:left="1440" w:leftChars="305" w:hanging="800" w:hangingChars="250"/>
        <w:textAlignment w:val="auto"/>
        <w:outlineLvl w:val="9"/>
        <w:rPr>
          <w:rFonts w:ascii="仿宋" w:hAnsi="仿宋" w:eastAsia="仿宋"/>
          <w:sz w:val="32"/>
          <w:szCs w:val="32"/>
        </w:rPr>
      </w:pPr>
      <w:r>
        <w:rPr>
          <w:rFonts w:hint="eastAsia" w:ascii="仿宋" w:hAnsi="仿宋" w:eastAsia="仿宋"/>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方正小标宋_GBK">
    <w:altName w:val="SimSun-ExtB"/>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SimSun-ExtB">
    <w:panose1 w:val="02010609060101010101"/>
    <w:charset w:val="86"/>
    <w:family w:val="auto"/>
    <w:pitch w:val="default"/>
    <w:sig w:usb0="00000001" w:usb1="02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4F80AD"/>
    <w:multiLevelType w:val="singleLevel"/>
    <w:tmpl w:val="A74F80AD"/>
    <w:lvl w:ilvl="0" w:tentative="0">
      <w:start w:val="2"/>
      <w:numFmt w:val="chineseCounting"/>
      <w:suff w:val="nothing"/>
      <w:lvlText w:val="%1、"/>
      <w:lvlJc w:val="left"/>
      <w:rPr>
        <w:rFonts w:hint="eastAsia"/>
      </w:rPr>
    </w:lvl>
  </w:abstractNum>
  <w:abstractNum w:abstractNumId="1">
    <w:nsid w:val="F6E0A38B"/>
    <w:multiLevelType w:val="singleLevel"/>
    <w:tmpl w:val="F6E0A38B"/>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86A04"/>
    <w:rsid w:val="00013A01"/>
    <w:rsid w:val="00033AC7"/>
    <w:rsid w:val="00044DEE"/>
    <w:rsid w:val="000829B5"/>
    <w:rsid w:val="000C0E69"/>
    <w:rsid w:val="001168B4"/>
    <w:rsid w:val="001200F9"/>
    <w:rsid w:val="00131E13"/>
    <w:rsid w:val="001502C8"/>
    <w:rsid w:val="0017329F"/>
    <w:rsid w:val="00174E78"/>
    <w:rsid w:val="001B4FDF"/>
    <w:rsid w:val="001F68EE"/>
    <w:rsid w:val="00290F67"/>
    <w:rsid w:val="002F1672"/>
    <w:rsid w:val="00355AB4"/>
    <w:rsid w:val="00397E1A"/>
    <w:rsid w:val="003E06FC"/>
    <w:rsid w:val="003E3FF0"/>
    <w:rsid w:val="003E5C3E"/>
    <w:rsid w:val="00417C42"/>
    <w:rsid w:val="00426B15"/>
    <w:rsid w:val="004307D9"/>
    <w:rsid w:val="004829ED"/>
    <w:rsid w:val="00492587"/>
    <w:rsid w:val="00493079"/>
    <w:rsid w:val="004A31A5"/>
    <w:rsid w:val="004C1365"/>
    <w:rsid w:val="004E210C"/>
    <w:rsid w:val="00515EA1"/>
    <w:rsid w:val="005775E7"/>
    <w:rsid w:val="005B4F91"/>
    <w:rsid w:val="00603DA9"/>
    <w:rsid w:val="00611484"/>
    <w:rsid w:val="0062219C"/>
    <w:rsid w:val="00630D0D"/>
    <w:rsid w:val="0067397A"/>
    <w:rsid w:val="0069222F"/>
    <w:rsid w:val="00713EE5"/>
    <w:rsid w:val="007612CE"/>
    <w:rsid w:val="00800A73"/>
    <w:rsid w:val="00860349"/>
    <w:rsid w:val="008633AA"/>
    <w:rsid w:val="00885281"/>
    <w:rsid w:val="008B6C47"/>
    <w:rsid w:val="008E14DB"/>
    <w:rsid w:val="00901951"/>
    <w:rsid w:val="009917F1"/>
    <w:rsid w:val="009B52E0"/>
    <w:rsid w:val="00B016C1"/>
    <w:rsid w:val="00B8000C"/>
    <w:rsid w:val="00B86A04"/>
    <w:rsid w:val="00BC29E5"/>
    <w:rsid w:val="00C11480"/>
    <w:rsid w:val="00C32C61"/>
    <w:rsid w:val="00C757AD"/>
    <w:rsid w:val="00C7733E"/>
    <w:rsid w:val="00C947F4"/>
    <w:rsid w:val="00C9683E"/>
    <w:rsid w:val="00CA07C3"/>
    <w:rsid w:val="00D140DA"/>
    <w:rsid w:val="00D53ED9"/>
    <w:rsid w:val="00D62FBC"/>
    <w:rsid w:val="00DB7D04"/>
    <w:rsid w:val="00DD705E"/>
    <w:rsid w:val="00E0415E"/>
    <w:rsid w:val="00E243D7"/>
    <w:rsid w:val="00E422BC"/>
    <w:rsid w:val="00EA0693"/>
    <w:rsid w:val="00EC7422"/>
    <w:rsid w:val="00F045E5"/>
    <w:rsid w:val="00F15C81"/>
    <w:rsid w:val="00F1641F"/>
    <w:rsid w:val="00F37EC8"/>
    <w:rsid w:val="00FB31D8"/>
    <w:rsid w:val="00FB4AFB"/>
    <w:rsid w:val="00FC455B"/>
    <w:rsid w:val="00FD7357"/>
    <w:rsid w:val="01D33302"/>
    <w:rsid w:val="026C7C98"/>
    <w:rsid w:val="066F1F84"/>
    <w:rsid w:val="107D0A8C"/>
    <w:rsid w:val="12714323"/>
    <w:rsid w:val="12720E58"/>
    <w:rsid w:val="19C772FF"/>
    <w:rsid w:val="22C87423"/>
    <w:rsid w:val="24394554"/>
    <w:rsid w:val="2A052F5D"/>
    <w:rsid w:val="330A1775"/>
    <w:rsid w:val="34F908B8"/>
    <w:rsid w:val="38923851"/>
    <w:rsid w:val="49673BDB"/>
    <w:rsid w:val="4E9C0050"/>
    <w:rsid w:val="646212CD"/>
    <w:rsid w:val="6AB66876"/>
    <w:rsid w:val="6CE769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294</Words>
  <Characters>1676</Characters>
  <Lines>13</Lines>
  <Paragraphs>3</Paragraphs>
  <TotalTime>108</TotalTime>
  <ScaleCrop>false</ScaleCrop>
  <LinksUpToDate>false</LinksUpToDate>
  <CharactersWithSpaces>1967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2019-03-21T09:04:00Z</dcterms:created>
  <dc:creator>刘大军（预算处）</dc:creator>
  <cp:lastModifiedBy>Administrator</cp:lastModifiedBy>
  <cp:lastPrinted>2019-03-20T02:53:00Z</cp:lastPrinted>
  <dcterms:modified xsi:type="dcterms:W3CDTF">2022-05-06T05:06:15Z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