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吐鲁番市农业综合执法行政执法支队2020年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调整预算补充公开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_GBK" w:hAnsi="华文中宋" w:eastAsia="方正小标宋_GBK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</w:rPr>
        <w:t>根据</w:t>
      </w:r>
      <w:r>
        <w:rPr>
          <w:rFonts w:hint="eastAsia" w:ascii="仿宋_GB2312" w:hAnsi="华文中宋" w:eastAsia="仿宋_GB2312"/>
          <w:sz w:val="32"/>
          <w:szCs w:val="32"/>
          <w:lang w:eastAsia="zh-CN"/>
        </w:rPr>
        <w:t>中共吐鲁番市委员会机构编制委员会文件吐党编委【</w:t>
      </w: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>2019</w:t>
      </w:r>
      <w:r>
        <w:rPr>
          <w:rFonts w:hint="eastAsia" w:ascii="仿宋_GB2312" w:hAnsi="华文中宋" w:eastAsia="仿宋_GB2312"/>
          <w:sz w:val="32"/>
          <w:szCs w:val="32"/>
          <w:lang w:eastAsia="zh-CN"/>
        </w:rPr>
        <w:t>】</w:t>
      </w: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>13号</w:t>
      </w:r>
      <w:r>
        <w:rPr>
          <w:rFonts w:hint="eastAsia" w:ascii="仿宋_GB2312" w:hAnsi="华文中宋" w:eastAsia="仿宋_GB2312"/>
          <w:sz w:val="32"/>
          <w:szCs w:val="32"/>
        </w:rPr>
        <w:t>《关</w:t>
      </w:r>
      <w:r>
        <w:rPr>
          <w:rFonts w:hint="eastAsia" w:ascii="仿宋_GB2312" w:hAnsi="华文中宋" w:eastAsia="仿宋_GB2312"/>
          <w:sz w:val="32"/>
          <w:szCs w:val="32"/>
          <w:lang w:eastAsia="zh-CN"/>
        </w:rPr>
        <w:t>于组建吐鲁番市县两级农业综合行政执法机构的通知》，调整部门单位预算。现将我单位预算调整情况补充公开</w:t>
      </w:r>
      <w:r>
        <w:rPr>
          <w:rFonts w:hint="eastAsia" w:ascii="仿宋_GB2312" w:hAnsi="华文中宋" w:eastAsia="仿宋_GB2312"/>
          <w:sz w:val="32"/>
          <w:szCs w:val="32"/>
        </w:rPr>
        <w:t>如下：</w:t>
      </w:r>
    </w:p>
    <w:p>
      <w:pPr>
        <w:pStyle w:val="9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单位</w:t>
      </w:r>
      <w:r>
        <w:rPr>
          <w:rFonts w:hint="eastAsia" w:ascii="黑体" w:hAnsi="黑体" w:eastAsia="黑体"/>
          <w:sz w:val="32"/>
          <w:szCs w:val="32"/>
          <w:lang w:eastAsia="zh-CN"/>
        </w:rPr>
        <w:t>主要职能</w:t>
      </w: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华文中宋" w:eastAsia="仿宋_GB2312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华文中宋" w:eastAsia="仿宋_GB2312" w:cstheme="minorBidi"/>
          <w:kern w:val="2"/>
          <w:sz w:val="32"/>
          <w:szCs w:val="32"/>
          <w:lang w:val="en-US" w:eastAsia="zh-CN" w:bidi="ar-SA"/>
        </w:rPr>
        <w:t>组建吐鲁番市农业综合行政执法支队。整合市区两级农业农村局内设机构及所属单位的动物卫生、饲料兽药、畜禽屠宰、种子、化肥、农药、农机、农产品质量、植物检疫、渔政等行政处罚以及与行政处罚相关的行政检查、行政强制职能，组建吐鲁番市农业综合行政执法支队，隶属吐鲁番市农业农村局管理。不再保留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吐鲁番</w:t>
      </w:r>
      <w:r>
        <w:rPr>
          <w:rFonts w:hint="eastAsia" w:ascii="仿宋_GB2312" w:hAnsi="华文中宋" w:eastAsia="仿宋_GB2312" w:cstheme="minorBidi"/>
          <w:kern w:val="2"/>
          <w:sz w:val="32"/>
          <w:szCs w:val="32"/>
          <w:lang w:val="en-US" w:eastAsia="zh-CN" w:bidi="ar-SA"/>
        </w:rPr>
        <w:t>市农业综合执法支队、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吐鲁番</w:t>
      </w:r>
      <w:r>
        <w:rPr>
          <w:rFonts w:hint="eastAsia" w:ascii="仿宋_GB2312" w:hAnsi="华文中宋" w:eastAsia="仿宋_GB2312" w:cstheme="minorBidi"/>
          <w:kern w:val="2"/>
          <w:sz w:val="32"/>
          <w:szCs w:val="32"/>
          <w:lang w:val="en-US" w:eastAsia="zh-CN" w:bidi="ar-SA"/>
        </w:rPr>
        <w:t>市动物卫生监督所、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吐鲁番</w:t>
      </w:r>
      <w:r>
        <w:rPr>
          <w:rFonts w:hint="eastAsia" w:ascii="仿宋_GB2312" w:hAnsi="华文中宋" w:eastAsia="仿宋_GB2312" w:cstheme="minorBidi"/>
          <w:kern w:val="2"/>
          <w:sz w:val="32"/>
          <w:szCs w:val="32"/>
          <w:lang w:val="en-US" w:eastAsia="zh-CN" w:bidi="ar-SA"/>
        </w:rPr>
        <w:t>市农机监理所、高昌区农业综合执法大队。</w:t>
      </w: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华文中宋" w:eastAsia="仿宋_GB2312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华文中宋" w:eastAsia="仿宋_GB2312" w:cstheme="minorBidi"/>
          <w:kern w:val="2"/>
          <w:sz w:val="32"/>
          <w:szCs w:val="32"/>
          <w:lang w:val="en-US" w:eastAsia="zh-CN" w:bidi="ar-SA"/>
        </w:rPr>
        <w:t>(一)负责对农业、畜牧兽医、农机、渔政等农业方面法律、法规的宣传和咨询工作，编制全市农业综合行政执法工作年度计划和中长期规划，并组织实施。</w:t>
      </w: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华文中宋" w:eastAsia="仿宋_GB2312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华文中宋" w:eastAsia="仿宋_GB2312" w:cstheme="minorBidi"/>
          <w:kern w:val="2"/>
          <w:sz w:val="32"/>
          <w:szCs w:val="32"/>
          <w:lang w:val="en-US" w:eastAsia="zh-CN" w:bidi="ar-SA"/>
        </w:rPr>
        <w:t>(二)负责建立健全协调机制和督查机制，监督指导全市农业综合行政执法体系建设和农业综合执法工作;提出全市相关农业综合行政执法工作全面、持续、健康发展的政策建议。</w:t>
      </w: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华文中宋" w:eastAsia="仿宋_GB2312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华文中宋" w:eastAsia="仿宋_GB2312" w:cstheme="minorBidi"/>
          <w:kern w:val="2"/>
          <w:sz w:val="32"/>
          <w:szCs w:val="32"/>
          <w:lang w:val="en-US" w:eastAsia="zh-CN" w:bidi="ar-SA"/>
        </w:rPr>
        <w:t>(三)负责辖区内跨区域和重大复杂案件的查处;承担高昌区管辖范围内的动物卫生、饲料兽药、畜禽屠宰、种子、化肥、农药、农机、农产品质量、植物检疫、渔政等农业综合行政执法工作。</w:t>
      </w: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华文中宋" w:eastAsia="仿宋_GB2312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华文中宋" w:eastAsia="仿宋_GB2312" w:cstheme="minorBidi"/>
          <w:kern w:val="2"/>
          <w:sz w:val="32"/>
          <w:szCs w:val="32"/>
          <w:lang w:val="en-US" w:eastAsia="zh-CN" w:bidi="ar-SA"/>
        </w:rPr>
        <w:t>(四)负责全市农业综合行政执法人员的培训、考核、管理等工作。</w:t>
      </w: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华文中宋" w:eastAsia="仿宋_GB2312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华文中宋" w:eastAsia="仿宋_GB2312" w:cstheme="minorBidi"/>
          <w:kern w:val="2"/>
          <w:sz w:val="32"/>
          <w:szCs w:val="32"/>
          <w:lang w:val="en-US" w:eastAsia="zh-CN" w:bidi="ar-SA"/>
        </w:rPr>
        <w:t>(五)负责建立健全部门间协调配合机制，加强与市场监管、生态环境、自然资源、公安等部门的情况通报和案情会商，发挥联合执法作用;建立失信联合惩戒制度。</w:t>
      </w: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华文中宋" w:eastAsia="仿宋_GB2312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华文中宋" w:eastAsia="仿宋_GB2312" w:cstheme="minorBidi"/>
          <w:kern w:val="2"/>
          <w:sz w:val="32"/>
          <w:szCs w:val="32"/>
          <w:lang w:val="en-US" w:eastAsia="zh-CN" w:bidi="ar-SA"/>
        </w:rPr>
        <w:t>(六)负责建立健全农业突发事件应急处里机制，最大程度减轻突发重大事件对农业及公众健康造成的危害，保障人民健康安全，维护社会和谐稳定。</w:t>
      </w: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华文中宋" w:eastAsia="仿宋_GB2312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华文中宋" w:eastAsia="仿宋_GB2312" w:cstheme="minorBidi"/>
          <w:kern w:val="2"/>
          <w:sz w:val="32"/>
          <w:szCs w:val="32"/>
          <w:lang w:val="en-US" w:eastAsia="zh-CN" w:bidi="ar-SA"/>
        </w:rPr>
        <w:t>(七)依法履行法律法规规章及政府赋予的其他职责。</w:t>
      </w:r>
    </w:p>
    <w:p>
      <w:pPr>
        <w:pStyle w:val="9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黑体" w:eastAsia="仿宋_GB2312" w:cs="宋体"/>
          <w:b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机构设置及人员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eastAsia="zh-CN"/>
        </w:rPr>
        <w:t>调整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机构组建后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  <w:lang w:eastAsia="zh-CN"/>
        </w:rPr>
        <w:t>吐鲁番市农业综合行政执法支队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无下属预算单位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  <w:lang w:eastAsia="zh-CN"/>
        </w:rPr>
        <w:t>。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下设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  <w:lang w:val="en-US" w:eastAsia="zh-CN"/>
        </w:rPr>
        <w:t>7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个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  <w:lang w:eastAsia="zh-CN"/>
        </w:rPr>
        <w:t>科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室，分别是：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办公室、政策法规科、农产品监管科、种子监管科、动植物检疫科、饲料兽药监管科、农机监管科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吐鲁番市农业综合行政执法支队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编制数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33名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。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实有人数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34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人，其中：在职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8人，增加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人；退休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人，增加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人；离休 0人，增加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或减少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0 人。</w:t>
      </w: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80" w:leftChars="0" w:firstLine="320" w:firstLineChars="10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三、</w:t>
      </w:r>
      <w:r>
        <w:rPr>
          <w:rFonts w:hint="eastAsia" w:ascii="黑体" w:hAnsi="黑体" w:eastAsia="黑体"/>
          <w:sz w:val="32"/>
          <w:szCs w:val="32"/>
        </w:rPr>
        <w:t>预算调整情况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</w:rPr>
        <w:t>经</w:t>
      </w:r>
      <w:r>
        <w:rPr>
          <w:rFonts w:hint="eastAsia" w:ascii="仿宋_GB2312" w:hAnsi="华文中宋" w:eastAsia="仿宋_GB2312"/>
          <w:sz w:val="32"/>
          <w:szCs w:val="32"/>
          <w:lang w:eastAsia="zh-CN"/>
        </w:rPr>
        <w:t>吐鲁番市</w:t>
      </w:r>
      <w:r>
        <w:rPr>
          <w:rFonts w:hint="eastAsia" w:ascii="仿宋_GB2312" w:hAnsi="华文中宋" w:eastAsia="仿宋_GB2312"/>
          <w:sz w:val="32"/>
          <w:szCs w:val="32"/>
        </w:rPr>
        <w:t>人大常委会批复，20</w:t>
      </w: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华文中宋" w:eastAsia="仿宋_GB2312"/>
          <w:sz w:val="32"/>
          <w:szCs w:val="32"/>
        </w:rPr>
        <w:t>年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  <w:lang w:eastAsia="zh-CN"/>
        </w:rPr>
        <w:t>吐鲁番市农业综合行政执法支队</w:t>
      </w:r>
      <w:r>
        <w:rPr>
          <w:rFonts w:hint="eastAsia" w:ascii="仿宋_GB2312" w:hAnsi="华文中宋" w:eastAsia="仿宋_GB2312"/>
          <w:sz w:val="32"/>
          <w:szCs w:val="32"/>
        </w:rPr>
        <w:t>划入</w:t>
      </w:r>
      <w:r>
        <w:rPr>
          <w:rFonts w:hint="eastAsia" w:ascii="仿宋_GB2312" w:hAnsi="华文中宋" w:eastAsia="仿宋_GB2312"/>
          <w:sz w:val="32"/>
          <w:szCs w:val="32"/>
          <w:lang w:eastAsia="zh-CN"/>
        </w:rPr>
        <w:t>预算</w:t>
      </w: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>3831.94千</w:t>
      </w:r>
      <w:r>
        <w:rPr>
          <w:rFonts w:hint="eastAsia" w:ascii="仿宋_GB2312" w:hAnsi="华文中宋" w:eastAsia="仿宋_GB2312"/>
          <w:sz w:val="32"/>
          <w:szCs w:val="32"/>
        </w:rPr>
        <w:t>元</w:t>
      </w:r>
      <w:r>
        <w:rPr>
          <w:rFonts w:hint="eastAsia" w:ascii="仿宋_GB2312" w:hAnsi="华文中宋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华文中宋" w:eastAsia="仿宋_GB2312"/>
          <w:sz w:val="32"/>
          <w:szCs w:val="32"/>
        </w:rPr>
        <w:t>调整为</w:t>
      </w: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>3831.94千</w:t>
      </w:r>
      <w:r>
        <w:rPr>
          <w:rFonts w:hint="eastAsia" w:ascii="仿宋_GB2312" w:hAnsi="华文中宋" w:eastAsia="仿宋_GB2312"/>
          <w:sz w:val="32"/>
          <w:szCs w:val="32"/>
        </w:rPr>
        <w:t>元。具体情况为：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</w:rPr>
        <w:t>因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  <w:lang w:eastAsia="zh-CN"/>
        </w:rPr>
        <w:t>吐鲁番市农业综合执法支队</w:t>
      </w:r>
      <w:r>
        <w:rPr>
          <w:rFonts w:hint="eastAsia" w:ascii="仿宋_GB2312" w:hAnsi="华文中宋" w:eastAsia="仿宋_GB2312"/>
          <w:sz w:val="32"/>
          <w:szCs w:val="32"/>
        </w:rPr>
        <w:t>职能划入，划入预算</w:t>
      </w: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>765.74千</w:t>
      </w:r>
      <w:r>
        <w:rPr>
          <w:rFonts w:hint="eastAsia" w:ascii="仿宋_GB2312" w:hAnsi="华文中宋" w:eastAsia="仿宋_GB2312"/>
          <w:sz w:val="32"/>
          <w:szCs w:val="32"/>
        </w:rPr>
        <w:t>元。其中，基本支出</w:t>
      </w: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>715.74千</w:t>
      </w:r>
      <w:r>
        <w:rPr>
          <w:rFonts w:hint="eastAsia" w:ascii="仿宋_GB2312" w:hAnsi="华文中宋" w:eastAsia="仿宋_GB2312"/>
          <w:sz w:val="32"/>
          <w:szCs w:val="32"/>
        </w:rPr>
        <w:t>元；项目支出</w:t>
      </w: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>50千</w:t>
      </w:r>
      <w:r>
        <w:rPr>
          <w:rFonts w:hint="eastAsia" w:ascii="仿宋_GB2312" w:hAnsi="华文中宋" w:eastAsia="仿宋_GB2312"/>
          <w:sz w:val="32"/>
          <w:szCs w:val="32"/>
        </w:rPr>
        <w:t>元。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华文中宋" w:eastAsia="仿宋_GB2312"/>
          <w:sz w:val="32"/>
          <w:szCs w:val="32"/>
          <w:lang w:val="en-US" w:eastAsia="zh-CN"/>
        </w:rPr>
      </w:pP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>因吐鲁番市动物卫生监督所职能划入，划入预算817.27千元。其中，基本支出817.27千元。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华文中宋" w:eastAsia="仿宋_GB2312"/>
          <w:sz w:val="32"/>
          <w:szCs w:val="32"/>
          <w:lang w:val="en-US" w:eastAsia="zh-CN"/>
        </w:rPr>
      </w:pP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>因吐鲁番市农机安全监理所职能划入，划入预算1848.22千元。其中，基本支出1498.22千元；项目支出350千元。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仿宋_GB2312" w:hAnsi="华文中宋" w:eastAsia="仿宋_GB2312"/>
          <w:sz w:val="32"/>
          <w:szCs w:val="32"/>
          <w:lang w:val="en-US" w:eastAsia="zh-CN"/>
        </w:rPr>
      </w:pP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>因吐鲁番市种子管理站执法监管职能划入，划入预算400.71千元。其中，基本支出400.71千元。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</w:rPr>
        <w:t>“三公”经费变化情况为：公务用车维护费</w:t>
      </w: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>130千</w:t>
      </w:r>
      <w:r>
        <w:rPr>
          <w:rFonts w:hint="eastAsia" w:ascii="仿宋_GB2312" w:hAnsi="华文中宋" w:eastAsia="仿宋_GB2312"/>
          <w:sz w:val="32"/>
          <w:szCs w:val="32"/>
        </w:rPr>
        <w:t>元、公务接待费</w:t>
      </w: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>0千</w:t>
      </w:r>
      <w:r>
        <w:rPr>
          <w:rFonts w:hint="eastAsia" w:ascii="仿宋_GB2312" w:hAnsi="华文中宋" w:eastAsia="仿宋_GB2312"/>
          <w:sz w:val="32"/>
          <w:szCs w:val="32"/>
        </w:rPr>
        <w:t>元、公务出国费用</w:t>
      </w: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>0千</w:t>
      </w:r>
      <w:r>
        <w:rPr>
          <w:rFonts w:hint="eastAsia" w:ascii="仿宋_GB2312" w:hAnsi="华文中宋" w:eastAsia="仿宋_GB2312"/>
          <w:sz w:val="32"/>
          <w:szCs w:val="32"/>
        </w:rPr>
        <w:t>元。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theme="minorBidi"/>
          <w:kern w:val="2"/>
          <w:sz w:val="32"/>
          <w:szCs w:val="32"/>
          <w:lang w:val="en-US" w:eastAsia="zh-CN" w:bidi="ar-SA"/>
        </w:rPr>
        <w:t>四、国有资产占用使用调整情况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机构组建后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吐鲁番市农业综合行政执法支队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预算单位占用使用国有资产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变化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情况为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1.房屋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551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平方米，价值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437.38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千元。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2.车辆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辆，价值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1035.70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千元；其中：一般公务用车 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辆，价值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434.70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千元；执法执勤用车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辆，价值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441.10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千元；其他车辆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辆，价值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159.90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千元。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3.办公家具价值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181.16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千元。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4.</w:t>
      </w:r>
      <w:bookmarkStart w:id="0" w:name="_GoBack"/>
      <w:bookmarkEnd w:id="0"/>
      <w:r>
        <w:rPr>
          <w:rFonts w:hint="eastAsia" w:ascii="仿宋_GB2312" w:hAnsi="宋体" w:eastAsia="仿宋_GB2312" w:cs="宋体"/>
          <w:kern w:val="0"/>
          <w:sz w:val="32"/>
          <w:szCs w:val="32"/>
        </w:rPr>
        <w:t>其他资产价值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977.76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千元。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eastAsia" w:ascii="黑体" w:hAnsi="黑体" w:eastAsia="黑体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单位价值50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元以上大型设备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台（套），单位价值100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元以上大型设备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台（套）。</w:t>
      </w: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五</w:t>
      </w:r>
      <w:r>
        <w:rPr>
          <w:rFonts w:hint="eastAsia" w:ascii="黑体" w:hAnsi="黑体" w:eastAsia="黑体"/>
          <w:sz w:val="32"/>
          <w:szCs w:val="32"/>
        </w:rPr>
        <w:t>、绩效目标调整情况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</w:rPr>
        <w:t>因项目金额、性质发生变化，原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吐鲁番市农业综合执法支队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、吐鲁番市农机安全监理所</w:t>
      </w:r>
      <w:r>
        <w:rPr>
          <w:rFonts w:hint="eastAsia" w:ascii="仿宋_GB2312" w:hAnsi="华文中宋" w:eastAsia="仿宋_GB2312"/>
          <w:sz w:val="32"/>
          <w:szCs w:val="32"/>
        </w:rPr>
        <w:t>项目经费绩效目标调整同步调整。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81" w:leftChars="229" w:firstLine="160" w:firstLineChars="50"/>
        <w:textAlignment w:val="auto"/>
        <w:rPr>
          <w:rFonts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</w:rPr>
        <w:t>以上具体情况，详见附件。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83" w:leftChars="135" w:firstLine="320" w:firstLineChars="100"/>
        <w:textAlignment w:val="auto"/>
        <w:rPr>
          <w:rFonts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</w:rPr>
        <w:t>附件</w:t>
      </w:r>
      <w:r>
        <w:rPr>
          <w:rFonts w:hint="eastAsia" w:ascii="仿宋_GB2312" w:hAnsi="华文中宋" w:eastAsia="仿宋_GB2312"/>
          <w:sz w:val="32"/>
          <w:szCs w:val="32"/>
          <w:lang w:eastAsia="zh-CN"/>
        </w:rPr>
        <w:t>：</w:t>
      </w:r>
      <w:r>
        <w:rPr>
          <w:rFonts w:hint="eastAsia" w:ascii="仿宋_GB2312" w:hAnsi="华文中宋" w:eastAsia="仿宋_GB2312"/>
          <w:sz w:val="32"/>
          <w:szCs w:val="32"/>
        </w:rPr>
        <w:t>1</w:t>
      </w: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华文中宋" w:eastAsia="仿宋_GB2312"/>
          <w:sz w:val="32"/>
          <w:szCs w:val="32"/>
          <w:lang w:eastAsia="zh-CN"/>
        </w:rPr>
        <w:t>吐鲁番市农业综合行政执法支队</w:t>
      </w:r>
      <w:r>
        <w:rPr>
          <w:rFonts w:hint="eastAsia" w:ascii="仿宋_GB2312" w:hAnsi="华文中宋" w:eastAsia="仿宋_GB2312"/>
          <w:sz w:val="32"/>
          <w:szCs w:val="32"/>
        </w:rPr>
        <w:t>机构改革预算调整表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华文中宋" w:eastAsia="仿宋_GB2312"/>
          <w:sz w:val="32"/>
          <w:szCs w:val="32"/>
          <w:lang w:val="en-US" w:eastAsia="zh-CN"/>
        </w:rPr>
      </w:pPr>
      <w:r>
        <w:rPr>
          <w:rFonts w:hint="eastAsia" w:ascii="仿宋_GB2312" w:hAnsi="华文中宋" w:eastAsia="仿宋_GB2312"/>
          <w:sz w:val="32"/>
          <w:szCs w:val="32"/>
        </w:rPr>
        <w:t xml:space="preserve">   </w:t>
      </w: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华文中宋" w:eastAsia="仿宋_GB2312"/>
          <w:sz w:val="32"/>
          <w:szCs w:val="32"/>
        </w:rPr>
        <w:t xml:space="preserve"> </w:t>
      </w: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 xml:space="preserve">    2.</w:t>
      </w:r>
      <w:r>
        <w:rPr>
          <w:rFonts w:hint="eastAsia" w:ascii="仿宋_GB2312" w:hAnsi="华文中宋" w:eastAsia="仿宋_GB2312"/>
          <w:sz w:val="32"/>
          <w:szCs w:val="32"/>
          <w:lang w:eastAsia="zh-CN"/>
        </w:rPr>
        <w:t>吐鲁番市农业综合行政执法支队</w:t>
      </w:r>
      <w:r>
        <w:rPr>
          <w:rFonts w:hint="eastAsia" w:ascii="仿宋_GB2312" w:hAnsi="华文中宋" w:eastAsia="仿宋_GB2312"/>
          <w:sz w:val="32"/>
          <w:szCs w:val="32"/>
        </w:rPr>
        <w:t>项目绩效目标调整情况表</w:t>
      </w:r>
      <w:r>
        <w:rPr>
          <w:rFonts w:hint="eastAsia" w:ascii="仿宋_GB2312" w:hAnsi="华文中宋" w:eastAsia="仿宋_GB2312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440" w:leftChars="305" w:hanging="800" w:hangingChars="250"/>
        <w:textAlignment w:val="auto"/>
        <w:rPr>
          <w:rFonts w:hint="eastAsia" w:ascii="仿宋_GB2312" w:hAnsi="华文中宋" w:eastAsia="仿宋_GB2312"/>
          <w:sz w:val="32"/>
          <w:szCs w:val="32"/>
          <w:lang w:eastAsia="zh-CN"/>
        </w:rPr>
      </w:pPr>
    </w:p>
    <w:sectPr>
      <w:pgSz w:w="11906" w:h="16838"/>
      <w:pgMar w:top="2098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74F80AD"/>
    <w:multiLevelType w:val="singleLevel"/>
    <w:tmpl w:val="A74F80AD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79ADE87"/>
    <w:multiLevelType w:val="singleLevel"/>
    <w:tmpl w:val="E79ADE8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F6E0A38B"/>
    <w:multiLevelType w:val="singleLevel"/>
    <w:tmpl w:val="F6E0A38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86A04"/>
    <w:rsid w:val="00033AC7"/>
    <w:rsid w:val="00044DEE"/>
    <w:rsid w:val="000C0E69"/>
    <w:rsid w:val="001168B4"/>
    <w:rsid w:val="00131E13"/>
    <w:rsid w:val="001B4FDF"/>
    <w:rsid w:val="001F68EE"/>
    <w:rsid w:val="00355AB4"/>
    <w:rsid w:val="00397E1A"/>
    <w:rsid w:val="003E3FF0"/>
    <w:rsid w:val="00417C42"/>
    <w:rsid w:val="00426B15"/>
    <w:rsid w:val="004307D9"/>
    <w:rsid w:val="004829ED"/>
    <w:rsid w:val="00492587"/>
    <w:rsid w:val="004C1365"/>
    <w:rsid w:val="00515EA1"/>
    <w:rsid w:val="005775E7"/>
    <w:rsid w:val="00603DA9"/>
    <w:rsid w:val="00611484"/>
    <w:rsid w:val="0067397A"/>
    <w:rsid w:val="00713EE5"/>
    <w:rsid w:val="007612CE"/>
    <w:rsid w:val="008633AA"/>
    <w:rsid w:val="00901951"/>
    <w:rsid w:val="009B52E0"/>
    <w:rsid w:val="00B016C1"/>
    <w:rsid w:val="00B8000C"/>
    <w:rsid w:val="00B86A04"/>
    <w:rsid w:val="00BC29E5"/>
    <w:rsid w:val="00C11480"/>
    <w:rsid w:val="00C757AD"/>
    <w:rsid w:val="00C9683E"/>
    <w:rsid w:val="00D53ED9"/>
    <w:rsid w:val="00DB7D04"/>
    <w:rsid w:val="00DD705E"/>
    <w:rsid w:val="00E0415E"/>
    <w:rsid w:val="00E243D7"/>
    <w:rsid w:val="00F045E5"/>
    <w:rsid w:val="00F15C81"/>
    <w:rsid w:val="00FB4AFB"/>
    <w:rsid w:val="00FD7357"/>
    <w:rsid w:val="026C7C98"/>
    <w:rsid w:val="02BC470D"/>
    <w:rsid w:val="107D0A8C"/>
    <w:rsid w:val="11C54457"/>
    <w:rsid w:val="12714323"/>
    <w:rsid w:val="12720E58"/>
    <w:rsid w:val="19C772FF"/>
    <w:rsid w:val="219C31D7"/>
    <w:rsid w:val="221957DF"/>
    <w:rsid w:val="22C87423"/>
    <w:rsid w:val="24394554"/>
    <w:rsid w:val="2E9846B4"/>
    <w:rsid w:val="30A960B0"/>
    <w:rsid w:val="330A1775"/>
    <w:rsid w:val="331513FF"/>
    <w:rsid w:val="34F908B8"/>
    <w:rsid w:val="365338E5"/>
    <w:rsid w:val="38281013"/>
    <w:rsid w:val="38923851"/>
    <w:rsid w:val="3E1E41A7"/>
    <w:rsid w:val="448A3F01"/>
    <w:rsid w:val="482C26BC"/>
    <w:rsid w:val="49673BDB"/>
    <w:rsid w:val="49ED2601"/>
    <w:rsid w:val="4B6177DA"/>
    <w:rsid w:val="4CAB74AB"/>
    <w:rsid w:val="4E9C0050"/>
    <w:rsid w:val="57190795"/>
    <w:rsid w:val="57524B08"/>
    <w:rsid w:val="5AB7450A"/>
    <w:rsid w:val="634B10F3"/>
    <w:rsid w:val="646212CD"/>
    <w:rsid w:val="6AB66876"/>
    <w:rsid w:val="6B9933AE"/>
    <w:rsid w:val="6C6A1339"/>
    <w:rsid w:val="6C7F6DB5"/>
    <w:rsid w:val="6CE769F5"/>
    <w:rsid w:val="73845C2B"/>
    <w:rsid w:val="7A682935"/>
    <w:rsid w:val="7CF7077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377</Words>
  <Characters>2154</Characters>
  <Lines>17</Lines>
  <Paragraphs>5</Paragraphs>
  <TotalTime>136</TotalTime>
  <ScaleCrop>false</ScaleCrop>
  <LinksUpToDate>false</LinksUpToDate>
  <CharactersWithSpaces>2526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2019-03-21T09:04:00Z</dcterms:created>
  <dc:creator>刘大军（预算处）</dc:creator>
  <cp:lastModifiedBy>马延峰</cp:lastModifiedBy>
  <cp:lastPrinted>2019-03-20T02:53:00Z</cp:lastPrinted>
  <dcterms:modified xsi:type="dcterms:W3CDTF">2020-10-09T08:25:01Z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