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新疆吐鲁番市人民代表大会常务委员会办公室2020年度部门决算公开说明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部门单位概况</w:t>
      </w:r>
      <w:r>
        <w:rPr>
          <w:rFonts w:hint="eastAsia" w:ascii="仿宋_GB2312" w:hAnsi="仿宋_GB2312" w:eastAsia="仿宋_GB2312" w:cs="仿宋_GB2312"/>
          <w:b/>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、一般公共预算</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吐鲁番市人大常委会机关设立4个工作委员会、1个综合办事机构，机构规格均为正处级。（一）工作委员会1.代表人事工作委员会。组织代表对人大有关换届选举、人事任免、代表工作和自身建设方面的法律、法规和上级、本级人大及其常委会作出的有关决议、决定执行情况进行监督检查；负责全国和自治区人大及其常委会制定的相关法律、法规（草案）征求意见的具体工作；承办本级人大及其常委会换届选举、人事任免、联系本级和在本行政区域的上级人大代表的具体工作；负责与区县人大常委会的联系和人大代表、人大干部的培训工作；负责对区县、乡（镇）人大换届选举的指导和村民委员会换届选举法律监督的具体工作；承办本级人大代表和常委会委员执行职务的相关工作；承担本级人民代表大会方案审查委员会、人大常委会代表资格审查委员会的具体工作；对本级人民政府发布的有关规范性文件、下级人大及其常委会作出的有关决议、决定进行研究，对其中与宪法和法律、法规相抵触的，向主任会议提出纠正意见的报告；与市“一府两院”有关工作部门进行联系；负责市人大代表议案和建议、批评、意见的转交及督办等具体工作；承办市人大代表关于换届选举、人事任免、代表工作和自身建设方面的议案和建议、批评、意见的答复、办理工作；办理常委会领导交办的其他事项。2.财政经济工作委员会。组织、协调、督促和参与有关财政经济、农业与农村工作、环境与资源保护、城建等方面的单行条例的起草、修改等具体工作；负责全国和自治区人大及其常委会制定的相关法律、法规（草案）征求意见的具体工作；组织代表对财政经济、农业与农村工作、环境与资源保护、城建方面的法律、法规和上级、本级人大及其常委会作出的有关决议、决定执行情况进行检查；对有关的重大问题进行调查研究，提出意见和建议；对国民经济和社会发展计划（草案）、财政预算（草案）、决算（草案）及国民经济和社会发展计划、预算的部分变更进行初审；对本级人民政府发布的有关规范性文件、下级人大及其常委会作出的有关决议、决定进行研究，对其中与宪法、法律、法规相抵触的，向主任会议提出纠正意见的报告；与本级人民政府有关工作部门进行联系；负责人大代表关于财政经济、农业与农村工作、环境与资源保护、城建方面的议案和建议、批评、意见的承办工作；办理常委会领导交办的其他事项。3.教育科学文化卫生工作委员会。组织、协调、督促和参与有关教育、科学、文化、卫生等方面的单行条例的起草、修改等具体工作；负责全国和自治区人大及其常委会制定的相关法律、法规（草案）征求意见的具体工作；组织代表对教科文卫方面的法律、法规和上级、本级人大及其常委会作出的有关决议、决定执行情况进行检查；对有关的重大问题进行调查研究，提出意见和建议；对本级人民政府发布的有关规范性文件、下级人大及其常委会作出的有关决议、决定进行研究，对其中与宪法和法律、法规相抵触的，向主任会议提出纠正意见的报告；与本级人民政府有关工作部门进行联系；负责市人大代表关于教科文卫工作方面的议案和建议、批评、意见的承办、督办工作；办理常委会领导交办的其他事项。4.法制民族宗教侨务工作委员会。组织并参与有关地方条例（法规）的论证、起草、修改等具体工作；会同有关工作委员会，根据各代表团、常委会组成人员的审议意见，对法规案进行修改，提出草案修改稿和审议结果的报告稿，提请市人民代表大会法制委员会审议；参与</w:t>
      </w:r>
      <w:r>
        <w:rPr>
          <w:rFonts w:hint="eastAsia" w:ascii="仿宋_GB2312" w:eastAsia="仿宋_GB2312"/>
          <w:sz w:val="32"/>
          <w:szCs w:val="32"/>
          <w:highlight w:val="none"/>
          <w:lang w:eastAsia="zh-CN"/>
        </w:rPr>
        <w:t>法治宣传教育</w:t>
      </w:r>
      <w:r>
        <w:rPr>
          <w:rFonts w:hint="eastAsia" w:ascii="仿宋_GB2312" w:eastAsia="仿宋_GB2312"/>
          <w:sz w:val="32"/>
          <w:szCs w:val="32"/>
          <w:highlight w:val="none"/>
        </w:rPr>
        <w:t>和依法治市的相关工作；负责全国和自治区人大及其常委会制定的法律、法规（草案）征求意见的具体工作；组织代表检查了解法制和内务司法工作方面的法律、法规和上级、本级人大及其常委会作出的有关决议、决定的执行情况；对市内务司法部门工作和执法情况进行调查研究，对其发布的规范性文件和下级人大及其常委会作出的有关决议、决定进行研究，对其中与宪法和法律、法规相抵触的，向主任会议提出纠正意见的报告；与本级内务司法工作部门进行联系；受理人民群众的检举、控告和诉讼性案件的申诉；负责市人大代表关于法制和内务司法工作方面的议案和建议、批评、意见的承办、督办工作；办理常委会领导交办的其他事项。组织代表对民族、宗教、外事、侨务、旅游方面的法律、法规和上级、本级人大及其常委会的有关决议、决定执行情况进行检查；对有关的重大问题进行调查研究，提出意见和建议；对本级人民政府发布的有关规范性文件、下级人大及其常委会作出的有关决议、决定进行研究，对其中与宪法和法律、法规相抵触的，向主任会议提出纠正意见的报告；与本级人民政府有关工作部门进行联系；负责市人大代表关于民族、宗教、外事、侨务、旅游等工作方面的议案和建议、批评、意见的承办、督办工作；办理常委会领导交办的其他事项。法制民族宗教侨务工作委员会下设：规范性文件备案审查中心，机构规格科级，全额事业管理岗编制。（二）综合办事机构。1.办公室：负责常委会党组、主任会议决定事项的组织实施和督促检查；负责人民代表大会、常务委员会议和主任会议及其他重要会议的文秘、会务工作；草拟有关报告、文电和领导讲话稿；负责人民代表大会制度的研究与宣传工作；收集整理人大工作信息；负责常委会机关人事、老干、保卫、信访、接待、财务和后勤工作；办理常委会领导交办的其他事项。办公室内设秘书科、行政科、文书科3个科室，机构规格均为科级。2.秘书科：负责人大党组会议、全委会议、常务委员会议、主任会议等会议讲话及各类文字材料的起草工作；随同领导活动，承办活动方案的拟订和联系协调服务工作；负责人大宣传、信息、翻译等工作；承办办公室交办的其他事项。3.行政科：承担人大机关的日常服务工作，负责车辆、财务、机关卫生、安全、工资、福利等行政事务，负责各类会议的会务保障，负责精神文明建设具体工作，负责完成办公室交办的其他事项。4.文书科：承办领导批示的转送和催办、督办事项；负责机关文电处理、档案、保密、信访、老干部等工作；负责完成办公室交办的其他事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新疆吐鲁番市人民代表大会常务委员会办公室2020年度，实有人数63人，其中：在职人员37人，离休人员0人，退休人员26人。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吐鲁番市人民代表大会常务委员会办公室部门决算包括：新疆吐鲁番市人民代表大会常务委员会办公室决算。单位无下属预算单位，下设5个处室，分别是：代表人事工作委员会、财政经济工作委员会、教育科学文化卫生工作委员会、法制民族宗教侨务工作委员会、办公室。</w:t>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12566"/>
      <w:bookmarkStart w:id="9" w:name="_Toc25314"/>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本年收入820.55万元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减少16.98万元，降低2.03%</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：财政拨款较上年减少60万元，其他收入自治区人大补助经费较上年增加43.02万元，全年经费收入较上年减少16.98万元。本年支出820.55万元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与上年相比</w:t>
      </w:r>
      <w:r>
        <w:rPr>
          <w:rFonts w:hint="eastAsia" w:ascii="仿宋_GB2312" w:eastAsia="仿宋_GB2312"/>
          <w:sz w:val="32"/>
          <w:szCs w:val="32"/>
          <w:highlight w:val="none"/>
          <w:lang w:eastAsia="zh-CN"/>
        </w:rPr>
        <w:t>，减少16.98万元，降低2.03%，主要原因是</w:t>
      </w:r>
      <w:r>
        <w:rPr>
          <w:rFonts w:hint="eastAsia" w:ascii="仿宋_GB2312" w:eastAsia="仿宋_GB2312"/>
          <w:sz w:val="32"/>
          <w:szCs w:val="32"/>
          <w:highlight w:val="none"/>
        </w:rPr>
        <w:t>：新招录2名工作人员，人员经费支出增加，基本支出较上年增加53.3万元；因工作计划变动，部分项目没有开展，项目经费较上年减少70.3万元，全年经费收入较上年减少16.98万元。</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979"/>
      <w:bookmarkStart w:id="11" w:name="_Toc12142"/>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820.55万元，其中：财政拨款收入775.50万元，占94.51%；上级补助收入0.00万元，占0.00%；事业收入0.00万元，占0.00%；经营收入0.00万元，占0.00%；附属单位上缴收入0.00万元，占0.00%；其他收入45.05万元，占5.49%。</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本年支出820.55万元，其中：基本支出735.13万元，占89.59%；项目支出85.42万元，占10.41%；上缴上级支出0.00万元，占0.00%；经营支出0.00万元，占0.00%；对附属单位补助支出0.00万元，占0.00%。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财政拨款收入775.50万元，与上年相比，减少60.00万元，降低7.18%。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新招录2名工作人员，人员经费支出增加，财政拨款基本支出较上年增加10.3万元；因工作计划变动，部分项目没有开展，项目经费较上年减少70.3万元，全年经费收入较上年减少60万元。财政拨款支出775.50万元，与上年相比，减少60.00万元，降低7.18%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：新招录2名工作人员，人员经费支出增加，财政拨款基本支出较上年增加10.3万元；因工作计划变动，部分项目没有开展，项目经费支出较上年减少70.3万元，财政拨款全年经费较上年减少60万元。</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与年初预算数相比情况：财政拨款收入年初预算数731.95万元，决算数775.50万元，预决算差异率5.95%，</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新招录2名工作人员人员经费、机关工作人员37人考核称职工资调资、绩效奖励金没有列入年初预算。财政拨款支出年初预算数731.95万元，决算数775.50万元，预决算差异率5.95%，</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新招录2名工作人员人员经费、机关工作人员37人考核称职工资调资、绩效奖励金没有列入年初预算。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13833"/>
      <w:bookmarkStart w:id="17" w:name="_Toc20360"/>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一般公共预算财政拨款支出775.50万元。</w:t>
      </w:r>
      <w:r>
        <w:rPr>
          <w:rFonts w:hint="eastAsia" w:ascii="仿宋_GB2312" w:eastAsia="仿宋_GB2312"/>
          <w:sz w:val="32"/>
          <w:szCs w:val="32"/>
        </w:rPr>
        <w:t>按功能分类科目</w:t>
      </w:r>
      <w:r>
        <w:rPr>
          <w:rFonts w:hint="eastAsia" w:ascii="仿宋_GB2312" w:eastAsia="仿宋_GB2312"/>
          <w:sz w:val="32"/>
          <w:szCs w:val="32"/>
          <w:lang w:eastAsia="zh-CN"/>
        </w:rPr>
        <w:t>项</w:t>
      </w:r>
      <w:r>
        <w:rPr>
          <w:rFonts w:hint="eastAsia" w:ascii="仿宋_GB2312" w:eastAsia="仿宋_GB2312"/>
          <w:sz w:val="32"/>
          <w:szCs w:val="32"/>
        </w:rPr>
        <w:t>级科目公开</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2010101行政运行536.60万元；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2010102一般行政管理事务25.00万元；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2010104人大会议51.42万元；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2010105人大立法4.00万元；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2010199其他人大事务支出5.00万元；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2080505机关事业单位基本养老保险缴费支出54.07万元；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2080506机关事业单位职业年金缴费支出11.67万元；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2101101行政单位医疗35.95万元；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2101103公务员医疗补助11.13万元；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2210201住房公积金40.65万元。</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11146"/>
      <w:bookmarkStart w:id="19" w:name="_Toc30870"/>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2020年度一般公共预算财政拨款基本支出690.08万元，其中：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633.28万元，包括：基本工资、津贴补贴、奖金、伙食补助费、绩效工资、机关事业单位基本养老保险费、职业年金缴费、职工基本医疗保险缴费、公务员医疗补助缴费、其他社会保障缴费、住房公积金、退休费。</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公用经费56.80万元，包括：办公费、印刷费、电费、邮电费、差旅费、会议费、劳务费、工会经费、公务用车运行维护费。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7190"/>
      <w:bookmarkStart w:id="21" w:name="_Toc21518"/>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、一般公共预算</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三公”经费支出决算26.05万元，比上年减少15.17万元，降低36.80%，主要原因是：车辆使用减少，运行维护费降低。其中，因公出国（境）费支出0.00万元，占0.00%，比上年增加0.00万元，增长0.00%，主要原因是：出国（境）费支出未安排预算；公务用车购置及运行维护费支出26.05万元，占100.00%，比上年减少15.17万元，降低36.80%，主要原因是：车辆使用减少，运行维护费降低；公务接待费支出0.00万元，占0.00%，比上年增加0.00万元，增长0.00%，主要原因是：公务接待费支出未安排预算。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因公出国（境）费支出0.00万元,开支内容包括：未安排预算。单位全年安排的因公出国（境）团组0个，因公出国（境）0人次。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26.05万元,其中，公务用车购置费0.00万元，公务用车运行维护费26.05万元。公务用车运行维护费开支内容包括车辆保险、燃油、维修保养，过路费、停车费等。公务用车购置数0辆，公务用车保有量6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公务接待费0.00万元。开支内容包括未安排预算。单位全年安排的国内公务接待0批次，0人次。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与年初预算数相比情况：一般公共预算“三公”经费支出年初预算数32.33万元，决算数26.05万元，预决算差异率-19.43%，主要原因是：车辆使用减少，运行维护费，维修费用降低。</w:t>
      </w:r>
      <w:r>
        <w:rPr>
          <w:rFonts w:hint="eastAsia" w:ascii="仿宋_GB2312" w:eastAsia="仿宋_GB2312"/>
          <w:sz w:val="32"/>
          <w:szCs w:val="32"/>
          <w:highlight w:val="none"/>
          <w:lang w:eastAsia="zh-CN"/>
        </w:rPr>
        <w:t>其中：因公出国（境）费预算数0.00万元，决算数0.00万元，预决算差异率0.00%，主要原因是：出国（境）费未安排预算；</w:t>
      </w:r>
      <w:r>
        <w:rPr>
          <w:rFonts w:hint="eastAsia" w:ascii="仿宋_GB2312" w:eastAsia="仿宋_GB2312"/>
          <w:sz w:val="32"/>
          <w:szCs w:val="32"/>
          <w:highlight w:val="none"/>
        </w:rPr>
        <w:t>公务用车购置预算数0.00万元，决算数0.00万元，预决算差异率0.00%，主要原因是：公务用车购置未安排预算；</w:t>
      </w:r>
      <w:r>
        <w:rPr>
          <w:rFonts w:hint="eastAsia" w:ascii="仿宋_GB2312" w:hAnsi="宋体" w:eastAsia="仿宋_GB2312" w:cs="宋体"/>
          <w:kern w:val="0"/>
          <w:sz w:val="32"/>
          <w:szCs w:val="32"/>
          <w:highlight w:val="none"/>
        </w:rPr>
        <w:t>公务用车运行费预算数32.33万元，决算数26.05万元，预决算差异率-19.43%，主要原因是：车辆使用减少，运行维护费：维修费用降低；</w:t>
      </w:r>
      <w:r>
        <w:rPr>
          <w:rFonts w:hint="eastAsia" w:ascii="仿宋_GB2312" w:eastAsia="仿宋_GB2312"/>
          <w:sz w:val="32"/>
          <w:szCs w:val="32"/>
          <w:highlight w:val="none"/>
        </w:rPr>
        <w:t>公务接待费预算数0.00万元，决算数0.00万元，预决算差异率0.00%，主要原因是：公务接待费未安排预算。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7927"/>
      <w:bookmarkStart w:id="23" w:name="_Toc5810"/>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3105"/>
      <w:bookmarkStart w:id="27"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2020年度新疆吐鲁番市人民代表大会常务委员会办公室（行政单位和参照公务员法管理事业单位）机关运行经费支出56.80万元，比上年增加14.60万元，增长34.60%，主要原因是：机关运行费主要新增办公楼垃圾清运费1万元、夏季空调制冷费5万元，冬季办公楼取暖费新增3万元，因工作安排到社区及单位值守人员办公费。</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6704"/>
      <w:bookmarkStart w:id="29" w:name="_Toc227"/>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2020年度政府采购支出总额0.00万元，其中：政府采购货物支出0.00万元、政府采购工程支出0.00万元、政府采购服务支出0.00万元。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4591"/>
      <w:bookmarkStart w:id="31" w:name="_Toc83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至2020年12月31日，单位共有房屋0.00（平方米），价值0.00万元。车辆6辆，价值233.81万元，副部（省）级及以上领导用车0辆、主要领导干部用车4辆、机要通信用车0辆、应急保障用车0辆、执法执勤用车0辆、特种专业技术用车0辆、离退休干部用车2辆、其他用车0辆，其他用车主要是：无其他车辆；单位价值50万元以上通用设备0台（套）、单位价值100万元以上专用设备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435"/>
      <w:bookmarkStart w:id="33" w:name="_Toc11283"/>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2020年度开展预算绩效评价项目8个，共涉及资金100.42万元。预算绩效管理取得的成效：一是通过绩效管理，对资金支进行监督，及时进行纠正，确保每笔资金的使用都产生一定的绩效，并以此保障单位工作的顺畅实施；二是保障工作按照计划推进。健全绩效管理工作机制，明确职责分工，提高了我单位绩效管理工作水平。发现的问题及原因：一是业务水平欠缺，在绩效目标编制上依然有些问题，如绩效目标设置不合理等。预算编制工作有待于细化，预算编制不够明确和细化，预算编制的合理性需要提高，预算执行力度还要进一下加强；二是对项目进行绩效监控，但绩效分析也不够透彻。存在重资金使用、轻绩效监控管理的问题，在工作中侧重于资金支出管理的合理性和规范性，对绩效监控管理工作认识还不到位。下一步改进措施：一是进一步细化绩效目标设立，绩效目标的设置做到明确、易量化。细化预算编制工作，认真做好预算的编制，进一步加强预算管理意识，严格按照预算编制的相关制度和要求进行预算编制；二是进一步加强绩效工作人员的培训和学习。加强单位绩效监控管理工作，提高资金使用意识，增强绩效观念和绩效意识，加强资金监控管理工作。具体项目自评情况附项目支出绩效自评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4" w:name="_Toc24143"/>
      <w:bookmarkStart w:id="35" w:name="_Toc3250"/>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6" w:name="_Toc28903"/>
      <w:bookmarkStart w:id="37" w:name="_Toc22784"/>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6062"/>
      <w:bookmarkStart w:id="39" w:name="_Toc2183"/>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30364"/>
      <w:bookmarkStart w:id="41" w:name="_Toc24532"/>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21304"/>
      <w:bookmarkStart w:id="43" w:name="_Toc3243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14238"/>
      <w:bookmarkStart w:id="45" w:name="_Toc28786"/>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5626"/>
      <w:bookmarkStart w:id="49" w:name="_Toc8884"/>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七、《一般公共预算财政拨款“三公”经费支出决算表》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5453"/>
      <w:bookmarkStart w:id="53" w:name="_Toc764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p>
      <w:bookmarkStart w:id="54" w:name="_GoBack"/>
      <w:bookmarkEnd w:id="54"/>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00"/>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path/>
              <v:fill on="f" focussize="0,0"/>
              <v:stroke on="f"/>
              <v:imagedata o:title=""/>
              <o:lock v:ext="edit" aspectratio="f"/>
              <v:textbox inset="0mm,0mm,0mm,0mm" style="mso-fit-shape-to-text:t;">
                <w:txbxContent>
                  <w:p>
                    <w:pPr>
                      <w:pStyle w:val="3"/>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CD5716"/>
    <w:rsid w:val="03CD5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snapToGrid w:val="0"/>
      <w:jc w:val="left"/>
    </w:pPr>
    <w:rPr>
      <w:sz w:val="18"/>
    </w:rPr>
  </w:style>
  <w:style w:type="paragraph" w:styleId="4">
    <w:name w:val="toc 1"/>
    <w:basedOn w:val="1"/>
    <w:next w:val="1"/>
    <w:uiPriority w:val="0"/>
  </w:style>
  <w:style w:type="paragraph" w:styleId="5">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Office_11.8.2.12316_F1E327BC-269C-435d-A152-05C5408002CA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2025-08-22T04:56:00Z</dcterms:created>
  <dc:creator>Administrator</dc:creator>
  <cp:lastModifiedBy>Administrator</cp:lastModifiedBy>
  <dcterms:modified xsi:type="dcterms:W3CDTF">2025-08-22T04:56:43Z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2052-11.8.2.12316</vt:lpwstr>
  </property>
  <property fmtid="{D5CDD505-2E9C-101B-9397-08002B2CF9AE}" pid="3" name="ICV">
    <vt:lpwstr>F9598C3E10354BB59F4FAD08811C11DE</vt:lpwstr>
  </property>
</Properties>
</file>