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776BA">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吐鲁番市本级机关养老保险（改革）基金支出绩效评价报告</w:t>
      </w:r>
    </w:p>
    <w:p w14:paraId="54358652">
      <w:pPr>
        <w:spacing w:line="560" w:lineRule="exact"/>
        <w:jc w:val="center"/>
        <w:rPr>
          <w:rFonts w:ascii="黑体" w:hAnsi="黑体" w:eastAsia="黑体" w:cs="黑体"/>
          <w:b/>
          <w:kern w:val="0"/>
          <w:sz w:val="48"/>
          <w:szCs w:val="48"/>
        </w:rPr>
      </w:pPr>
    </w:p>
    <w:p w14:paraId="416CA155">
      <w:pPr>
        <w:spacing w:line="560" w:lineRule="exact"/>
        <w:jc w:val="center"/>
        <w:rPr>
          <w:rFonts w:ascii="黑体" w:hAnsi="黑体" w:eastAsia="黑体" w:cs="黑体"/>
          <w:b/>
          <w:kern w:val="0"/>
          <w:sz w:val="48"/>
          <w:szCs w:val="48"/>
        </w:rPr>
      </w:pPr>
      <w:r>
        <w:rPr>
          <w:rFonts w:hint="eastAsia" w:ascii="黑体" w:hAnsi="黑体" w:eastAsia="黑体" w:cs="黑体"/>
          <w:b/>
          <w:kern w:val="0"/>
          <w:sz w:val="48"/>
          <w:szCs w:val="48"/>
        </w:rPr>
        <w:t>（</w:t>
      </w:r>
      <w:r>
        <w:rPr>
          <w:rFonts w:ascii="黑体" w:hAnsi="黑体" w:eastAsia="黑体" w:cs="黑体"/>
          <w:b/>
          <w:kern w:val="0"/>
          <w:sz w:val="48"/>
          <w:szCs w:val="48"/>
        </w:rPr>
        <w:t>20</w:t>
      </w:r>
      <w:r>
        <w:rPr>
          <w:rFonts w:hint="eastAsia" w:ascii="黑体" w:hAnsi="黑体" w:eastAsia="黑体" w:cs="黑体"/>
          <w:b/>
          <w:kern w:val="0"/>
          <w:sz w:val="48"/>
          <w:szCs w:val="48"/>
        </w:rPr>
        <w:t>22年度）</w:t>
      </w:r>
    </w:p>
    <w:p w14:paraId="3CF82B2A">
      <w:pPr>
        <w:spacing w:line="560" w:lineRule="exact"/>
        <w:jc w:val="center"/>
        <w:rPr>
          <w:rFonts w:ascii="仿宋_GB2312" w:hAnsi="仿宋_GB2312" w:eastAsia="仿宋_GB2312" w:cs="仿宋_GB2312"/>
          <w:bCs/>
          <w:kern w:val="0"/>
          <w:sz w:val="30"/>
          <w:szCs w:val="30"/>
        </w:rPr>
      </w:pPr>
    </w:p>
    <w:p w14:paraId="2ED55F19">
      <w:pPr>
        <w:spacing w:line="560" w:lineRule="exact"/>
        <w:jc w:val="center"/>
        <w:rPr>
          <w:rFonts w:ascii="仿宋_GB2312" w:hAnsi="仿宋_GB2312" w:eastAsia="仿宋_GB2312" w:cs="仿宋_GB2312"/>
          <w:bCs/>
          <w:kern w:val="0"/>
          <w:sz w:val="30"/>
          <w:szCs w:val="30"/>
        </w:rPr>
      </w:pPr>
    </w:p>
    <w:p w14:paraId="04AF1C45">
      <w:pPr>
        <w:spacing w:line="560" w:lineRule="exact"/>
        <w:rPr>
          <w:rFonts w:ascii="仿宋_GB2312" w:hAnsi="仿宋_GB2312" w:eastAsia="仿宋_GB2312" w:cs="仿宋_GB2312"/>
          <w:bCs/>
          <w:kern w:val="0"/>
          <w:sz w:val="30"/>
          <w:szCs w:val="30"/>
        </w:rPr>
      </w:pPr>
    </w:p>
    <w:p w14:paraId="32A625EF">
      <w:pPr>
        <w:spacing w:line="560" w:lineRule="exact"/>
        <w:rPr>
          <w:rFonts w:ascii="仿宋_GB2312" w:hAnsi="仿宋_GB2312" w:eastAsia="仿宋_GB2312" w:cs="仿宋_GB2312"/>
          <w:bCs/>
          <w:kern w:val="0"/>
          <w:sz w:val="30"/>
          <w:szCs w:val="30"/>
        </w:rPr>
      </w:pPr>
    </w:p>
    <w:p w14:paraId="6634EA60">
      <w:pPr>
        <w:spacing w:line="560" w:lineRule="exact"/>
        <w:rPr>
          <w:rFonts w:ascii="仿宋_GB2312" w:hAnsi="仿宋_GB2312" w:eastAsia="仿宋_GB2312" w:cs="仿宋_GB2312"/>
          <w:bCs/>
          <w:kern w:val="0"/>
          <w:sz w:val="30"/>
          <w:szCs w:val="30"/>
        </w:rPr>
      </w:pPr>
    </w:p>
    <w:p w14:paraId="2BD329A0">
      <w:pPr>
        <w:spacing w:line="560" w:lineRule="exact"/>
        <w:rPr>
          <w:rFonts w:ascii="仿宋_GB2312" w:hAnsi="仿宋_GB2312" w:eastAsia="仿宋_GB2312" w:cs="仿宋_GB2312"/>
          <w:bCs/>
          <w:kern w:val="0"/>
          <w:sz w:val="30"/>
          <w:szCs w:val="30"/>
        </w:rPr>
      </w:pPr>
    </w:p>
    <w:p w14:paraId="4CE00497">
      <w:pPr>
        <w:spacing w:line="560" w:lineRule="exact"/>
        <w:rPr>
          <w:rFonts w:ascii="仿宋_GB2312" w:hAnsi="仿宋_GB2312" w:eastAsia="仿宋_GB2312" w:cs="仿宋_GB2312"/>
          <w:bCs/>
          <w:kern w:val="0"/>
          <w:sz w:val="30"/>
          <w:szCs w:val="30"/>
        </w:rPr>
      </w:pPr>
    </w:p>
    <w:p w14:paraId="23F3CE11">
      <w:pPr>
        <w:spacing w:line="560" w:lineRule="exact"/>
        <w:rPr>
          <w:rFonts w:ascii="仿宋_GB2312" w:hAnsi="仿宋_GB2312" w:eastAsia="仿宋_GB2312" w:cs="仿宋_GB2312"/>
          <w:bCs/>
          <w:kern w:val="0"/>
          <w:sz w:val="30"/>
          <w:szCs w:val="30"/>
        </w:rPr>
      </w:pPr>
    </w:p>
    <w:p w14:paraId="344CE52D">
      <w:pPr>
        <w:spacing w:line="560" w:lineRule="exact"/>
        <w:ind w:firstLine="600" w:firstLineChars="200"/>
        <w:jc w:val="left"/>
        <w:rPr>
          <w:rFonts w:ascii="黑体" w:hAnsi="黑体" w:eastAsia="黑体" w:cs="黑体"/>
          <w:bCs/>
          <w:kern w:val="0"/>
          <w:sz w:val="32"/>
          <w:szCs w:val="32"/>
        </w:rPr>
      </w:pPr>
      <w:r>
        <w:rPr>
          <w:rFonts w:ascii="黑体" w:hAnsi="黑体" w:eastAsia="黑体" w:cs="黑体"/>
          <w:bCs/>
          <w:kern w:val="0"/>
          <w:sz w:val="30"/>
          <w:szCs w:val="30"/>
        </w:rPr>
        <w:t xml:space="preserve"> </w:t>
      </w:r>
      <w:r>
        <w:rPr>
          <w:rFonts w:hint="eastAsia" w:ascii="黑体" w:hAnsi="黑体" w:eastAsia="黑体" w:cs="黑体"/>
          <w:bCs/>
          <w:kern w:val="0"/>
          <w:sz w:val="32"/>
          <w:szCs w:val="32"/>
        </w:rPr>
        <w:t>项目名称：机关事业养老保险（改革）基金支出</w:t>
      </w:r>
    </w:p>
    <w:p w14:paraId="4D4832E0">
      <w:pPr>
        <w:spacing w:line="560" w:lineRule="exact"/>
        <w:jc w:val="left"/>
        <w:rPr>
          <w:rFonts w:ascii="黑体" w:hAnsi="黑体" w:eastAsia="黑体" w:cs="黑体"/>
          <w:bCs/>
          <w:kern w:val="0"/>
          <w:sz w:val="32"/>
          <w:szCs w:val="32"/>
        </w:rPr>
      </w:pPr>
    </w:p>
    <w:p w14:paraId="5C9CCF90">
      <w:pPr>
        <w:spacing w:line="560" w:lineRule="exact"/>
        <w:jc w:val="left"/>
        <w:rPr>
          <w:rFonts w:ascii="黑体" w:hAnsi="黑体" w:eastAsia="黑体" w:cs="黑体"/>
          <w:bCs/>
          <w:kern w:val="0"/>
          <w:sz w:val="32"/>
          <w:szCs w:val="32"/>
        </w:rPr>
      </w:pPr>
      <w:r>
        <w:rPr>
          <w:rFonts w:ascii="黑体" w:hAnsi="黑体" w:eastAsia="黑体" w:cs="黑体"/>
          <w:bCs/>
          <w:kern w:val="0"/>
          <w:sz w:val="32"/>
          <w:szCs w:val="32"/>
        </w:rPr>
        <w:t xml:space="preserve">     </w:t>
      </w:r>
      <w:r>
        <w:rPr>
          <w:rFonts w:hint="eastAsia" w:ascii="黑体" w:hAnsi="黑体" w:eastAsia="黑体" w:cs="黑体"/>
          <w:bCs/>
          <w:kern w:val="0"/>
          <w:sz w:val="32"/>
          <w:szCs w:val="32"/>
        </w:rPr>
        <w:t>实施单位（公章）：吐鲁番市社会保险中心</w:t>
      </w:r>
    </w:p>
    <w:p w14:paraId="12DDABF8">
      <w:pPr>
        <w:pStyle w:val="2"/>
      </w:pPr>
    </w:p>
    <w:p w14:paraId="495198D7">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负责人（签章）：雷斌</w:t>
      </w:r>
    </w:p>
    <w:p w14:paraId="3F7FC13C">
      <w:pPr>
        <w:pStyle w:val="2"/>
      </w:pPr>
    </w:p>
    <w:p w14:paraId="3F084DAC">
      <w:pPr>
        <w:spacing w:line="560" w:lineRule="exact"/>
        <w:ind w:firstLine="755" w:firstLineChars="236"/>
        <w:jc w:val="left"/>
        <w:rPr>
          <w:rFonts w:ascii="黑体" w:hAnsi="黑体" w:eastAsia="黑体" w:cs="黑体"/>
          <w:bCs/>
          <w:kern w:val="0"/>
          <w:sz w:val="32"/>
          <w:szCs w:val="32"/>
        </w:rPr>
      </w:pPr>
      <w:r>
        <w:rPr>
          <w:rFonts w:hint="eastAsia" w:ascii="黑体" w:hAnsi="黑体" w:eastAsia="黑体" w:cs="黑体"/>
          <w:bCs/>
          <w:kern w:val="0"/>
          <w:sz w:val="32"/>
          <w:szCs w:val="32"/>
        </w:rPr>
        <w:t>填报时间：</w:t>
      </w:r>
      <w:r>
        <w:rPr>
          <w:rFonts w:ascii="黑体" w:hAnsi="黑体" w:eastAsia="黑体" w:cs="黑体"/>
          <w:bCs/>
          <w:kern w:val="0"/>
          <w:sz w:val="32"/>
          <w:szCs w:val="32"/>
        </w:rPr>
        <w:t xml:space="preserve"> 20</w:t>
      </w:r>
      <w:r>
        <w:rPr>
          <w:rFonts w:hint="eastAsia" w:ascii="黑体" w:hAnsi="黑体" w:eastAsia="黑体" w:cs="黑体"/>
          <w:bCs/>
          <w:kern w:val="0"/>
          <w:sz w:val="32"/>
          <w:szCs w:val="32"/>
        </w:rPr>
        <w:t>23年</w:t>
      </w:r>
      <w:r>
        <w:rPr>
          <w:rFonts w:ascii="黑体" w:hAnsi="黑体" w:eastAsia="黑体" w:cs="黑体"/>
          <w:bCs/>
          <w:kern w:val="0"/>
          <w:sz w:val="32"/>
          <w:szCs w:val="32"/>
        </w:rPr>
        <w:t xml:space="preserve"> </w:t>
      </w:r>
      <w:r>
        <w:rPr>
          <w:rFonts w:hint="eastAsia" w:ascii="黑体" w:hAnsi="黑体" w:eastAsia="黑体" w:cs="黑体"/>
          <w:bCs/>
          <w:kern w:val="0"/>
          <w:sz w:val="32"/>
          <w:szCs w:val="32"/>
        </w:rPr>
        <w:t>9月</w:t>
      </w:r>
      <w:r>
        <w:rPr>
          <w:rFonts w:ascii="黑体" w:hAnsi="黑体" w:eastAsia="黑体" w:cs="黑体"/>
          <w:bCs/>
          <w:kern w:val="0"/>
          <w:sz w:val="32"/>
          <w:szCs w:val="32"/>
        </w:rPr>
        <w:t xml:space="preserve"> </w:t>
      </w:r>
      <w:r>
        <w:rPr>
          <w:rFonts w:hint="eastAsia" w:ascii="黑体" w:hAnsi="黑体" w:eastAsia="黑体" w:cs="黑体"/>
          <w:bCs/>
          <w:kern w:val="0"/>
          <w:sz w:val="32"/>
          <w:szCs w:val="32"/>
        </w:rPr>
        <w:t>11日</w:t>
      </w:r>
    </w:p>
    <w:p w14:paraId="23D15F6E">
      <w:pPr>
        <w:spacing w:line="560" w:lineRule="exact"/>
        <w:ind w:firstLine="640"/>
        <w:rPr>
          <w:rStyle w:val="5"/>
          <w:rFonts w:ascii="仿宋_GB2312" w:hAnsi="仿宋_GB2312" w:eastAsia="仿宋_GB2312" w:cs="仿宋_GB2312"/>
          <w:bCs w:val="0"/>
          <w:spacing w:val="-4"/>
          <w:sz w:val="30"/>
          <w:szCs w:val="30"/>
        </w:rPr>
      </w:pPr>
    </w:p>
    <w:p w14:paraId="1E10C9FC">
      <w:pPr>
        <w:pStyle w:val="2"/>
        <w:rPr>
          <w:rStyle w:val="5"/>
          <w:rFonts w:ascii="仿宋_GB2312" w:hAnsi="仿宋_GB2312" w:eastAsia="仿宋_GB2312" w:cs="仿宋_GB2312"/>
          <w:b/>
          <w:bCs w:val="0"/>
          <w:spacing w:val="-4"/>
          <w:sz w:val="30"/>
          <w:szCs w:val="30"/>
        </w:rPr>
      </w:pPr>
    </w:p>
    <w:p w14:paraId="1B65DB94">
      <w:pPr>
        <w:pStyle w:val="2"/>
        <w:rPr>
          <w:rStyle w:val="5"/>
          <w:rFonts w:ascii="仿宋_GB2312" w:hAnsi="仿宋_GB2312" w:eastAsia="仿宋_GB2312" w:cs="仿宋_GB2312"/>
          <w:b/>
          <w:bCs w:val="0"/>
          <w:spacing w:val="-4"/>
          <w:sz w:val="30"/>
          <w:szCs w:val="30"/>
        </w:rPr>
      </w:pPr>
    </w:p>
    <w:p w14:paraId="5D9E37E6">
      <w:pPr>
        <w:pStyle w:val="2"/>
        <w:rPr>
          <w:rStyle w:val="5"/>
          <w:rFonts w:ascii="仿宋_GB2312" w:hAnsi="仿宋_GB2312" w:eastAsia="仿宋_GB2312" w:cs="仿宋_GB2312"/>
          <w:b/>
          <w:bCs w:val="0"/>
          <w:spacing w:val="-4"/>
          <w:sz w:val="30"/>
          <w:szCs w:val="30"/>
        </w:rPr>
      </w:pPr>
    </w:p>
    <w:p w14:paraId="484A7062">
      <w:pPr>
        <w:spacing w:line="560" w:lineRule="exact"/>
        <w:ind w:firstLine="640"/>
        <w:rPr>
          <w:rStyle w:val="5"/>
          <w:rFonts w:ascii="仿宋_GB2312" w:hAnsi="仿宋_GB2312" w:eastAsia="仿宋_GB2312" w:cs="仿宋_GB2312"/>
          <w:bCs w:val="0"/>
          <w:spacing w:val="-4"/>
          <w:sz w:val="32"/>
          <w:szCs w:val="32"/>
        </w:rPr>
      </w:pPr>
      <w:r>
        <w:rPr>
          <w:rStyle w:val="5"/>
          <w:rFonts w:hint="eastAsia" w:ascii="仿宋_GB2312" w:hAnsi="仿宋_GB2312" w:eastAsia="仿宋_GB2312" w:cs="仿宋_GB2312"/>
          <w:bCs w:val="0"/>
          <w:spacing w:val="-4"/>
          <w:sz w:val="32"/>
          <w:szCs w:val="32"/>
        </w:rPr>
        <w:t>一、吐鲁番市本级机关养老保险收支</w:t>
      </w:r>
      <w:r>
        <w:rPr>
          <w:rStyle w:val="5"/>
          <w:rFonts w:hint="eastAsia" w:ascii="仿宋_GB2312" w:hAnsi="仿宋_GB2312" w:eastAsia="仿宋_GB2312" w:cs="仿宋_GB2312"/>
          <w:spacing w:val="-4"/>
          <w:sz w:val="32"/>
          <w:szCs w:val="32"/>
          <w:lang w:val="en-US" w:eastAsia="zh-CN"/>
        </w:rPr>
        <w:t>结</w:t>
      </w:r>
      <w:r>
        <w:rPr>
          <w:rStyle w:val="5"/>
          <w:rFonts w:hint="eastAsia" w:ascii="仿宋_GB2312" w:hAnsi="仿宋_GB2312" w:eastAsia="仿宋_GB2312" w:cs="仿宋_GB2312"/>
          <w:spacing w:val="-4"/>
          <w:sz w:val="32"/>
          <w:szCs w:val="32"/>
        </w:rPr>
        <w:t>余</w:t>
      </w:r>
      <w:r>
        <w:rPr>
          <w:rStyle w:val="5"/>
          <w:rFonts w:hint="eastAsia" w:ascii="仿宋_GB2312" w:hAnsi="仿宋_GB2312" w:eastAsia="仿宋_GB2312" w:cs="仿宋_GB2312"/>
          <w:bCs w:val="0"/>
          <w:spacing w:val="-4"/>
          <w:sz w:val="32"/>
          <w:szCs w:val="32"/>
        </w:rPr>
        <w:t>总体情况</w:t>
      </w:r>
    </w:p>
    <w:p w14:paraId="1DA7DA45">
      <w:pPr>
        <w:spacing w:line="560" w:lineRule="exact"/>
        <w:ind w:firstLine="643" w:firstLineChars="200"/>
        <w:rPr>
          <w:rStyle w:val="5"/>
          <w:rFonts w:ascii="仿宋_GB2312" w:hAnsi="仿宋_GB2312" w:eastAsia="仿宋_GB2312" w:cs="仿宋_GB2312"/>
          <w:spacing w:val="-4"/>
          <w:sz w:val="32"/>
          <w:szCs w:val="32"/>
        </w:rPr>
      </w:pPr>
      <w:r>
        <w:rPr>
          <w:rFonts w:hint="eastAsia" w:ascii="仿宋_GB2312" w:hAnsi="仿宋_GB2312" w:eastAsia="仿宋_GB2312" w:cs="仿宋_GB2312"/>
          <w:b/>
          <w:bCs/>
          <w:sz w:val="32"/>
          <w:szCs w:val="32"/>
        </w:rPr>
        <w:t>（一）</w:t>
      </w:r>
      <w:r>
        <w:rPr>
          <w:rStyle w:val="5"/>
          <w:rFonts w:hint="eastAsia" w:ascii="仿宋_GB2312" w:hAnsi="仿宋_GB2312" w:eastAsia="仿宋_GB2312" w:cs="仿宋_GB2312"/>
          <w:spacing w:val="-4"/>
          <w:sz w:val="32"/>
          <w:szCs w:val="32"/>
        </w:rPr>
        <w:t>吐鲁番市本级机关养老保险（改革）收支</w:t>
      </w:r>
      <w:r>
        <w:rPr>
          <w:rStyle w:val="5"/>
          <w:rFonts w:hint="eastAsia" w:ascii="仿宋_GB2312" w:hAnsi="仿宋_GB2312" w:eastAsia="仿宋_GB2312" w:cs="仿宋_GB2312"/>
          <w:spacing w:val="-4"/>
          <w:sz w:val="32"/>
          <w:szCs w:val="32"/>
          <w:lang w:val="en-US" w:eastAsia="zh-CN"/>
        </w:rPr>
        <w:t>结</w:t>
      </w:r>
      <w:r>
        <w:rPr>
          <w:rStyle w:val="5"/>
          <w:rFonts w:hint="eastAsia" w:ascii="仿宋_GB2312" w:hAnsi="仿宋_GB2312" w:eastAsia="仿宋_GB2312" w:cs="仿宋_GB2312"/>
          <w:spacing w:val="-4"/>
          <w:sz w:val="32"/>
          <w:szCs w:val="32"/>
        </w:rPr>
        <w:t>余总体情况</w:t>
      </w:r>
    </w:p>
    <w:p w14:paraId="2043F536">
      <w:pPr>
        <w:pStyle w:val="2"/>
        <w:spacing w:line="560" w:lineRule="exact"/>
        <w:ind w:firstLine="640" w:firstLineChars="200"/>
        <w:jc w:val="left"/>
        <w:rPr>
          <w:rFonts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sz w:val="32"/>
          <w:szCs w:val="32"/>
        </w:rPr>
        <w:t>2022年吐鲁番市坚定坚决贯彻以习近平新时代中国特色社会主义思想为指导，深入学习了党的十九届六中全会和</w:t>
      </w:r>
      <w:r>
        <w:rPr>
          <w:rFonts w:hint="eastAsia" w:ascii="仿宋_GB2312" w:hAnsi="仿宋_GB2312" w:eastAsia="仿宋_GB2312" w:cs="仿宋_GB2312"/>
          <w:b w:val="0"/>
          <w:bCs w:val="0"/>
          <w:sz w:val="32"/>
          <w:szCs w:val="32"/>
          <w:lang w:eastAsia="zh-CN"/>
        </w:rPr>
        <w:t>党的二十大精神</w:t>
      </w:r>
      <w:r>
        <w:rPr>
          <w:rFonts w:hint="eastAsia" w:ascii="仿宋_GB2312" w:hAnsi="仿宋_GB2312" w:eastAsia="仿宋_GB2312" w:cs="仿宋_GB2312"/>
          <w:b w:val="0"/>
          <w:bCs w:val="0"/>
          <w:sz w:val="32"/>
          <w:szCs w:val="32"/>
        </w:rPr>
        <w:t>，以及习近平总书记重要讲话和指示批示精神、第三次中央新疆工作座谈会、自治区第十届历次全会精神、市委第二次党代会精神等重要讲话和重要指示精神，以保障和改善民生、维护社会公平、增进人民福祉为目标，进一步织密社会保障安全网，促进高质量发展、可持续发展。</w:t>
      </w:r>
      <w:r>
        <w:rPr>
          <w:rFonts w:hint="eastAsia" w:ascii="仿宋_GB2312" w:hAnsi="仿宋_GB2312" w:eastAsia="仿宋_GB2312" w:cs="仿宋_GB2312"/>
          <w:b w:val="0"/>
          <w:bCs w:val="0"/>
          <w:color w:val="000000"/>
          <w:sz w:val="32"/>
          <w:szCs w:val="32"/>
        </w:rPr>
        <w:t>服务水平和服务效能不断提升，为全面完成经济社会发展目标任务和社会大局和谐稳定做出积极贡献，群众的幸福感、获得感和归属感明显提升。</w:t>
      </w:r>
    </w:p>
    <w:p w14:paraId="600F6DCD">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2022年末机关事业单位养老保险基金参保人数8742人，其中，在职职工6158人，退休</w:t>
      </w:r>
      <w:r>
        <w:rPr>
          <w:rFonts w:hint="eastAsia" w:ascii="仿宋_GB2312" w:hAnsi="仿宋_GB2312" w:eastAsia="仿宋_GB2312" w:cs="仿宋_GB2312"/>
          <w:color w:val="000000" w:themeColor="text1"/>
          <w:sz w:val="32"/>
          <w:szCs w:val="32"/>
        </w:rPr>
        <w:t>2584</w:t>
      </w:r>
      <w:r>
        <w:rPr>
          <w:rFonts w:hint="eastAsia" w:ascii="仿宋_GB2312" w:hAnsi="仿宋_GB2312" w:eastAsia="仿宋_GB2312" w:cs="仿宋_GB2312"/>
          <w:sz w:val="32"/>
          <w:szCs w:val="32"/>
        </w:rPr>
        <w:t>人，平均缴费人数</w:t>
      </w:r>
      <w:r>
        <w:rPr>
          <w:rFonts w:hint="eastAsia" w:ascii="仿宋_GB2312" w:hAnsi="仿宋_GB2312" w:eastAsia="仿宋_GB2312" w:cs="仿宋_GB2312"/>
          <w:color w:val="000000" w:themeColor="text1"/>
          <w:sz w:val="32"/>
          <w:szCs w:val="32"/>
        </w:rPr>
        <w:t>5931</w:t>
      </w:r>
      <w:r>
        <w:rPr>
          <w:rFonts w:hint="eastAsia" w:ascii="仿宋_GB2312" w:hAnsi="仿宋_GB2312" w:eastAsia="仿宋_GB2312" w:cs="仿宋_GB2312"/>
          <w:sz w:val="32"/>
          <w:szCs w:val="32"/>
        </w:rPr>
        <w:t>人，月平均缴费基数8027.75元，年末退休人员月人均养老金6295.41元。</w:t>
      </w:r>
    </w:p>
    <w:p w14:paraId="510CFC6A">
      <w:pPr>
        <w:widowControl/>
        <w:spacing w:line="560" w:lineRule="exact"/>
        <w:ind w:firstLine="640" w:firstLineChars="200"/>
        <w:jc w:val="left"/>
        <w:rPr>
          <w:rFonts w:ascii="仿宋_GB2312" w:hAnsi="宋体" w:eastAsia="仿宋_GB2312" w:cs="仿宋_GB2312"/>
          <w:color w:val="000000"/>
          <w:kern w:val="0"/>
          <w:sz w:val="31"/>
          <w:szCs w:val="31"/>
        </w:rPr>
      </w:pPr>
      <w:r>
        <w:rPr>
          <w:rFonts w:hint="eastAsia" w:ascii="仿宋_GB2312" w:hAnsi="仿宋_GB2312" w:eastAsia="仿宋_GB2312" w:cs="仿宋_GB2312"/>
          <w:sz w:val="32"/>
          <w:szCs w:val="32"/>
        </w:rPr>
        <w:t>2022年吐鲁番市本级机关事业养老保险（改革）基金收入28413万元，机关事业养老保险（改革）基金支出26373万元，其中：</w:t>
      </w:r>
      <w:r>
        <w:rPr>
          <w:rFonts w:ascii="仿宋_GB2312" w:hAnsi="宋体" w:eastAsia="仿宋_GB2312" w:cs="仿宋_GB2312"/>
          <w:color w:val="000000"/>
          <w:kern w:val="0"/>
          <w:sz w:val="31"/>
          <w:szCs w:val="31"/>
        </w:rPr>
        <w:t>其中：支出小计</w:t>
      </w:r>
      <w:r>
        <w:rPr>
          <w:rFonts w:hint="eastAsia" w:ascii="仿宋_GB2312" w:hAnsi="宋体" w:eastAsia="仿宋_GB2312" w:cs="仿宋_GB2312"/>
          <w:color w:val="000000"/>
          <w:kern w:val="0"/>
          <w:sz w:val="31"/>
          <w:szCs w:val="31"/>
        </w:rPr>
        <w:t>19473</w:t>
      </w:r>
      <w:r>
        <w:rPr>
          <w:rFonts w:ascii="仿宋_GB2312" w:hAnsi="宋体" w:eastAsia="仿宋_GB2312" w:cs="仿宋_GB2312"/>
          <w:color w:val="000000"/>
          <w:kern w:val="0"/>
          <w:sz w:val="31"/>
          <w:szCs w:val="31"/>
        </w:rPr>
        <w:t>万元，补助下级支</w:t>
      </w:r>
      <w:r>
        <w:rPr>
          <w:rFonts w:hint="eastAsia" w:ascii="仿宋_GB2312" w:hAnsi="宋体" w:eastAsia="仿宋_GB2312" w:cs="仿宋_GB2312"/>
          <w:color w:val="000000"/>
          <w:kern w:val="0"/>
          <w:sz w:val="31"/>
          <w:szCs w:val="31"/>
        </w:rPr>
        <w:t>出6899万元。本年收支结余-103万元，年末累计结余8211万元。</w:t>
      </w:r>
    </w:p>
    <w:p w14:paraId="199EF74B">
      <w:pPr>
        <w:spacing w:line="560" w:lineRule="exact"/>
        <w:ind w:firstLine="627" w:firstLineChars="200"/>
        <w:rPr>
          <w:rStyle w:val="5"/>
          <w:rFonts w:ascii="仿宋_GB2312" w:hAnsi="仿宋_GB2312" w:eastAsia="仿宋_GB2312" w:cs="仿宋_GB2312"/>
          <w:bCs w:val="0"/>
          <w:spacing w:val="-4"/>
          <w:sz w:val="32"/>
          <w:szCs w:val="32"/>
        </w:rPr>
      </w:pPr>
      <w:r>
        <w:rPr>
          <w:rStyle w:val="5"/>
          <w:rFonts w:hint="eastAsia" w:ascii="仿宋_GB2312" w:hAnsi="仿宋_GB2312" w:eastAsia="仿宋_GB2312" w:cs="仿宋_GB2312"/>
          <w:bCs w:val="0"/>
          <w:spacing w:val="-4"/>
          <w:sz w:val="32"/>
          <w:szCs w:val="32"/>
        </w:rPr>
        <w:t>（二）</w:t>
      </w:r>
      <w:r>
        <w:rPr>
          <w:rFonts w:hint="eastAsia" w:ascii="仿宋_GB2312" w:hAnsi="仿宋_GB2312" w:eastAsia="仿宋_GB2312" w:cs="仿宋_GB2312"/>
          <w:b/>
          <w:sz w:val="32"/>
          <w:szCs w:val="32"/>
        </w:rPr>
        <w:t>机关事业养老保险（改革）基金预算</w:t>
      </w:r>
      <w:r>
        <w:rPr>
          <w:rStyle w:val="5"/>
          <w:rFonts w:hint="eastAsia" w:ascii="仿宋_GB2312" w:hAnsi="仿宋_GB2312" w:eastAsia="仿宋_GB2312" w:cs="仿宋_GB2312"/>
          <w:bCs w:val="0"/>
          <w:spacing w:val="-4"/>
          <w:sz w:val="32"/>
          <w:szCs w:val="32"/>
        </w:rPr>
        <w:t>绩效目标设定情况</w:t>
      </w:r>
    </w:p>
    <w:p w14:paraId="3DB87237">
      <w:pPr>
        <w:pStyle w:val="2"/>
        <w:spacing w:line="560" w:lineRule="exact"/>
        <w:ind w:firstLine="640" w:firstLineChars="200"/>
        <w:jc w:val="left"/>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2022年机关事业养老保险（改革）基金预算总支出19184万元</w:t>
      </w:r>
      <w:bookmarkStart w:id="0" w:name="_GoBack"/>
      <w:r>
        <w:rPr>
          <w:rFonts w:hint="eastAsia" w:ascii="仿宋_GB2312" w:hAnsi="仿宋_GB2312" w:eastAsia="仿宋_GB2312" w:cs="仿宋_GB2312"/>
          <w:b w:val="0"/>
          <w:bCs w:val="0"/>
          <w:sz w:val="32"/>
          <w:szCs w:val="32"/>
          <w:lang w:eastAsia="zh-CN"/>
        </w:rPr>
        <w:t>，</w:t>
      </w:r>
      <w:bookmarkEnd w:id="0"/>
      <w:r>
        <w:rPr>
          <w:rFonts w:hint="eastAsia" w:ascii="仿宋_GB2312" w:hAnsi="仿宋_GB2312" w:eastAsia="仿宋_GB2312" w:cs="仿宋_GB2312"/>
          <w:b w:val="0"/>
          <w:bCs w:val="0"/>
          <w:kern w:val="0"/>
          <w:sz w:val="32"/>
          <w:szCs w:val="32"/>
        </w:rPr>
        <w:t>其中：基本</w:t>
      </w:r>
      <w:r>
        <w:rPr>
          <w:rFonts w:hint="eastAsia" w:ascii="仿宋_GB2312" w:hAnsi="仿宋_GB2312" w:eastAsia="仿宋_GB2312" w:cs="仿宋_GB2312"/>
          <w:b w:val="0"/>
          <w:bCs w:val="0"/>
          <w:sz w:val="32"/>
          <w:szCs w:val="32"/>
        </w:rPr>
        <w:t>养老金支出19104万元，保障离退休人</w:t>
      </w:r>
      <w:r>
        <w:rPr>
          <w:rFonts w:hint="eastAsia" w:ascii="仿宋_GB2312" w:hAnsi="仿宋_GB2312" w:eastAsia="仿宋_GB2312" w:cs="仿宋_GB2312"/>
          <w:b w:val="0"/>
          <w:bCs w:val="0"/>
          <w:color w:val="000000" w:themeColor="text1"/>
          <w:sz w:val="32"/>
          <w:szCs w:val="32"/>
        </w:rPr>
        <w:t>员</w:t>
      </w:r>
      <w:r>
        <w:rPr>
          <w:rFonts w:hint="eastAsia" w:ascii="仿宋_GB2312" w:hAnsi="仿宋_GB2312" w:eastAsia="仿宋_GB2312" w:cs="仿宋_GB2312"/>
          <w:b w:val="0"/>
          <w:bCs w:val="0"/>
          <w:sz w:val="32"/>
          <w:szCs w:val="32"/>
        </w:rPr>
        <w:t>基本养老金待遇发放。全年预算支出执行目标102%，预算完成率保持在合理区间范围内。</w:t>
      </w:r>
    </w:p>
    <w:p w14:paraId="49990A90">
      <w:pPr>
        <w:numPr>
          <w:ilvl w:val="0"/>
          <w:numId w:val="1"/>
        </w:numPr>
        <w:spacing w:line="560" w:lineRule="exact"/>
        <w:ind w:firstLine="640"/>
        <w:rPr>
          <w:rStyle w:val="5"/>
          <w:rFonts w:ascii="仿宋_GB2312" w:hAnsi="仿宋_GB2312" w:eastAsia="仿宋_GB2312" w:cs="仿宋_GB2312"/>
          <w:bCs w:val="0"/>
          <w:spacing w:val="-4"/>
          <w:sz w:val="32"/>
          <w:szCs w:val="32"/>
        </w:rPr>
      </w:pPr>
      <w:r>
        <w:rPr>
          <w:rStyle w:val="5"/>
          <w:rFonts w:hint="eastAsia" w:ascii="仿宋_GB2312" w:hAnsi="仿宋_GB2312" w:eastAsia="仿宋_GB2312" w:cs="仿宋_GB2312"/>
          <w:bCs w:val="0"/>
          <w:spacing w:val="-4"/>
          <w:sz w:val="32"/>
          <w:szCs w:val="32"/>
        </w:rPr>
        <w:t>吐鲁番市本级机关事业单位养老保险（改革）预算完成及运行情况分析（分析数据不含上解下拨）</w:t>
      </w:r>
    </w:p>
    <w:p w14:paraId="328BA803">
      <w:pPr>
        <w:widowControl/>
        <w:ind w:firstLine="640" w:firstLineChars="200"/>
        <w:jc w:val="left"/>
        <w:rPr>
          <w:rFonts w:ascii="仿宋_GB2312" w:hAnsi="宋体" w:eastAsia="仿宋_GB2312" w:cs="仿宋_GB2312"/>
          <w:color w:val="000000"/>
          <w:kern w:val="0"/>
          <w:sz w:val="31"/>
          <w:szCs w:val="31"/>
        </w:rPr>
      </w:pPr>
      <w:r>
        <w:rPr>
          <w:rFonts w:hint="eastAsia" w:ascii="仿宋_GB2312" w:hAnsi="仿宋_GB2312" w:eastAsia="仿宋_GB2312" w:cs="仿宋_GB2312"/>
          <w:sz w:val="32"/>
          <w:szCs w:val="32"/>
        </w:rPr>
        <w:t>2022年机关事业单位养老保险（改革）收入预算20168万元，实际收入完成19370万元，完成年度预算96%。支出预算19184万元，实际支出19473万元，完成年度预算102%。</w:t>
      </w:r>
      <w:r>
        <w:rPr>
          <w:rFonts w:hint="eastAsia" w:ascii="仿宋_GB2312" w:hAnsi="仿宋_GB2312" w:eastAsia="仿宋_GB2312" w:cs="仿宋_GB2312"/>
          <w:color w:val="000000"/>
          <w:kern w:val="0"/>
          <w:sz w:val="32"/>
          <w:szCs w:val="32"/>
        </w:rPr>
        <w:t>机关事业基本养老保险基金社保费收入、待遇支出预算编制较为准确</w:t>
      </w:r>
      <w:r>
        <w:rPr>
          <w:rFonts w:hint="eastAsia" w:ascii="仿宋_GB2312" w:hAnsi="宋体" w:eastAsia="仿宋_GB2312" w:cs="仿宋_GB2312"/>
          <w:color w:val="000000"/>
          <w:kern w:val="0"/>
          <w:sz w:val="31"/>
          <w:szCs w:val="31"/>
        </w:rPr>
        <w:t>。</w:t>
      </w:r>
    </w:p>
    <w:p w14:paraId="42C3F8A8">
      <w:pPr>
        <w:widowControl/>
        <w:numPr>
          <w:ilvl w:val="0"/>
          <w:numId w:val="1"/>
        </w:numPr>
        <w:spacing w:line="560" w:lineRule="exact"/>
        <w:ind w:firstLine="640"/>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吐鲁番市本级机关事业养老保险（改革）基金支出组织实施情况和绩效管理情况</w:t>
      </w:r>
    </w:p>
    <w:p w14:paraId="35A853B6">
      <w:pPr>
        <w:widowControl/>
        <w:spacing w:line="560" w:lineRule="exact"/>
        <w:ind w:firstLine="640" w:firstLineChars="200"/>
        <w:jc w:val="left"/>
        <w:rPr>
          <w:rFonts w:ascii="仿宋_GB2312" w:hAnsi="宋体" w:eastAsia="仿宋_GB2312" w:cs="仿宋_GB2312"/>
          <w:color w:val="000000"/>
          <w:kern w:val="0"/>
          <w:sz w:val="32"/>
          <w:szCs w:val="32"/>
        </w:rPr>
      </w:pPr>
      <w:r>
        <w:rPr>
          <w:rFonts w:ascii="仿宋_GB2312" w:hAnsi="宋体" w:eastAsia="仿宋_GB2312" w:cs="仿宋_GB2312"/>
          <w:color w:val="000000"/>
          <w:kern w:val="0"/>
          <w:sz w:val="32"/>
          <w:szCs w:val="32"/>
        </w:rPr>
        <w:t>2022 年</w:t>
      </w:r>
      <w:r>
        <w:rPr>
          <w:rFonts w:hint="eastAsia" w:ascii="仿宋_GB2312" w:hAnsi="宋体" w:eastAsia="仿宋_GB2312" w:cs="仿宋_GB2312"/>
          <w:color w:val="000000"/>
          <w:kern w:val="0"/>
          <w:sz w:val="32"/>
          <w:szCs w:val="32"/>
        </w:rPr>
        <w:t>吐鲁番市</w:t>
      </w:r>
      <w:r>
        <w:rPr>
          <w:rFonts w:ascii="仿宋_GB2312" w:hAnsi="宋体" w:eastAsia="仿宋_GB2312" w:cs="仿宋_GB2312"/>
          <w:color w:val="000000"/>
          <w:kern w:val="0"/>
          <w:sz w:val="32"/>
          <w:szCs w:val="32"/>
        </w:rPr>
        <w:t xml:space="preserve">本级机关养老基金总支出 </w:t>
      </w:r>
      <w:r>
        <w:rPr>
          <w:rFonts w:hint="eastAsia" w:ascii="仿宋_GB2312" w:hAnsi="宋体" w:eastAsia="仿宋_GB2312" w:cs="仿宋_GB2312"/>
          <w:color w:val="000000"/>
          <w:kern w:val="0"/>
          <w:sz w:val="32"/>
          <w:szCs w:val="32"/>
        </w:rPr>
        <w:t>26373</w:t>
      </w:r>
      <w:r>
        <w:rPr>
          <w:rFonts w:ascii="仿宋_GB2312" w:hAnsi="宋体" w:eastAsia="仿宋_GB2312" w:cs="仿宋_GB2312"/>
          <w:color w:val="000000"/>
          <w:kern w:val="0"/>
          <w:sz w:val="32"/>
          <w:szCs w:val="32"/>
        </w:rPr>
        <w:t xml:space="preserve"> 万元，</w:t>
      </w:r>
      <w:r>
        <w:rPr>
          <w:rFonts w:hint="eastAsia" w:ascii="仿宋_GB2312" w:hAnsi="宋体" w:eastAsia="仿宋_GB2312" w:cs="仿宋_GB2312"/>
          <w:color w:val="000000"/>
          <w:kern w:val="0"/>
          <w:sz w:val="32"/>
          <w:szCs w:val="32"/>
        </w:rPr>
        <w:t>其中，基本养老金支出19392万元，</w:t>
      </w:r>
      <w:r>
        <w:rPr>
          <w:rFonts w:ascii="仿宋_GB2312" w:hAnsi="宋体" w:eastAsia="仿宋_GB2312" w:cs="仿宋_GB2312"/>
          <w:color w:val="000000"/>
          <w:kern w:val="0"/>
          <w:sz w:val="32"/>
          <w:szCs w:val="32"/>
        </w:rPr>
        <w:t>支出预算</w:t>
      </w:r>
      <w:r>
        <w:rPr>
          <w:rFonts w:hint="eastAsia" w:ascii="仿宋_GB2312" w:hAnsi="宋体" w:eastAsia="仿宋_GB2312" w:cs="仿宋_GB2312"/>
          <w:color w:val="000000"/>
          <w:kern w:val="0"/>
          <w:sz w:val="32"/>
          <w:szCs w:val="32"/>
        </w:rPr>
        <w:t>完成率保持在合理区间，每月按时发放退休人员养老金，保障退休人员待遇按时足额发放。</w:t>
      </w:r>
    </w:p>
    <w:p w14:paraId="2844ECAB">
      <w:pPr>
        <w:pStyle w:val="2"/>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四、吐鲁番市本级</w:t>
      </w:r>
      <w:r>
        <w:rPr>
          <w:rFonts w:hint="eastAsia" w:ascii="仿宋_GB2312" w:hAnsi="仿宋_GB2312" w:eastAsia="仿宋_GB2312" w:cs="仿宋_GB2312"/>
          <w:color w:val="000000"/>
          <w:kern w:val="0"/>
          <w:sz w:val="32"/>
          <w:szCs w:val="32"/>
        </w:rPr>
        <w:t>机关事业养老保险基金（改革）管理情况</w:t>
      </w:r>
    </w:p>
    <w:p w14:paraId="7734111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（一）严格按照《</w:t>
      </w:r>
      <w:r>
        <w:rPr>
          <w:rFonts w:hint="eastAsia" w:ascii="仿宋_GB2312" w:hAnsi="仿宋_GB2312" w:eastAsia="仿宋_GB2312" w:cs="仿宋_GB2312"/>
          <w:sz w:val="32"/>
          <w:szCs w:val="32"/>
          <w:lang w:eastAsia="zh-CN"/>
        </w:rPr>
        <w:t>中华人民共和国会计法》《</w:t>
      </w:r>
      <w:r>
        <w:rPr>
          <w:rFonts w:hint="eastAsia" w:ascii="仿宋_GB2312" w:hAnsi="仿宋_GB2312" w:eastAsia="仿宋_GB2312" w:cs="仿宋_GB2312"/>
          <w:sz w:val="32"/>
          <w:szCs w:val="32"/>
        </w:rPr>
        <w:t>社会保险基金财务制度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保险基金会计制度》及《新疆维吾尔自治区社会保险基金财务经办操作规程（试行）》《新疆维吾尔自治区社会保险经办机构岗位权限管理办法》执行，按照以上各项制度要求，落实各项制度，规范业务操作流程。</w:t>
      </w:r>
    </w:p>
    <w:p w14:paraId="2492A16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严格落实待遇支付、退费、转移支付业务项目通过全程化电子管理系统代发代扣和支付，产生的业务数据提取到A++社保基金财务综合管控系统里，由财务人员提取数据后生成记账凭证，基金收支按险种单独建账、分别核算、分别计息、专款专用，严格按照会计制度设置会计科目并进行会计核算，财务记账凭证与业务财务数据的完整性和一致性，确保社保基金安全。</w:t>
      </w:r>
    </w:p>
    <w:p w14:paraId="4C5772BF">
      <w:pPr>
        <w:pStyle w:val="2"/>
        <w:spacing w:line="560" w:lineRule="exact"/>
        <w:ind w:firstLine="640" w:firstLineChars="200"/>
        <w:jc w:val="left"/>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（三）严格落实《社会保险基金财务制度》第四十九条规定，对社保收支账户活期存款实现优惠利率，社保收支账户存款按三个月整存整取定期存款基准利率计息。</w:t>
      </w:r>
    </w:p>
    <w:p w14:paraId="17106438">
      <w:pPr>
        <w:widowControl/>
        <w:spacing w:line="560" w:lineRule="exact"/>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（四）</w:t>
      </w:r>
      <w:r>
        <w:rPr>
          <w:rFonts w:ascii="仿宋_GB2312" w:hAnsi="宋体" w:eastAsia="仿宋_GB2312" w:cs="仿宋_GB2312"/>
          <w:color w:val="000000"/>
          <w:kern w:val="0"/>
          <w:sz w:val="31"/>
          <w:szCs w:val="31"/>
        </w:rPr>
        <w:t>严格</w:t>
      </w:r>
      <w:r>
        <w:rPr>
          <w:rFonts w:hint="eastAsia" w:ascii="仿宋_GB2312" w:hAnsi="宋体" w:eastAsia="仿宋_GB2312" w:cs="仿宋_GB2312"/>
          <w:color w:val="000000"/>
          <w:kern w:val="0"/>
          <w:sz w:val="31"/>
          <w:szCs w:val="31"/>
          <w:lang w:eastAsia="zh-CN"/>
        </w:rPr>
        <w:t>按照</w:t>
      </w:r>
      <w:r>
        <w:rPr>
          <w:rFonts w:ascii="仿宋_GB2312" w:hAnsi="宋体" w:eastAsia="仿宋_GB2312" w:cs="仿宋_GB2312"/>
          <w:color w:val="000000"/>
          <w:kern w:val="0"/>
          <w:sz w:val="31"/>
          <w:szCs w:val="31"/>
        </w:rPr>
        <w:t xml:space="preserve">《社会保险基金财务制度》规定的内容、方法 </w:t>
      </w:r>
      <w:r>
        <w:rPr>
          <w:rFonts w:hint="eastAsia" w:ascii="仿宋_GB2312" w:hAnsi="宋体" w:eastAsia="仿宋_GB2312" w:cs="仿宋_GB2312"/>
          <w:color w:val="000000"/>
          <w:kern w:val="0"/>
          <w:sz w:val="31"/>
          <w:szCs w:val="31"/>
        </w:rPr>
        <w:t>和程序，在分析本年度预算执行情况及测算下年度基金收支情况的基础上，认真、科学、合理编制各项社会保险基金下年度的收、支预算，按时上报预算报表。并能在规定的时间内按统一规定的报表要求上报社会保险基金月、季、年报和决算报表，认真填制、审核各项数据，确保财务与业务、统计数据一致。</w:t>
      </w:r>
    </w:p>
    <w:p w14:paraId="419B6671">
      <w:pPr>
        <w:pStyle w:val="2"/>
        <w:spacing w:line="560" w:lineRule="exact"/>
        <w:ind w:firstLine="643"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五、附表</w:t>
      </w:r>
    </w:p>
    <w:p w14:paraId="63B943CC">
      <w:pPr>
        <w:pStyle w:val="2"/>
        <w:spacing w:line="560" w:lineRule="exact"/>
        <w:ind w:firstLine="643" w:firstLineChars="200"/>
        <w:jc w:val="left"/>
        <w:rPr>
          <w:rFonts w:ascii="仿宋_GB2312" w:hAnsi="仿宋_GB2312" w:eastAsia="仿宋_GB2312" w:cs="仿宋_GB2312"/>
          <w:b w:val="0"/>
          <w:bCs w:val="0"/>
          <w:sz w:val="32"/>
          <w:szCs w:val="32"/>
        </w:rPr>
      </w:pPr>
      <w:r>
        <w:rPr>
          <w:rFonts w:hint="eastAsia" w:ascii="仿宋_GB2312" w:hAnsi="仿宋_GB2312" w:eastAsia="仿宋_GB2312" w:cs="仿宋_GB2312"/>
          <w:color w:val="333333"/>
          <w:kern w:val="0"/>
          <w:sz w:val="32"/>
          <w:szCs w:val="32"/>
        </w:rPr>
        <w:t>吐鲁番市本级机关事业单位基本养老保险基金支出绩效自评表</w:t>
      </w:r>
    </w:p>
    <w:p w14:paraId="577D43E7">
      <w:pPr>
        <w:spacing w:line="560" w:lineRule="exact"/>
        <w:ind w:firstLine="640" w:firstLineChars="200"/>
        <w:rPr>
          <w:rFonts w:ascii="仿宋_GB2312" w:hAnsi="仿宋_GB2312" w:eastAsia="仿宋_GB2312" w:cs="仿宋_GB2312"/>
          <w:sz w:val="32"/>
          <w:szCs w:val="32"/>
        </w:rPr>
      </w:pPr>
    </w:p>
    <w:p w14:paraId="4F8F561B">
      <w:pPr>
        <w:pStyle w:val="2"/>
        <w:jc w:val="left"/>
      </w:pPr>
    </w:p>
    <w:p w14:paraId="39B223E7">
      <w:pPr>
        <w:pStyle w:val="2"/>
        <w:spacing w:line="560" w:lineRule="exact"/>
        <w:ind w:firstLine="883" w:firstLineChars="200"/>
        <w:jc w:val="left"/>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78E932"/>
    <w:multiLevelType w:val="singleLevel"/>
    <w:tmpl w:val="F678E9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4C84878"/>
    <w:rsid w:val="00F91DAD"/>
    <w:rsid w:val="00FD6E38"/>
    <w:rsid w:val="03902FE4"/>
    <w:rsid w:val="16F61E42"/>
    <w:rsid w:val="1A627C14"/>
    <w:rsid w:val="1C0213CC"/>
    <w:rsid w:val="1E0F633F"/>
    <w:rsid w:val="208B64F3"/>
    <w:rsid w:val="237F3F2C"/>
    <w:rsid w:val="24C84878"/>
    <w:rsid w:val="2E3A224F"/>
    <w:rsid w:val="2F263959"/>
    <w:rsid w:val="334D3E4C"/>
    <w:rsid w:val="37481115"/>
    <w:rsid w:val="39EB65F0"/>
    <w:rsid w:val="402317DE"/>
    <w:rsid w:val="45806CBC"/>
    <w:rsid w:val="4BF83029"/>
    <w:rsid w:val="4D152622"/>
    <w:rsid w:val="4F2320EA"/>
    <w:rsid w:val="572A469F"/>
    <w:rsid w:val="673745F2"/>
    <w:rsid w:val="756F124A"/>
    <w:rsid w:val="78597BF3"/>
    <w:rsid w:val="7E1D14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jc w:val="center"/>
    </w:pPr>
    <w:rPr>
      <w:rFonts w:eastAsia="方正小标宋简体"/>
      <w:b/>
      <w:bCs/>
      <w:sz w:val="44"/>
    </w:rPr>
  </w:style>
  <w:style w:type="character" w:styleId="5">
    <w:name w:val="Strong"/>
    <w:basedOn w:val="4"/>
    <w:qFormat/>
    <w:uiPriority w:val="99"/>
    <w:rPr>
      <w:rFonts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1499</Words>
  <Characters>1611</Characters>
  <Lines>11</Lines>
  <Paragraphs>3</Paragraphs>
  <TotalTime>6</TotalTime>
  <ScaleCrop>false</ScaleCrop>
  <LinksUpToDate>false</LinksUpToDate>
  <CharactersWithSpaces>1624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2023-09-11T04:48:00Z</dcterms:created>
  <dc:creator>Administrator</dc:creator>
  <cp:lastModifiedBy>木棉花开</cp:lastModifiedBy>
  <cp:lastPrinted>2023-09-13T01:55:00Z</cp:lastPrinted>
  <dcterms:modified xsi:type="dcterms:W3CDTF">2025-05-15T11:27:38Z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eyJoZGlkIjoiZTZlNDczMWY2NDdmYTIxOWRhMGFkOTExMGIzOWFhMDciLCJ1c2VySWQiOiI0NTg4ODU3NjIifQ==</vt:lpwstr>
  </property>
  <property fmtid="{D5CDD505-2E9C-101B-9397-08002B2CF9AE}" pid="4" name="ICV">
    <vt:lpwstr>1DD79606472946F4B6D98A6F0A023B12_12</vt:lpwstr>
  </property>
</Properties>
</file>