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8251D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简体" w:hAnsi="方正小标宋简体" w:eastAsia="方正小标宋简体" w:cs="方正小标宋简体"/>
          <w:sz w:val="15"/>
          <w:szCs w:val="15"/>
        </w:rPr>
      </w:pPr>
    </w:p>
    <w:p w14:paraId="447A03A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吐鲁番市</w:t>
      </w:r>
      <w:r>
        <w:rPr>
          <w:rFonts w:hint="eastAsia" w:ascii="方正小标宋简体" w:hAnsi="方正小标宋简体" w:eastAsia="方正小标宋简体" w:cs="方正小标宋简体"/>
          <w:sz w:val="44"/>
          <w:szCs w:val="44"/>
          <w:lang w:eastAsia="zh-CN"/>
        </w:rPr>
        <w:t>2022年</w:t>
      </w:r>
      <w:r>
        <w:rPr>
          <w:rFonts w:hint="eastAsia" w:ascii="方正小标宋简体" w:hAnsi="方正小标宋简体" w:eastAsia="方正小标宋简体" w:cs="方正小标宋简体"/>
          <w:sz w:val="44"/>
          <w:szCs w:val="44"/>
        </w:rPr>
        <w:t>全面实施预算绩效管理</w:t>
      </w:r>
    </w:p>
    <w:p w14:paraId="3B06B39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工作总结</w:t>
      </w:r>
    </w:p>
    <w:p w14:paraId="38CDF8D9">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_GB2312" w:hAnsi="仿宋_GB2312" w:eastAsia="仿宋_GB2312" w:cs="仿宋_GB2312"/>
          <w:sz w:val="32"/>
          <w:szCs w:val="32"/>
          <w:lang w:val="en-US" w:eastAsia="zh-CN"/>
        </w:rPr>
      </w:pPr>
    </w:p>
    <w:p w14:paraId="4AAA7D8B">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为全面深入推进预算绩效管理，加快构建全方位、全过程、全覆盖的预算绩效管理体系，</w:t>
      </w:r>
      <w:r>
        <w:rPr>
          <w:rFonts w:hint="eastAsia" w:ascii="仿宋_GB2312" w:hAnsi="仿宋_GB2312" w:eastAsia="仿宋_GB2312" w:cs="仿宋_GB2312"/>
          <w:sz w:val="32"/>
          <w:szCs w:val="32"/>
          <w:lang w:val="en-US" w:eastAsia="zh-CN"/>
        </w:rPr>
        <w:t>吐鲁番市坚决贯彻落实党中央、国务院和自治区党委、自治区人民政府关于全面实施预算绩效管理的决策部署和工作要求，坚持把全面实施预算绩效管理作为重点工作来抓，通过完善机制不断强化绩效理念，扎实将预算与绩效管理相结合开展好工作，采取有效措施加强财政资金管理和提质增效，不断总结经验做法，推动财政资金发挥更大效益。现将我市2022年全面实施预算绩效管理工作总结如下：</w:t>
      </w:r>
    </w:p>
    <w:p w14:paraId="55187B65">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一、高度重视、多措并举，强化全面预算绩效管理理念</w:t>
      </w:r>
    </w:p>
    <w:p w14:paraId="02BA15AD">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9"/>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bCs/>
          <w:sz w:val="32"/>
          <w:szCs w:val="32"/>
          <w:lang w:val="en-US" w:eastAsia="zh-CN"/>
        </w:rPr>
        <w:t>（一）不断完善管理体系。</w:t>
      </w:r>
      <w:r>
        <w:rPr>
          <w:rFonts w:hint="eastAsia" w:ascii="仿宋_GB2312" w:hAnsi="仿宋_GB2312" w:eastAsia="仿宋_GB2312" w:cs="仿宋_GB2312"/>
          <w:sz w:val="32"/>
          <w:szCs w:val="32"/>
          <w:lang w:val="en-US" w:eastAsia="zh-CN"/>
        </w:rPr>
        <w:t>各区县均设有预算绩效管理机构、配备工作人员，研究制定</w:t>
      </w:r>
      <w:r>
        <w:rPr>
          <w:rFonts w:hint="eastAsia" w:ascii="仿宋_GB2312" w:eastAsia="仿宋_GB2312" w:cs="Times New Roman"/>
          <w:color w:val="000000" w:themeColor="text1"/>
          <w:sz w:val="32"/>
          <w:szCs w:val="32"/>
          <w:lang w:val="en-US" w:eastAsia="zh-CN"/>
          <w14:textFill>
            <w14:solidFill>
              <w14:schemeClr w14:val="tx1"/>
            </w14:solidFill>
          </w14:textFill>
        </w:rPr>
        <w:t>年度全面实施预算绩效管理规划或方案，明确各个环节、重点领域等任务、时间节点及要求，有力有序推进，构建了全方位、全过程、全覆盖的预算绩效管理格局。</w:t>
      </w:r>
    </w:p>
    <w:p w14:paraId="397C3591">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（二）健全联动监管机制。</w:t>
      </w:r>
      <w:r>
        <w:rPr>
          <w:rFonts w:hint="eastAsia" w:ascii="仿宋_GB2312" w:hAnsi="仿宋_GB2312" w:eastAsia="仿宋_GB2312" w:cs="仿宋_GB2312"/>
          <w:sz w:val="32"/>
          <w:szCs w:val="32"/>
          <w:lang w:val="en-US" w:eastAsia="zh-CN"/>
        </w:rPr>
        <w:t>建立市委、市政府统筹领导，财政部门组织协调，各区县各部门主责落实，人大、审计等部门协同监督，社会第三方广泛参与的多主体协同联动机制，形成了预算绩效管理强大合力。</w:t>
      </w:r>
    </w:p>
    <w:p w14:paraId="161E7EA5">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（三）注重抓好源头管理。</w:t>
      </w:r>
      <w:r>
        <w:rPr>
          <w:rFonts w:hint="eastAsia" w:ascii="仿宋_GB2312" w:hAnsi="仿宋_GB2312" w:eastAsia="仿宋_GB2312" w:cs="仿宋_GB2312"/>
          <w:b w:val="0"/>
          <w:bCs w:val="0"/>
          <w:sz w:val="32"/>
          <w:szCs w:val="32"/>
          <w:lang w:val="en-US" w:eastAsia="zh-CN"/>
        </w:rPr>
        <w:t>明确要求</w:t>
      </w:r>
      <w:r>
        <w:rPr>
          <w:rFonts w:hint="eastAsia" w:ascii="仿宋_GB2312" w:hAnsi="仿宋_GB2312" w:eastAsia="仿宋_GB2312" w:cs="仿宋_GB2312"/>
          <w:sz w:val="32"/>
          <w:szCs w:val="32"/>
          <w:lang w:val="en-US" w:eastAsia="zh-CN"/>
        </w:rPr>
        <w:t>绩效管理从年度预算编制、资金申请开始，凡未按规定编制绩效目标的预算项目，一律不安排预算资金，切实将部门预算收支全面纳入预算绩效管理。</w:t>
      </w:r>
    </w:p>
    <w:p w14:paraId="07531275">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（四）加强政策宣传培训。</w:t>
      </w:r>
      <w:r>
        <w:rPr>
          <w:rFonts w:hint="eastAsia" w:ascii="仿宋_GB2312" w:hAnsi="仿宋_GB2312" w:eastAsia="仿宋_GB2312" w:cs="仿宋_GB2312"/>
          <w:sz w:val="32"/>
          <w:szCs w:val="32"/>
          <w:lang w:val="en-US" w:eastAsia="zh-CN"/>
        </w:rPr>
        <w:t>抓好关于政府“过紧日子”“全面实施预算绩效管理”、财经法律法规等的宣传培训，教育引导各级各部门强化预算绩效管理理念，注重成本效益、社会效益，全面加强财政资金绩效管理，将有限财政资金用在刀刃上，花在紧要处。</w:t>
      </w:r>
    </w:p>
    <w:p w14:paraId="391C6997">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二、工作落实情况</w:t>
      </w:r>
    </w:p>
    <w:p w14:paraId="5DEBDD3E">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9"/>
        <w:rPr>
          <w:rFonts w:hint="default" w:ascii="仿宋_GB2312" w:hAnsi="仿宋_GB2312" w:eastAsia="仿宋_GB2312" w:cs="仿宋_GB2312"/>
          <w:sz w:val="32"/>
          <w:szCs w:val="32"/>
          <w:lang w:val="en-US" w:eastAsia="zh-CN"/>
        </w:rPr>
      </w:pPr>
      <w:r>
        <w:rPr>
          <w:rFonts w:hint="eastAsia" w:ascii="楷体" w:hAnsi="楷体" w:eastAsia="楷体" w:cs="楷体"/>
          <w:b/>
          <w:bCs/>
          <w:sz w:val="32"/>
          <w:szCs w:val="32"/>
          <w:lang w:val="en-US" w:eastAsia="zh-CN"/>
        </w:rPr>
        <w:t>（一）财政资金形成预算绩效管理闭环结构。</w:t>
      </w:r>
      <w:r>
        <w:rPr>
          <w:rFonts w:hint="eastAsia" w:ascii="仿宋_GB2312" w:hAnsi="仿宋_GB2312" w:eastAsia="仿宋_GB2312" w:cs="仿宋_GB2312"/>
          <w:sz w:val="32"/>
          <w:szCs w:val="32"/>
          <w:lang w:val="en-US" w:eastAsia="zh-CN"/>
        </w:rPr>
        <w:t>始终坚持预算绩效管理体系全覆盖，把一般公共预算、政府性基金预算、国有资本经营预算、社会保险基金预算等四本预算全面纳入预算绩效管理，并将政府债务资金、PPP项目资金、巩固拓展脱贫攻坚与乡村振兴衔接资金、财政直达机制资金纳入监管，做到所有财政资金新项目立项有评估，资金申请有目标，执行情况有监控，事后有评价，评价结果有运用，形成了完整的管理闭环结构。</w:t>
      </w:r>
    </w:p>
    <w:p w14:paraId="1C89F764">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pPr>
      <w:r>
        <w:rPr>
          <w:rFonts w:hint="eastAsia" w:ascii="楷体" w:hAnsi="楷体" w:eastAsia="楷体" w:cs="楷体"/>
          <w:b/>
          <w:bCs/>
          <w:sz w:val="32"/>
          <w:szCs w:val="32"/>
          <w:lang w:val="en-US" w:eastAsia="zh-CN"/>
        </w:rPr>
        <w:t>（二）全过程预算绩效管理扎实开展。</w:t>
      </w:r>
      <w:r>
        <w:rPr>
          <w:rFonts w:hint="eastAsia" w:ascii="仿宋_GB2312" w:hAnsi="仿宋_GB2312" w:eastAsia="仿宋_GB2312" w:cs="仿宋_GB2312"/>
          <w:b w:val="0"/>
          <w:bCs w:val="0"/>
          <w:sz w:val="32"/>
          <w:szCs w:val="32"/>
          <w:lang w:val="en-US" w:eastAsia="zh-CN"/>
        </w:rPr>
        <w:t>一是积极开展支出绩效事前评估。着眼完整准</w:t>
      </w:r>
      <w:r>
        <w:rPr>
          <w:rFonts w:hint="eastAsia" w:ascii="仿宋_GB2312" w:hAnsi="仿宋_GB2312" w:eastAsia="仿宋_GB2312" w:cs="仿宋_GB2312"/>
          <w:sz w:val="32"/>
          <w:szCs w:val="32"/>
          <w:lang w:val="en-US" w:eastAsia="zh-CN"/>
        </w:rPr>
        <w:t>确贯彻新时代党的治疆方略，对新出台的政策、实施的项目，开展事前绩效评估，运用科学合理的评估办法，从内容、方案、筹资合规性、资金使用效益等方面进行客观、公正评估，并将事前绩效评估报告作为部门单位申报预算的必备要件。截至目前，我市纳入事前绩效评估的项目1个，涉及资金0.01亿元。</w:t>
      </w:r>
      <w:r>
        <w:rPr>
          <w:rFonts w:hint="eastAsia" w:ascii="仿宋_GB2312" w:hAnsi="仿宋_GB2312" w:eastAsia="仿宋_GB2312" w:cs="仿宋_GB2312"/>
          <w:b w:val="0"/>
          <w:bCs w:val="0"/>
          <w:sz w:val="32"/>
          <w:szCs w:val="32"/>
          <w:lang w:val="en-US" w:eastAsia="zh-CN"/>
        </w:rPr>
        <w:t>二是抓住绩效管理中</w:t>
      </w:r>
      <w:r>
        <w:rPr>
          <w:rFonts w:hint="eastAsia" w:ascii="仿宋_GB2312" w:hAnsi="仿宋_GB2312" w:eastAsia="仿宋_GB2312" w:cs="仿宋_GB2312"/>
          <w:b w:val="0"/>
          <w:bCs w:val="0"/>
          <w:sz w:val="32"/>
          <w:szCs w:val="32"/>
          <w:lang w:val="zh-CN" w:eastAsia="zh-CN"/>
        </w:rPr>
        <w:t>目标申报关键重点。</w:t>
      </w:r>
      <w:r>
        <w:rPr>
          <w:rFonts w:hint="eastAsia" w:ascii="仿宋_GB2312" w:hAnsi="仿宋_GB2312" w:eastAsia="仿宋_GB2312" w:cs="仿宋_GB2312"/>
          <w:b w:val="0"/>
          <w:bCs w:val="0"/>
          <w:sz w:val="32"/>
          <w:szCs w:val="32"/>
          <w:lang w:val="en-US" w:eastAsia="zh-CN"/>
        </w:rPr>
        <w:t>优化绩效目标设定，明确符合绩效目标编制范围的整体支出、项目支出都必须填报绩效目标，建立预算部门、财政部门和第三方机构专家联合审核工作机制。</w:t>
      </w:r>
      <w:r>
        <w:rPr>
          <w:rFonts w:hint="eastAsia" w:ascii="仿宋_GB2312" w:hAnsi="仿宋_GB2312" w:eastAsia="仿宋_GB2312" w:cs="仿宋_GB2312"/>
          <w:sz w:val="32"/>
          <w:szCs w:val="32"/>
          <w:lang w:val="en-US" w:eastAsia="zh-CN"/>
        </w:rPr>
        <w:t>实行绩效目标与预算“同步”，做到绩效目标与预算同步编制、与项目同步审核、与部门预算同步批复。2022年，全市535家部门单位均设置整体支出绩效目标，涉及金额56.90亿元；年初预算安排涉及5.57亿元的378个项目，全部编制绩效目标。三是从绩效监控着手提升财政资金质效。扎实开展整体支出绩效监控，以6月为节点，对全市535家部门单位年度整体绩效目标实现程度进行监控，发现问题及时纠正，并全程跟踪整改落实情况，不断提升部门单位履职效能。全面实施项目支出绩效监控，以5月为监控节点，对全市所有财政资金安排项目绩效目标实现程度和预算执行情况进行“双监控”，及时发现预算执行过程中的资金闲置和损失浪费，确保绩效目标如期保质保量实现。市本级将年初预算安排项目资金30%部分，用于对部门单位项目绩效管理工作开展情况进行考核。根据项目和资金实施情况及时纠偏止损，共开展绩效监控2次，其中：5月底，对783个项目实施绩效监控，监控资金25.9亿元；6月底，对535家部门单位年度整体绩效目标实现程度进行监控、监控资金56.9亿元。</w:t>
      </w:r>
      <w:r>
        <w:rPr>
          <w:rFonts w:hint="eastAsia" w:ascii="仿宋_GB2312" w:hAnsi="仿宋_GB2312" w:eastAsia="仿宋_GB2312" w:cs="仿宋_GB2312"/>
          <w:b w:val="0"/>
          <w:bCs w:val="0"/>
          <w:sz w:val="32"/>
          <w:szCs w:val="32"/>
          <w:lang w:val="en-US" w:eastAsia="zh-CN"/>
        </w:rPr>
        <w:t>四是多维度扎实开展绩效评价。</w:t>
      </w:r>
      <w:r>
        <w:rPr>
          <w:rFonts w:hint="eastAsia" w:ascii="仿宋_GB2312" w:hAnsi="仿宋_GB2312" w:eastAsia="仿宋_GB2312" w:cs="仿宋_GB2312"/>
          <w:sz w:val="32"/>
          <w:szCs w:val="32"/>
          <w:lang w:val="en-US" w:eastAsia="zh-CN"/>
        </w:rPr>
        <w:t>开展项目支出单位自评，按照“谁使用，谁自评”的原则，压实绩效评价的主体责任，组织2021年度市财政预算安排的1627个项目支出实施单位自评，重点评价项目总体绩效目标、各项绩效指标完成情况及预算执行情况，涉及金额63.83亿元。开展项目支出部门评价，进一步调动部门单位运用绩效手段加强内部资金管理的积极性、主动性，各级部门单位共选择2021年度1017个项目实施部门评价，涉及金额53.92亿元。开展财政部门评价，按照不低于当年财政预算安排资金的20%比例优先选择当年的重点项目和一次性项目，评价资金，重点评价项目决策情况、资金管理和使用情况、相关管理制度办法的健全性及执行情况、实现的产出情况、取得效益情况等方面，共选择2021年度1479个项目实施财政评价，涉及金额57.29亿元。开展第三方机构独立评价，围绕民生、公共服务领域等实施第三方机构独立评价，增强绩效评价结果的客观性、公正性，已通过第三方对2021年全市的40个重点项目开展绩效再评价，涉及金额1.72亿元。</w:t>
      </w:r>
    </w:p>
    <w:p w14:paraId="47E53650">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楷体" w:hAnsi="楷体" w:eastAsia="楷体" w:cs="楷体"/>
          <w:b/>
          <w:bCs/>
          <w:sz w:val="32"/>
          <w:szCs w:val="32"/>
          <w:lang w:val="en-US" w:eastAsia="zh-CN"/>
        </w:rPr>
        <w:t>（三）紧抓重点财政资金的预算绩效管理不放松。</w:t>
      </w:r>
      <w:r>
        <w:rPr>
          <w:rFonts w:hint="eastAsia" w:ascii="仿宋_GB2312" w:hAnsi="仿宋_GB2312" w:eastAsia="仿宋_GB2312" w:cs="仿宋_GB2312"/>
          <w:b w:val="0"/>
          <w:bCs w:val="0"/>
          <w:sz w:val="32"/>
          <w:szCs w:val="32"/>
          <w:lang w:val="en-US" w:eastAsia="zh-CN"/>
        </w:rPr>
        <w:t>一是加强</w:t>
      </w:r>
      <w:r>
        <w:rPr>
          <w:rFonts w:hint="eastAsia" w:ascii="仿宋_GB2312" w:hAnsi="仿宋_GB2312" w:eastAsia="仿宋_GB2312" w:cs="仿宋_GB2312"/>
          <w:sz w:val="32"/>
          <w:szCs w:val="32"/>
          <w:lang w:val="en-US" w:eastAsia="zh-CN"/>
        </w:rPr>
        <w:t>巩固拓展脱贫攻坚与乡村振兴衔接资金项目绩效管理。坚持以扶贫资金动态监控平台为依托，对全市110个录入监控平台的巩固拓展脱贫攻坚与乡村振兴衔接项目，严格按照预算绩效管理和资金管理要求，实行绩效目标、绩效监控、绩效评价的全过程绩效管理，确保资金使用安全高效，涉及金额3.3亿元。</w:t>
      </w:r>
      <w:r>
        <w:rPr>
          <w:rFonts w:hint="eastAsia" w:ascii="仿宋_GB2312" w:hAnsi="仿宋_GB2312" w:eastAsia="仿宋_GB2312" w:cs="仿宋_GB2312"/>
          <w:b w:val="0"/>
          <w:bCs w:val="0"/>
          <w:sz w:val="32"/>
          <w:szCs w:val="32"/>
          <w:lang w:val="en-US" w:eastAsia="zh-CN"/>
        </w:rPr>
        <w:t>二是</w:t>
      </w:r>
      <w:r>
        <w:rPr>
          <w:rFonts w:hint="eastAsia" w:ascii="仿宋_GB2312" w:hAnsi="仿宋_GB2312" w:eastAsia="仿宋_GB2312" w:cs="仿宋_GB2312"/>
          <w:sz w:val="32"/>
          <w:szCs w:val="32"/>
          <w:lang w:val="en-US" w:eastAsia="zh-CN"/>
        </w:rPr>
        <w:t>加强财政直达机制资金预算绩效管理。对全市2022年新增中央直达机制资金198个项目，通过严格全面的预算绩效审核、跟踪、监控，切实发挥资金直达基层、直接惠企利民的重要作用，涉及金额17.1亿元。</w:t>
      </w:r>
      <w:r>
        <w:rPr>
          <w:rFonts w:hint="eastAsia" w:ascii="仿宋_GB2312" w:hAnsi="仿宋_GB2312" w:eastAsia="仿宋_GB2312" w:cs="仿宋_GB2312"/>
          <w:b w:val="0"/>
          <w:bCs w:val="0"/>
          <w:sz w:val="32"/>
          <w:szCs w:val="32"/>
          <w:lang w:val="en-US" w:eastAsia="zh-CN"/>
        </w:rPr>
        <w:t>三是加</w:t>
      </w:r>
      <w:r>
        <w:rPr>
          <w:rFonts w:hint="eastAsia" w:ascii="仿宋_GB2312" w:hAnsi="仿宋_GB2312" w:eastAsia="仿宋_GB2312" w:cs="仿宋_GB2312"/>
          <w:sz w:val="32"/>
          <w:szCs w:val="32"/>
          <w:lang w:val="en-US" w:eastAsia="zh-CN"/>
        </w:rPr>
        <w:t>强地方政府债务绩效管理。对2022年自治区转贷的16.4亿元地方政府新增债券资金51个项目，合理设定了绩效目标，实行“双监控”，做到发现问题及时纠正，不闲置浪费、不违法违规使用，确保新增债券资金在3个月内全部形成实际支出。资金支出完毕一个月内开展绩效自评，形成绩效自评报告，确保政府债券资金使用合法合规、达到效益。</w:t>
      </w:r>
    </w:p>
    <w:p w14:paraId="022D2F6B">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楷体" w:hAnsi="楷体" w:eastAsia="楷体" w:cs="楷体"/>
          <w:b/>
          <w:bCs/>
          <w:sz w:val="32"/>
          <w:szCs w:val="32"/>
          <w:lang w:val="en-US" w:eastAsia="zh-CN"/>
        </w:rPr>
        <w:t>（四）不断提高预算绩效信息公开程度。</w:t>
      </w:r>
      <w:r>
        <w:rPr>
          <w:rFonts w:hint="eastAsia" w:ascii="仿宋_GB2312" w:hAnsi="仿宋_GB2312" w:eastAsia="仿宋_GB2312" w:cs="仿宋_GB2312"/>
          <w:b w:val="0"/>
          <w:bCs w:val="0"/>
          <w:sz w:val="32"/>
          <w:szCs w:val="32"/>
          <w:lang w:val="en-US" w:eastAsia="zh-CN"/>
        </w:rPr>
        <w:t>一方面，</w:t>
      </w:r>
      <w:r>
        <w:rPr>
          <w:rFonts w:hint="eastAsia" w:ascii="仿宋_GB2312" w:hAnsi="仿宋_GB2312" w:eastAsia="仿宋_GB2312" w:cs="仿宋_GB2312"/>
          <w:sz w:val="32"/>
          <w:szCs w:val="32"/>
          <w:lang w:val="en-US" w:eastAsia="zh-CN"/>
        </w:rPr>
        <w:t>将项目支出、部门整体支出绩效目标、巩固拓展脱贫攻坚与乡村振兴衔接资金绩效目标、直达机制资金绩效目标、2021年项目支出绩效评价结果、重点项目绩效评价及年度预算绩效管理实施情况等向社会公开。</w:t>
      </w:r>
      <w:r>
        <w:rPr>
          <w:rFonts w:hint="eastAsia" w:ascii="仿宋_GB2312" w:hAnsi="仿宋_GB2312" w:eastAsia="仿宋_GB2312" w:cs="仿宋_GB2312"/>
          <w:b w:val="0"/>
          <w:bCs w:val="0"/>
          <w:sz w:val="32"/>
          <w:szCs w:val="32"/>
          <w:lang w:val="en-US" w:eastAsia="zh-CN"/>
        </w:rPr>
        <w:t>另一方面，</w:t>
      </w:r>
      <w:r>
        <w:rPr>
          <w:rFonts w:hint="eastAsia" w:ascii="仿宋_GB2312" w:hAnsi="仿宋_GB2312" w:eastAsia="仿宋_GB2312" w:cs="仿宋_GB2312"/>
          <w:sz w:val="32"/>
          <w:szCs w:val="32"/>
          <w:lang w:val="en-US" w:eastAsia="zh-CN"/>
        </w:rPr>
        <w:t>在规定时间将2022年532个部门单位整体绩效目标和年初预算安排的378个项目，以及2021年</w:t>
      </w:r>
      <w:r>
        <w:rPr>
          <w:rFonts w:hint="eastAsia" w:ascii="仿宋_GB2312" w:hAnsi="仿宋_GB2312" w:eastAsia="仿宋_GB2312" w:cs="仿宋_GB2312"/>
          <w:sz w:val="32"/>
          <w:szCs w:val="32"/>
          <w:lang w:val="zh-CN" w:eastAsia="zh-CN"/>
        </w:rPr>
        <w:t>5</w:t>
      </w:r>
      <w:r>
        <w:rPr>
          <w:rFonts w:hint="eastAsia" w:ascii="仿宋_GB2312" w:hAnsi="仿宋_GB2312" w:eastAsia="仿宋_GB2312" w:cs="仿宋_GB2312"/>
          <w:sz w:val="32"/>
          <w:szCs w:val="32"/>
          <w:lang w:val="en-US" w:eastAsia="zh-CN"/>
        </w:rPr>
        <w:t>32</w:t>
      </w:r>
      <w:r>
        <w:rPr>
          <w:rFonts w:hint="eastAsia" w:ascii="仿宋_GB2312" w:hAnsi="仿宋_GB2312" w:eastAsia="仿宋_GB2312" w:cs="仿宋_GB2312"/>
          <w:sz w:val="32"/>
          <w:szCs w:val="32"/>
          <w:lang w:val="zh-CN" w:eastAsia="zh-CN"/>
        </w:rPr>
        <w:t>个</w:t>
      </w:r>
      <w:r>
        <w:rPr>
          <w:rFonts w:hint="eastAsia" w:ascii="仿宋_GB2312" w:hAnsi="仿宋_GB2312" w:eastAsia="仿宋_GB2312" w:cs="仿宋_GB2312"/>
          <w:sz w:val="32"/>
          <w:szCs w:val="32"/>
          <w:lang w:val="en-US" w:eastAsia="zh-CN"/>
        </w:rPr>
        <w:t>决算部门单位公开绩效评价内容，主动接受社会监督，做到绩效目标、绩效评价与部门预决算“同步批复、同步公开”。增强财政支出透明度，促使预算单位更加规范预算管理。</w:t>
      </w:r>
    </w:p>
    <w:p w14:paraId="5878AFC4">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三、下一步工作</w:t>
      </w:r>
    </w:p>
    <w:p w14:paraId="331BA492">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楷体" w:hAnsi="楷体" w:eastAsia="楷体" w:cs="楷体"/>
          <w:b/>
          <w:bCs/>
          <w:sz w:val="32"/>
          <w:szCs w:val="32"/>
          <w:lang w:val="en-US" w:eastAsia="zh-CN"/>
        </w:rPr>
        <w:t>（一）坚决推动预算绩效管理主体职责落实。</w:t>
      </w:r>
      <w:r>
        <w:rPr>
          <w:rFonts w:hint="eastAsia" w:ascii="仿宋_GB2312" w:hAnsi="仿宋_GB2312" w:eastAsia="仿宋_GB2312" w:cs="仿宋_GB2312"/>
          <w:sz w:val="32"/>
          <w:szCs w:val="32"/>
          <w:lang w:val="en-US" w:eastAsia="zh-CN"/>
        </w:rPr>
        <w:t>督促各部门单位进一步转变思想观念，树牢“花钱必问效、无效必问责”的预算绩效理念，主动承担起本部门单位预算绩效管理的主体职责，严格落实全面实施预算绩效管理各项工作任务，完善内部管理制度，加强绩效管理力量，充实绩效管理人员，切实加强绩效管理工作。</w:t>
      </w:r>
    </w:p>
    <w:p w14:paraId="514E706D">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9"/>
        <w:rPr>
          <w:rFonts w:hint="default" w:ascii="仿宋_GB2312" w:hAnsi="仿宋_GB2312" w:eastAsia="仿宋_GB2312" w:cs="仿宋_GB2312"/>
          <w:sz w:val="32"/>
          <w:szCs w:val="32"/>
          <w:lang w:val="en-US" w:eastAsia="zh-CN"/>
        </w:rPr>
      </w:pPr>
      <w:r>
        <w:rPr>
          <w:rFonts w:hint="eastAsia" w:ascii="楷体" w:hAnsi="楷体" w:eastAsia="楷体" w:cs="楷体"/>
          <w:b/>
          <w:bCs/>
          <w:sz w:val="32"/>
          <w:szCs w:val="32"/>
          <w:lang w:val="en-US" w:eastAsia="zh-CN"/>
        </w:rPr>
        <w:t>（二）严格审核把关预算绩效管理工作。</w:t>
      </w:r>
      <w:r>
        <w:rPr>
          <w:rFonts w:hint="eastAsia" w:ascii="仿宋_GB2312" w:hAnsi="仿宋_GB2312" w:eastAsia="仿宋_GB2312" w:cs="仿宋_GB2312"/>
          <w:sz w:val="32"/>
          <w:szCs w:val="32"/>
          <w:lang w:val="en-US" w:eastAsia="zh-CN"/>
        </w:rPr>
        <w:t>从严审核把好绩效目标、绩效监控、绩效评价各阶段关口，尤其是绩效目标设置，加大对绩效目标设置科学性、规范性、合理性的审核力度，确保绩效监控、绩效评价等后续环节有效推进，不断强化预算绩效全过程管理。</w:t>
      </w:r>
    </w:p>
    <w:p w14:paraId="6CBD2151">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9"/>
        <w:rPr>
          <w:rFonts w:hint="default" w:ascii="仿宋_GB2312" w:hAnsi="仿宋_GB2312" w:eastAsia="仿宋_GB2312" w:cs="仿宋_GB2312"/>
          <w:sz w:val="32"/>
          <w:szCs w:val="32"/>
          <w:lang w:val="en-US" w:eastAsia="zh-CN"/>
        </w:rPr>
      </w:pPr>
      <w:r>
        <w:rPr>
          <w:rFonts w:hint="eastAsia" w:ascii="楷体" w:hAnsi="楷体" w:eastAsia="楷体" w:cs="楷体"/>
          <w:b/>
          <w:bCs/>
          <w:sz w:val="32"/>
          <w:szCs w:val="32"/>
          <w:lang w:val="en-US" w:eastAsia="zh-CN"/>
        </w:rPr>
        <w:t>（三）强化绩效评价结果应用。</w:t>
      </w:r>
      <w:r>
        <w:rPr>
          <w:rFonts w:hint="eastAsia" w:ascii="仿宋_GB2312" w:hAnsi="仿宋_GB2312" w:eastAsia="仿宋_GB2312" w:cs="仿宋_GB2312"/>
          <w:sz w:val="32"/>
          <w:szCs w:val="32"/>
          <w:lang w:val="en-US" w:eastAsia="zh-CN"/>
        </w:rPr>
        <w:t>坚持把绩效评价结果作为下一年度部门预算项目安排的重要依据，通过硬化考核</w:t>
      </w:r>
      <w:r>
        <w:rPr>
          <w:rFonts w:hint="default" w:ascii="仿宋_GB2312" w:hAnsi="仿宋_GB2312" w:eastAsia="仿宋_GB2312" w:cs="仿宋_GB2312"/>
          <w:sz w:val="32"/>
          <w:szCs w:val="32"/>
          <w:lang w:val="en-US" w:eastAsia="zh-CN"/>
        </w:rPr>
        <w:t>激励与问责制度，</w:t>
      </w:r>
      <w:r>
        <w:rPr>
          <w:rFonts w:hint="eastAsia" w:ascii="仿宋_GB2312" w:hAnsi="仿宋_GB2312" w:eastAsia="仿宋_GB2312" w:cs="仿宋_GB2312"/>
          <w:sz w:val="32"/>
          <w:szCs w:val="32"/>
          <w:lang w:val="en-US" w:eastAsia="zh-CN"/>
        </w:rPr>
        <w:t>不断</w:t>
      </w:r>
      <w:r>
        <w:rPr>
          <w:rFonts w:hint="default" w:ascii="仿宋_GB2312" w:hAnsi="仿宋_GB2312" w:eastAsia="仿宋_GB2312" w:cs="仿宋_GB2312"/>
          <w:sz w:val="32"/>
          <w:szCs w:val="32"/>
          <w:lang w:val="en-US" w:eastAsia="zh-CN"/>
        </w:rPr>
        <w:t>增强</w:t>
      </w:r>
      <w:r>
        <w:rPr>
          <w:rFonts w:hint="eastAsia" w:ascii="仿宋_GB2312" w:hAnsi="仿宋_GB2312" w:eastAsia="仿宋_GB2312" w:cs="仿宋_GB2312"/>
          <w:sz w:val="32"/>
          <w:szCs w:val="32"/>
          <w:lang w:val="en-US" w:eastAsia="zh-CN"/>
        </w:rPr>
        <w:t>部门</w:t>
      </w:r>
      <w:r>
        <w:rPr>
          <w:rFonts w:hint="default"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lang w:val="en-US" w:eastAsia="zh-CN"/>
        </w:rPr>
        <w:t>预算绩效管理的</w:t>
      </w:r>
      <w:r>
        <w:rPr>
          <w:rFonts w:hint="default" w:ascii="仿宋_GB2312" w:hAnsi="仿宋_GB2312" w:eastAsia="仿宋_GB2312" w:cs="仿宋_GB2312"/>
          <w:sz w:val="32"/>
          <w:szCs w:val="32"/>
          <w:lang w:val="en-US" w:eastAsia="zh-CN"/>
        </w:rPr>
        <w:t>责任感和紧迫感，切实发挥绩效评价工作应有作用。对绩效</w:t>
      </w:r>
      <w:r>
        <w:rPr>
          <w:rFonts w:hint="eastAsia" w:ascii="仿宋_GB2312" w:hAnsi="仿宋_GB2312" w:eastAsia="仿宋_GB2312" w:cs="仿宋_GB2312"/>
          <w:sz w:val="32"/>
          <w:szCs w:val="32"/>
          <w:lang w:val="en-US" w:eastAsia="zh-CN"/>
        </w:rPr>
        <w:t>评价</w:t>
      </w:r>
      <w:r>
        <w:rPr>
          <w:rFonts w:hint="default" w:ascii="仿宋_GB2312" w:hAnsi="仿宋_GB2312" w:eastAsia="仿宋_GB2312" w:cs="仿宋_GB2312"/>
          <w:sz w:val="32"/>
          <w:szCs w:val="32"/>
          <w:lang w:val="en-US" w:eastAsia="zh-CN"/>
        </w:rPr>
        <w:t>好的项目原则上优先</w:t>
      </w:r>
      <w:r>
        <w:rPr>
          <w:rFonts w:hint="eastAsia" w:ascii="仿宋_GB2312" w:hAnsi="仿宋_GB2312" w:eastAsia="仿宋_GB2312" w:cs="仿宋_GB2312"/>
          <w:sz w:val="32"/>
          <w:szCs w:val="32"/>
          <w:lang w:val="en-US" w:eastAsia="zh-CN"/>
        </w:rPr>
        <w:t>予以</w:t>
      </w:r>
      <w:r>
        <w:rPr>
          <w:rFonts w:hint="default" w:ascii="仿宋_GB2312" w:hAnsi="仿宋_GB2312" w:eastAsia="仿宋_GB2312" w:cs="仿宋_GB2312"/>
          <w:sz w:val="32"/>
          <w:szCs w:val="32"/>
          <w:lang w:val="en-US" w:eastAsia="zh-CN"/>
        </w:rPr>
        <w:t>保障，对绩效</w:t>
      </w:r>
      <w:r>
        <w:rPr>
          <w:rFonts w:hint="eastAsia" w:ascii="仿宋_GB2312" w:hAnsi="仿宋_GB2312" w:eastAsia="仿宋_GB2312" w:cs="仿宋_GB2312"/>
          <w:sz w:val="32"/>
          <w:szCs w:val="32"/>
          <w:lang w:val="en-US" w:eastAsia="zh-CN"/>
        </w:rPr>
        <w:t>评价一般的</w:t>
      </w:r>
      <w:r>
        <w:rPr>
          <w:rFonts w:hint="default" w:ascii="仿宋_GB2312" w:hAnsi="仿宋_GB2312" w:eastAsia="仿宋_GB2312" w:cs="仿宋_GB2312"/>
          <w:sz w:val="32"/>
          <w:szCs w:val="32"/>
          <w:lang w:val="en-US" w:eastAsia="zh-CN"/>
        </w:rPr>
        <w:t>项目督促改进</w:t>
      </w:r>
      <w:r>
        <w:rPr>
          <w:rFonts w:hint="eastAsia" w:ascii="仿宋_GB2312" w:hAnsi="仿宋_GB2312" w:eastAsia="仿宋_GB2312" w:cs="仿宋_GB2312"/>
          <w:sz w:val="32"/>
          <w:szCs w:val="32"/>
          <w:lang w:val="en-US" w:eastAsia="zh-CN"/>
        </w:rPr>
        <w:t>完善</w:t>
      </w:r>
      <w:r>
        <w:rPr>
          <w:rFonts w:hint="default" w:ascii="仿宋_GB2312" w:hAnsi="仿宋_GB2312" w:eastAsia="仿宋_GB2312" w:cs="仿宋_GB2312"/>
          <w:sz w:val="32"/>
          <w:szCs w:val="32"/>
          <w:lang w:val="en-US" w:eastAsia="zh-CN"/>
        </w:rPr>
        <w:t>，对于低效无效</w:t>
      </w:r>
      <w:r>
        <w:rPr>
          <w:rFonts w:hint="eastAsia" w:ascii="仿宋_GB2312" w:hAnsi="仿宋_GB2312" w:eastAsia="仿宋_GB2312" w:cs="仿宋_GB2312"/>
          <w:sz w:val="32"/>
          <w:szCs w:val="32"/>
          <w:lang w:val="en-US" w:eastAsia="zh-CN"/>
        </w:rPr>
        <w:t>项目</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下一年安排预算</w:t>
      </w:r>
      <w:r>
        <w:rPr>
          <w:rFonts w:hint="default" w:ascii="仿宋_GB2312" w:hAnsi="仿宋_GB2312" w:eastAsia="仿宋_GB2312" w:cs="仿宋_GB2312"/>
          <w:sz w:val="32"/>
          <w:szCs w:val="32"/>
          <w:lang w:val="en-US" w:eastAsia="zh-CN"/>
        </w:rPr>
        <w:t>资金</w:t>
      </w:r>
      <w:r>
        <w:rPr>
          <w:rFonts w:hint="eastAsia" w:ascii="仿宋_GB2312" w:hAnsi="仿宋_GB2312" w:eastAsia="仿宋_GB2312" w:cs="仿宋_GB2312"/>
          <w:sz w:val="32"/>
          <w:szCs w:val="32"/>
          <w:lang w:val="en-US" w:eastAsia="zh-CN"/>
        </w:rPr>
        <w:t>时</w:t>
      </w:r>
      <w:r>
        <w:rPr>
          <w:rFonts w:hint="default" w:ascii="仿宋_GB2312" w:hAnsi="仿宋_GB2312" w:eastAsia="仿宋_GB2312" w:cs="仿宋_GB2312"/>
          <w:sz w:val="32"/>
          <w:szCs w:val="32"/>
          <w:lang w:val="en-US" w:eastAsia="zh-CN"/>
        </w:rPr>
        <w:t>一律</w:t>
      </w:r>
      <w:r>
        <w:rPr>
          <w:rFonts w:hint="eastAsia" w:ascii="仿宋_GB2312" w:hAnsi="仿宋_GB2312" w:eastAsia="仿宋_GB2312" w:cs="仿宋_GB2312"/>
          <w:sz w:val="32"/>
          <w:szCs w:val="32"/>
          <w:lang w:val="en-US" w:eastAsia="zh-CN"/>
        </w:rPr>
        <w:t>削减</w:t>
      </w:r>
      <w:r>
        <w:rPr>
          <w:rFonts w:hint="default" w:ascii="仿宋_GB2312" w:hAnsi="仿宋_GB2312" w:eastAsia="仿宋_GB2312" w:cs="仿宋_GB2312"/>
          <w:sz w:val="32"/>
          <w:szCs w:val="32"/>
          <w:lang w:val="en-US" w:eastAsia="zh-CN"/>
        </w:rPr>
        <w:t>或取消。</w:t>
      </w:r>
    </w:p>
    <w:p w14:paraId="11ED29BC">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楷体" w:hAnsi="楷体" w:eastAsia="楷体" w:cs="楷体"/>
          <w:b/>
          <w:bCs/>
          <w:sz w:val="32"/>
          <w:szCs w:val="32"/>
          <w:lang w:val="en-US" w:eastAsia="zh-CN"/>
        </w:rPr>
        <w:t>（四）加大第三方参与绩效管理工作力度。</w:t>
      </w:r>
      <w:r>
        <w:rPr>
          <w:rFonts w:hint="eastAsia" w:ascii="仿宋_GB2312" w:hAnsi="仿宋_GB2312" w:eastAsia="仿宋_GB2312" w:cs="仿宋_GB2312"/>
          <w:sz w:val="32"/>
          <w:szCs w:val="32"/>
          <w:lang w:val="en-US" w:eastAsia="zh-CN"/>
        </w:rPr>
        <w:t>积极探索第三方参与的绩效管理工作考核机制，通过引入第三方参与项目预算绩效全周期管理，对项目进行专业、独立和客观</w:t>
      </w:r>
      <w:bookmarkStart w:id="0" w:name="_GoBack"/>
      <w:r>
        <w:rPr>
          <w:rFonts w:hint="eastAsia" w:ascii="仿宋_GB2312" w:hAnsi="仿宋_GB2312" w:eastAsia="仿宋_GB2312" w:cs="仿宋_GB2312"/>
          <w:sz w:val="32"/>
          <w:szCs w:val="32"/>
          <w:lang w:val="en-US" w:eastAsia="zh-CN"/>
        </w:rPr>
        <w:t>地</w:t>
      </w:r>
      <w:bookmarkEnd w:id="0"/>
      <w:r>
        <w:rPr>
          <w:rFonts w:hint="eastAsia" w:ascii="仿宋_GB2312" w:hAnsi="仿宋_GB2312" w:eastAsia="仿宋_GB2312" w:cs="仿宋_GB2312"/>
          <w:sz w:val="32"/>
          <w:szCs w:val="32"/>
          <w:lang w:val="en-US" w:eastAsia="zh-CN"/>
        </w:rPr>
        <w:t>评价，及时发现绩效管理中的短板和不足，提出合理化意见建议，进一步提升全市预算绩效管理工作质量。</w:t>
      </w:r>
    </w:p>
    <w:p w14:paraId="5BB248DC">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楷体" w:hAnsi="楷体" w:eastAsia="楷体" w:cs="楷体"/>
          <w:b/>
          <w:bCs/>
          <w:sz w:val="32"/>
          <w:szCs w:val="32"/>
          <w:lang w:val="en-US" w:eastAsia="zh-CN"/>
        </w:rPr>
        <w:t>（五）抓好预算绩效管理业务培训。</w:t>
      </w:r>
      <w:r>
        <w:rPr>
          <w:rFonts w:hint="eastAsia" w:ascii="仿宋_GB2312" w:hAnsi="仿宋_GB2312" w:eastAsia="仿宋_GB2312" w:cs="仿宋_GB2312"/>
          <w:sz w:val="32"/>
          <w:szCs w:val="32"/>
          <w:lang w:val="en-US" w:eastAsia="zh-CN"/>
        </w:rPr>
        <w:t>组织专业力量加大对部门单位和基层的培训力度，积极采取灵活多样的培训方式，不断深化业务人员对全面实施预算绩效管理的认识，有效提高整体工作水平。</w:t>
      </w:r>
    </w:p>
    <w:p w14:paraId="6C79A24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仿宋_GB2312" w:hAnsi="仿宋_GB2312" w:eastAsia="仿宋_GB2312" w:cs="仿宋_GB2312"/>
          <w:sz w:val="32"/>
          <w:szCs w:val="32"/>
          <w:lang w:val="en-US" w:eastAsia="zh-CN"/>
        </w:rPr>
      </w:pPr>
    </w:p>
    <w:p w14:paraId="32F68E9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仿宋_GB2312" w:hAnsi="仿宋_GB2312" w:eastAsia="仿宋_GB2312" w:cs="仿宋_GB2312"/>
          <w:sz w:val="32"/>
          <w:szCs w:val="32"/>
          <w:lang w:val="en-US" w:eastAsia="zh-CN"/>
        </w:rPr>
      </w:pPr>
    </w:p>
    <w:p w14:paraId="48127EC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仿宋_GB2312" w:hAnsi="仿宋_GB2312" w:eastAsia="仿宋_GB2312" w:cs="仿宋_GB2312"/>
          <w:sz w:val="32"/>
          <w:szCs w:val="32"/>
          <w:lang w:val="en-US" w:eastAsia="zh-CN"/>
        </w:rPr>
      </w:pPr>
    </w:p>
    <w:p w14:paraId="00A54BBD">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市财政局</w:t>
      </w:r>
    </w:p>
    <w:p w14:paraId="629E8546">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2022年11月1日</w:t>
      </w:r>
    </w:p>
    <w:sectPr>
      <w:footerReference r:id="rId3" w:type="default"/>
      <w:pgSz w:w="11906" w:h="16838"/>
      <w:pgMar w:top="2098" w:right="1587" w:bottom="1984"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C478E">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E248B2">
                          <w:pPr>
                            <w:pStyle w:val="2"/>
                            <w:rPr>
                              <w:rFonts w:hint="eastAsia" w:eastAsiaTheme="minorEastAsia"/>
                              <w:lang w:eastAsia="zh-CN"/>
                            </w:rPr>
                          </w:pPr>
                          <w:r>
                            <w:rPr>
                              <w:rFonts w:hint="eastAsia" w:ascii="仿宋_GB2312" w:hAnsi="仿宋_GB2312" w:eastAsia="仿宋_GB2312" w:cs="仿宋_GB2312"/>
                              <w:sz w:val="24"/>
                              <w:szCs w:val="24"/>
                              <w:lang w:eastAsia="zh-CN"/>
                            </w:rPr>
                            <w:fldChar w:fldCharType="begin"/>
                          </w:r>
                          <w:r>
                            <w:rPr>
                              <w:rFonts w:hint="eastAsia" w:ascii="仿宋_GB2312" w:hAnsi="仿宋_GB2312" w:eastAsia="仿宋_GB2312" w:cs="仿宋_GB2312"/>
                              <w:sz w:val="24"/>
                              <w:szCs w:val="24"/>
                              <w:lang w:eastAsia="zh-CN"/>
                            </w:rPr>
                            <w:instrText xml:space="preserve"> PAGE  \* MERGEFORMAT </w:instrText>
                          </w:r>
                          <w:r>
                            <w:rPr>
                              <w:rFonts w:hint="eastAsia" w:ascii="仿宋_GB2312" w:hAnsi="仿宋_GB2312" w:eastAsia="仿宋_GB2312" w:cs="仿宋_GB2312"/>
                              <w:sz w:val="24"/>
                              <w:szCs w:val="24"/>
                              <w:lang w:eastAsia="zh-CN"/>
                            </w:rPr>
                            <w:fldChar w:fldCharType="separate"/>
                          </w:r>
                          <w:r>
                            <w:rPr>
                              <w:rFonts w:hint="eastAsia" w:ascii="仿宋_GB2312" w:hAnsi="仿宋_GB2312" w:eastAsia="仿宋_GB2312" w:cs="仿宋_GB2312"/>
                              <w:sz w:val="24"/>
                              <w:szCs w:val="24"/>
                              <w:lang w:eastAsia="zh-CN"/>
                            </w:rPr>
                            <w:t>1</w:t>
                          </w:r>
                          <w:r>
                            <w:rPr>
                              <w:rFonts w:hint="eastAsia" w:ascii="仿宋_GB2312" w:hAnsi="仿宋_GB2312" w:eastAsia="仿宋_GB2312" w:cs="仿宋_GB2312"/>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8E248B2">
                    <w:pPr>
                      <w:pStyle w:val="2"/>
                      <w:rPr>
                        <w:rFonts w:hint="eastAsia" w:eastAsiaTheme="minorEastAsia"/>
                        <w:lang w:eastAsia="zh-CN"/>
                      </w:rPr>
                    </w:pPr>
                    <w:r>
                      <w:rPr>
                        <w:rFonts w:hint="eastAsia" w:ascii="仿宋_GB2312" w:hAnsi="仿宋_GB2312" w:eastAsia="仿宋_GB2312" w:cs="仿宋_GB2312"/>
                        <w:sz w:val="24"/>
                        <w:szCs w:val="24"/>
                        <w:lang w:eastAsia="zh-CN"/>
                      </w:rPr>
                      <w:fldChar w:fldCharType="begin"/>
                    </w:r>
                    <w:r>
                      <w:rPr>
                        <w:rFonts w:hint="eastAsia" w:ascii="仿宋_GB2312" w:hAnsi="仿宋_GB2312" w:eastAsia="仿宋_GB2312" w:cs="仿宋_GB2312"/>
                        <w:sz w:val="24"/>
                        <w:szCs w:val="24"/>
                        <w:lang w:eastAsia="zh-CN"/>
                      </w:rPr>
                      <w:instrText xml:space="preserve"> PAGE  \* MERGEFORMAT </w:instrText>
                    </w:r>
                    <w:r>
                      <w:rPr>
                        <w:rFonts w:hint="eastAsia" w:ascii="仿宋_GB2312" w:hAnsi="仿宋_GB2312" w:eastAsia="仿宋_GB2312" w:cs="仿宋_GB2312"/>
                        <w:sz w:val="24"/>
                        <w:szCs w:val="24"/>
                        <w:lang w:eastAsia="zh-CN"/>
                      </w:rPr>
                      <w:fldChar w:fldCharType="separate"/>
                    </w:r>
                    <w:r>
                      <w:rPr>
                        <w:rFonts w:hint="eastAsia" w:ascii="仿宋_GB2312" w:hAnsi="仿宋_GB2312" w:eastAsia="仿宋_GB2312" w:cs="仿宋_GB2312"/>
                        <w:sz w:val="24"/>
                        <w:szCs w:val="24"/>
                        <w:lang w:eastAsia="zh-CN"/>
                      </w:rPr>
                      <w:t>1</w:t>
                    </w:r>
                    <w:r>
                      <w:rPr>
                        <w:rFonts w:hint="eastAsia" w:ascii="仿宋_GB2312" w:hAnsi="仿宋_GB2312" w:eastAsia="仿宋_GB2312" w:cs="仿宋_GB2312"/>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32021F"/>
    <w:rsid w:val="019A7FE9"/>
    <w:rsid w:val="01AC1AD4"/>
    <w:rsid w:val="0297722B"/>
    <w:rsid w:val="02CC0491"/>
    <w:rsid w:val="034548E3"/>
    <w:rsid w:val="03587EE1"/>
    <w:rsid w:val="03B73C9C"/>
    <w:rsid w:val="04901D10"/>
    <w:rsid w:val="04A876D4"/>
    <w:rsid w:val="055449BA"/>
    <w:rsid w:val="05620EFA"/>
    <w:rsid w:val="05A15820"/>
    <w:rsid w:val="05E90724"/>
    <w:rsid w:val="06195116"/>
    <w:rsid w:val="06386C99"/>
    <w:rsid w:val="0674771C"/>
    <w:rsid w:val="07152699"/>
    <w:rsid w:val="076B43E6"/>
    <w:rsid w:val="086D6952"/>
    <w:rsid w:val="088A7E36"/>
    <w:rsid w:val="08A80F4B"/>
    <w:rsid w:val="08E97EC1"/>
    <w:rsid w:val="09530C5E"/>
    <w:rsid w:val="09B515C1"/>
    <w:rsid w:val="0A3C17F2"/>
    <w:rsid w:val="0A9D7E71"/>
    <w:rsid w:val="0AB365B1"/>
    <w:rsid w:val="0B31601C"/>
    <w:rsid w:val="0C2B20FA"/>
    <w:rsid w:val="0C8D369B"/>
    <w:rsid w:val="0C9E6EF3"/>
    <w:rsid w:val="0CAB3783"/>
    <w:rsid w:val="0D12350D"/>
    <w:rsid w:val="0D1D4CB6"/>
    <w:rsid w:val="0E3E3444"/>
    <w:rsid w:val="0F372894"/>
    <w:rsid w:val="0F514DA5"/>
    <w:rsid w:val="0F8F244D"/>
    <w:rsid w:val="0FC82682"/>
    <w:rsid w:val="103F50A0"/>
    <w:rsid w:val="107278F6"/>
    <w:rsid w:val="10EB0C3B"/>
    <w:rsid w:val="11984EF9"/>
    <w:rsid w:val="11AE1D34"/>
    <w:rsid w:val="1252502A"/>
    <w:rsid w:val="153367C5"/>
    <w:rsid w:val="163A4456"/>
    <w:rsid w:val="163F730B"/>
    <w:rsid w:val="1677454A"/>
    <w:rsid w:val="16A165E4"/>
    <w:rsid w:val="16A63C11"/>
    <w:rsid w:val="171F198E"/>
    <w:rsid w:val="182165B3"/>
    <w:rsid w:val="18290059"/>
    <w:rsid w:val="18B87F84"/>
    <w:rsid w:val="1A054D70"/>
    <w:rsid w:val="1A2072C0"/>
    <w:rsid w:val="1A3F529D"/>
    <w:rsid w:val="1A4625DD"/>
    <w:rsid w:val="1A4B13AF"/>
    <w:rsid w:val="1AC204FB"/>
    <w:rsid w:val="1D0163EE"/>
    <w:rsid w:val="1D10069F"/>
    <w:rsid w:val="1D150D5F"/>
    <w:rsid w:val="1DE4754D"/>
    <w:rsid w:val="1EEE7859"/>
    <w:rsid w:val="1F555A1B"/>
    <w:rsid w:val="1FC66D71"/>
    <w:rsid w:val="22227D2E"/>
    <w:rsid w:val="2299547E"/>
    <w:rsid w:val="231917DC"/>
    <w:rsid w:val="238D5A46"/>
    <w:rsid w:val="24510B77"/>
    <w:rsid w:val="24875306"/>
    <w:rsid w:val="25103AC7"/>
    <w:rsid w:val="254D114A"/>
    <w:rsid w:val="26050670"/>
    <w:rsid w:val="26C53219"/>
    <w:rsid w:val="273B40C5"/>
    <w:rsid w:val="28B9407E"/>
    <w:rsid w:val="298D1F16"/>
    <w:rsid w:val="2A286C7C"/>
    <w:rsid w:val="2AF82659"/>
    <w:rsid w:val="2C690635"/>
    <w:rsid w:val="2C792848"/>
    <w:rsid w:val="2C8E37F0"/>
    <w:rsid w:val="2C9E3430"/>
    <w:rsid w:val="2CFE0986"/>
    <w:rsid w:val="2D6F2091"/>
    <w:rsid w:val="2E957EF3"/>
    <w:rsid w:val="2EF91013"/>
    <w:rsid w:val="30B9591D"/>
    <w:rsid w:val="30E92CFD"/>
    <w:rsid w:val="315E72DE"/>
    <w:rsid w:val="31D062DE"/>
    <w:rsid w:val="32235EF2"/>
    <w:rsid w:val="32F60E8C"/>
    <w:rsid w:val="33164EFE"/>
    <w:rsid w:val="33284262"/>
    <w:rsid w:val="33462B5B"/>
    <w:rsid w:val="334979CD"/>
    <w:rsid w:val="3407413C"/>
    <w:rsid w:val="34D3306F"/>
    <w:rsid w:val="35C867D8"/>
    <w:rsid w:val="35DD09B5"/>
    <w:rsid w:val="36347ADD"/>
    <w:rsid w:val="36ED4F6F"/>
    <w:rsid w:val="36ED5D0E"/>
    <w:rsid w:val="37126967"/>
    <w:rsid w:val="37452DB4"/>
    <w:rsid w:val="39512EB6"/>
    <w:rsid w:val="39D522B5"/>
    <w:rsid w:val="3A476EF9"/>
    <w:rsid w:val="3A5B137D"/>
    <w:rsid w:val="3BEB37A0"/>
    <w:rsid w:val="3CC550C1"/>
    <w:rsid w:val="3D3C146F"/>
    <w:rsid w:val="3D583981"/>
    <w:rsid w:val="3E2268F4"/>
    <w:rsid w:val="3EA97E28"/>
    <w:rsid w:val="3F0230F9"/>
    <w:rsid w:val="3FA71E2B"/>
    <w:rsid w:val="41A506F6"/>
    <w:rsid w:val="424E6E94"/>
    <w:rsid w:val="42EB40CE"/>
    <w:rsid w:val="43C9704F"/>
    <w:rsid w:val="44F62815"/>
    <w:rsid w:val="453533D5"/>
    <w:rsid w:val="459442B1"/>
    <w:rsid w:val="46247CD7"/>
    <w:rsid w:val="46B84051"/>
    <w:rsid w:val="46BE0584"/>
    <w:rsid w:val="47303ECD"/>
    <w:rsid w:val="4744756D"/>
    <w:rsid w:val="487012BB"/>
    <w:rsid w:val="489630ED"/>
    <w:rsid w:val="48B1163C"/>
    <w:rsid w:val="493A5E3B"/>
    <w:rsid w:val="497518F5"/>
    <w:rsid w:val="49AD4EEA"/>
    <w:rsid w:val="49E04796"/>
    <w:rsid w:val="4A2E2BCD"/>
    <w:rsid w:val="4A583330"/>
    <w:rsid w:val="4BFD12EA"/>
    <w:rsid w:val="4C603FB6"/>
    <w:rsid w:val="4D245699"/>
    <w:rsid w:val="4DFF556A"/>
    <w:rsid w:val="4E072A65"/>
    <w:rsid w:val="4E0E6A5B"/>
    <w:rsid w:val="4EC01113"/>
    <w:rsid w:val="4ECE4233"/>
    <w:rsid w:val="4F622BA5"/>
    <w:rsid w:val="4F663CB8"/>
    <w:rsid w:val="4FA600B0"/>
    <w:rsid w:val="507B0182"/>
    <w:rsid w:val="50CC6AF1"/>
    <w:rsid w:val="51ED73A4"/>
    <w:rsid w:val="524F08AC"/>
    <w:rsid w:val="52963BF5"/>
    <w:rsid w:val="52DD7F60"/>
    <w:rsid w:val="5342275D"/>
    <w:rsid w:val="542374D9"/>
    <w:rsid w:val="54401A18"/>
    <w:rsid w:val="546A34F5"/>
    <w:rsid w:val="54896BF1"/>
    <w:rsid w:val="551F0466"/>
    <w:rsid w:val="55F966AD"/>
    <w:rsid w:val="560819F2"/>
    <w:rsid w:val="56452B0F"/>
    <w:rsid w:val="566971DA"/>
    <w:rsid w:val="56804175"/>
    <w:rsid w:val="56F438AF"/>
    <w:rsid w:val="570D3494"/>
    <w:rsid w:val="57F15B69"/>
    <w:rsid w:val="58DD024E"/>
    <w:rsid w:val="58DD4D40"/>
    <w:rsid w:val="595E7894"/>
    <w:rsid w:val="59B21388"/>
    <w:rsid w:val="5B2F60FC"/>
    <w:rsid w:val="5BB85517"/>
    <w:rsid w:val="5C6010F0"/>
    <w:rsid w:val="5C866E47"/>
    <w:rsid w:val="5C92691A"/>
    <w:rsid w:val="5CEF2C5C"/>
    <w:rsid w:val="5D474EA1"/>
    <w:rsid w:val="5DE21CC2"/>
    <w:rsid w:val="5E3D2104"/>
    <w:rsid w:val="5E6C3190"/>
    <w:rsid w:val="5EB11E4C"/>
    <w:rsid w:val="5EBA7571"/>
    <w:rsid w:val="5F1139B4"/>
    <w:rsid w:val="5F4959A3"/>
    <w:rsid w:val="60923DC4"/>
    <w:rsid w:val="60FB674B"/>
    <w:rsid w:val="614D576A"/>
    <w:rsid w:val="617F477C"/>
    <w:rsid w:val="62202B3C"/>
    <w:rsid w:val="626C0E81"/>
    <w:rsid w:val="62847309"/>
    <w:rsid w:val="62D82C05"/>
    <w:rsid w:val="63355A45"/>
    <w:rsid w:val="63787972"/>
    <w:rsid w:val="63A05530"/>
    <w:rsid w:val="63FE7D2B"/>
    <w:rsid w:val="6401795E"/>
    <w:rsid w:val="640B318D"/>
    <w:rsid w:val="642E3F34"/>
    <w:rsid w:val="647D65D2"/>
    <w:rsid w:val="64B7172E"/>
    <w:rsid w:val="650D06E2"/>
    <w:rsid w:val="669F30C2"/>
    <w:rsid w:val="67120039"/>
    <w:rsid w:val="687D4CEB"/>
    <w:rsid w:val="68C10847"/>
    <w:rsid w:val="698815EF"/>
    <w:rsid w:val="6A415460"/>
    <w:rsid w:val="6A843390"/>
    <w:rsid w:val="6A935990"/>
    <w:rsid w:val="6A98282F"/>
    <w:rsid w:val="6B1765F7"/>
    <w:rsid w:val="6BC51C85"/>
    <w:rsid w:val="6D3B4764"/>
    <w:rsid w:val="6D4128B7"/>
    <w:rsid w:val="6D8E0B83"/>
    <w:rsid w:val="6E570148"/>
    <w:rsid w:val="6EDA3832"/>
    <w:rsid w:val="6FED5428"/>
    <w:rsid w:val="706822C8"/>
    <w:rsid w:val="72081793"/>
    <w:rsid w:val="723E7E62"/>
    <w:rsid w:val="72406F98"/>
    <w:rsid w:val="726001FF"/>
    <w:rsid w:val="72945372"/>
    <w:rsid w:val="741630CA"/>
    <w:rsid w:val="74532E59"/>
    <w:rsid w:val="74AF475D"/>
    <w:rsid w:val="75002B91"/>
    <w:rsid w:val="75274981"/>
    <w:rsid w:val="760457D6"/>
    <w:rsid w:val="77203202"/>
    <w:rsid w:val="779E71F7"/>
    <w:rsid w:val="780C7C59"/>
    <w:rsid w:val="784E6640"/>
    <w:rsid w:val="788C0851"/>
    <w:rsid w:val="788D1ADD"/>
    <w:rsid w:val="78B660F7"/>
    <w:rsid w:val="78F420B9"/>
    <w:rsid w:val="79603EB2"/>
    <w:rsid w:val="79CB581F"/>
    <w:rsid w:val="7A2D6221"/>
    <w:rsid w:val="7BB06054"/>
    <w:rsid w:val="7BD61E5D"/>
    <w:rsid w:val="7D335F0A"/>
    <w:rsid w:val="7D537DA3"/>
    <w:rsid w:val="7DA71D02"/>
    <w:rsid w:val="7E4D2408"/>
    <w:rsid w:val="7ECB500E"/>
    <w:rsid w:val="7FC41B17"/>
    <w:rsid w:val="7FF235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3234</Words>
  <Characters>3350</Characters>
  <Lines>0</Lines>
  <Paragraphs>0</Paragraphs>
  <TotalTime>72</TotalTime>
  <ScaleCrop>false</ScaleCrop>
  <LinksUpToDate>false</LinksUpToDate>
  <CharactersWithSpaces>3383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2020-10-22T04:40:00Z</dcterms:created>
  <dc:creator>马延峰</dc:creator>
  <cp:lastModifiedBy>木棉花开</cp:lastModifiedBy>
  <cp:lastPrinted>2023-05-12T12:56:00Z</cp:lastPrinted>
  <dcterms:modified xsi:type="dcterms:W3CDTF">2025-05-15T12:40:12Z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478BB145DB194EACA9881F4594CBF782</vt:lpwstr>
  </property>
  <property fmtid="{D5CDD505-2E9C-101B-9397-08002B2CF9AE}" pid="4" name="KSOTemplateDocerSaveRecord">
    <vt:lpwstr>eyJoZGlkIjoiZTZlNDczMWY2NDdmYTIxOWRhMGFkOTExMGIzOWFhMDciLCJ1c2VySWQiOiI0NTg4ODU3NjIifQ==</vt:lpwstr>
  </property>
</Properties>
</file>