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0"/>
          <w:szCs w:val="40"/>
          <w:highlight w:val="yellow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0"/>
          <w:szCs w:val="40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highlight w:val="none"/>
          <w:lang w:val="en-US" w:eastAsia="zh-CN"/>
        </w:rPr>
        <w:t>2023年度吐鲁番市政府债务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highlight w:val="none"/>
          <w:lang w:val="en-US" w:eastAsia="zh-CN"/>
        </w:rPr>
        <w:t>预算情况</w:t>
      </w:r>
      <w:r>
        <w:rPr>
          <w:rFonts w:hint="default" w:ascii="Times New Roman" w:hAnsi="Times New Roman" w:eastAsia="方正小标宋简体" w:cs="Times New Roman"/>
          <w:sz w:val="40"/>
          <w:szCs w:val="40"/>
          <w:highlight w:val="none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上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222.04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6.86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215.18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（一）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政府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债务限额分类型情况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93.79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5.56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88.23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128.25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126.95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（二）新增债务限额情况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。</w:t>
      </w:r>
    </w:p>
    <w:p>
      <w:pPr>
        <w:adjustRightInd w:val="0"/>
        <w:snapToGrid w:val="0"/>
        <w:spacing w:line="500" w:lineRule="exact"/>
        <w:ind w:firstLine="602" w:firstLineChars="200"/>
        <w:rPr>
          <w:rFonts w:ascii="Times New Roman" w:hAnsi="Times New Roman" w:eastAsia="仿宋_GB2312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仿宋_GB2312"/>
          <w:b/>
          <w:bCs/>
          <w:color w:val="auto"/>
          <w:sz w:val="30"/>
          <w:szCs w:val="30"/>
          <w:highlight w:val="none"/>
        </w:rPr>
        <w:t>1.新增一般债务限额情况</w:t>
      </w:r>
      <w:r>
        <w:rPr>
          <w:rFonts w:hint="eastAsia" w:ascii="Times New Roman" w:hAnsi="Times New Roman" w:eastAsia="仿宋_GB2312"/>
          <w:b/>
          <w:bCs/>
          <w:color w:val="auto"/>
          <w:sz w:val="30"/>
          <w:szCs w:val="30"/>
          <w:highlight w:val="none"/>
        </w:rPr>
        <w:t>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eastAsia="zh-CN"/>
        </w:rPr>
        <w:t>2022年度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吐鲁番市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政府新增一般债务限额总额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6.4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亿元，其中：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所属区县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政府新增一般债务限额为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6.4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亿元。</w:t>
      </w:r>
    </w:p>
    <w:p>
      <w:pPr>
        <w:adjustRightInd w:val="0"/>
        <w:snapToGrid w:val="0"/>
        <w:spacing w:line="500" w:lineRule="exact"/>
        <w:ind w:firstLine="602" w:firstLineChars="200"/>
        <w:rPr>
          <w:rFonts w:ascii="Times New Roman" w:hAnsi="Times New Roman" w:eastAsia="仿宋_GB2312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仿宋_GB2312"/>
          <w:b/>
          <w:bCs/>
          <w:color w:val="auto"/>
          <w:sz w:val="30"/>
          <w:szCs w:val="30"/>
          <w:highlight w:val="none"/>
        </w:rPr>
        <w:t>2.新增专项债务限额情况</w:t>
      </w:r>
      <w:r>
        <w:rPr>
          <w:rFonts w:hint="eastAsia" w:ascii="Times New Roman" w:hAnsi="Times New Roman" w:eastAsia="仿宋_GB2312"/>
          <w:b/>
          <w:bCs/>
          <w:color w:val="auto"/>
          <w:sz w:val="30"/>
          <w:szCs w:val="30"/>
          <w:highlight w:val="none"/>
        </w:rPr>
        <w:t>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eastAsia="zh-CN"/>
        </w:rPr>
        <w:t>2022年度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吐鲁番市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政府新增专项债务限额总额为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10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亿元，其中：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吐鲁番市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本级政府新增专项债务限额为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0.6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亿元，所属区县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新增政府专项债务限额为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9.4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上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政府债务余额执行数</w:t>
      </w:r>
    </w:p>
    <w:p>
      <w:pPr>
        <w:adjustRightInd w:val="0"/>
        <w:snapToGrid w:val="0"/>
        <w:spacing w:line="500" w:lineRule="exact"/>
        <w:ind w:firstLine="600" w:firstLineChars="200"/>
        <w:rPr>
          <w:rFonts w:ascii="Times New Roman" w:hAnsi="Times New Roman" w:eastAsia="仿宋_GB2312"/>
          <w:color w:val="auto"/>
          <w:sz w:val="30"/>
          <w:szCs w:val="30"/>
          <w:highlight w:val="none"/>
        </w:rPr>
      </w:pP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eastAsia="zh-CN"/>
        </w:rPr>
        <w:t>2022年度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吐鲁番市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政府债务余额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决算数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为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204.7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222.04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亿元内，其中：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吐鲁番市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本级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政府债务余额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决算数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5.79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亿元，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所属区县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政府债务余额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决算数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198.91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亿元。</w:t>
      </w:r>
    </w:p>
    <w:p>
      <w:pPr>
        <w:adjustRightInd w:val="0"/>
        <w:snapToGrid w:val="0"/>
        <w:spacing w:line="500" w:lineRule="exact"/>
        <w:ind w:firstLine="602" w:firstLineChars="200"/>
        <w:rPr>
          <w:rFonts w:ascii="Times New Roman" w:hAnsi="Times New Roman" w:eastAsia="仿宋_GB2312"/>
          <w:color w:val="auto"/>
          <w:sz w:val="30"/>
          <w:szCs w:val="30"/>
          <w:highlight w:val="none"/>
        </w:rPr>
      </w:pPr>
      <w:r>
        <w:rPr>
          <w:rFonts w:ascii="楷体_GB2312" w:hAnsi="楷体_GB2312" w:eastAsia="楷体_GB2312" w:cs="楷体_GB2312"/>
          <w:b/>
          <w:bCs/>
          <w:color w:val="auto"/>
          <w:sz w:val="30"/>
          <w:szCs w:val="30"/>
          <w:highlight w:val="none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color w:val="auto"/>
          <w:sz w:val="30"/>
          <w:szCs w:val="30"/>
          <w:highlight w:val="none"/>
        </w:rPr>
        <w:t>决算数。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eastAsia="zh-CN"/>
        </w:rPr>
        <w:t>2022年度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吐鲁番市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政府一般债务余额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决算数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78.79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亿元，其中：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吐鲁番市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本级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政府一般债务余额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决算数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4.49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亿元，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所属区县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政府一般债务余额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决算数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74.3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亿元。</w:t>
      </w:r>
    </w:p>
    <w:p>
      <w:pPr>
        <w:adjustRightInd w:val="0"/>
        <w:snapToGrid w:val="0"/>
        <w:spacing w:line="500" w:lineRule="exact"/>
        <w:ind w:firstLine="602" w:firstLineChars="200"/>
        <w:rPr>
          <w:rFonts w:ascii="Times New Roman" w:hAnsi="Times New Roman" w:eastAsia="仿宋_GB2312"/>
          <w:color w:val="auto"/>
          <w:sz w:val="30"/>
          <w:szCs w:val="30"/>
          <w:highlight w:val="none"/>
        </w:rPr>
      </w:pPr>
      <w:r>
        <w:rPr>
          <w:rFonts w:ascii="楷体_GB2312" w:hAnsi="楷体_GB2312" w:eastAsia="楷体_GB2312" w:cs="楷体_GB2312"/>
          <w:b/>
          <w:bCs/>
          <w:color w:val="auto"/>
          <w:sz w:val="30"/>
          <w:szCs w:val="30"/>
          <w:highlight w:val="none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color w:val="auto"/>
          <w:sz w:val="30"/>
          <w:szCs w:val="30"/>
          <w:highlight w:val="none"/>
        </w:rPr>
        <w:t>决算数。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eastAsia="zh-CN"/>
        </w:rPr>
        <w:t>2022年度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吐鲁番市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政府专项债务余额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决算数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125.91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亿元，其中：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吐鲁番市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本级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政府专项债务余额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决算数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1.3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亿元，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所属区县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政府专项债务余额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决算数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为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124.61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上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政府债券发行使用情况</w:t>
      </w:r>
    </w:p>
    <w:p>
      <w:pPr>
        <w:adjustRightInd w:val="0"/>
        <w:snapToGrid w:val="0"/>
        <w:spacing w:line="500" w:lineRule="exact"/>
        <w:ind w:firstLine="600" w:firstLineChars="200"/>
        <w:rPr>
          <w:rFonts w:ascii="Times New Roman" w:hAnsi="Times New Roman" w:eastAsia="仿宋_GB2312"/>
          <w:color w:val="auto"/>
          <w:sz w:val="30"/>
          <w:szCs w:val="30"/>
          <w:highlight w:val="none"/>
        </w:rPr>
      </w:pP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eastAsia="zh-CN"/>
        </w:rPr>
        <w:t>2022年度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吐鲁番市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发行政府债券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21.9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亿元（新增债券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16.8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亿元、再融资债券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5.1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亿元），其中：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吐鲁番市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本级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发行政府债券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1.4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亿元（新增债券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0.6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亿元、再融资债券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0.8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亿元），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所属区县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发行政府债券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20.5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亿元（新增债券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16.2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亿元、再融资债券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4.3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textAlignment w:val="auto"/>
        <w:rPr>
          <w:rFonts w:ascii="Times New Roman" w:hAnsi="Times New Roman" w:eastAsia="仿宋_GB2312"/>
          <w:color w:val="auto"/>
          <w:sz w:val="30"/>
          <w:szCs w:val="30"/>
          <w:highlight w:val="none"/>
        </w:rPr>
      </w:pPr>
      <w:r>
        <w:rPr>
          <w:rFonts w:ascii="楷体_GB2312" w:hAnsi="楷体_GB2312" w:eastAsia="楷体_GB2312" w:cs="楷体_GB2312"/>
          <w:b/>
          <w:bCs/>
          <w:color w:val="auto"/>
          <w:sz w:val="30"/>
          <w:szCs w:val="30"/>
          <w:highlight w:val="none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color w:val="auto"/>
          <w:sz w:val="30"/>
          <w:szCs w:val="30"/>
          <w:highlight w:val="none"/>
        </w:rPr>
        <w:t>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eastAsia="zh-CN"/>
        </w:rPr>
        <w:t>2022年度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吐鲁番市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发行新增一般债券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6.4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亿元，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所属区县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发行新增一般债券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6.4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亿元。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上述债券资金主要用于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教育、医疗卫生、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市政建设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农林水利建设、社会保障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等领域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。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债券期限分别是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7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10、15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年期，债券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平均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利率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3.06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%，债券还本付息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通过一般公共预算收入偿还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。</w:t>
      </w:r>
    </w:p>
    <w:p>
      <w:pPr>
        <w:adjustRightInd w:val="0"/>
        <w:snapToGrid w:val="0"/>
        <w:spacing w:line="500" w:lineRule="exact"/>
        <w:ind w:firstLine="602" w:firstLineChars="200"/>
        <w:rPr>
          <w:rFonts w:ascii="Times New Roman" w:hAnsi="Times New Roman" w:eastAsia="仿宋_GB2312"/>
          <w:color w:val="auto"/>
          <w:sz w:val="30"/>
          <w:szCs w:val="30"/>
          <w:highlight w:val="none"/>
        </w:rPr>
      </w:pPr>
      <w:r>
        <w:rPr>
          <w:rFonts w:ascii="楷体_GB2312" w:hAnsi="楷体_GB2312" w:eastAsia="楷体_GB2312" w:cs="楷体_GB2312"/>
          <w:b/>
          <w:bCs/>
          <w:color w:val="auto"/>
          <w:sz w:val="30"/>
          <w:szCs w:val="30"/>
          <w:highlight w:val="none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color w:val="auto"/>
          <w:sz w:val="30"/>
          <w:szCs w:val="30"/>
          <w:highlight w:val="none"/>
        </w:rPr>
        <w:t>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eastAsia="zh-CN"/>
        </w:rPr>
        <w:t>2022年度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吐鲁番市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发行新增专项债券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10.4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亿元，其中：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吐鲁番市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本级发行新增专项债券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0.6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亿元，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所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属区县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发行新增专项债券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9.8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亿元。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上述债券资金主要用于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仓储物流基础设施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文化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医疗卫生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市政建设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保障性住房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等重点领域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。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债券期限分别是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10、15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20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年期，债券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平均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利率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3.19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%，债券还本付息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</w:rPr>
        <w:t>通过对应项目取得的政府性基金或专项收入偿还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</w:pPr>
      <w:r>
        <w:rPr>
          <w:rFonts w:ascii="楷体_GB2312" w:hAnsi="楷体_GB2312" w:eastAsia="楷体_GB2312" w:cs="楷体_GB2312"/>
          <w:b/>
          <w:bCs/>
          <w:color w:val="auto"/>
          <w:sz w:val="30"/>
          <w:szCs w:val="30"/>
          <w:highlight w:val="none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color w:val="auto"/>
          <w:sz w:val="30"/>
          <w:szCs w:val="30"/>
          <w:highlight w:val="none"/>
        </w:rPr>
        <w:t>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eastAsia="zh-CN"/>
        </w:rPr>
        <w:t>2022年度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吐鲁番市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发行再融资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一般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债券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5.1</w:t>
      </w:r>
      <w:r>
        <w:rPr>
          <w:rFonts w:ascii="Times New Roman" w:hAnsi="Times New Roman" w:eastAsia="仿宋_GB2312" w:cs="Times New Roman"/>
          <w:color w:val="auto"/>
          <w:sz w:val="30"/>
          <w:szCs w:val="30"/>
          <w:highlight w:val="none"/>
        </w:rPr>
        <w:t>亿元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，其中：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吐鲁番市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本级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发行再融资一般债券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0.8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亿元，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所属区县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发行再融资一般债券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4.3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亿元。上述债券资金全部用于偿还到期政府债券本金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，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债券期限分别是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5、7、10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年期，债券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平均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利率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为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2.84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%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上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政府债券还本付息执行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数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15.01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3.01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6.9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政府债券还本付息执行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数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政府债券还本付息执行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数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13.80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3.71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5.79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（一）一般债券还本付息情况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政府一般债券还本付息执行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数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10.03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2.41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2.52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吐鲁番市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政府一般债券还本付息执行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数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1.18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0.18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政府一般债券还本付息执行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数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8.85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2.34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（二）专项债券还本付息情况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政府专项债券还本付息执行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数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4.98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4.38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吐鲁番市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政府专项债券还本付息执行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数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0.03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0.03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政府专项债券还本付息执行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数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4.95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</w:t>
      </w:r>
      <w:r>
        <w:rPr>
          <w:rFonts w:ascii="Times New Roman" w:hAnsi="Times New Roman" w:eastAsia="仿宋_GB2312"/>
          <w:sz w:val="30"/>
          <w:szCs w:val="30"/>
          <w:highlight w:val="none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4.35</w:t>
      </w:r>
      <w:r>
        <w:rPr>
          <w:rFonts w:ascii="Times New Roman" w:hAnsi="Times New Roman" w:eastAsia="仿宋_GB2312"/>
          <w:sz w:val="30"/>
          <w:szCs w:val="30"/>
          <w:highlight w:val="none"/>
        </w:rPr>
        <w:t>亿元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本年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度政府债券还本付息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16.8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6.32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7.08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15.77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2.82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6.88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11.66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5.71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10.67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5.46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2.82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2.39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5.14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4.49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六、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年度新增债券资金使用安排情况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吐鲁番市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新增债券资金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新增债券资金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（一）新增一般债券资金使用情况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吐鲁番市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新增一般债券资金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新增一般债券资金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应急医疗救治设施、农林水利、产业园区基础设施等领域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建设项目（详见附件3）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为3.19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%，债券还本付息资金已足额列入年初财政预算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，通过一般公共预算收入偿还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（二）新增专项债券资金使用情况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吐鲁番市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新增专项债券资金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新增专项债券资金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上述债券资金主要用于能源、社会事业、市政和产业园区基础设施、保障性安居工程等重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点领域有一定收益的公益性政府投资项目建设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10、15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债券还本付息资金已足额列入年初财政预算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，通过对应项目取得的政府性基金或专项收入偿还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七、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上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年度吐鲁番市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本级政府专项债务情况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0.03452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亿元，专项债券项目对应专项收入共计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0.0596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亿元。上述债券资金主要用于职业教育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保障性租赁住房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重点领域有一定收益的公益性政府投资项目建设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（详见附件4-2）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。债券期限是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为3.06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%，债券还本付息资金已足额列入年初财政预算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1-1 上年度吐鲁番市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1-2 上年度吐鲁番市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-3 上年度吐鲁番市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2-1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 xml:space="preserve"> 上年度吐鲁番市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上年度吐鲁番市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明细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上年度吐鲁番市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新增债券使用情况表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 xml:space="preserve">2-4 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上年度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吐鲁番市还本付息执行情况表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2-4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 xml:space="preserve"> 上年度吐鲁番市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还本付息预计执行及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年度还本付息预算情况表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  本年度吐鲁番市政府债券资金使用安排情况表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 xml:space="preserve">4  4-1 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上年度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吐鲁番市本级政府专项债务表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 xml:space="preserve">4  4-2 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上年度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吐鲁番市本级政府专项债券项目表</w:t>
      </w:r>
    </w:p>
    <w:sectPr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20752BE"/>
    <w:rsid w:val="0315082E"/>
    <w:rsid w:val="042B1A03"/>
    <w:rsid w:val="04595E26"/>
    <w:rsid w:val="063F2F9D"/>
    <w:rsid w:val="090B4E5B"/>
    <w:rsid w:val="09C06DCE"/>
    <w:rsid w:val="0B570AB1"/>
    <w:rsid w:val="0BE56C62"/>
    <w:rsid w:val="0C3D07A5"/>
    <w:rsid w:val="0C704520"/>
    <w:rsid w:val="0DAB38A4"/>
    <w:rsid w:val="0F451A74"/>
    <w:rsid w:val="0FC41B9F"/>
    <w:rsid w:val="11624F87"/>
    <w:rsid w:val="141535E8"/>
    <w:rsid w:val="14D614C6"/>
    <w:rsid w:val="158536F1"/>
    <w:rsid w:val="159674AE"/>
    <w:rsid w:val="16FD0407"/>
    <w:rsid w:val="170C6436"/>
    <w:rsid w:val="182373F8"/>
    <w:rsid w:val="18823C8F"/>
    <w:rsid w:val="1AAA137E"/>
    <w:rsid w:val="1D1432BA"/>
    <w:rsid w:val="1D57227F"/>
    <w:rsid w:val="1DF719C7"/>
    <w:rsid w:val="1F14743D"/>
    <w:rsid w:val="1F7A0A6B"/>
    <w:rsid w:val="213F64E9"/>
    <w:rsid w:val="223D5E66"/>
    <w:rsid w:val="230A0EF5"/>
    <w:rsid w:val="23AF3384"/>
    <w:rsid w:val="23F2182C"/>
    <w:rsid w:val="24D0426A"/>
    <w:rsid w:val="2A3E3C84"/>
    <w:rsid w:val="2AB37734"/>
    <w:rsid w:val="2B3F3E03"/>
    <w:rsid w:val="2BF034E7"/>
    <w:rsid w:val="2CB3740A"/>
    <w:rsid w:val="2CCF2F23"/>
    <w:rsid w:val="2E026DE6"/>
    <w:rsid w:val="2E8D2468"/>
    <w:rsid w:val="2F3E4022"/>
    <w:rsid w:val="2F935813"/>
    <w:rsid w:val="303169C6"/>
    <w:rsid w:val="30F264E2"/>
    <w:rsid w:val="31A23C39"/>
    <w:rsid w:val="323A211C"/>
    <w:rsid w:val="329327B8"/>
    <w:rsid w:val="32D74EBD"/>
    <w:rsid w:val="330763A7"/>
    <w:rsid w:val="353C53B6"/>
    <w:rsid w:val="364403EC"/>
    <w:rsid w:val="38A42A6E"/>
    <w:rsid w:val="39D41A32"/>
    <w:rsid w:val="3AFA1013"/>
    <w:rsid w:val="3B5C6631"/>
    <w:rsid w:val="3C347B4F"/>
    <w:rsid w:val="3C6A08B6"/>
    <w:rsid w:val="3FA35AA7"/>
    <w:rsid w:val="3FCE20AD"/>
    <w:rsid w:val="410520F9"/>
    <w:rsid w:val="44F21501"/>
    <w:rsid w:val="47AA071A"/>
    <w:rsid w:val="48755013"/>
    <w:rsid w:val="4A422888"/>
    <w:rsid w:val="4B080752"/>
    <w:rsid w:val="4CFC1B55"/>
    <w:rsid w:val="4DB47F12"/>
    <w:rsid w:val="4E8F702E"/>
    <w:rsid w:val="4FBF48B1"/>
    <w:rsid w:val="507B712B"/>
    <w:rsid w:val="5286319D"/>
    <w:rsid w:val="52EA6659"/>
    <w:rsid w:val="53013412"/>
    <w:rsid w:val="547D252F"/>
    <w:rsid w:val="55372415"/>
    <w:rsid w:val="56262672"/>
    <w:rsid w:val="56B73A47"/>
    <w:rsid w:val="57B42B5E"/>
    <w:rsid w:val="59E94415"/>
    <w:rsid w:val="5AF03569"/>
    <w:rsid w:val="5E793247"/>
    <w:rsid w:val="61EF7180"/>
    <w:rsid w:val="62C8025B"/>
    <w:rsid w:val="63A66152"/>
    <w:rsid w:val="65051EEA"/>
    <w:rsid w:val="6541174B"/>
    <w:rsid w:val="67E619D1"/>
    <w:rsid w:val="692F2D63"/>
    <w:rsid w:val="6ACF7A08"/>
    <w:rsid w:val="6B080355"/>
    <w:rsid w:val="6B26350C"/>
    <w:rsid w:val="6B307A2F"/>
    <w:rsid w:val="6E165678"/>
    <w:rsid w:val="6E7C7E06"/>
    <w:rsid w:val="6E990107"/>
    <w:rsid w:val="71262F61"/>
    <w:rsid w:val="71827528"/>
    <w:rsid w:val="71C17F5D"/>
    <w:rsid w:val="752A0B92"/>
    <w:rsid w:val="77BB7AC7"/>
    <w:rsid w:val="791768FB"/>
    <w:rsid w:val="7A4636FF"/>
    <w:rsid w:val="7BC40314"/>
    <w:rsid w:val="7F787030"/>
    <w:rsid w:val="7F86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257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2023-03-10T10:52:21Z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