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吐鲁番市食品药品行政处罚</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案件信息公示</w:t>
      </w:r>
    </w:p>
    <w:p>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default" w:ascii="Times New Roman" w:hAnsi="Times New Roman" w:eastAsia="方正小标宋简体" w:cs="Times New Roman"/>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进一步做好食品药品行政处罚案件信息公开工作，按照《食品药品监管总局关于印发食品药品行政案件信息公开实施细则的通知》（食药监稽〔2017〕121号）有关规定，现将吐鲁番市市场监督管理局行政处罚案件信息向社会公开。</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附件：吐鲁番市食品药品行政处罚案件信息公示表（</w:t>
      </w:r>
      <w:r>
        <w:rPr>
          <w:rFonts w:hint="default" w:ascii="仿宋_GB2312" w:hAnsi="仿宋_GB2312" w:eastAsia="仿宋_GB2312" w:cs="仿宋_GB2312"/>
          <w:color w:val="auto"/>
          <w:sz w:val="32"/>
          <w:szCs w:val="32"/>
          <w:lang w:eastAsia="zh-CN"/>
        </w:rPr>
        <w:t>2026年9</w:t>
      </w:r>
      <w:r>
        <w:rPr>
          <w:rFonts w:hint="eastAsia" w:ascii="仿宋_GB2312" w:hAnsi="仿宋_GB2312" w:eastAsia="仿宋_GB2312" w:cs="仿宋_GB2312"/>
          <w:color w:val="auto"/>
          <w:sz w:val="32"/>
          <w:szCs w:val="32"/>
          <w:lang w:val="en-US" w:eastAsia="zh-CN"/>
        </w:rPr>
        <w:t>月</w:t>
      </w:r>
      <w:r>
        <w:rPr>
          <w:rFonts w:hint="default" w:ascii="仿宋_GB2312" w:hAnsi="仿宋_GB2312" w:eastAsia="仿宋_GB2312" w:cs="仿宋_GB2312"/>
          <w:color w:val="auto"/>
          <w:sz w:val="32"/>
          <w:szCs w:val="32"/>
          <w:lang w:eastAsia="zh-CN"/>
        </w:rPr>
        <w:t>20</w:t>
      </w:r>
      <w:r>
        <w:rPr>
          <w:rFonts w:hint="eastAsia" w:ascii="仿宋_GB2312" w:hAnsi="仿宋_GB2312" w:eastAsia="仿宋_GB2312" w:cs="仿宋_GB2312"/>
          <w:color w:val="auto"/>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596" w:lineRule="exact"/>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96" w:lineRule="exact"/>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96" w:lineRule="exact"/>
        <w:jc w:val="righ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吐鲁番市市场监督管理局    </w:t>
      </w:r>
    </w:p>
    <w:p>
      <w:pPr>
        <w:keepNext w:val="0"/>
        <w:keepLines w:val="0"/>
        <w:pageBreakBefore w:val="0"/>
        <w:widowControl w:val="0"/>
        <w:numPr>
          <w:ilvl w:val="0"/>
          <w:numId w:val="0"/>
        </w:numPr>
        <w:kinsoku/>
        <w:wordWrap w:val="0"/>
        <w:overflowPunct/>
        <w:topLinePunct w:val="0"/>
        <w:autoSpaceDE/>
        <w:autoSpaceDN/>
        <w:bidi w:val="0"/>
        <w:adjustRightInd/>
        <w:snapToGrid/>
        <w:spacing w:line="596" w:lineRule="exact"/>
        <w:jc w:val="right"/>
        <w:textAlignment w:val="auto"/>
        <w:rPr>
          <w:rFonts w:hint="eastAsia" w:ascii="仿宋_GB2312" w:hAnsi="仿宋_GB2312" w:eastAsia="仿宋_GB2312" w:cs="仿宋_GB2312"/>
          <w:color w:val="auto"/>
          <w:sz w:val="32"/>
          <w:szCs w:val="32"/>
          <w:lang w:val="en-US" w:eastAsia="zh-CN"/>
        </w:rPr>
        <w:sectPr>
          <w:footerReference r:id="rId3" w:type="default"/>
          <w:pgSz w:w="11906" w:h="16838"/>
          <w:pgMar w:top="1440" w:right="1803" w:bottom="1440" w:left="1803" w:header="851" w:footer="992" w:gutter="0"/>
          <w:pgNumType w:fmt="numberInDash"/>
          <w:cols w:space="0" w:num="1"/>
          <w:rtlGutter w:val="0"/>
          <w:docGrid w:type="lines" w:linePitch="319" w:charSpace="0"/>
        </w:sectPr>
      </w:pPr>
      <w:r>
        <w:rPr>
          <w:rFonts w:hint="eastAsia" w:ascii="仿宋_GB2312" w:hAnsi="仿宋_GB2312" w:eastAsia="仿宋_GB2312" w:cs="仿宋_GB2312"/>
          <w:color w:val="auto"/>
          <w:sz w:val="32"/>
          <w:szCs w:val="32"/>
          <w:lang w:val="en-US" w:eastAsia="zh-CN"/>
        </w:rPr>
        <w:t>202</w:t>
      </w:r>
      <w:r>
        <w:rPr>
          <w:rFonts w:hint="default" w:ascii="仿宋_GB2312" w:hAnsi="仿宋_GB2312" w:eastAsia="仿宋_GB2312" w:cs="仿宋_GB2312"/>
          <w:color w:val="auto"/>
          <w:sz w:val="32"/>
          <w:szCs w:val="32"/>
          <w:lang w:eastAsia="zh-CN"/>
        </w:rPr>
        <w:t>6</w:t>
      </w:r>
      <w:r>
        <w:rPr>
          <w:rFonts w:hint="eastAsia" w:ascii="仿宋_GB2312" w:hAnsi="仿宋_GB2312" w:eastAsia="仿宋_GB2312" w:cs="仿宋_GB2312"/>
          <w:color w:val="auto"/>
          <w:sz w:val="32"/>
          <w:szCs w:val="32"/>
          <w:lang w:val="en-US" w:eastAsia="zh-CN"/>
        </w:rPr>
        <w:t>年</w:t>
      </w:r>
      <w:r>
        <w:rPr>
          <w:rFonts w:hint="default" w:ascii="仿宋_GB2312" w:hAnsi="仿宋_GB2312" w:eastAsia="仿宋_GB2312" w:cs="仿宋_GB2312"/>
          <w:color w:val="auto"/>
          <w:sz w:val="32"/>
          <w:szCs w:val="32"/>
          <w:lang w:eastAsia="zh-CN"/>
        </w:rPr>
        <w:t>9</w:t>
      </w:r>
      <w:r>
        <w:rPr>
          <w:rFonts w:hint="eastAsia" w:ascii="仿宋_GB2312" w:hAnsi="仿宋_GB2312" w:eastAsia="仿宋_GB2312" w:cs="仿宋_GB2312"/>
          <w:color w:val="auto"/>
          <w:sz w:val="32"/>
          <w:szCs w:val="32"/>
          <w:lang w:val="en-US" w:eastAsia="zh-CN"/>
        </w:rPr>
        <w:t>月</w:t>
      </w:r>
      <w:r>
        <w:rPr>
          <w:rFonts w:hint="default" w:ascii="仿宋_GB2312" w:hAnsi="仿宋_GB2312" w:eastAsia="仿宋_GB2312" w:cs="仿宋_GB2312"/>
          <w:color w:val="auto"/>
          <w:sz w:val="32"/>
          <w:szCs w:val="32"/>
          <w:lang w:eastAsia="zh-CN"/>
        </w:rPr>
        <w:t>20</w:t>
      </w:r>
      <w:r>
        <w:rPr>
          <w:rFonts w:hint="eastAsia" w:ascii="仿宋_GB2312" w:hAnsi="仿宋_GB2312" w:eastAsia="仿宋_GB2312" w:cs="仿宋_GB2312"/>
          <w:color w:val="auto"/>
          <w:sz w:val="32"/>
          <w:szCs w:val="32"/>
          <w:lang w:val="en" w:eastAsia="zh-CN"/>
        </w:rPr>
        <w:t>日</w:t>
      </w:r>
      <w:r>
        <w:rPr>
          <w:rFonts w:hint="eastAsia" w:ascii="仿宋_GB2312" w:hAnsi="仿宋_GB2312" w:eastAsia="仿宋_GB2312" w:cs="仿宋_GB2312"/>
          <w:color w:val="auto"/>
          <w:sz w:val="32"/>
          <w:szCs w:val="32"/>
          <w:lang w:val="en-US" w:eastAsia="zh-CN"/>
        </w:rPr>
        <w:t xml:space="preserve">       </w:t>
      </w:r>
    </w:p>
    <w:p>
      <w:pPr>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吐鲁番市食品药品行政处罚案件信息公示表</w:t>
      </w:r>
      <w:r>
        <w:rPr>
          <w:rFonts w:hint="default" w:ascii="方正小标宋简体" w:hAnsi="方正小标宋简体" w:eastAsia="方正小标宋简体" w:cs="方正小标宋简体"/>
          <w:color w:val="auto"/>
          <w:sz w:val="44"/>
          <w:szCs w:val="44"/>
          <w:lang w:val="en-US" w:eastAsia="zh-CN"/>
        </w:rPr>
        <w:t>（</w:t>
      </w:r>
      <w:r>
        <w:rPr>
          <w:rFonts w:hint="default" w:ascii="方正小标宋简体" w:hAnsi="方正小标宋简体" w:eastAsia="方正小标宋简体" w:cs="方正小标宋简体"/>
          <w:color w:val="auto"/>
          <w:sz w:val="44"/>
          <w:szCs w:val="44"/>
          <w:lang w:eastAsia="zh-CN"/>
        </w:rPr>
        <w:t>2026年9</w:t>
      </w:r>
      <w:r>
        <w:rPr>
          <w:rFonts w:hint="default" w:ascii="方正小标宋简体" w:hAnsi="方正小标宋简体" w:eastAsia="方正小标宋简体" w:cs="方正小标宋简体"/>
          <w:color w:val="auto"/>
          <w:sz w:val="44"/>
          <w:szCs w:val="44"/>
          <w:lang w:val="en-US" w:eastAsia="zh-CN"/>
        </w:rPr>
        <w:t>月</w:t>
      </w:r>
      <w:r>
        <w:rPr>
          <w:rFonts w:hint="default" w:ascii="方正小标宋简体" w:hAnsi="方正小标宋简体" w:eastAsia="方正小标宋简体" w:cs="方正小标宋简体"/>
          <w:color w:val="auto"/>
          <w:sz w:val="44"/>
          <w:szCs w:val="44"/>
          <w:lang w:eastAsia="zh-CN"/>
        </w:rPr>
        <w:t>20</w:t>
      </w:r>
      <w:r>
        <w:rPr>
          <w:rFonts w:hint="default" w:ascii="方正小标宋简体" w:hAnsi="方正小标宋简体" w:eastAsia="方正小标宋简体" w:cs="方正小标宋简体"/>
          <w:color w:val="auto"/>
          <w:sz w:val="44"/>
          <w:szCs w:val="44"/>
          <w:lang w:val="en-US" w:eastAsia="zh-CN"/>
        </w:rPr>
        <w:t>日）</w:t>
      </w:r>
    </w:p>
    <w:tbl>
      <w:tblPr>
        <w:tblStyle w:val="8"/>
        <w:tblW w:w="14623" w:type="dxa"/>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994"/>
        <w:gridCol w:w="1047"/>
        <w:gridCol w:w="1063"/>
        <w:gridCol w:w="718"/>
        <w:gridCol w:w="953"/>
        <w:gridCol w:w="5356"/>
        <w:gridCol w:w="2319"/>
        <w:gridCol w:w="660"/>
        <w:gridCol w:w="665"/>
        <w:gridCol w:w="3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序号</w:t>
            </w:r>
          </w:p>
        </w:tc>
        <w:tc>
          <w:tcPr>
            <w:tcW w:w="994"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行政处罚决定书文号</w:t>
            </w:r>
          </w:p>
        </w:tc>
        <w:tc>
          <w:tcPr>
            <w:tcW w:w="1047"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案件名称</w:t>
            </w:r>
          </w:p>
        </w:tc>
        <w:tc>
          <w:tcPr>
            <w:tcW w:w="1063"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违法企业名称或违法自然人姓名</w:t>
            </w:r>
          </w:p>
        </w:tc>
        <w:tc>
          <w:tcPr>
            <w:tcW w:w="718"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违法企业组织机构代码</w:t>
            </w:r>
          </w:p>
        </w:tc>
        <w:tc>
          <w:tcPr>
            <w:tcW w:w="953"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法定代表人姓名</w:t>
            </w:r>
          </w:p>
        </w:tc>
        <w:tc>
          <w:tcPr>
            <w:tcW w:w="5356"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主要违法事实</w:t>
            </w:r>
          </w:p>
        </w:tc>
        <w:tc>
          <w:tcPr>
            <w:tcW w:w="2319"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行政处罚的种类和依据</w:t>
            </w:r>
          </w:p>
        </w:tc>
        <w:tc>
          <w:tcPr>
            <w:tcW w:w="660"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行政处罚的履行方式</w:t>
            </w:r>
          </w:p>
        </w:tc>
        <w:tc>
          <w:tcPr>
            <w:tcW w:w="665"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作出处罚的机关名称</w:t>
            </w:r>
          </w:p>
        </w:tc>
        <w:tc>
          <w:tcPr>
            <w:tcW w:w="397" w:type="dxa"/>
            <w:vAlign w:val="center"/>
          </w:tcPr>
          <w:p>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auto"/>
                <w:sz w:val="21"/>
                <w:szCs w:val="21"/>
                <w:vertAlign w:val="baseline"/>
                <w:lang w:val="en-US" w:eastAsia="zh-CN"/>
              </w:rPr>
            </w:pPr>
            <w:r>
              <w:rPr>
                <w:rFonts w:hint="eastAsia" w:ascii="仿宋_GB2312" w:hAnsi="仿宋_GB2312" w:eastAsia="仿宋_GB2312" w:cs="仿宋_GB2312"/>
                <w:b/>
                <w:bCs/>
                <w:color w:val="auto"/>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1</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吐市市监处罚〔2026〕6号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default" w:ascii="仿宋_GB2312" w:hAnsi="仿宋_GB2312" w:eastAsia="仿宋_GB2312" w:cs="仿宋_GB2312"/>
                <w:b w:val="0"/>
                <w:sz w:val="21"/>
                <w:szCs w:val="21"/>
                <w:lang w:val="en-US" w:eastAsia="zh-CN"/>
              </w:rPr>
              <w:t>擅自变更第三类医疗器械经营许可事项的行为</w:t>
            </w:r>
            <w:r>
              <w:rPr>
                <w:rFonts w:hint="eastAsia" w:ascii="仿宋_GB2312" w:hAnsi="仿宋_GB2312" w:eastAsia="仿宋_GB2312" w:cs="仿宋_GB2312"/>
                <w:b w:val="0"/>
                <w:sz w:val="21"/>
                <w:szCs w:val="21"/>
              </w:rPr>
              <w:t>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新疆拓康医疗科技有限公司</w:t>
            </w:r>
          </w:p>
        </w:tc>
        <w:tc>
          <w:tcPr>
            <w:tcW w:w="718"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91650422MA78WU5B57</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庞</w:t>
            </w:r>
            <w:r>
              <w:rPr>
                <w:rFonts w:hint="eastAsia" w:ascii="仿宋_GB2312" w:hAnsi="仿宋_GB2312" w:eastAsia="仿宋_GB2312" w:cs="仿宋_GB2312"/>
                <w:b w:val="0"/>
                <w:sz w:val="21"/>
                <w:szCs w:val="21"/>
                <w:lang w:val="en-US" w:eastAsia="zh-CN"/>
              </w:rPr>
              <w:t>*</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b w:val="0"/>
                <w:color w:val="auto"/>
                <w:sz w:val="21"/>
                <w:szCs w:val="21"/>
              </w:rPr>
              <w:t>2025年11月25日检查发现，当事人自2023年1月起未经许可擅自将第三类医疗器械经营场所变更至托克逊县纺织产业园区石榴籽社区办公阵地二楼，自2025年10月起擅自将库房变更至该园区1号、2号商铺，并在变更后的地址持续从事第三类医疗器械购进、销售、贮存活动；2026年2月3日方完成许可变更。该行为违反《医疗器械经营监督管理办法》第十五条第一款的规定。</w:t>
            </w:r>
          </w:p>
        </w:tc>
        <w:tc>
          <w:tcPr>
            <w:tcW w:w="2319" w:type="dxa"/>
            <w:vAlign w:val="center"/>
          </w:tcPr>
          <w:p>
            <w:pPr>
              <w:spacing w:after="40" w:line="240" w:lineRule="auto"/>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b w:val="0"/>
                <w:color w:val="auto"/>
                <w:sz w:val="21"/>
                <w:szCs w:val="21"/>
              </w:rPr>
              <w:t>依据《医疗器械经营监督管理办法》第六十六条第一款的规定，给予罚款10000元的行政处罚。</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color w:val="auto"/>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2</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吐市市监处罚〔2026〕14号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销售侵犯注册商标专用权的化妆品案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高昌区宝姿化妆品店</w:t>
            </w:r>
          </w:p>
        </w:tc>
        <w:tc>
          <w:tcPr>
            <w:tcW w:w="718" w:type="dxa"/>
            <w:vAlign w:val="center"/>
          </w:tcPr>
          <w:p>
            <w:pPr>
              <w:spacing w:after="40" w:line="240" w:lineRule="auto"/>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b w:val="0"/>
                <w:sz w:val="21"/>
                <w:szCs w:val="21"/>
              </w:rPr>
              <w:t>92650402MA77A0XN94</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b w:val="0"/>
                <w:sz w:val="21"/>
                <w:szCs w:val="21"/>
              </w:rPr>
              <w:t>陈</w:t>
            </w:r>
            <w:r>
              <w:rPr>
                <w:rFonts w:hint="eastAsia" w:ascii="仿宋_GB2312" w:hAnsi="仿宋_GB2312" w:eastAsia="仿宋_GB2312" w:cs="仿宋_GB2312"/>
                <w:b w:val="0"/>
                <w:sz w:val="21"/>
                <w:szCs w:val="21"/>
                <w:lang w:val="en-US" w:eastAsia="zh-CN"/>
              </w:rPr>
              <w:t>*</w:t>
            </w:r>
            <w:r>
              <w:rPr>
                <w:rFonts w:hint="eastAsia" w:ascii="仿宋_GB2312" w:hAnsi="仿宋_GB2312" w:eastAsia="仿宋_GB2312" w:cs="仿宋_GB2312"/>
                <w:b w:val="0"/>
                <w:sz w:val="21"/>
                <w:szCs w:val="21"/>
              </w:rPr>
              <w:t>丽</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b w:val="0"/>
                <w:color w:val="auto"/>
                <w:sz w:val="21"/>
                <w:szCs w:val="21"/>
              </w:rPr>
              <w:t>当事人经营的TOM FORD激情幻魅唇膏80经检验铅含量291mg/kg，不符合《化妆品安全技术规范（2015年版）》要求，货值金额300元、违法所得110元；经营圣罗兰、兰蔻等27个品种化妆品经鉴定为假冒注册商标商品，违法经营额合计9509元；当事人从网络渠道购进涉案化妆品，未建立并执行进货查验记录制度，无法提供进货查验记录、检验报告、合法来源及商标授权材料。上述行为分别违反《化妆品监督管理条例》第六条第二款、第三十八条第一款，《中华人民共和国商标法》第五十七条第三项的规定。</w:t>
            </w:r>
          </w:p>
        </w:tc>
        <w:tc>
          <w:tcPr>
            <w:tcW w:w="2319" w:type="dxa"/>
            <w:vAlign w:val="center"/>
          </w:tcPr>
          <w:p>
            <w:pPr>
              <w:spacing w:after="40" w:line="240" w:lineRule="auto"/>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b w:val="0"/>
                <w:color w:val="auto"/>
                <w:sz w:val="21"/>
                <w:szCs w:val="21"/>
              </w:rPr>
              <w:t>依据《化妆品监督管理条例》第六十条第二项，没收违法所得110元、罚款2000元；依据第六十二条第一款第二项，警告并罚款1000元；依据《中华人民共和国商标法》第六十条第二款，没收侵犯注册商标专用权的商品、罚款5000元、责令立即停止销售。合并执行：警告、没收侵权商品、没收违法所得110元、罚款8000元（罚没合计8110元）。</w:t>
            </w:r>
          </w:p>
        </w:tc>
        <w:tc>
          <w:tcPr>
            <w:tcW w:w="660" w:type="dxa"/>
            <w:vAlign w:val="center"/>
          </w:tcPr>
          <w:p>
            <w:pPr>
              <w:spacing w:after="40" w:line="240" w:lineRule="auto"/>
              <w:jc w:val="center"/>
              <w:rPr>
                <w:rFonts w:hint="eastAsia" w:ascii="仿宋_GB2312" w:hAnsi="仿宋_GB2312" w:eastAsia="仿宋_GB2312" w:cs="仿宋_GB2312"/>
                <w:color w:val="auto"/>
                <w:kern w:val="2"/>
                <w:sz w:val="21"/>
                <w:szCs w:val="21"/>
                <w:vertAlign w:val="baseline"/>
                <w:lang w:val="en-US" w:eastAsia="zh-CN" w:bidi="ar-SA"/>
              </w:rPr>
            </w:pPr>
            <w:r>
              <w:rPr>
                <w:rFonts w:hint="eastAsia" w:ascii="仿宋_GB2312" w:hAnsi="仿宋_GB2312" w:eastAsia="仿宋_GB2312" w:cs="仿宋_GB2312"/>
                <w:b w:val="0"/>
                <w:color w:val="auto"/>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kern w:val="2"/>
                <w:sz w:val="21"/>
                <w:szCs w:val="21"/>
                <w:vertAlign w:val="baseline"/>
                <w:lang w:val="en-US" w:eastAsia="zh-CN" w:bidi="ar-SA"/>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kern w:val="2"/>
                <w:sz w:val="21"/>
                <w:szCs w:val="21"/>
                <w:vertAlign w:val="baseline"/>
                <w:lang w:val="en-US" w:eastAsia="zh-CN" w:bidi="ar-SA"/>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3</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吐市市监处罚〔2026〕16号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使用不符合经注册的产品技术要求的医疗器械案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吐鲁番市高昌区人民医院</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126521014576998511</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唐</w:t>
            </w:r>
            <w:r>
              <w:rPr>
                <w:rFonts w:hint="eastAsia" w:ascii="仿宋_GB2312" w:hAnsi="仿宋_GB2312" w:eastAsia="仿宋_GB2312" w:cs="仿宋_GB2312"/>
                <w:b w:val="0"/>
                <w:sz w:val="21"/>
                <w:szCs w:val="21"/>
                <w:lang w:val="en-US" w:eastAsia="zh-CN"/>
              </w:rPr>
              <w:t>*</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2025年12月11日检查发现，当事人将SD-2000型射频等离子体手术系统主机与不在注册证载明适配型号范围内的G21S21型一次性射频等离子消融手术电极刀头配套用于临床手术，共购进该刀头3个、货值金额2763元，已全部使用完毕；未履行审慎查验、验证产品兼容性的义务。该行为违反《医疗器械监督管理条例》第四十八条第一款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依据《医疗器械监督管理条例》第八十六条第一项的规定，责令当事人改正违法行为，给予罚款5000元的行政处罚。</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4</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吐市市监处罚〔2026〕17号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超范围从事第二类医疗器械网络销售案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托克逊普济堂知奕药品有限公司</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91650422MADLYYAA3M</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郑</w:t>
            </w:r>
            <w:r>
              <w:rPr>
                <w:rFonts w:hint="eastAsia" w:ascii="仿宋_GB2312" w:hAnsi="仿宋_GB2312" w:eastAsia="仿宋_GB2312" w:cs="仿宋_GB2312"/>
                <w:b w:val="0"/>
                <w:sz w:val="21"/>
                <w:szCs w:val="21"/>
                <w:lang w:val="en-US" w:eastAsia="zh-CN"/>
              </w:rPr>
              <w:t>*</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1月27日检查发现，当事人在美团外卖、京东外卖平台销售超亚医药远红外热敷眼罩（III型），该产品属第二类医疗器械“16-眼科器械”，其持有的《第二类医疗器械经营备案凭证》核准经营范围不包含16-眼科器械，检查后已将涉案产品下架。该行为违反《医疗器械网络销售监督管理办法》第十三条第一款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依据《医疗器械网络销售监督管理办法》第四十四条第一款第一项的规定，责令当事人改正违法行为，给予罚款2000元的行政处罚。</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5</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吐市市监处罚〔2026〕21号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从不具有药品生产，经营资格的企业购进药品案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托克逊县许庆刚诊所（个体工商户）</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92650422MAE6PG8N7N</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许</w:t>
            </w:r>
            <w:r>
              <w:rPr>
                <w:rFonts w:hint="eastAsia" w:ascii="仿宋_GB2312" w:hAnsi="仿宋_GB2312" w:eastAsia="仿宋_GB2312" w:cs="仿宋_GB2312"/>
                <w:b w:val="0"/>
                <w:sz w:val="21"/>
                <w:szCs w:val="21"/>
                <w:lang w:val="en-US" w:eastAsia="zh-CN"/>
              </w:rPr>
              <w:t>*</w:t>
            </w:r>
            <w:r>
              <w:rPr>
                <w:rFonts w:hint="eastAsia" w:ascii="仿宋_GB2312" w:hAnsi="仿宋_GB2312" w:eastAsia="仿宋_GB2312" w:cs="仿宋_GB2312"/>
                <w:b w:val="0"/>
                <w:sz w:val="21"/>
                <w:szCs w:val="21"/>
              </w:rPr>
              <w:t>刚</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1月27日检查发现，当事人从个人处购进三七化痔丸、消渴丸，经医保追溯码查询收货企业与当事人不符，无法提供上述药品合法来源、相关资质及进货查验记录，货值金额155元、违法所得78元。该行为违反《中华人民共和国药品管理法》第五十五条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依据《中华人民共和国药品管理法》第一百二十九条的规定，责令当事人改正违法行为，没收三七化痔丸3盒、消渴丸2盒，没收违法所得78元，罚款2000元（罚没合计2078元）。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6</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吐市市监处罚〔2026〕27号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从不具有药品经营资格的企业购进药品案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吐鲁番市朋顺颐仁堂医药第八百二十五加盟店</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91650402MA79GY155N</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热</w:t>
            </w:r>
            <w:r>
              <w:rPr>
                <w:rFonts w:hint="eastAsia" w:ascii="仿宋_GB2312" w:hAnsi="仿宋_GB2312" w:eastAsia="仿宋_GB2312" w:cs="仿宋_GB2312"/>
                <w:b w:val="0"/>
                <w:sz w:val="21"/>
                <w:szCs w:val="21"/>
                <w:lang w:val="en-US" w:eastAsia="zh-CN"/>
              </w:rPr>
              <w:t>****</w:t>
            </w:r>
            <w:r>
              <w:rPr>
                <w:rFonts w:hint="eastAsia" w:ascii="仿宋_GB2312" w:hAnsi="仿宋_GB2312" w:eastAsia="仿宋_GB2312" w:cs="仿宋_GB2312"/>
                <w:b w:val="0"/>
                <w:sz w:val="21"/>
                <w:szCs w:val="21"/>
              </w:rPr>
              <w:t>·帕他尔</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1月26日检查发现，当事人将参加医药企业年会获赠的安乐胶囊2盒置于经营场所货架销售，无法提供该药品购进票据及相关资质，货值金额36元、尚未销售、无违法所得。该行为违反《中华人民共和国药品管理法》第五十五条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依据《中华人民共和国药品管理法》第一百二十九条的规定，责令当事人改正违法行为，没收尚未销售的安乐胶囊2盒，罚款2000元。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7</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吐市监处罚〔2026〕58号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经营未备案的普通化妆品及未按规定建立并执行进货查验记录制度案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高昌区广兴隆商行</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92650402MA793A9093</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耿</w:t>
            </w:r>
            <w:r>
              <w:rPr>
                <w:rFonts w:hint="eastAsia" w:ascii="仿宋_GB2312" w:hAnsi="仿宋_GB2312" w:eastAsia="仿宋_GB2312" w:cs="仿宋_GB2312"/>
                <w:b w:val="0"/>
                <w:sz w:val="21"/>
                <w:szCs w:val="21"/>
                <w:lang w:val="en-US" w:eastAsia="zh-CN"/>
              </w:rPr>
              <w:t>*</w:t>
            </w:r>
            <w:r>
              <w:rPr>
                <w:rFonts w:hint="eastAsia" w:ascii="仿宋_GB2312" w:hAnsi="仿宋_GB2312" w:eastAsia="仿宋_GB2312" w:cs="仿宋_GB2312"/>
                <w:b w:val="0"/>
                <w:sz w:val="21"/>
                <w:szCs w:val="21"/>
              </w:rPr>
              <w:t>君</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2026年3月18日检查发现，当事人经营爱香®凡士林润肤霜、全蔬果Lip Gloss润唇膏、MODENG®什果润唇膏3种普通化妆品，经国家药监局备案信息库查询均无有效备案信息，无法提供备案凭证、出厂检验合格证明及进货查验台账，货值金额合计1440元、违法所得合计108元。该行为违反《化妆品监督管理条例》第四条第二款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依据《化妆品监督管理条例》第六十一条第一款第一项的规定，责令当事人改正违法行为，没收未备案普通化妆品，没收违法所得108元，罚款2000元（罚没合计2108元）。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8</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吐市市监处罚〔2026〕72号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经营未备案的普通化妆品案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高昌区美典百货店</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92650402MACRDA0E6T</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张</w:t>
            </w:r>
            <w:r>
              <w:rPr>
                <w:rFonts w:hint="eastAsia" w:ascii="仿宋_GB2312" w:hAnsi="仿宋_GB2312" w:eastAsia="仿宋_GB2312" w:cs="仿宋_GB2312"/>
                <w:b w:val="0"/>
                <w:sz w:val="21"/>
                <w:szCs w:val="21"/>
                <w:lang w:val="en-US" w:eastAsia="zh-CN"/>
              </w:rPr>
              <w:t>*</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5月8日检查发现，当事人经营6个品种普通化妆品均无有效备案信息，部分产品无中文标签、部分中文标签不完整，未建立并执行进货查验记录制度，无法提供备案凭证、检验合格证明及购进票据，货值金额1180元、违法所得80元。该行为违反《化妆品监督管理条例》第四条第二款、第三十五条、第三十八条第一款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依据《化妆品监督管理条例》第六十一条第一款第一项的规定，责令当事人改正违法行为，没收未备案普通化妆品共计84盒，没收违法所得80元，罚款3000元（罚没合计3080元）。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9</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吐市市监处罚〔2026〕80号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从不具有药品生产、经营资格的企业购进药品案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高昌区邓伟中医诊所（个体工商户）</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92650421MAC7J8JNXA</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邓</w:t>
            </w:r>
            <w:r>
              <w:rPr>
                <w:rFonts w:hint="eastAsia" w:ascii="仿宋_GB2312" w:hAnsi="仿宋_GB2312" w:eastAsia="仿宋_GB2312" w:cs="仿宋_GB2312"/>
                <w:b w:val="0"/>
                <w:sz w:val="21"/>
                <w:szCs w:val="21"/>
                <w:lang w:val="en-US" w:eastAsia="zh-CN"/>
              </w:rPr>
              <w:t>*</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6月22日检查发现，当事人诊所货架上摆放珠芽蓼止泻颗粒、安乐片、双氯酚酸钾分散片、双氯酚酸钠缓释片、清热利胆颗粒、大活络丸、阿莫西林颗粒等7种药品，系从个人处购进，无法提供合法来源、供货方资质及进货查验记录，货值金额850元、违法所得190元。该行为违反《中华人民共和国药品管理法》第五十五条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依据《中华人民共和国药品管理法》第一百二十九条的规定，责令当事人改正违法行为，没收违法购进的药品，没收违法所得190元，罚款2000元（罚没合计2190元）。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10</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吐市市监处罚〔2026〕80号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使用过期医疗器械案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吐鲁番市高昌区三堡乡卫生院</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12652101457699106K</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郭</w:t>
            </w:r>
            <w:r>
              <w:rPr>
                <w:rFonts w:hint="eastAsia" w:ascii="仿宋_GB2312" w:hAnsi="仿宋_GB2312" w:eastAsia="仿宋_GB2312" w:cs="仿宋_GB2312"/>
                <w:b w:val="0"/>
                <w:sz w:val="21"/>
                <w:szCs w:val="21"/>
                <w:lang w:val="en-US" w:eastAsia="zh-CN"/>
              </w:rPr>
              <w:t>*</w:t>
            </w:r>
            <w:r>
              <w:rPr>
                <w:rFonts w:hint="eastAsia" w:ascii="仿宋_GB2312" w:hAnsi="仿宋_GB2312" w:eastAsia="仿宋_GB2312" w:cs="仿宋_GB2312"/>
                <w:b w:val="0"/>
                <w:sz w:val="21"/>
                <w:szCs w:val="21"/>
              </w:rPr>
              <w:t>明</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2026年6月24日检查发现，当事人检验科使用已过有效期的α-羟丁酸脱氢酶测定试剂盒开展临床检验共9人次，货值金额133.52元、违法所得24元。该行为违反《医疗器械监督管理条例》第五十五条的规定。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医疗器械监督管理条例》第八十六条第一款第三项、《中华人民共和国行政处罚法》第二十八条第二款的规定，责令当事人改正违法行为，没收过期α-羟丁酸脱氢酶测定试剂盒1盒及试剂一与试剂二各1瓶，没收违法所得24元，罚款10000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11</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吐市市监处罚〔2026〕81号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从不具有药品生产、经营资格的企业购进药品案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高昌区吴仕运诊所（个体工商户）</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92650402MA78K0671H</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吴</w:t>
            </w:r>
            <w:r>
              <w:rPr>
                <w:rFonts w:hint="eastAsia" w:ascii="仿宋_GB2312" w:hAnsi="仿宋_GB2312" w:eastAsia="仿宋_GB2312" w:cs="仿宋_GB2312"/>
                <w:b w:val="0"/>
                <w:sz w:val="21"/>
                <w:szCs w:val="21"/>
                <w:lang w:val="en-US" w:eastAsia="zh-CN"/>
              </w:rPr>
              <w:t>*</w:t>
            </w:r>
            <w:r>
              <w:rPr>
                <w:rFonts w:hint="eastAsia" w:ascii="仿宋_GB2312" w:hAnsi="仿宋_GB2312" w:eastAsia="仿宋_GB2312" w:cs="仿宋_GB2312"/>
                <w:b w:val="0"/>
                <w:sz w:val="21"/>
                <w:szCs w:val="21"/>
              </w:rPr>
              <w:t>运</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6月23日检查发现，当事人诊所货架上2盒消伤痛搽剂系他人赠送，无法提供随货同行单、采购发票、进货查验记录及供货方资质，货值金额100元、违法所得80元。该行为违反《中华人民共和国药品管理法》第五十五条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依据《中华人民共和国药品管理法》第一百二十九条的规定，责令当事人改正违法行为，没收消伤痛搽剂2盒，没收违法所得80元，罚款2000元（罚没合计2080元）。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12</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吐市市监处罚〔2026〕83号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从不具有药品生产、经营资格的企业购进药品、使用劣药案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鄯善县魏新颜中西医结合诊所</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92650400MA77B48Y6Y</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魏</w:t>
            </w:r>
            <w:r>
              <w:rPr>
                <w:rFonts w:hint="eastAsia" w:ascii="仿宋_GB2312" w:hAnsi="仿宋_GB2312" w:eastAsia="仿宋_GB2312" w:cs="仿宋_GB2312"/>
                <w:b w:val="0"/>
                <w:sz w:val="21"/>
                <w:szCs w:val="21"/>
                <w:lang w:val="en-US" w:eastAsia="zh-CN"/>
              </w:rPr>
              <w:t>*</w:t>
            </w:r>
            <w:r>
              <w:rPr>
                <w:rFonts w:hint="eastAsia" w:ascii="仿宋_GB2312" w:hAnsi="仿宋_GB2312" w:eastAsia="仿宋_GB2312" w:cs="仿宋_GB2312"/>
                <w:b w:val="0"/>
                <w:sz w:val="21"/>
                <w:szCs w:val="21"/>
              </w:rPr>
              <w:t>颜</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6月15日检查发现，当事人使用薄荷、玉米须等6个品种超过有效期的中药饮片（劣药），劣药货值金额186.5元；另通过非法渠道购进消咳颗粒、复方福尔可定糖浆、双羊喉痹通颗粒，货值金额5415元。上述行为违反《中华人民共和国药品管理法》第五十五条、第九十八条第一款的规定，没收违法所得合计3229.5元。</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中华人民共和国药品管理法》第一百一十七条第一款、第一百一十九条、第一百二十九条的规定，责令当事人改正违法行为，没收过期中药饮片及违法购进药品，没收违法所得3229.5元，罚款12000元（罚没合计15229.5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b w:val="0"/>
                <w:sz w:val="21"/>
                <w:szCs w:val="21"/>
              </w:rPr>
              <w:t>13</w:t>
            </w:r>
          </w:p>
        </w:tc>
        <w:tc>
          <w:tcPr>
            <w:tcW w:w="994"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吐市市监处罚〔2026〕97号</w:t>
            </w:r>
          </w:p>
        </w:tc>
        <w:tc>
          <w:tcPr>
            <w:tcW w:w="1047"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未按规定进行处方审核调配案</w:t>
            </w:r>
          </w:p>
        </w:tc>
        <w:tc>
          <w:tcPr>
            <w:tcW w:w="1063"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吐鲁番市颐仁堂医药第七百一十三加盟店</w:t>
            </w:r>
          </w:p>
        </w:tc>
        <w:tc>
          <w:tcPr>
            <w:tcW w:w="718" w:type="dxa"/>
            <w:vAlign w:val="center"/>
          </w:tcPr>
          <w:p>
            <w:pPr>
              <w:spacing w:after="4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b w:val="0"/>
                <w:sz w:val="21"/>
                <w:szCs w:val="21"/>
              </w:rPr>
              <w:t>91650402MA791YC29A</w:t>
            </w:r>
          </w:p>
        </w:tc>
        <w:tc>
          <w:tcPr>
            <w:tcW w:w="953"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张</w:t>
            </w:r>
            <w:r>
              <w:rPr>
                <w:rFonts w:hint="eastAsia" w:ascii="仿宋_GB2312" w:hAnsi="仿宋_GB2312" w:eastAsia="仿宋_GB2312" w:cs="仿宋_GB2312"/>
                <w:b w:val="0"/>
                <w:sz w:val="21"/>
                <w:szCs w:val="21"/>
                <w:lang w:val="en-US" w:eastAsia="zh-CN"/>
              </w:rPr>
              <w:t>*</w:t>
            </w:r>
          </w:p>
        </w:tc>
        <w:tc>
          <w:tcPr>
            <w:tcW w:w="5356" w:type="dxa"/>
            <w:vAlign w:val="center"/>
          </w:tcPr>
          <w:p>
            <w:pPr>
              <w:spacing w:after="40" w:line="240" w:lineRule="auto"/>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b w:val="0"/>
                <w:sz w:val="21"/>
                <w:szCs w:val="21"/>
              </w:rPr>
              <w:t>2026年6月8日检查发现，当事人自2026年2月24日至5月30日在美团平台销售药品过程中，有11笔订单所附电子处方未经执业药师审核即销售处方药。该行为违反《药品网络销售监督管理办法》第九条第二款的规定。</w:t>
            </w:r>
          </w:p>
        </w:tc>
        <w:tc>
          <w:tcPr>
            <w:tcW w:w="2319" w:type="dxa"/>
            <w:vAlign w:val="center"/>
          </w:tcPr>
          <w:p>
            <w:pPr>
              <w:spacing w:after="40" w:line="240" w:lineRule="auto"/>
              <w:jc w:val="center"/>
              <w:rPr>
                <w:rFonts w:hint="eastAsia" w:ascii="仿宋_GB2312" w:hAnsi="仿宋_GB2312" w:eastAsia="仿宋_GB2312" w:cs="仿宋_GB2312"/>
                <w:b w:val="0"/>
                <w:bCs w:val="0"/>
                <w:color w:val="auto"/>
                <w:sz w:val="21"/>
                <w:szCs w:val="21"/>
                <w:u w:val="none"/>
                <w:lang w:val="en-US" w:eastAsia="zh-CN"/>
              </w:rPr>
            </w:pPr>
            <w:r>
              <w:rPr>
                <w:rFonts w:hint="eastAsia" w:ascii="仿宋_GB2312" w:hAnsi="仿宋_GB2312" w:eastAsia="仿宋_GB2312" w:cs="仿宋_GB2312"/>
                <w:b w:val="0"/>
                <w:sz w:val="21"/>
                <w:szCs w:val="21"/>
              </w:rPr>
              <w:t>依据《药品网络销售监督管理办法》第三十四条的规定，责令当事人改正违法行为，罚款1000元。</w:t>
            </w:r>
          </w:p>
        </w:tc>
        <w:tc>
          <w:tcPr>
            <w:tcW w:w="660"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主动履行</w:t>
            </w:r>
          </w:p>
        </w:tc>
        <w:tc>
          <w:tcPr>
            <w:tcW w:w="665"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吐鲁番市市场监督管理局</w:t>
            </w:r>
          </w:p>
        </w:tc>
        <w:tc>
          <w:tcPr>
            <w:tcW w:w="397" w:type="dxa"/>
            <w:vAlign w:val="center"/>
          </w:tcPr>
          <w:p>
            <w:pPr>
              <w:spacing w:after="40" w:line="240" w:lineRule="auto"/>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b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1"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ascii="Times New Roman" w:hAnsi="Times New Roman" w:eastAsia="仿宋_GB2312"/>
                <w:b w:val="0"/>
                <w:sz w:val="21"/>
                <w:szCs w:val="21"/>
              </w:rPr>
              <w:t>14</w:t>
            </w:r>
          </w:p>
        </w:tc>
        <w:tc>
          <w:tcPr>
            <w:tcW w:w="994"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hint="eastAsia" w:ascii="仿宋_GB2312" w:hAnsi="仿宋_GB2312" w:eastAsia="仿宋_GB2312" w:cs="仿宋_GB2312"/>
                <w:b w:val="0"/>
                <w:sz w:val="21"/>
                <w:szCs w:val="21"/>
              </w:rPr>
              <w:t>吐市市监处罚〔2026〕　号</w:t>
            </w:r>
          </w:p>
        </w:tc>
        <w:tc>
          <w:tcPr>
            <w:tcW w:w="1047"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hint="eastAsia" w:ascii="Times New Roman" w:hAnsi="Times New Roman" w:eastAsia="仿宋_GB2312"/>
                <w:b w:val="0"/>
                <w:sz w:val="21"/>
                <w:szCs w:val="21"/>
              </w:rPr>
              <w:t>未按照产品说明书的要求进行检查、检验、校准、保养、维护并予以记录</w:t>
            </w:r>
          </w:p>
        </w:tc>
        <w:tc>
          <w:tcPr>
            <w:tcW w:w="1063"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ascii="Times New Roman" w:hAnsi="Times New Roman" w:eastAsia="仿宋_GB2312"/>
                <w:b w:val="0"/>
                <w:sz w:val="21"/>
                <w:szCs w:val="21"/>
              </w:rPr>
              <w:t>托克逊县妇幼保健和计划生育服务中心</w:t>
            </w:r>
          </w:p>
        </w:tc>
        <w:tc>
          <w:tcPr>
            <w:tcW w:w="718"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hint="eastAsia" w:ascii="仿宋_GB2312" w:hAnsi="仿宋_GB2312" w:eastAsia="仿宋_GB2312" w:cs="仿宋_GB2312"/>
                <w:b w:val="0"/>
                <w:sz w:val="21"/>
                <w:szCs w:val="21"/>
              </w:rPr>
              <w:t>12652123MB1K470527</w:t>
            </w:r>
          </w:p>
        </w:tc>
        <w:tc>
          <w:tcPr>
            <w:tcW w:w="953"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ascii="Times New Roman" w:hAnsi="Times New Roman" w:eastAsia="仿宋_GB2312"/>
                <w:b w:val="0"/>
                <w:sz w:val="21"/>
                <w:szCs w:val="21"/>
              </w:rPr>
              <w:t>梅</w:t>
            </w:r>
            <w:r>
              <w:rPr>
                <w:rFonts w:hint="eastAsia" w:ascii="仿宋_GB2312" w:hAnsi="仿宋_GB2312" w:eastAsia="仿宋_GB2312" w:cs="仿宋_GB2312"/>
                <w:b w:val="0"/>
                <w:sz w:val="21"/>
                <w:szCs w:val="21"/>
                <w:lang w:val="en-US" w:eastAsia="zh-CN"/>
              </w:rPr>
              <w:t>*</w:t>
            </w:r>
            <w:r>
              <w:rPr>
                <w:rFonts w:ascii="Times New Roman" w:hAnsi="Times New Roman" w:eastAsia="仿宋_GB2312"/>
                <w:b w:val="0"/>
                <w:sz w:val="21"/>
                <w:szCs w:val="21"/>
              </w:rPr>
              <w:t>强</w:t>
            </w:r>
          </w:p>
        </w:tc>
        <w:tc>
          <w:tcPr>
            <w:tcW w:w="5356"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hint="eastAsia" w:ascii="仿宋_GB2312" w:hAnsi="仿宋_GB2312" w:eastAsia="仿宋_GB2312" w:cs="仿宋_GB2312"/>
                <w:b w:val="0"/>
                <w:sz w:val="21"/>
                <w:szCs w:val="21"/>
              </w:rPr>
              <w:t>2026年5月13日检查发现，当事人检验科全自动生化分析仪未按说明书要求维护保养并记录，当场责令改正并给予警告；6月30日复查仍未改正，设备继续用于临床检验。该行为违反《医疗器械监督管理条例》第五十条的规定。</w:t>
            </w:r>
          </w:p>
        </w:tc>
        <w:tc>
          <w:tcPr>
            <w:tcW w:w="2319"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hint="eastAsia" w:ascii="仿宋_GB2312" w:hAnsi="仿宋_GB2312" w:eastAsia="仿宋_GB2312" w:cs="仿宋_GB2312"/>
                <w:b w:val="0"/>
                <w:sz w:val="21"/>
                <w:szCs w:val="21"/>
              </w:rPr>
              <w:t>依据《医疗器械监督管理条例》第八十九条第九项的规定，责令当事人改正违法行为，罚款5000元。</w:t>
            </w:r>
          </w:p>
        </w:tc>
        <w:tc>
          <w:tcPr>
            <w:tcW w:w="660"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ascii="Times New Roman" w:hAnsi="Times New Roman" w:eastAsia="仿宋_GB2312"/>
                <w:b w:val="0"/>
                <w:sz w:val="21"/>
                <w:szCs w:val="21"/>
              </w:rPr>
              <w:t>主动履行</w:t>
            </w:r>
          </w:p>
        </w:tc>
        <w:tc>
          <w:tcPr>
            <w:tcW w:w="665" w:type="dxa"/>
            <w:vAlign w:val="center"/>
          </w:tcPr>
          <w:p>
            <w:pPr>
              <w:spacing w:after="40" w:line="240" w:lineRule="auto"/>
              <w:jc w:val="center"/>
              <w:rPr>
                <w:rFonts w:hint="eastAsia" w:asciiTheme="minorHAnsi" w:hAnsiTheme="minorHAnsi" w:eastAsiaTheme="minorEastAsia" w:cstheme="minorBidi"/>
                <w:kern w:val="2"/>
                <w:sz w:val="21"/>
                <w:szCs w:val="21"/>
                <w:lang w:val="en-US" w:eastAsia="zh-CN" w:bidi="ar-SA"/>
              </w:rPr>
            </w:pPr>
            <w:r>
              <w:rPr>
                <w:rFonts w:ascii="Times New Roman" w:hAnsi="Times New Roman" w:eastAsia="仿宋_GB2312"/>
                <w:b w:val="0"/>
                <w:sz w:val="21"/>
                <w:szCs w:val="21"/>
              </w:rPr>
              <w:t>吐鲁番市市场监督管理局</w:t>
            </w:r>
          </w:p>
        </w:tc>
        <w:tc>
          <w:tcPr>
            <w:tcW w:w="397" w:type="dxa"/>
            <w:vAlign w:val="center"/>
          </w:tcPr>
          <w:p>
            <w:pPr>
              <w:spacing w:after="40" w:line="240" w:lineRule="auto"/>
              <w:jc w:val="center"/>
              <w:rPr>
                <w:rFonts w:hint="default" w:asciiTheme="minorHAnsi" w:hAnsiTheme="minorHAnsi" w:eastAsiaTheme="minorEastAsia" w:cstheme="minorBidi"/>
                <w:kern w:val="2"/>
                <w:sz w:val="21"/>
                <w:szCs w:val="21"/>
                <w:lang w:eastAsia="zh-CN" w:bidi="ar-SA"/>
              </w:rPr>
            </w:pPr>
            <w:r>
              <w:rPr>
                <w:rFonts w:hint="default" w:ascii="Times New Roman" w:hAnsi="Times New Roman" w:eastAsia="仿宋_GB2312"/>
                <w:b w:val="0"/>
                <w:sz w:val="21"/>
                <w:szCs w:val="21"/>
              </w:rPr>
              <w:t>/</w:t>
            </w:r>
          </w:p>
        </w:tc>
      </w:tr>
    </w:tbl>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sz w:val="22"/>
          <w:szCs w:val="22"/>
          <w:vertAlign w:val="baseline"/>
          <w:lang w:val="en-US" w:eastAsia="zh-CN"/>
        </w:rPr>
      </w:pPr>
      <w:bookmarkStart w:id="0" w:name="_GoBack"/>
      <w:bookmarkEnd w:id="0"/>
    </w:p>
    <w:sectPr>
      <w:pgSz w:w="16838" w:h="11906" w:orient="landscape"/>
      <w:pgMar w:top="1183" w:right="1440" w:bottom="265" w:left="1440"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altName w:val="仿宋_GB2312"/>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C434A"/>
    <w:rsid w:val="02E616FA"/>
    <w:rsid w:val="05246695"/>
    <w:rsid w:val="06EFEADB"/>
    <w:rsid w:val="0BAFC4EE"/>
    <w:rsid w:val="0DB87C24"/>
    <w:rsid w:val="0FE7FC95"/>
    <w:rsid w:val="111034EF"/>
    <w:rsid w:val="131025BD"/>
    <w:rsid w:val="15FF414D"/>
    <w:rsid w:val="177E5579"/>
    <w:rsid w:val="1A5C30FC"/>
    <w:rsid w:val="1FDC2601"/>
    <w:rsid w:val="1FFF1213"/>
    <w:rsid w:val="211B0F02"/>
    <w:rsid w:val="25C5B101"/>
    <w:rsid w:val="262D4C55"/>
    <w:rsid w:val="29D24121"/>
    <w:rsid w:val="2DDD289A"/>
    <w:rsid w:val="2F1B3692"/>
    <w:rsid w:val="32A850CA"/>
    <w:rsid w:val="33AB35AC"/>
    <w:rsid w:val="35161C33"/>
    <w:rsid w:val="363DB7A2"/>
    <w:rsid w:val="375279BC"/>
    <w:rsid w:val="37FC83AD"/>
    <w:rsid w:val="389A6CD6"/>
    <w:rsid w:val="3ADE7D1A"/>
    <w:rsid w:val="3AFB7AD3"/>
    <w:rsid w:val="3B8D59A6"/>
    <w:rsid w:val="3BBF7ECE"/>
    <w:rsid w:val="3BCDF433"/>
    <w:rsid w:val="3BF77ABD"/>
    <w:rsid w:val="3D5E15C0"/>
    <w:rsid w:val="3DB6663B"/>
    <w:rsid w:val="3DDDEF4F"/>
    <w:rsid w:val="3E727D5D"/>
    <w:rsid w:val="3EA73264"/>
    <w:rsid w:val="3EA7A69F"/>
    <w:rsid w:val="3EE5E25D"/>
    <w:rsid w:val="3F7D5AD1"/>
    <w:rsid w:val="3F7D6AE0"/>
    <w:rsid w:val="3FDB543C"/>
    <w:rsid w:val="3FDD9BAF"/>
    <w:rsid w:val="3FDE538A"/>
    <w:rsid w:val="3FDF7531"/>
    <w:rsid w:val="3FFFC51A"/>
    <w:rsid w:val="43DC4B01"/>
    <w:rsid w:val="48012098"/>
    <w:rsid w:val="4A367A84"/>
    <w:rsid w:val="4BFC62B0"/>
    <w:rsid w:val="4C3BE751"/>
    <w:rsid w:val="4CB45074"/>
    <w:rsid w:val="4DF7DB77"/>
    <w:rsid w:val="4EB70295"/>
    <w:rsid w:val="4FF73077"/>
    <w:rsid w:val="4FF825BE"/>
    <w:rsid w:val="517D68A9"/>
    <w:rsid w:val="53EF7C7A"/>
    <w:rsid w:val="557374CC"/>
    <w:rsid w:val="55BF7B08"/>
    <w:rsid w:val="5706530F"/>
    <w:rsid w:val="57EFBD39"/>
    <w:rsid w:val="57F62BEC"/>
    <w:rsid w:val="583E20F1"/>
    <w:rsid w:val="59DE4A2E"/>
    <w:rsid w:val="5B644AA9"/>
    <w:rsid w:val="5B9FC407"/>
    <w:rsid w:val="5BFD15E8"/>
    <w:rsid w:val="5CDF402E"/>
    <w:rsid w:val="5DDE396B"/>
    <w:rsid w:val="5EB9EB56"/>
    <w:rsid w:val="5F4DC005"/>
    <w:rsid w:val="5F9247FB"/>
    <w:rsid w:val="5FBB2E2E"/>
    <w:rsid w:val="5FF7CE75"/>
    <w:rsid w:val="5FFB8A87"/>
    <w:rsid w:val="5FFE531B"/>
    <w:rsid w:val="5FFEB903"/>
    <w:rsid w:val="64F79C3F"/>
    <w:rsid w:val="65DF2A71"/>
    <w:rsid w:val="65FA41AD"/>
    <w:rsid w:val="65FBA5DA"/>
    <w:rsid w:val="65FE32F1"/>
    <w:rsid w:val="6673658D"/>
    <w:rsid w:val="67FBA19A"/>
    <w:rsid w:val="682D0DAC"/>
    <w:rsid w:val="687B34E5"/>
    <w:rsid w:val="69C2B577"/>
    <w:rsid w:val="6AAD4D38"/>
    <w:rsid w:val="6ABC50FF"/>
    <w:rsid w:val="6AF84F4D"/>
    <w:rsid w:val="6AFB7899"/>
    <w:rsid w:val="6B3053E7"/>
    <w:rsid w:val="6B4ED3F5"/>
    <w:rsid w:val="6C37BEAD"/>
    <w:rsid w:val="6CED593B"/>
    <w:rsid w:val="6D9FB05B"/>
    <w:rsid w:val="6DEFDC06"/>
    <w:rsid w:val="6E6F1799"/>
    <w:rsid w:val="6ED9609E"/>
    <w:rsid w:val="6EEF448E"/>
    <w:rsid w:val="6EEF9633"/>
    <w:rsid w:val="6F2BB4C9"/>
    <w:rsid w:val="6F37EC4E"/>
    <w:rsid w:val="6F7C9199"/>
    <w:rsid w:val="6FBD9E49"/>
    <w:rsid w:val="6FED18A7"/>
    <w:rsid w:val="6FF317DA"/>
    <w:rsid w:val="6FFB75E4"/>
    <w:rsid w:val="707F6D2C"/>
    <w:rsid w:val="727E4053"/>
    <w:rsid w:val="735781D3"/>
    <w:rsid w:val="7393227F"/>
    <w:rsid w:val="73EC8E83"/>
    <w:rsid w:val="73FBE650"/>
    <w:rsid w:val="73FF8B76"/>
    <w:rsid w:val="76394550"/>
    <w:rsid w:val="7673F5CC"/>
    <w:rsid w:val="76DB16CF"/>
    <w:rsid w:val="771DCE77"/>
    <w:rsid w:val="776FB847"/>
    <w:rsid w:val="777E0DD6"/>
    <w:rsid w:val="778E303E"/>
    <w:rsid w:val="77BB82A5"/>
    <w:rsid w:val="77BFFDE3"/>
    <w:rsid w:val="77DCDAB9"/>
    <w:rsid w:val="77EE6834"/>
    <w:rsid w:val="77FFFAEB"/>
    <w:rsid w:val="79FBD242"/>
    <w:rsid w:val="79FD13F2"/>
    <w:rsid w:val="7AFFB354"/>
    <w:rsid w:val="7B7BF27A"/>
    <w:rsid w:val="7BE604FF"/>
    <w:rsid w:val="7BF719F0"/>
    <w:rsid w:val="7BFEA845"/>
    <w:rsid w:val="7C3B0702"/>
    <w:rsid w:val="7CFE4F47"/>
    <w:rsid w:val="7D755721"/>
    <w:rsid w:val="7DDA9316"/>
    <w:rsid w:val="7DF7822B"/>
    <w:rsid w:val="7DFB7875"/>
    <w:rsid w:val="7E5BDA57"/>
    <w:rsid w:val="7EAFDF34"/>
    <w:rsid w:val="7EBB40AB"/>
    <w:rsid w:val="7EC91953"/>
    <w:rsid w:val="7EDF2D7E"/>
    <w:rsid w:val="7EDF9338"/>
    <w:rsid w:val="7EE79313"/>
    <w:rsid w:val="7EE96EDE"/>
    <w:rsid w:val="7EF619E7"/>
    <w:rsid w:val="7EF633E7"/>
    <w:rsid w:val="7EFD2A2E"/>
    <w:rsid w:val="7EFF4721"/>
    <w:rsid w:val="7EFFA1BD"/>
    <w:rsid w:val="7F3514AB"/>
    <w:rsid w:val="7F4E3619"/>
    <w:rsid w:val="7F5F4641"/>
    <w:rsid w:val="7F7F0311"/>
    <w:rsid w:val="7F973C49"/>
    <w:rsid w:val="7FB59C86"/>
    <w:rsid w:val="7FBFE19D"/>
    <w:rsid w:val="7FDF1D01"/>
    <w:rsid w:val="7FEF7447"/>
    <w:rsid w:val="7FEF8449"/>
    <w:rsid w:val="7FF565A8"/>
    <w:rsid w:val="7FF734D5"/>
    <w:rsid w:val="7FFE7C7B"/>
    <w:rsid w:val="7FFFB175"/>
    <w:rsid w:val="866744A7"/>
    <w:rsid w:val="8B72008D"/>
    <w:rsid w:val="8EEFDB96"/>
    <w:rsid w:val="939F6D44"/>
    <w:rsid w:val="96E18910"/>
    <w:rsid w:val="9CFF0FB8"/>
    <w:rsid w:val="9DDE1105"/>
    <w:rsid w:val="9DDF349E"/>
    <w:rsid w:val="9FFDEDAD"/>
    <w:rsid w:val="A2CD0D8E"/>
    <w:rsid w:val="AADF19BF"/>
    <w:rsid w:val="AB66A86E"/>
    <w:rsid w:val="ADFD2D8F"/>
    <w:rsid w:val="AFA9F715"/>
    <w:rsid w:val="AFFEDEEA"/>
    <w:rsid w:val="B3DF2598"/>
    <w:rsid w:val="B567C1D3"/>
    <w:rsid w:val="B7FE205E"/>
    <w:rsid w:val="B7FEA03C"/>
    <w:rsid w:val="B9967A96"/>
    <w:rsid w:val="BCBFE967"/>
    <w:rsid w:val="BD155F86"/>
    <w:rsid w:val="BD34E6BB"/>
    <w:rsid w:val="BDA9A86C"/>
    <w:rsid w:val="BDBFC179"/>
    <w:rsid w:val="BDDF06BA"/>
    <w:rsid w:val="BE75784B"/>
    <w:rsid w:val="BF1F3481"/>
    <w:rsid w:val="BF5DE6BF"/>
    <w:rsid w:val="BF5F4CB9"/>
    <w:rsid w:val="BF773ABA"/>
    <w:rsid w:val="BF9B771F"/>
    <w:rsid w:val="BFEBC1C3"/>
    <w:rsid w:val="BFFC44B1"/>
    <w:rsid w:val="BFFFD352"/>
    <w:rsid w:val="BFFFEE27"/>
    <w:rsid w:val="C761C349"/>
    <w:rsid w:val="CB8EADFD"/>
    <w:rsid w:val="CD8E12FC"/>
    <w:rsid w:val="CE2D0CBE"/>
    <w:rsid w:val="CF1B0919"/>
    <w:rsid w:val="CF1B1EB9"/>
    <w:rsid w:val="CF5F3637"/>
    <w:rsid w:val="D1BBEDF2"/>
    <w:rsid w:val="D66F28FB"/>
    <w:rsid w:val="D6DD7BC3"/>
    <w:rsid w:val="D6F99A0B"/>
    <w:rsid w:val="D79E71E4"/>
    <w:rsid w:val="D7FF953A"/>
    <w:rsid w:val="D9FB6554"/>
    <w:rsid w:val="DBDFDFCF"/>
    <w:rsid w:val="DD65C519"/>
    <w:rsid w:val="DE7F2881"/>
    <w:rsid w:val="DEFC4877"/>
    <w:rsid w:val="DF4E814D"/>
    <w:rsid w:val="DFCF6289"/>
    <w:rsid w:val="DFDE4799"/>
    <w:rsid w:val="DFE2D16D"/>
    <w:rsid w:val="DFEDB899"/>
    <w:rsid w:val="DFF70692"/>
    <w:rsid w:val="DFFA6E53"/>
    <w:rsid w:val="DFFB328D"/>
    <w:rsid w:val="DFFF2E0F"/>
    <w:rsid w:val="E1EC6862"/>
    <w:rsid w:val="E567C519"/>
    <w:rsid w:val="E5EF304B"/>
    <w:rsid w:val="E5FD238D"/>
    <w:rsid w:val="E63F9303"/>
    <w:rsid w:val="EB3B8D08"/>
    <w:rsid w:val="ECFD5DBC"/>
    <w:rsid w:val="ED6BA3BC"/>
    <w:rsid w:val="EF5D21E8"/>
    <w:rsid w:val="EF6FBEA0"/>
    <w:rsid w:val="EF7B49E2"/>
    <w:rsid w:val="EF7D79BE"/>
    <w:rsid w:val="EFEFA141"/>
    <w:rsid w:val="EFFF8EA3"/>
    <w:rsid w:val="F1B7C276"/>
    <w:rsid w:val="F33B5BB1"/>
    <w:rsid w:val="F3CF531F"/>
    <w:rsid w:val="F3D9567E"/>
    <w:rsid w:val="F3F43027"/>
    <w:rsid w:val="F4766352"/>
    <w:rsid w:val="F4CFFA41"/>
    <w:rsid w:val="F53FC4FD"/>
    <w:rsid w:val="F577565E"/>
    <w:rsid w:val="F57F2BF1"/>
    <w:rsid w:val="F67F4625"/>
    <w:rsid w:val="F77966DA"/>
    <w:rsid w:val="F79FCDA6"/>
    <w:rsid w:val="F7A79FB7"/>
    <w:rsid w:val="F7FCB5C0"/>
    <w:rsid w:val="F87F5A26"/>
    <w:rsid w:val="F9576D07"/>
    <w:rsid w:val="F95DDE5A"/>
    <w:rsid w:val="FAB41834"/>
    <w:rsid w:val="FABF6B34"/>
    <w:rsid w:val="FAED3715"/>
    <w:rsid w:val="FB77A3B8"/>
    <w:rsid w:val="FBAD5D89"/>
    <w:rsid w:val="FBBB4F85"/>
    <w:rsid w:val="FBBCF049"/>
    <w:rsid w:val="FBDF0F14"/>
    <w:rsid w:val="FBFF553C"/>
    <w:rsid w:val="FC7F7FAB"/>
    <w:rsid w:val="FCFF948C"/>
    <w:rsid w:val="FD177E69"/>
    <w:rsid w:val="FD46975B"/>
    <w:rsid w:val="FDDE3512"/>
    <w:rsid w:val="FDF2EC7E"/>
    <w:rsid w:val="FDFF8533"/>
    <w:rsid w:val="FE7DC111"/>
    <w:rsid w:val="FEFB124A"/>
    <w:rsid w:val="FEFE4565"/>
    <w:rsid w:val="FF5F36B3"/>
    <w:rsid w:val="FF7F856D"/>
    <w:rsid w:val="FFAE99BF"/>
    <w:rsid w:val="FFBDA01A"/>
    <w:rsid w:val="FFBFDAF6"/>
    <w:rsid w:val="FFDBFFC2"/>
    <w:rsid w:val="FFDD00F3"/>
    <w:rsid w:val="FFDF2580"/>
    <w:rsid w:val="FFED6FE3"/>
    <w:rsid w:val="FFF33666"/>
    <w:rsid w:val="FFF57739"/>
    <w:rsid w:val="FFF7050B"/>
    <w:rsid w:val="FFFF7F7C"/>
    <w:rsid w:val="FFFFA872"/>
    <w:rsid w:val="FFFFA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3"/>
    <w:qFormat/>
    <w:uiPriority w:val="0"/>
    <w:pPr>
      <w:ind w:firstLine="420" w:firstLineChars="200"/>
    </w:pPr>
    <w:rPr>
      <w:rFonts w:ascii="Calibri" w:hAnsi="Calibri" w:eastAsia="宋体" w:cs="Times New Roman"/>
    </w:rPr>
  </w:style>
  <w:style w:type="paragraph" w:styleId="3">
    <w:name w:val="Body Text Indent"/>
    <w:basedOn w:val="1"/>
    <w:next w:val="1"/>
    <w:qFormat/>
    <w:uiPriority w:val="0"/>
    <w:pPr>
      <w:ind w:firstLine="640" w:firstLineChars="200"/>
    </w:pPr>
    <w:rPr>
      <w:rFonts w:ascii="Times New Roman" w:hAnsi="Times New Roman" w:cs="Times New Roman"/>
      <w:sz w:val="32"/>
    </w:rPr>
  </w:style>
  <w:style w:type="paragraph" w:styleId="4">
    <w:name w:val="Body Text"/>
    <w:basedOn w:val="1"/>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_Style 5"/>
    <w:basedOn w:val="1"/>
    <w:qFormat/>
    <w:uiPriority w:val="0"/>
    <w:pPr>
      <w:ind w:firstLine="200" w:firstLineChars="200"/>
    </w:pPr>
    <w:rPr>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2020-09-24T20:00:00Z</dcterms:created>
  <dc:creator>Administrator</dc:creator>
  <cp:lastModifiedBy>Administrator</cp:lastModifiedBy>
  <cp:lastPrinted>2026-09-20T14:42:00Z</cp:lastPrinted>
  <dcterms:modified xsi:type="dcterms:W3CDTF">2026-09-20T10:51:28Z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1F3A562A36EE4A998664E0615701CD62</vt:lpwstr>
  </property>
</Properties>
</file>