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231F20"/>
          <w:sz w:val="44"/>
          <w:szCs w:val="44"/>
        </w:rPr>
      </w:pPr>
      <w:bookmarkStart w:id="0" w:name="_GoBack"/>
      <w:r>
        <w:rPr>
          <w:rFonts w:hint="eastAsia" w:ascii="方正小标宋_GBK" w:hAnsi="方正小标宋_GBK" w:eastAsia="方正小标宋_GBK" w:cs="方正小标宋_GBK"/>
          <w:color w:val="231F20"/>
          <w:sz w:val="44"/>
          <w:szCs w:val="44"/>
          <w:lang w:val="en-US" w:eastAsia="zh-CN"/>
        </w:rPr>
        <w:t>吐鲁番</w:t>
      </w:r>
      <w:r>
        <w:rPr>
          <w:rFonts w:hint="eastAsia" w:ascii="方正小标宋_GBK" w:hAnsi="方正小标宋_GBK" w:eastAsia="方正小标宋_GBK" w:cs="方正小标宋_GBK"/>
          <w:color w:val="231F20"/>
          <w:sz w:val="44"/>
          <w:szCs w:val="44"/>
        </w:rPr>
        <w:t>市固体废物污染环境防治信息公告</w:t>
      </w:r>
    </w:p>
    <w:p>
      <w:pPr>
        <w:spacing w:before="318" w:line="227" w:lineRule="auto"/>
        <w:jc w:val="center"/>
        <w:rPr>
          <w:rFonts w:hint="eastAsia" w:ascii="方正小标宋_GBK" w:hAnsi="方正小标宋_GBK" w:eastAsia="方正小标宋_GBK" w:cs="方正小标宋_GBK"/>
          <w:color w:val="231F20"/>
          <w:sz w:val="44"/>
          <w:szCs w:val="44"/>
          <w:lang w:eastAsia="zh-CN"/>
        </w:rPr>
      </w:pPr>
      <w:r>
        <w:rPr>
          <w:rFonts w:hint="eastAsia" w:ascii="方正小标宋_GBK" w:hAnsi="方正小标宋_GBK" w:eastAsia="方正小标宋_GBK" w:cs="方正小标宋_GBK"/>
          <w:color w:val="231F20"/>
          <w:sz w:val="44"/>
          <w:szCs w:val="44"/>
          <w:lang w:eastAsia="zh-CN"/>
        </w:rPr>
        <w:t>（</w:t>
      </w:r>
      <w:r>
        <w:rPr>
          <w:rFonts w:hint="eastAsia" w:ascii="方正小标宋_GBK" w:hAnsi="方正小标宋_GBK" w:eastAsia="方正小标宋_GBK" w:cs="方正小标宋_GBK"/>
          <w:color w:val="231F20"/>
          <w:sz w:val="44"/>
          <w:szCs w:val="44"/>
        </w:rPr>
        <w:t>20</w:t>
      </w:r>
      <w:r>
        <w:rPr>
          <w:rFonts w:hint="eastAsia" w:ascii="方正小标宋_GBK" w:hAnsi="方正小标宋_GBK" w:eastAsia="方正小标宋_GBK" w:cs="方正小标宋_GBK"/>
          <w:color w:val="231F20"/>
          <w:sz w:val="44"/>
          <w:szCs w:val="44"/>
          <w:lang w:val="en-US" w:eastAsia="zh-CN"/>
        </w:rPr>
        <w:t>23年</w:t>
      </w:r>
      <w:r>
        <w:rPr>
          <w:rFonts w:hint="eastAsia" w:ascii="方正小标宋_GBK" w:hAnsi="方正小标宋_GBK" w:eastAsia="方正小标宋_GBK" w:cs="方正小标宋_GBK"/>
          <w:color w:val="231F20"/>
          <w:sz w:val="44"/>
          <w:szCs w:val="44"/>
          <w:lang w:eastAsia="zh-CN"/>
        </w:rPr>
        <w:t>）</w:t>
      </w:r>
    </w:p>
    <w:bookmarkEnd w:id="0"/>
    <w:p>
      <w:pPr>
        <w:spacing w:before="318" w:line="227" w:lineRule="auto"/>
        <w:jc w:val="center"/>
        <w:rPr>
          <w:rFonts w:hint="eastAsia" w:ascii="方正小标宋_GBK" w:hAnsi="方正小标宋_GBK" w:eastAsia="方正小标宋_GBK" w:cs="方正小标宋_GBK"/>
          <w:color w:val="231F2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吐鲁番市产生固体废物总量1037.4791万吨，其中，一般工业固体废物产生量为601.85万吨，危险废物产生量为35.48万吨，生活垃圾产生量为13.77万吨，建筑垃圾产生量为256.34万吨，农业固体废物产生量为128.8249万吨，城镇污水污泥产生量为1.2142万吨。吐鲁番市固体废物污染环境防治信息详细情况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textAlignment w:val="baseline"/>
        <w:rPr>
          <w:rFonts w:ascii="黑体" w:hAnsi="黑体" w:eastAsia="黑体" w:cs="黑体"/>
          <w:sz w:val="32"/>
          <w:szCs w:val="32"/>
        </w:rPr>
      </w:pPr>
      <w:r>
        <w:rPr>
          <w:rFonts w:ascii="黑体" w:hAnsi="黑体" w:eastAsia="黑体" w:cs="黑体"/>
          <w:spacing w:val="-2"/>
          <w:sz w:val="32"/>
          <w:szCs w:val="32"/>
        </w:rPr>
        <w:t>一、一般工业固体废物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1.产生、利用及处置情况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一般工业固体废物产生量601.85万吨，综合利用量为352.4万吨（含综合利用往年贮存量0.12万吨），综合利用率为58.85%，主要用于生产水泥熟料、生产建筑材料；处置量为138.14万吨（含处置往年贮存量0.89万吨），处置率为22.95%，主要处置方式为填埋；累计贮存量为111.31万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2.行业产生情况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b/>
          <w:bCs/>
          <w:spacing w:val="-3"/>
        </w:rPr>
      </w:pPr>
      <w:r>
        <w:rPr>
          <w:rFonts w:hint="eastAsia" w:ascii="仿宋_GB2312" w:hAnsi="仿宋_GB2312" w:eastAsia="仿宋_GB2312" w:cs="仿宋_GB2312"/>
          <w:sz w:val="32"/>
          <w:szCs w:val="32"/>
          <w:lang w:val="en-US" w:eastAsia="zh-CN"/>
        </w:rPr>
        <w:t>2023年，一般工业固体废物产生量排名前5的行业依次为火力发电、初级形态塑料及合成树脂制造、无机盐制造、热电联产、炼焦，分别占全市一般工业固体废物产生量的30%、20.7%、19.7%、13.6%、5.6%，详细情况见图1。</w:t>
      </w:r>
    </w:p>
    <w:p>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b/>
          <w:bCs/>
          <w:spacing w:val="8"/>
          <w:sz w:val="24"/>
          <w:szCs w:val="24"/>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40005</wp:posOffset>
            </wp:positionH>
            <wp:positionV relativeFrom="paragraph">
              <wp:posOffset>195580</wp:posOffset>
            </wp:positionV>
            <wp:extent cx="5655310" cy="3167380"/>
            <wp:effectExtent l="4445" t="4445" r="17145" b="66675"/>
            <wp:wrapTopAndBottom/>
            <wp:docPr id="3" name="图表 3"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宋体" w:hAnsi="宋体" w:eastAsia="宋体" w:cs="宋体"/>
          <w:b/>
          <w:bCs/>
          <w:spacing w:val="8"/>
          <w:sz w:val="24"/>
          <w:szCs w:val="24"/>
          <w:lang w:val="en-US" w:eastAsia="zh-CN"/>
        </w:rPr>
        <w:t xml:space="preserve">图1  </w:t>
      </w:r>
      <w:r>
        <w:rPr>
          <w:rFonts w:hint="eastAsia" w:ascii="宋体" w:hAnsi="宋体" w:eastAsia="宋体" w:cs="宋体"/>
          <w:b/>
          <w:bCs/>
          <w:spacing w:val="8"/>
          <w:sz w:val="24"/>
          <w:szCs w:val="24"/>
        </w:rPr>
        <w:t>2023年</w:t>
      </w:r>
      <w:r>
        <w:rPr>
          <w:rFonts w:hint="eastAsia" w:ascii="宋体" w:hAnsi="宋体" w:eastAsia="宋体" w:cs="宋体"/>
          <w:b/>
          <w:bCs/>
          <w:spacing w:val="8"/>
          <w:sz w:val="24"/>
          <w:szCs w:val="24"/>
          <w:lang w:val="en-US" w:eastAsia="zh-CN"/>
        </w:rPr>
        <w:t>吐鲁番市</w:t>
      </w:r>
      <w:r>
        <w:rPr>
          <w:rFonts w:hint="eastAsia" w:ascii="宋体" w:hAnsi="宋体" w:eastAsia="宋体" w:cs="宋体"/>
          <w:b/>
          <w:bCs/>
          <w:spacing w:val="8"/>
          <w:sz w:val="24"/>
          <w:szCs w:val="24"/>
        </w:rPr>
        <w:t>主要行业一</w:t>
      </w:r>
      <w:r>
        <w:rPr>
          <w:rFonts w:hint="eastAsia" w:ascii="宋体" w:hAnsi="宋体" w:eastAsia="宋体" w:cs="宋体"/>
          <w:b/>
          <w:bCs/>
          <w:spacing w:val="8"/>
          <w:sz w:val="24"/>
          <w:szCs w:val="24"/>
          <w:lang w:val="en-US" w:eastAsia="zh-CN"/>
        </w:rPr>
        <w:t>般</w:t>
      </w:r>
      <w:r>
        <w:rPr>
          <w:rFonts w:hint="eastAsia" w:ascii="宋体" w:hAnsi="宋体" w:eastAsia="宋体" w:cs="宋体"/>
          <w:b/>
          <w:bCs/>
          <w:spacing w:val="8"/>
          <w:sz w:val="24"/>
          <w:szCs w:val="24"/>
        </w:rPr>
        <w:t>工业固体废物产生情况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3.主要产生种类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2023年，一般工业固体废物产生量排名前五的种类依次为粉煤灰、尾矿、脱硫石膏、炉渣、煤矸石，产生量分别占全市一般工业固体废物产生总量的27.2%、19.9%、6.8%、6.4%、6.1%，详细情况见表1。</w:t>
      </w:r>
    </w:p>
    <w:p>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表1一般工业固体废物主要种类产生、利用及处置情况</w:t>
      </w:r>
    </w:p>
    <w:tbl>
      <w:tblPr>
        <w:tblStyle w:val="7"/>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1666"/>
        <w:gridCol w:w="2288"/>
        <w:gridCol w:w="1666"/>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766" w:type="dxa"/>
            <w:tcBorders>
              <w:top w:val="single" w:color="000000" w:sz="6" w:space="0"/>
              <w:left w:val="single" w:color="000000" w:sz="6" w:space="0"/>
            </w:tcBorders>
            <w:vAlign w:val="center"/>
          </w:tcPr>
          <w:p>
            <w:pPr>
              <w:spacing w:before="154" w:line="219" w:lineRule="auto"/>
              <w:ind w:left="461"/>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废物种类</w:t>
            </w:r>
          </w:p>
        </w:tc>
        <w:tc>
          <w:tcPr>
            <w:tcW w:w="1666" w:type="dxa"/>
            <w:tcBorders>
              <w:top w:val="single" w:color="000000" w:sz="6" w:space="0"/>
            </w:tcBorders>
            <w:vAlign w:val="center"/>
          </w:tcPr>
          <w:p>
            <w:pPr>
              <w:spacing w:before="154" w:line="221" w:lineRule="auto"/>
              <w:ind w:left="107"/>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产生量（万吨）</w:t>
            </w:r>
          </w:p>
        </w:tc>
        <w:tc>
          <w:tcPr>
            <w:tcW w:w="2288" w:type="dxa"/>
            <w:tcBorders>
              <w:top w:val="single" w:color="000000" w:sz="6" w:space="0"/>
            </w:tcBorders>
            <w:vAlign w:val="center"/>
          </w:tcPr>
          <w:p>
            <w:pPr>
              <w:spacing w:before="153" w:line="220" w:lineRule="auto"/>
              <w:ind w:left="201"/>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综合利用量（万吨）</w:t>
            </w:r>
          </w:p>
        </w:tc>
        <w:tc>
          <w:tcPr>
            <w:tcW w:w="1666" w:type="dxa"/>
            <w:tcBorders>
              <w:top w:val="single" w:color="000000" w:sz="6" w:space="0"/>
            </w:tcBorders>
            <w:vAlign w:val="center"/>
          </w:tcPr>
          <w:p>
            <w:pPr>
              <w:spacing w:before="154" w:line="221" w:lineRule="auto"/>
              <w:ind w:left="1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处置量（万吨）</w:t>
            </w:r>
          </w:p>
        </w:tc>
        <w:tc>
          <w:tcPr>
            <w:tcW w:w="1675" w:type="dxa"/>
            <w:tcBorders>
              <w:top w:val="single" w:color="000000" w:sz="6" w:space="0"/>
              <w:right w:val="single" w:color="000000" w:sz="6" w:space="0"/>
            </w:tcBorders>
            <w:vAlign w:val="center"/>
          </w:tcPr>
          <w:p>
            <w:pPr>
              <w:spacing w:before="154" w:line="219" w:lineRule="auto"/>
              <w:ind w:left="117"/>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贮存量（万吨）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1766" w:type="dxa"/>
            <w:tcBorders>
              <w:left w:val="single" w:color="000000" w:sz="6" w:space="0"/>
            </w:tcBorders>
            <w:vAlign w:val="center"/>
          </w:tcPr>
          <w:p>
            <w:pPr>
              <w:spacing w:before="154" w:line="219" w:lineRule="auto"/>
              <w:ind w:left="461"/>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粉煤灰</w:t>
            </w:r>
          </w:p>
        </w:tc>
        <w:tc>
          <w:tcPr>
            <w:tcW w:w="1666" w:type="dxa"/>
            <w:vAlign w:val="center"/>
          </w:tcPr>
          <w:p>
            <w:pPr>
              <w:spacing w:before="154" w:line="219" w:lineRule="auto"/>
              <w:ind w:left="461"/>
              <w:jc w:val="both"/>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163.91</w:t>
            </w:r>
          </w:p>
        </w:tc>
        <w:tc>
          <w:tcPr>
            <w:tcW w:w="2288" w:type="dxa"/>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46.14</w:t>
            </w:r>
          </w:p>
        </w:tc>
        <w:tc>
          <w:tcPr>
            <w:tcW w:w="1666" w:type="dxa"/>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62.61</w:t>
            </w:r>
          </w:p>
        </w:tc>
        <w:tc>
          <w:tcPr>
            <w:tcW w:w="1675" w:type="dxa"/>
            <w:tcBorders>
              <w:right w:val="single" w:color="000000" w:sz="6" w:space="0"/>
            </w:tcBorders>
            <w:vAlign w:val="center"/>
          </w:tcPr>
          <w:p>
            <w:pPr>
              <w:spacing w:before="154"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55.16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1766" w:type="dxa"/>
            <w:tcBorders>
              <w:left w:val="single" w:color="000000" w:sz="6" w:space="0"/>
              <w:bottom w:val="single" w:color="000000" w:sz="4" w:space="0"/>
            </w:tcBorders>
            <w:vAlign w:val="center"/>
          </w:tcPr>
          <w:p>
            <w:pPr>
              <w:spacing w:before="154" w:line="219" w:lineRule="auto"/>
              <w:ind w:left="461"/>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尾矿</w:t>
            </w:r>
          </w:p>
        </w:tc>
        <w:tc>
          <w:tcPr>
            <w:tcW w:w="1666" w:type="dxa"/>
            <w:tcBorders>
              <w:bottom w:val="single" w:color="000000" w:sz="4" w:space="0"/>
            </w:tcBorders>
            <w:vAlign w:val="center"/>
          </w:tcPr>
          <w:p>
            <w:pPr>
              <w:spacing w:before="154" w:line="219" w:lineRule="auto"/>
              <w:ind w:left="461"/>
              <w:jc w:val="both"/>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119.64</w:t>
            </w:r>
          </w:p>
        </w:tc>
        <w:tc>
          <w:tcPr>
            <w:tcW w:w="2288" w:type="dxa"/>
            <w:tcBorders>
              <w:bottom w:val="single" w:color="000000" w:sz="4"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80.85</w:t>
            </w:r>
          </w:p>
        </w:tc>
        <w:tc>
          <w:tcPr>
            <w:tcW w:w="1666" w:type="dxa"/>
            <w:tcBorders>
              <w:bottom w:val="single" w:color="000000" w:sz="4"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27.33</w:t>
            </w:r>
          </w:p>
        </w:tc>
        <w:tc>
          <w:tcPr>
            <w:tcW w:w="1675" w:type="dxa"/>
            <w:tcBorders>
              <w:bottom w:val="single" w:color="000000" w:sz="4" w:space="0"/>
              <w:right w:val="single" w:color="000000" w:sz="6" w:space="0"/>
            </w:tcBorders>
            <w:vAlign w:val="center"/>
          </w:tcPr>
          <w:p>
            <w:pPr>
              <w:spacing w:before="154"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11.46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766" w:type="dxa"/>
            <w:tcBorders>
              <w:top w:val="single" w:color="000000" w:sz="4" w:space="0"/>
              <w:left w:val="single" w:color="000000" w:sz="6" w:space="0"/>
            </w:tcBorders>
            <w:vAlign w:val="center"/>
          </w:tcPr>
          <w:p>
            <w:pPr>
              <w:spacing w:before="154" w:line="219" w:lineRule="auto"/>
              <w:ind w:left="461"/>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脱硫石膏</w:t>
            </w:r>
          </w:p>
        </w:tc>
        <w:tc>
          <w:tcPr>
            <w:tcW w:w="1666" w:type="dxa"/>
            <w:tcBorders>
              <w:top w:val="single" w:color="000000" w:sz="4" w:space="0"/>
            </w:tcBorders>
            <w:vAlign w:val="center"/>
          </w:tcPr>
          <w:p>
            <w:pPr>
              <w:spacing w:before="154" w:line="219" w:lineRule="auto"/>
              <w:ind w:left="461"/>
              <w:jc w:val="both"/>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40.81</w:t>
            </w:r>
          </w:p>
        </w:tc>
        <w:tc>
          <w:tcPr>
            <w:tcW w:w="2288" w:type="dxa"/>
            <w:tcBorders>
              <w:top w:val="single" w:color="000000" w:sz="4"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4.78</w:t>
            </w:r>
          </w:p>
        </w:tc>
        <w:tc>
          <w:tcPr>
            <w:tcW w:w="1666" w:type="dxa"/>
            <w:tcBorders>
              <w:top w:val="single" w:color="000000" w:sz="4"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16.27</w:t>
            </w:r>
          </w:p>
        </w:tc>
        <w:tc>
          <w:tcPr>
            <w:tcW w:w="1675" w:type="dxa"/>
            <w:tcBorders>
              <w:top w:val="single" w:color="000000" w:sz="4" w:space="0"/>
              <w:right w:val="single" w:color="000000" w:sz="6" w:space="0"/>
            </w:tcBorders>
            <w:vAlign w:val="center"/>
          </w:tcPr>
          <w:p>
            <w:pPr>
              <w:spacing w:before="154"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19.76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7" w:hRule="atLeast"/>
        </w:trPr>
        <w:tc>
          <w:tcPr>
            <w:tcW w:w="1766" w:type="dxa"/>
            <w:tcBorders>
              <w:left w:val="single" w:color="000000" w:sz="6" w:space="0"/>
              <w:bottom w:val="single" w:color="000000" w:sz="6" w:space="0"/>
            </w:tcBorders>
            <w:vAlign w:val="center"/>
          </w:tcPr>
          <w:p>
            <w:pPr>
              <w:spacing w:before="154" w:line="219" w:lineRule="auto"/>
              <w:ind w:left="461"/>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炉渣</w:t>
            </w:r>
          </w:p>
        </w:tc>
        <w:tc>
          <w:tcPr>
            <w:tcW w:w="1666" w:type="dxa"/>
            <w:tcBorders>
              <w:bottom w:val="single" w:color="000000" w:sz="6" w:space="0"/>
            </w:tcBorders>
            <w:vAlign w:val="center"/>
          </w:tcPr>
          <w:p>
            <w:pPr>
              <w:spacing w:before="154" w:line="219" w:lineRule="auto"/>
              <w:ind w:left="461"/>
              <w:jc w:val="both"/>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38.82</w:t>
            </w:r>
          </w:p>
        </w:tc>
        <w:tc>
          <w:tcPr>
            <w:tcW w:w="2288" w:type="dxa"/>
            <w:tcBorders>
              <w:bottom w:val="single" w:color="000000" w:sz="6"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10.31</w:t>
            </w:r>
          </w:p>
        </w:tc>
        <w:tc>
          <w:tcPr>
            <w:tcW w:w="1666" w:type="dxa"/>
            <w:tcBorders>
              <w:bottom w:val="single" w:color="000000" w:sz="6"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15.77</w:t>
            </w:r>
          </w:p>
        </w:tc>
        <w:tc>
          <w:tcPr>
            <w:tcW w:w="1675" w:type="dxa"/>
            <w:tcBorders>
              <w:bottom w:val="single" w:color="000000" w:sz="6" w:space="0"/>
              <w:right w:val="single" w:color="000000" w:sz="6" w:space="0"/>
            </w:tcBorders>
            <w:vAlign w:val="center"/>
          </w:tcPr>
          <w:p>
            <w:pPr>
              <w:spacing w:before="154"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12.74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9" w:hRule="atLeast"/>
        </w:trPr>
        <w:tc>
          <w:tcPr>
            <w:tcW w:w="1766" w:type="dxa"/>
            <w:tcBorders>
              <w:right w:val="single" w:color="000000" w:sz="2" w:space="0"/>
            </w:tcBorders>
            <w:vAlign w:val="center"/>
          </w:tcPr>
          <w:p>
            <w:pPr>
              <w:spacing w:before="154" w:line="219" w:lineRule="auto"/>
              <w:ind w:left="461"/>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煤矸石</w:t>
            </w:r>
          </w:p>
        </w:tc>
        <w:tc>
          <w:tcPr>
            <w:tcW w:w="1666" w:type="dxa"/>
            <w:tcBorders>
              <w:left w:val="single" w:color="000000" w:sz="2" w:space="0"/>
              <w:right w:val="single" w:color="000000" w:sz="2" w:space="0"/>
            </w:tcBorders>
            <w:vAlign w:val="center"/>
          </w:tcPr>
          <w:p>
            <w:pPr>
              <w:spacing w:before="154" w:line="219" w:lineRule="auto"/>
              <w:ind w:left="461"/>
              <w:jc w:val="both"/>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36.78</w:t>
            </w:r>
          </w:p>
        </w:tc>
        <w:tc>
          <w:tcPr>
            <w:tcW w:w="2288" w:type="dxa"/>
            <w:tcBorders>
              <w:left w:val="single" w:color="000000" w:sz="2" w:space="0"/>
              <w:right w:val="single" w:color="000000" w:sz="2"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36.78</w:t>
            </w:r>
          </w:p>
        </w:tc>
        <w:tc>
          <w:tcPr>
            <w:tcW w:w="1666" w:type="dxa"/>
            <w:tcBorders>
              <w:left w:val="single" w:color="000000" w:sz="2" w:space="0"/>
              <w:right w:val="single" w:color="000000" w:sz="2" w:space="0"/>
            </w:tcBorders>
            <w:vAlign w:val="center"/>
          </w:tcPr>
          <w:p>
            <w:pPr>
              <w:spacing w:before="154"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w:t>
            </w:r>
          </w:p>
        </w:tc>
        <w:tc>
          <w:tcPr>
            <w:tcW w:w="1675" w:type="dxa"/>
            <w:tcBorders>
              <w:left w:val="single" w:color="000000" w:sz="2" w:space="0"/>
            </w:tcBorders>
            <w:vAlign w:val="center"/>
          </w:tcPr>
          <w:p>
            <w:pPr>
              <w:spacing w:before="154"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4.转移情况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2023年，本市转移一般工业固体废物入市0万吨，移出本市0万吨。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5.主要利用设施情况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2023年，本市共有2家单位开展一般工业固体废物利用活动，本市一般工业固体废物利用能力为0.8万吨/年，主要利用设施情况见表2。</w:t>
      </w:r>
    </w:p>
    <w:p>
      <w:pPr>
        <w:pStyle w:val="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表2一般工业固体废物利用设施情况</w:t>
      </w:r>
    </w:p>
    <w:tbl>
      <w:tblPr>
        <w:tblStyle w:val="7"/>
        <w:tblW w:w="90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5"/>
        <w:gridCol w:w="1666"/>
        <w:gridCol w:w="1509"/>
        <w:gridCol w:w="1666"/>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2545" w:type="dxa"/>
            <w:tcBorders>
              <w:top w:val="single" w:color="000000" w:sz="6" w:space="0"/>
              <w:left w:val="single" w:color="000000" w:sz="6" w:space="0"/>
            </w:tcBorders>
            <w:vAlign w:val="center"/>
          </w:tcPr>
          <w:p>
            <w:pPr>
              <w:spacing w:before="209" w:line="220" w:lineRule="auto"/>
              <w:ind w:left="222"/>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利用设施所属单位名称</w:t>
            </w:r>
          </w:p>
        </w:tc>
        <w:tc>
          <w:tcPr>
            <w:tcW w:w="1666" w:type="dxa"/>
            <w:tcBorders>
              <w:top w:val="single" w:color="000000" w:sz="6" w:space="0"/>
            </w:tcBorders>
            <w:vAlign w:val="center"/>
          </w:tcPr>
          <w:p>
            <w:pPr>
              <w:spacing w:before="209" w:line="219" w:lineRule="auto"/>
              <w:ind w:left="20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利用废物种类</w:t>
            </w:r>
          </w:p>
        </w:tc>
        <w:tc>
          <w:tcPr>
            <w:tcW w:w="1509" w:type="dxa"/>
            <w:tcBorders>
              <w:top w:val="single" w:color="000000" w:sz="6" w:space="0"/>
            </w:tcBorders>
            <w:vAlign w:val="center"/>
          </w:tcPr>
          <w:p>
            <w:pPr>
              <w:spacing w:before="209" w:line="220" w:lineRule="auto"/>
              <w:ind w:left="131"/>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利用产品名称</w:t>
            </w:r>
          </w:p>
        </w:tc>
        <w:tc>
          <w:tcPr>
            <w:tcW w:w="1666" w:type="dxa"/>
            <w:tcBorders>
              <w:top w:val="single" w:color="000000" w:sz="6" w:space="0"/>
            </w:tcBorders>
            <w:vAlign w:val="center"/>
          </w:tcPr>
          <w:p>
            <w:pPr>
              <w:spacing w:before="74" w:line="237" w:lineRule="auto"/>
              <w:ind w:left="300" w:right="194" w:hanging="88"/>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设计利用能力</w:t>
            </w:r>
            <w:r>
              <w:rPr>
                <w:rFonts w:hint="eastAsia" w:ascii="仿宋_GB2312" w:hAnsi="仿宋_GB2312" w:eastAsia="仿宋_GB2312" w:cs="仿宋_GB2312"/>
                <w:b/>
                <w:bCs/>
                <w:spacing w:val="-5"/>
                <w:sz w:val="21"/>
                <w:szCs w:val="21"/>
              </w:rPr>
              <w:t>（万吨/年）</w:t>
            </w:r>
          </w:p>
        </w:tc>
        <w:tc>
          <w:tcPr>
            <w:tcW w:w="1675" w:type="dxa"/>
            <w:tcBorders>
              <w:top w:val="single" w:color="000000" w:sz="6" w:space="0"/>
              <w:right w:val="single" w:color="000000" w:sz="6" w:space="0"/>
            </w:tcBorders>
            <w:vAlign w:val="center"/>
          </w:tcPr>
          <w:p>
            <w:pPr>
              <w:spacing w:before="75" w:line="230" w:lineRule="auto"/>
              <w:ind w:left="437" w:right="301" w:hanging="114"/>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实际利用量</w:t>
            </w:r>
            <w:r>
              <w:rPr>
                <w:rFonts w:hint="eastAsia" w:ascii="仿宋_GB2312" w:hAnsi="仿宋_GB2312" w:eastAsia="仿宋_GB2312" w:cs="仿宋_GB2312"/>
                <w:b/>
                <w:bCs/>
                <w:spacing w:val="-7"/>
                <w:sz w:val="21"/>
                <w:szCs w:val="21"/>
              </w:rPr>
              <w:t>（万吨）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2545" w:type="dxa"/>
            <w:tcBorders>
              <w:left w:val="single" w:color="000000" w:sz="6" w:space="0"/>
            </w:tcBorders>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吐鲁番市天山水泥股份有限公司</w:t>
            </w:r>
          </w:p>
        </w:tc>
        <w:tc>
          <w:tcPr>
            <w:tcW w:w="1666" w:type="dxa"/>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煤矸石、选矿废渣</w:t>
            </w:r>
          </w:p>
        </w:tc>
        <w:tc>
          <w:tcPr>
            <w:tcW w:w="1509" w:type="dxa"/>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水泥</w:t>
            </w:r>
          </w:p>
        </w:tc>
        <w:tc>
          <w:tcPr>
            <w:tcW w:w="1666" w:type="dxa"/>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0.3</w:t>
            </w:r>
          </w:p>
        </w:tc>
        <w:tc>
          <w:tcPr>
            <w:tcW w:w="1675" w:type="dxa"/>
            <w:tcBorders>
              <w:right w:val="single" w:color="000000" w:sz="6" w:space="0"/>
            </w:tcBorders>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6" w:hRule="atLeast"/>
        </w:trPr>
        <w:tc>
          <w:tcPr>
            <w:tcW w:w="2545" w:type="dxa"/>
            <w:tcBorders>
              <w:left w:val="single" w:color="000000" w:sz="6" w:space="0"/>
              <w:bottom w:val="single" w:color="000000" w:sz="6" w:space="0"/>
            </w:tcBorders>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新疆圣雄水泥股份有限公司</w:t>
            </w:r>
          </w:p>
        </w:tc>
        <w:tc>
          <w:tcPr>
            <w:tcW w:w="1666" w:type="dxa"/>
            <w:tcBorders>
              <w:bottom w:val="single" w:color="000000" w:sz="6" w:space="0"/>
            </w:tcBorders>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粉煤灰、电石渣、炉渣、煤矸石</w:t>
            </w:r>
          </w:p>
        </w:tc>
        <w:tc>
          <w:tcPr>
            <w:tcW w:w="1509" w:type="dxa"/>
            <w:tcBorders>
              <w:bottom w:val="single" w:color="000000" w:sz="6" w:space="0"/>
            </w:tcBorders>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水泥</w:t>
            </w:r>
          </w:p>
        </w:tc>
        <w:tc>
          <w:tcPr>
            <w:tcW w:w="1666" w:type="dxa"/>
            <w:tcBorders>
              <w:bottom w:val="single" w:color="000000" w:sz="6" w:space="0"/>
            </w:tcBorders>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0.5</w:t>
            </w:r>
          </w:p>
        </w:tc>
        <w:tc>
          <w:tcPr>
            <w:tcW w:w="1675" w:type="dxa"/>
            <w:tcBorders>
              <w:bottom w:val="single" w:color="000000" w:sz="6" w:space="0"/>
              <w:right w:val="single" w:color="000000" w:sz="6" w:space="0"/>
            </w:tcBorders>
            <w:vAlign w:val="center"/>
          </w:tcPr>
          <w:p>
            <w:pPr>
              <w:spacing w:before="209" w:line="220" w:lineRule="auto"/>
              <w:ind w:left="222"/>
              <w:jc w:val="center"/>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133</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6.主要处置设施情况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2023年，本市共有2家单位从事一般工业固体废物处置活动，本市一般工业固体废物处置能力为0.8万吨/年，主要处置设施情况见表3。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285" w:firstLineChars="500"/>
        <w:jc w:val="center"/>
        <w:textAlignment w:val="auto"/>
        <w:rPr>
          <w:rFonts w:hint="default" w:ascii="Times New Roman" w:hAnsi="Times New Roman" w:eastAsia="仿宋_GB2312" w:cs="Times New Roman"/>
          <w:sz w:val="32"/>
          <w:szCs w:val="32"/>
        </w:rPr>
      </w:pPr>
      <w:r>
        <w:rPr>
          <w:rFonts w:hint="default" w:ascii="宋体" w:hAnsi="宋体" w:eastAsia="宋体" w:cs="宋体"/>
          <w:b/>
          <w:bCs/>
          <w:snapToGrid w:val="0"/>
          <w:color w:val="000000"/>
          <w:spacing w:val="8"/>
          <w:kern w:val="0"/>
          <w:sz w:val="24"/>
          <w:szCs w:val="24"/>
          <w:lang w:val="en-US" w:eastAsia="zh-CN" w:bidi="ar-SA"/>
        </w:rPr>
        <w:t>表</w:t>
      </w:r>
      <w:r>
        <w:rPr>
          <w:rFonts w:hint="eastAsia" w:ascii="宋体" w:hAnsi="宋体" w:eastAsia="宋体" w:cs="宋体"/>
          <w:b/>
          <w:bCs/>
          <w:snapToGrid w:val="0"/>
          <w:color w:val="000000"/>
          <w:spacing w:val="8"/>
          <w:kern w:val="0"/>
          <w:sz w:val="24"/>
          <w:szCs w:val="24"/>
          <w:lang w:val="en-US" w:eastAsia="zh-CN" w:bidi="ar-SA"/>
        </w:rPr>
        <w:t>3</w:t>
      </w:r>
      <w:r>
        <w:rPr>
          <w:rFonts w:hint="default" w:ascii="宋体" w:hAnsi="宋体" w:eastAsia="宋体" w:cs="宋体"/>
          <w:b/>
          <w:bCs/>
          <w:snapToGrid w:val="0"/>
          <w:color w:val="000000"/>
          <w:spacing w:val="8"/>
          <w:kern w:val="0"/>
          <w:sz w:val="24"/>
          <w:szCs w:val="24"/>
          <w:lang w:val="en-US" w:eastAsia="zh-CN" w:bidi="ar-SA"/>
        </w:rPr>
        <w:t>一般工业固体废物处置设施情况</w:t>
      </w:r>
    </w:p>
    <w:tbl>
      <w:tblPr>
        <w:tblStyle w:val="5"/>
        <w:tblW w:w="87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050"/>
        <w:gridCol w:w="1777"/>
        <w:gridCol w:w="1509"/>
        <w:gridCol w:w="136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处置设施所属单位名称</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处置场类型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处置废物种类</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rPr>
              <w:t>设计处置能</w:t>
            </w:r>
            <w:r>
              <w:rPr>
                <w:rFonts w:hint="eastAsia" w:ascii="仿宋_GB2312" w:hAnsi="仿宋_GB2312" w:eastAsia="仿宋_GB2312" w:cs="仿宋_GB2312"/>
                <w:b/>
                <w:bCs/>
                <w:sz w:val="21"/>
                <w:szCs w:val="21"/>
                <w:lang w:val="en-US" w:eastAsia="zh-CN"/>
              </w:rPr>
              <w:t>力（万吨/年）</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实际处置量（万吨）</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rPr>
              <w:t>使用年限/预期关闭</w:t>
            </w:r>
            <w:r>
              <w:rPr>
                <w:rFonts w:hint="eastAsia" w:ascii="仿宋_GB2312" w:hAnsi="仿宋_GB2312" w:eastAsia="仿宋_GB2312" w:cs="仿宋_GB2312"/>
                <w:b/>
                <w:bCs/>
                <w:sz w:val="21"/>
                <w:szCs w:val="21"/>
                <w:lang w:val="en-US" w:eastAsia="zh-CN"/>
              </w:rPr>
              <w:t>时间（填埋场）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新疆华电高昌热电有限公司</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粉煤灰、炉渣、石膏</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60.5</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35.5</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吐鲁番瑞德化轻有限公司</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硫化碱渣</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5</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0.25</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吐哈油田分公司吐鲁番采油管理区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1.6</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吐哈油田分公司吐鲁番采油管理区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1</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吐哈油田分公司吐鲁番采油管理区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1.5</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0.23</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吐哈油田分公司吐鲁番采油管理区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2</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吐哈油田分公司吐鲁番采油管理区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3.6</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0.0037</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吐哈油田分公司吐鲁番采油管理区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1.84</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吐哈油田分公司鄯善采油管理区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33</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0.75</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吐哈油田分公司鲁克沁采油管理区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3</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吐哈油田分公司鲁克沁采油管理区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4.5</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吐哈油田分公司鲁克沁采油管理区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6</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吐哈油田分公司鲁克沁采油管理区</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水基泥浆</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4</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合盛电业（鄯善）有限公司</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粉煤灰、炉渣、脱硫石膏</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350</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47.9</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新疆中泰化学托克逊能化有限公司</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除尘灰</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110</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9.78</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5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新疆圣雄能源股份有限公司</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填埋</w:t>
            </w:r>
          </w:p>
        </w:tc>
        <w:tc>
          <w:tcPr>
            <w:tcW w:w="1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石灰、石膏</w:t>
            </w:r>
          </w:p>
        </w:tc>
        <w:tc>
          <w:tcPr>
            <w:tcW w:w="15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350</w:t>
            </w:r>
          </w:p>
        </w:tc>
        <w:tc>
          <w:tcPr>
            <w:tcW w:w="13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54.8</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sz w:val="21"/>
                <w:szCs w:val="21"/>
                <w:vertAlign w:val="baseline"/>
                <w:lang w:val="en-US" w:eastAsia="en-US"/>
              </w:rPr>
            </w:pPr>
            <w:r>
              <w:rPr>
                <w:rFonts w:hint="eastAsia" w:ascii="仿宋_GB2312" w:hAnsi="仿宋_GB2312" w:eastAsia="仿宋_GB2312" w:cs="仿宋_GB2312"/>
                <w:sz w:val="21"/>
                <w:szCs w:val="21"/>
                <w:vertAlign w:val="baseline"/>
                <w:lang w:val="en-US"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textAlignment w:val="baseline"/>
        <w:rPr>
          <w:rFonts w:ascii="黑体" w:hAnsi="黑体" w:eastAsia="黑体" w:cs="黑体"/>
          <w:spacing w:val="-2"/>
          <w:sz w:val="32"/>
          <w:szCs w:val="32"/>
        </w:rPr>
      </w:pPr>
      <w:r>
        <w:rPr>
          <w:rFonts w:ascii="黑体" w:hAnsi="黑体" w:eastAsia="黑体" w:cs="黑体"/>
          <w:spacing w:val="-2"/>
          <w:sz w:val="32"/>
          <w:szCs w:val="32"/>
        </w:rPr>
        <w:t>二、危险废物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1.产生、利用及处置情况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危险废物（含医疗废物）产生量35.48万吨，利用量为12.21万吨，利用率为34.41%，主要利用方式为：焚烧、再生、萃取等；处置量为23.22万吨，处置率为65.45%，主要处置方式为：水泥窑协同处置、微波消毒、热解析等；贮存量为2.8万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2023年，本市医疗废物产生量1056.4吨，处置量1056.4吨，无害化处置率为100%，主要的处置方式为微波消毒。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2.行业产生情况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危险废物产生量排名前五的行业依次为化学原料和化学制品制造业、石油、煤炭及其他燃料加工业、石油和天然气开采业、卫生，分别占全市危险废物产生总量的44.9%、40.9%、13%、0.2%、0.2%，详细情况见图2。</w:t>
      </w:r>
    </w:p>
    <w:p>
      <w:pPr>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56530" cy="2988310"/>
            <wp:effectExtent l="5080" t="4445" r="15240" b="74295"/>
            <wp:docPr id="2" name="图表 2"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76" w:lineRule="auto"/>
        <w:jc w:val="center"/>
        <w:rPr>
          <w:rFonts w:hint="eastAsia" w:ascii="仿宋_GB2312" w:hAnsi="仿宋_GB2312" w:eastAsia="仿宋_GB2312" w:cs="仿宋_GB2312"/>
          <w:sz w:val="40"/>
          <w:szCs w:val="40"/>
          <w:lang w:val="en-US" w:eastAsia="zh-CN"/>
        </w:rPr>
      </w:pPr>
      <w:r>
        <w:rPr>
          <w:rFonts w:hint="default" w:ascii="宋体" w:hAnsi="宋体" w:eastAsia="宋体" w:cs="宋体"/>
          <w:b/>
          <w:bCs/>
          <w:snapToGrid w:val="0"/>
          <w:color w:val="000000"/>
          <w:spacing w:val="8"/>
          <w:kern w:val="0"/>
          <w:sz w:val="24"/>
          <w:szCs w:val="24"/>
          <w:lang w:val="en-US" w:eastAsia="zh-CN" w:bidi="ar-SA"/>
        </w:rPr>
        <w:t>图 2 2023 年本市主要行业危险废物产生情况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3.主要产生种类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2023年，危险废物产生量排名前五的种类依次为HW11精（蒸）馏残渣、HW08废矿物油与含矿物油废物、HW21含铬废物X3、HW34废酸和HW18焚烧处置残渣，产生量分别占全市危险废物产生总量的66%、14%、12%、3%、1%。</w:t>
      </w:r>
    </w:p>
    <w:p>
      <w:pPr>
        <w:pStyle w:val="2"/>
        <w:spacing w:before="208" w:line="199" w:lineRule="auto"/>
        <w:ind w:left="1992"/>
        <w:rPr>
          <w:rFonts w:hint="default" w:ascii="宋体" w:hAnsi="宋体" w:eastAsia="宋体" w:cs="宋体"/>
          <w:b/>
          <w:bCs/>
          <w:snapToGrid w:val="0"/>
          <w:color w:val="000000"/>
          <w:spacing w:val="8"/>
          <w:kern w:val="0"/>
          <w:sz w:val="24"/>
          <w:szCs w:val="24"/>
          <w:lang w:val="en-US" w:eastAsia="zh-CN" w:bidi="ar-SA"/>
        </w:rPr>
      </w:pPr>
      <w:r>
        <w:rPr>
          <w:rFonts w:hint="default" w:ascii="宋体" w:hAnsi="宋体" w:eastAsia="宋体" w:cs="宋体"/>
          <w:b/>
          <w:bCs/>
          <w:snapToGrid w:val="0"/>
          <w:color w:val="000000"/>
          <w:spacing w:val="8"/>
          <w:kern w:val="0"/>
          <w:sz w:val="24"/>
          <w:szCs w:val="24"/>
          <w:lang w:val="en-US" w:eastAsia="zh-CN" w:bidi="ar-SA"/>
        </w:rPr>
        <w:t>表</w:t>
      </w:r>
      <w:r>
        <w:rPr>
          <w:rFonts w:hint="eastAsia" w:ascii="宋体" w:hAnsi="宋体" w:eastAsia="宋体" w:cs="宋体"/>
          <w:b/>
          <w:bCs/>
          <w:snapToGrid w:val="0"/>
          <w:color w:val="000000"/>
          <w:spacing w:val="8"/>
          <w:kern w:val="0"/>
          <w:sz w:val="24"/>
          <w:szCs w:val="24"/>
          <w:lang w:val="en-US" w:eastAsia="zh-CN" w:bidi="ar-SA"/>
        </w:rPr>
        <w:t>4</w:t>
      </w:r>
      <w:r>
        <w:rPr>
          <w:rFonts w:hint="default" w:ascii="宋体" w:hAnsi="宋体" w:eastAsia="宋体" w:cs="宋体"/>
          <w:b/>
          <w:bCs/>
          <w:snapToGrid w:val="0"/>
          <w:color w:val="000000"/>
          <w:spacing w:val="8"/>
          <w:kern w:val="0"/>
          <w:sz w:val="24"/>
          <w:szCs w:val="24"/>
          <w:lang w:val="en-US" w:eastAsia="zh-CN" w:bidi="ar-SA"/>
        </w:rPr>
        <w:t>危险废物主要种类产生、利用及处置情况</w:t>
      </w:r>
    </w:p>
    <w:tbl>
      <w:tblPr>
        <w:tblStyle w:val="7"/>
        <w:tblW w:w="9061"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1666"/>
        <w:gridCol w:w="2288"/>
        <w:gridCol w:w="1666"/>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3" w:hRule="atLeast"/>
          <w:jc w:val="center"/>
        </w:trPr>
        <w:tc>
          <w:tcPr>
            <w:tcW w:w="1766" w:type="dxa"/>
            <w:tcBorders>
              <w:top w:val="single" w:color="000000" w:sz="6" w:space="0"/>
              <w:left w:val="single" w:color="000000" w:sz="6" w:space="0"/>
            </w:tcBorders>
            <w:vAlign w:val="center"/>
          </w:tcPr>
          <w:p>
            <w:pPr>
              <w:spacing w:before="197" w:line="219" w:lineRule="auto"/>
              <w:ind w:left="461"/>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废物种类</w:t>
            </w:r>
          </w:p>
        </w:tc>
        <w:tc>
          <w:tcPr>
            <w:tcW w:w="1666" w:type="dxa"/>
            <w:tcBorders>
              <w:top w:val="single" w:color="000000" w:sz="6" w:space="0"/>
            </w:tcBorders>
            <w:vAlign w:val="center"/>
          </w:tcPr>
          <w:p>
            <w:pPr>
              <w:spacing w:before="197" w:line="221" w:lineRule="auto"/>
              <w:ind w:left="107"/>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产生量（万吨）</w:t>
            </w:r>
          </w:p>
        </w:tc>
        <w:tc>
          <w:tcPr>
            <w:tcW w:w="2288" w:type="dxa"/>
            <w:tcBorders>
              <w:top w:val="single" w:color="000000" w:sz="6" w:space="0"/>
            </w:tcBorders>
            <w:vAlign w:val="center"/>
          </w:tcPr>
          <w:p>
            <w:pPr>
              <w:spacing w:before="197" w:line="220" w:lineRule="auto"/>
              <w:ind w:left="413"/>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4"/>
                <w:sz w:val="21"/>
                <w:szCs w:val="21"/>
              </w:rPr>
              <w:t>利用量（万吨）</w:t>
            </w:r>
          </w:p>
        </w:tc>
        <w:tc>
          <w:tcPr>
            <w:tcW w:w="1666" w:type="dxa"/>
            <w:tcBorders>
              <w:top w:val="single" w:color="000000" w:sz="6" w:space="0"/>
            </w:tcBorders>
            <w:vAlign w:val="center"/>
          </w:tcPr>
          <w:p>
            <w:pPr>
              <w:spacing w:before="197" w:line="221" w:lineRule="auto"/>
              <w:ind w:left="115"/>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处置量（万吨）</w:t>
            </w:r>
          </w:p>
        </w:tc>
        <w:tc>
          <w:tcPr>
            <w:tcW w:w="1675" w:type="dxa"/>
            <w:tcBorders>
              <w:top w:val="single" w:color="000000" w:sz="6" w:space="0"/>
              <w:right w:val="single" w:color="000000" w:sz="6" w:space="0"/>
            </w:tcBorders>
            <w:vAlign w:val="center"/>
          </w:tcPr>
          <w:p>
            <w:pPr>
              <w:spacing w:before="197" w:line="219" w:lineRule="auto"/>
              <w:ind w:left="117"/>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贮存量（万吨）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2" w:hRule="atLeast"/>
          <w:jc w:val="center"/>
        </w:trPr>
        <w:tc>
          <w:tcPr>
            <w:tcW w:w="1766" w:type="dxa"/>
            <w:tcBorders>
              <w:left w:val="single" w:color="000000" w:sz="6" w:space="0"/>
            </w:tcBorders>
            <w:vAlign w:val="center"/>
          </w:tcPr>
          <w:p>
            <w:pPr>
              <w:spacing w:before="242" w:line="183"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HW11精（蒸）馏残渣</w:t>
            </w:r>
          </w:p>
        </w:tc>
        <w:tc>
          <w:tcPr>
            <w:tcW w:w="166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23.37</w:t>
            </w:r>
          </w:p>
        </w:tc>
        <w:tc>
          <w:tcPr>
            <w:tcW w:w="228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6.82</w:t>
            </w:r>
          </w:p>
        </w:tc>
        <w:tc>
          <w:tcPr>
            <w:tcW w:w="166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16.32</w:t>
            </w:r>
          </w:p>
        </w:tc>
        <w:tc>
          <w:tcPr>
            <w:tcW w:w="1675" w:type="dxa"/>
            <w:tcBorders>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3" w:hRule="atLeast"/>
          <w:jc w:val="center"/>
        </w:trPr>
        <w:tc>
          <w:tcPr>
            <w:tcW w:w="1766" w:type="dxa"/>
            <w:tcBorders>
              <w:left w:val="single" w:color="000000" w:sz="6" w:space="0"/>
            </w:tcBorders>
            <w:vAlign w:val="center"/>
          </w:tcPr>
          <w:p>
            <w:pPr>
              <w:spacing w:before="248" w:line="182"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HW08废矿物油与含矿物油废物</w:t>
            </w:r>
          </w:p>
        </w:tc>
        <w:tc>
          <w:tcPr>
            <w:tcW w:w="166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4.84</w:t>
            </w:r>
          </w:p>
        </w:tc>
        <w:tc>
          <w:tcPr>
            <w:tcW w:w="228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w:t>
            </w:r>
          </w:p>
        </w:tc>
        <w:tc>
          <w:tcPr>
            <w:tcW w:w="1666"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4.84</w:t>
            </w:r>
          </w:p>
        </w:tc>
        <w:tc>
          <w:tcPr>
            <w:tcW w:w="1675" w:type="dxa"/>
            <w:tcBorders>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9" w:hRule="atLeast"/>
          <w:jc w:val="center"/>
        </w:trPr>
        <w:tc>
          <w:tcPr>
            <w:tcW w:w="1766" w:type="dxa"/>
            <w:tcBorders>
              <w:left w:val="single" w:color="000000" w:sz="6" w:space="0"/>
              <w:bottom w:val="single" w:color="000000" w:sz="6" w:space="0"/>
            </w:tcBorders>
            <w:vAlign w:val="center"/>
          </w:tcPr>
          <w:p>
            <w:pPr>
              <w:spacing w:before="251" w:line="182"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HW21含铬废物</w:t>
            </w:r>
          </w:p>
        </w:tc>
        <w:tc>
          <w:tcPr>
            <w:tcW w:w="1666"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zh-CN" w:bidi="ar"/>
              </w:rPr>
              <w:t>4.17</w:t>
            </w:r>
          </w:p>
        </w:tc>
        <w:tc>
          <w:tcPr>
            <w:tcW w:w="2288"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4.04</w:t>
            </w:r>
          </w:p>
        </w:tc>
        <w:tc>
          <w:tcPr>
            <w:tcW w:w="1666"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w:t>
            </w:r>
          </w:p>
        </w:tc>
        <w:tc>
          <w:tcPr>
            <w:tcW w:w="1675" w:type="dxa"/>
            <w:tcBorders>
              <w:bottom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3" w:hRule="atLeast"/>
          <w:jc w:val="center"/>
        </w:trPr>
        <w:tc>
          <w:tcPr>
            <w:tcW w:w="1766" w:type="dxa"/>
            <w:tcBorders>
              <w:top w:val="single" w:color="000000" w:sz="6" w:space="0"/>
              <w:left w:val="single" w:color="000000" w:sz="6" w:space="0"/>
            </w:tcBorders>
            <w:vAlign w:val="center"/>
          </w:tcPr>
          <w:p>
            <w:pPr>
              <w:spacing w:before="244" w:line="182"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HW34废酸</w:t>
            </w:r>
          </w:p>
        </w:tc>
        <w:tc>
          <w:tcPr>
            <w:tcW w:w="1666" w:type="dxa"/>
            <w:tcBorders>
              <w:top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iCs w:val="0"/>
                <w:snapToGrid w:val="0"/>
                <w:color w:val="000000"/>
                <w:kern w:val="0"/>
                <w:sz w:val="21"/>
                <w:szCs w:val="21"/>
                <w:u w:val="none"/>
                <w:lang w:val="en-US" w:eastAsia="zh-CN" w:bidi="ar"/>
              </w:rPr>
              <w:t>0.93</w:t>
            </w:r>
          </w:p>
        </w:tc>
        <w:tc>
          <w:tcPr>
            <w:tcW w:w="2288" w:type="dxa"/>
            <w:tcBorders>
              <w:top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0.93</w:t>
            </w:r>
          </w:p>
        </w:tc>
        <w:tc>
          <w:tcPr>
            <w:tcW w:w="1666" w:type="dxa"/>
            <w:tcBorders>
              <w:top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w:t>
            </w:r>
          </w:p>
        </w:tc>
        <w:tc>
          <w:tcPr>
            <w:tcW w:w="1675" w:type="dxa"/>
            <w:tcBorders>
              <w:top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5" w:hRule="atLeast"/>
          <w:jc w:val="center"/>
        </w:trPr>
        <w:tc>
          <w:tcPr>
            <w:tcW w:w="1766" w:type="dxa"/>
            <w:tcBorders>
              <w:left w:val="single" w:color="000000" w:sz="6" w:space="0"/>
              <w:bottom w:val="single" w:color="000000" w:sz="6" w:space="0"/>
            </w:tcBorders>
            <w:vAlign w:val="center"/>
          </w:tcPr>
          <w:p>
            <w:pPr>
              <w:spacing w:before="248" w:line="181"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HW18焚烧处置残渣</w:t>
            </w:r>
          </w:p>
        </w:tc>
        <w:tc>
          <w:tcPr>
            <w:tcW w:w="1666"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iCs w:val="0"/>
                <w:snapToGrid w:val="0"/>
                <w:color w:val="000000"/>
                <w:kern w:val="0"/>
                <w:sz w:val="21"/>
                <w:szCs w:val="21"/>
                <w:u w:val="none"/>
                <w:lang w:val="en-US" w:eastAsia="zh-CN" w:bidi="ar"/>
              </w:rPr>
              <w:t>0.52</w:t>
            </w:r>
          </w:p>
        </w:tc>
        <w:tc>
          <w:tcPr>
            <w:tcW w:w="2288"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w:t>
            </w:r>
          </w:p>
        </w:tc>
        <w:tc>
          <w:tcPr>
            <w:tcW w:w="1666"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0.52</w:t>
            </w:r>
          </w:p>
        </w:tc>
        <w:tc>
          <w:tcPr>
            <w:tcW w:w="1675" w:type="dxa"/>
            <w:tcBorders>
              <w:bottom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
              </w:rPr>
            </w:pPr>
            <w:r>
              <w:rPr>
                <w:rFonts w:hint="eastAsia" w:ascii="仿宋_GB2312" w:hAnsi="仿宋_GB2312" w:eastAsia="仿宋_GB2312" w:cs="仿宋_GB2312"/>
                <w:i w:val="0"/>
                <w:iCs w:val="0"/>
                <w:snapToGrid w:val="0"/>
                <w:color w:val="000000"/>
                <w:kern w:val="0"/>
                <w:sz w:val="21"/>
                <w:szCs w:val="21"/>
                <w:u w:val="none"/>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4.危险废物转移情况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2023年，本市运行危险废物联单转移量51.52万吨，其中疆内转移32.78万吨，收集转移4.51万吨，跨省转出8.63万吨，跨省转入5.6万吨。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5.危险废物许可证颁发情况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共有13家危险废物（含医疗废物）许可证持证单位，核准收集、利用、处置、贮存危险废物种类为HW01、HW04、HW06、HW08、HW11、HW13、HW18等13大类176种，核准收集、利用、处置、贮存能力达到183.5万吨/年，实际收集、利用、处置、贮存危险废物种类为HW01、HW06、HW08、HW11、HW13、HW18等11大类，实际收集、利用、处置、贮存量为39.81万吨。本市危险废物许可证持证单位情况见表5。</w:t>
      </w:r>
    </w:p>
    <w:p>
      <w:pPr>
        <w:pStyle w:val="2"/>
        <w:spacing w:before="208" w:line="199" w:lineRule="auto"/>
        <w:ind w:left="1992"/>
        <w:rPr>
          <w:rFonts w:hint="default" w:ascii="宋体" w:hAnsi="宋体" w:eastAsia="宋体" w:cs="宋体"/>
          <w:b/>
          <w:bCs/>
          <w:snapToGrid w:val="0"/>
          <w:color w:val="000000"/>
          <w:spacing w:val="8"/>
          <w:kern w:val="0"/>
          <w:sz w:val="24"/>
          <w:szCs w:val="24"/>
          <w:lang w:val="en-US" w:eastAsia="zh-CN" w:bidi="ar-SA"/>
        </w:rPr>
      </w:pPr>
      <w:r>
        <w:rPr>
          <w:rFonts w:hint="default" w:ascii="宋体" w:hAnsi="宋体" w:eastAsia="宋体" w:cs="宋体"/>
          <w:b/>
          <w:bCs/>
          <w:snapToGrid w:val="0"/>
          <w:color w:val="000000"/>
          <w:spacing w:val="8"/>
          <w:kern w:val="0"/>
          <w:sz w:val="24"/>
          <w:szCs w:val="24"/>
          <w:lang w:val="en-US" w:eastAsia="zh-CN" w:bidi="ar-SA"/>
        </w:rPr>
        <w:t>表</w:t>
      </w:r>
      <w:r>
        <w:rPr>
          <w:rFonts w:hint="eastAsia" w:ascii="宋体" w:hAnsi="宋体" w:eastAsia="宋体" w:cs="宋体"/>
          <w:b/>
          <w:bCs/>
          <w:snapToGrid w:val="0"/>
          <w:color w:val="000000"/>
          <w:spacing w:val="8"/>
          <w:kern w:val="0"/>
          <w:sz w:val="24"/>
          <w:szCs w:val="24"/>
          <w:lang w:val="en-US" w:eastAsia="zh-CN" w:bidi="ar-SA"/>
        </w:rPr>
        <w:t>5</w:t>
      </w:r>
      <w:r>
        <w:rPr>
          <w:rFonts w:hint="default" w:ascii="宋体" w:hAnsi="宋体" w:eastAsia="宋体" w:cs="宋体"/>
          <w:b/>
          <w:bCs/>
          <w:snapToGrid w:val="0"/>
          <w:color w:val="000000"/>
          <w:spacing w:val="8"/>
          <w:kern w:val="0"/>
          <w:sz w:val="24"/>
          <w:szCs w:val="24"/>
          <w:lang w:val="en-US" w:eastAsia="zh-CN" w:bidi="ar-SA"/>
        </w:rPr>
        <w:t>危险废物许可证持证单位情况</w:t>
      </w:r>
    </w:p>
    <w:tbl>
      <w:tblPr>
        <w:tblStyle w:val="4"/>
        <w:tblpPr w:leftFromText="180" w:rightFromText="180" w:vertAnchor="text" w:horzAnchor="page" w:tblpXSpec="center" w:tblpY="736"/>
        <w:tblOverlap w:val="never"/>
        <w:tblW w:w="905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2542"/>
        <w:gridCol w:w="1042"/>
        <w:gridCol w:w="2332"/>
        <w:gridCol w:w="879"/>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blHeader/>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b/>
                <w:bCs/>
                <w:spacing w:val="-2"/>
                <w:sz w:val="21"/>
                <w:szCs w:val="21"/>
              </w:rPr>
            </w:pPr>
            <w:r>
              <w:rPr>
                <w:rFonts w:hint="eastAsia" w:ascii="仿宋_GB2312" w:hAnsi="仿宋_GB2312" w:eastAsia="仿宋_GB2312" w:cs="仿宋_GB2312"/>
                <w:b/>
                <w:bCs/>
                <w:spacing w:val="-2"/>
                <w:sz w:val="21"/>
                <w:szCs w:val="21"/>
              </w:rPr>
              <w:t>危险废物许可证持证单位名称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b/>
                <w:bCs/>
                <w:spacing w:val="-2"/>
                <w:sz w:val="21"/>
                <w:szCs w:val="21"/>
              </w:rPr>
            </w:pPr>
            <w:r>
              <w:rPr>
                <w:rFonts w:hint="eastAsia" w:ascii="仿宋_GB2312" w:hAnsi="仿宋_GB2312" w:eastAsia="仿宋_GB2312" w:cs="仿宋_GB2312"/>
                <w:b/>
                <w:bCs/>
                <w:spacing w:val="-2"/>
                <w:sz w:val="21"/>
                <w:szCs w:val="21"/>
              </w:rPr>
              <w:t>核准收集利用处置贮存废物类别/代码</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b/>
                <w:bCs/>
                <w:spacing w:val="-2"/>
                <w:sz w:val="21"/>
                <w:szCs w:val="21"/>
                <w:lang w:val="en-US" w:eastAsia="zh-CN"/>
              </w:rPr>
            </w:pPr>
            <w:r>
              <w:rPr>
                <w:rFonts w:hint="eastAsia" w:ascii="仿宋_GB2312" w:hAnsi="仿宋_GB2312" w:eastAsia="仿宋_GB2312" w:cs="仿宋_GB2312"/>
                <w:b/>
                <w:bCs/>
                <w:spacing w:val="-2"/>
                <w:sz w:val="21"/>
                <w:szCs w:val="21"/>
              </w:rPr>
              <w:t>核准收集利用处置贮存能力（万吨/年）</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b/>
                <w:bCs/>
                <w:spacing w:val="-2"/>
                <w:sz w:val="21"/>
                <w:szCs w:val="21"/>
                <w:lang w:val="en-US" w:eastAsia="zh-CN"/>
              </w:rPr>
            </w:pPr>
            <w:r>
              <w:rPr>
                <w:rFonts w:hint="eastAsia" w:ascii="仿宋_GB2312" w:hAnsi="仿宋_GB2312" w:eastAsia="仿宋_GB2312" w:cs="仿宋_GB2312"/>
                <w:b/>
                <w:bCs/>
                <w:spacing w:val="-2"/>
                <w:sz w:val="21"/>
                <w:szCs w:val="21"/>
              </w:rPr>
              <w:t>实际收集利用处置贮存废物类别/代码</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b/>
                <w:bCs/>
                <w:spacing w:val="-2"/>
                <w:sz w:val="21"/>
                <w:szCs w:val="21"/>
              </w:rPr>
            </w:pPr>
            <w:r>
              <w:rPr>
                <w:rFonts w:hint="eastAsia" w:ascii="仿宋_GB2312" w:hAnsi="仿宋_GB2312" w:eastAsia="仿宋_GB2312" w:cs="仿宋_GB2312"/>
                <w:b/>
                <w:bCs/>
                <w:spacing w:val="-2"/>
                <w:sz w:val="21"/>
                <w:szCs w:val="21"/>
              </w:rPr>
              <w:t>实际收集利用处置贮存量（万吨）</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b/>
                <w:bCs/>
                <w:spacing w:val="-2"/>
                <w:sz w:val="21"/>
                <w:szCs w:val="21"/>
                <w:lang w:val="en-US" w:eastAsia="zh-CN"/>
              </w:rPr>
            </w:pPr>
            <w:r>
              <w:rPr>
                <w:rFonts w:hint="eastAsia" w:ascii="仿宋_GB2312" w:hAnsi="仿宋_GB2312" w:eastAsia="仿宋_GB2312" w:cs="仿宋_GB2312"/>
                <w:b/>
                <w:bCs/>
                <w:spacing w:val="-2"/>
                <w:sz w:val="21"/>
                <w:szCs w:val="21"/>
              </w:rPr>
              <w:t>许可证有效期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鄯善万顺发新能源科技有限公司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HW11精(蒸）馏残渣(252-002-11限定煤气净化过程氨水分离设施底部的中低温焦油&gt;、252-017-11限定固定床气化技术生产化工合成原料气、燃料油合成原料气过程中粗煤气冷凝产生的中低温焦油&gt;、451-003-11&lt;限定煤气生产过程中煤气冷凝产生的中低温煤焦油&g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30</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HW11精(蒸）馏残渣(252-002-11限定煤气净化过程氨水分离设施底部的中低温焦油&gt;、252-017-11限定固定床气化技术生产化工合成原料气、燃料油合成原料气过程中粗煤气冷凝产生的中低温焦油&gt;、451-003-11&lt;限定煤气生产过程中煤气冷凝产生的中低温煤焦油&g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12.27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2028年1月19日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鄯善久隆源技术开发服务有限公司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071-001-08、251-001-08、251-002-08、251-003-08、251-004-08、251-005-08、251-010-08、900-199-08、900-210-08、900-221-08、900-249-08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071-001-08、251-002-08、900-199-08、900-210-08、900-249-08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0.64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2025年6月4日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骆驼集团新疆再生资源有限公司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384-004-31（限定于铅蓄电池生产过程中产生的废渣、集&lt;除&gt;尘装置收集的粉尘）、900-052-31（废弃的铅蓄电池）</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15.06</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384-004-31（限定于铅蓄电池生产过程中产生的废渣、集&lt;除&gt;尘装置收集的粉尘）、900-052-31（废弃的铅蓄电池）</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5.29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2024年10月9日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吐鲁番天山金越环境科技有限公司吐鲁番天山水泥有限责任公司（独立法人的联合体）</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HW04农药废物：900-003-04，HW06废有机溶剂与含有机溶剂废物：900-402-06、900-404-06、900-405-06、900-407-06、900-409-06，HW08废矿物油与含矿物油废物：071-001-08、071-002-08、072-001-08、251-001-08、251-002-08、251-003-08、251-006-08、251-012-08、251-004-08、251-005-08、251-010-08、251-011-08、900-199-08、900-200-08、900-201-08、900-203-08、900-204-08、900-205-08、900-209-08、900-210-08、291-001-08、900-213-08、900-214-08、900-215-08、900-216-08、900-217-08、900-218-08、900-219-08、900-220-08、900-221-08、900-249-08，HW09油/水、烃/水混合物或乳化液：900-005-09、900-006-09、900-007-09，HW11精（蒸）馏残渣：251-013-11、252-001-11、252-002-11、252-003-11、252-004-11、252-005-11、252-007-11、252-009-11、252-010-11、252-011-11、252-012-11、252-013-11、252-016-11、451-001-11、451-002-11、451-003-11、261-007-11、261-008-11、261-012-11、261-013-11、261-014-11、261-015-11、261-019-11、261-020-11、261-100-11、261-106-11、261-126-11、261-127-11、261-128-11、261-129-11、261-130-11、261-131-11、261-132-11、261-133-11、261-134-11、261-135-11、309-001-11、772-001-11、900-013-11，HW12染料、涂料废物：264-008-12、264-010-12、264-011-12、264-012-12、264-013-12、900-251-12、900-253-12、900-254-12、900-256-12、900-250-12、900-252-12、900-255-12、900-299-12，HW13有机树脂类废物：265-101-13、265-102-13、265-103-13、265-104-13、900-014-13、900-015-13、900-016-13、900-451-13，HW17表面处理废物：336-052-17、336-054-17、336-055-17、336-056-17、336-057-17、336-058-17、336-059-17、336-062-17、336-063-17、336-064-17，HW18焚烧处置残渣：772-002-18、772-003-18、772-004-18、772-005-18，HW46含镍废物：384-005-46、261-087-46、900-037-46，HW48有色金属采选和冶炼废物：091-001-48、323-001-48、321-003-48、321-002-48、321-023-48、321-024-48、321-025-48、321-027-48、321-028-48，HW49其他废物：900-041-49、900-047-49、900-999-49、900-039-49、900-042-49、900-046-49，HW50废催化剂：251-016-50、251-017-50、251-018-50、251-019-50、261-151-50、261-152-50、261-153-50、261-154-50、261-155-50、261-156-50、261-157-50、261-158-50、261-159-50、261-160-50、261-161-50、261-162-50、261-163-50、261-164-50、261-165-50、261-166-50、261-167-50、261-168-50、261-169-50、261-170-50、261-171-50、261-172-50、261-173-50、261-174-50、261-175-50、261-176-50、261-177-50、261-178-50、261-179-50、261-180-50、261-181-50、261-182-50、261-183-50、263-013-50、271-006-50、275-009-50、276-006-50、772-007-50、900-048-50、900-049-50，以上仅限于不具有反应性废物）</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8</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900-013-11、900-407-06、900-042-49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0.13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2026年1月24日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托克逊县安信资源综合利用开发有限责任公司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321-002-48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2025年9月27日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托克逊县崇盛欣源新材料有限公司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252-001-11、252-002-11、252-004-11、252-005-11、252-007-11、252-009-11、252-011-11、252-017-11、309-001-11、451-001-11、451-003-11、900-013-11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0.85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252-004-11、252-005-11、309-001-11、451-001-11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rPr>
            </w:pPr>
            <w:r>
              <w:rPr>
                <w:rFonts w:hint="eastAsia" w:ascii="仿宋_GB2312" w:hAnsi="仿宋_GB2312" w:eastAsia="仿宋_GB2312" w:cs="仿宋_GB2312"/>
                <w:spacing w:val="-2"/>
                <w:sz w:val="21"/>
                <w:szCs w:val="21"/>
                <w:lang w:val="en-US" w:eastAsia="zh-CN"/>
              </w:rPr>
              <w:t>0.67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2024年11月12日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新疆天雨煤化集团有限公司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252-002-11、252-017-11、451-003-11，限于煤炭焦化、气化及生产燃气过程中产生的中低温煤焦油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18</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252-002-11、252-017-11、451-003-11，限于煤炭焦化、气化及生产燃气过程</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0.41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2026年1月24日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6"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新疆凯伦环境科技有限公司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071-001-08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8</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071-001-08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4.16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2027年1月10日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6"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吐鲁番市恒泽煤化有限公司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252-002-11、252-017-11、451-003-11，限定于高温煤焦油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252-002-11、252-017-11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10.57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2027年8月16日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8"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吐鲁番市湘展环保技术咨询服务有限公司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rPr>
              <w:t>841-001-01、841-002-01、841-003-01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0.1825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841-001-01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rPr>
              <w:t>2027</w:t>
            </w:r>
            <w:r>
              <w:rPr>
                <w:rFonts w:hint="eastAsia" w:ascii="仿宋_GB2312" w:hAnsi="仿宋_GB2312" w:eastAsia="仿宋_GB2312" w:cs="仿宋_GB2312"/>
                <w:spacing w:val="-2"/>
                <w:sz w:val="21"/>
                <w:szCs w:val="21"/>
                <w:lang w:val="en-US" w:eastAsia="zh-CN"/>
              </w:rPr>
              <w:t>年</w:t>
            </w:r>
            <w:r>
              <w:rPr>
                <w:rFonts w:hint="eastAsia" w:ascii="仿宋_GB2312" w:hAnsi="仿宋_GB2312" w:eastAsia="仿宋_GB2312" w:cs="仿宋_GB2312"/>
                <w:spacing w:val="-2"/>
                <w:sz w:val="21"/>
                <w:szCs w:val="21"/>
              </w:rPr>
              <w:t>10</w:t>
            </w:r>
            <w:r>
              <w:rPr>
                <w:rFonts w:hint="eastAsia" w:ascii="仿宋_GB2312" w:hAnsi="仿宋_GB2312" w:eastAsia="仿宋_GB2312" w:cs="仿宋_GB2312"/>
                <w:spacing w:val="-2"/>
                <w:sz w:val="21"/>
                <w:szCs w:val="21"/>
                <w:lang w:val="en-US" w:eastAsia="zh-CN"/>
              </w:rPr>
              <w:t>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吐鲁番市仪豪商贸有限公司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rPr>
            </w:pPr>
            <w:r>
              <w:rPr>
                <w:rFonts w:hint="eastAsia" w:ascii="仿宋_GB2312" w:hAnsi="仿宋_GB2312" w:eastAsia="仿宋_GB2312" w:cs="仿宋_GB2312"/>
                <w:spacing w:val="-2"/>
                <w:sz w:val="21"/>
                <w:szCs w:val="21"/>
                <w:lang w:val="en-US" w:eastAsia="zh-CN"/>
              </w:rPr>
              <w:t>900-214-08、900-052-31（限定废铅蓄电池）、900-002-03、900-003-04、900-019-16、900-044-49（限定生活垃圾分类产生的相关危险废物）、900-199-08（限定报废回收拆解行业产生的相关危险废物）、900-201-08(限定清洗金属零部件过程中产生的废弃煤油、柴油和汽油）、900-214-08(限定除易燃易爆废物外的其他危险废物）、900-217-08、900-218-08、900-219-08、900-220-08、900-249-08、900-299-12、900-032-36、900-039-49、900-041-49（限定含有或沾染毒性危险废物的相关危险废物）、900-042-49、900-045-49、900-047-49、900-049-50（其中，、900-042-49、900-047-49限定除剧毒化学品、反应性废物外的其他危险废物）</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900-214-08、900-052-31（限定废铅蓄电池）、900-002-03、900-003-04、900-019-16、900-044-49（限定生活垃圾分类产生的相关危险废物）、900-199-08（限定报废回收拆解行业产生的相关危险废物）、900-201-08(限定清洗金属零部件过程中产生的废弃煤油、柴油和汽油）、900-214-08(限定除易燃易爆废物外的其他危险废物）、900-217-08、900-218-08、900-219-08、900-220-08、900-249-08、900-299-12、900-032-36、900-039-49、900-041-49（限定含有或沾染毒性危险废物的相关危险废物）、900-042-49、900-045-49、900-047-49、900-049-50（其中，、900-042-49、900-047-49限定除剧毒化学品、反应性废物外的其他危险废物）</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0.12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rPr>
              <w:t>202</w:t>
            </w:r>
            <w:r>
              <w:rPr>
                <w:rFonts w:hint="eastAsia" w:ascii="仿宋_GB2312" w:hAnsi="仿宋_GB2312" w:eastAsia="仿宋_GB2312" w:cs="仿宋_GB2312"/>
                <w:spacing w:val="-2"/>
                <w:sz w:val="21"/>
                <w:szCs w:val="21"/>
                <w:lang w:val="en-US" w:eastAsia="zh-CN"/>
              </w:rPr>
              <w:t>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吐鲁番市汇鑫环保科技有限责任公司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900-214-08、900-052-31（限定于废铅蓄电池）、900-002-03、900-003-04、900-004-05、900-402-06（限定日常生活提供服务活动中产生的除反应性废物外的相关危险废物）、900-199-08（限定报废回收拆解行业产生的相关危险废物）、900-201-08（限定清洗金属零部件过程中产生的废弃煤油、柴油、汽油）、900-203-08、900-214-08、900-217-08、900-218-08、900-219-08、900-220-08、900-221-08、900-249-08（限定其他生产、销售、使用过程中产生的废矿物油）、264-010-12、264-011-12、264-013-12、900-251-12、900-252-12、900-253-12、900-299-12、900-019-16、900-023-29（限定生活垃圾分类产生的相关危险废物）、900-024-29（限定生活垃圾分类产生的相关危险废物）、900-349-34、900-032-36、900-039-49、900-041-49（限定含有或沾染毒性危险废物的相关危险废物）、900-042-49（限定除剧毒化学品、反应性废物外的其他危险废物）、900-044-49、900-045-49、900-047-49（限定除剧毒化学品、反应性废物外的其他危险废物）、900-999-49（限定除剧毒化学品、反应性废物外的其他危险废物）、900-049-50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0.4905</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900-214-08、900-052-31（限定于废铅蓄电池）、900-002-03、900-003-04、900-004-05、900-402-06（限定日常生活提供服务活动中产生的除反应性废物外的相关危险废物）、900-199-08（限定报废回收拆解行业产生的相关危险废物）、900-201-08（限定清洗金属零部件过程中产生的废弃煤油、柴油、汽油）、900-203-08、900-214-08、900-217-08、900-218-08、900-219-08、900-220-08、900-221-08、900-249-08（限定其他生产、销售、使用过程中产生的废矿物油）、264-010-12、264-011-12、264-013-12、900-251-12、900-252-12、900-253-12、900-299-12、900-019-16、900-023-29（限定生活垃圾分类产生的相关危险废物）、900-024-29（限定生活垃圾分类产生的相关危险废物）、900-349-34、900-032-36、900-039-49、900-041-49（限定含有或沾染毒性危险废物的相关危险废物）、900-042-49（限定除剧毒化学品、反应性废物外的其他危险废物）、900-044-49、900-045-49、900-047-49（限定除剧毒化学品、反应性废物外的其他危险废物）、900-999-49（限定除剧毒化学品、反应性废物外的其他危险废物）、900-049-50</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0.91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rPr>
              <w:t>2025</w:t>
            </w:r>
            <w:r>
              <w:rPr>
                <w:rFonts w:hint="eastAsia" w:ascii="仿宋_GB2312" w:hAnsi="仿宋_GB2312" w:eastAsia="仿宋_GB2312" w:cs="仿宋_GB2312"/>
                <w:spacing w:val="-2"/>
                <w:sz w:val="21"/>
                <w:szCs w:val="21"/>
                <w:lang w:val="en-US" w:eastAsia="zh-CN"/>
              </w:rPr>
              <w:t>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新疆美汇特石化产品有限公司</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252-002-11、252-017-11、451-003-11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40</w:t>
            </w:r>
          </w:p>
        </w:tc>
        <w:tc>
          <w:tcPr>
            <w:tcW w:w="23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97"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rPr>
              <w:t>2026</w:t>
            </w:r>
            <w:r>
              <w:rPr>
                <w:rFonts w:hint="eastAsia" w:ascii="仿宋_GB2312" w:hAnsi="仿宋_GB2312" w:eastAsia="仿宋_GB2312" w:cs="仿宋_GB2312"/>
                <w:spacing w:val="-2"/>
                <w:sz w:val="21"/>
                <w:szCs w:val="21"/>
                <w:lang w:val="en-US" w:eastAsia="zh-CN"/>
              </w:rPr>
              <w:t>年</w:t>
            </w:r>
            <w:r>
              <w:rPr>
                <w:rFonts w:hint="eastAsia" w:ascii="仿宋_GB2312" w:hAnsi="仿宋_GB2312" w:eastAsia="仿宋_GB2312" w:cs="仿宋_GB2312"/>
                <w:spacing w:val="-2"/>
                <w:sz w:val="21"/>
                <w:szCs w:val="21"/>
              </w:rPr>
              <w:t>8</w:t>
            </w:r>
            <w:r>
              <w:rPr>
                <w:rFonts w:hint="eastAsia" w:ascii="仿宋_GB2312" w:hAnsi="仿宋_GB2312" w:eastAsia="仿宋_GB2312" w:cs="仿宋_GB2312"/>
                <w:spacing w:val="-2"/>
                <w:sz w:val="21"/>
                <w:szCs w:val="21"/>
                <w:lang w:val="en-US" w:eastAsia="zh-CN"/>
              </w:rPr>
              <w:t>月</w:t>
            </w:r>
            <w:r>
              <w:rPr>
                <w:rFonts w:hint="eastAsia" w:ascii="仿宋_GB2312" w:hAnsi="仿宋_GB2312" w:eastAsia="仿宋_GB2312" w:cs="仿宋_GB2312"/>
                <w:spacing w:val="-2"/>
                <w:sz w:val="21"/>
                <w:szCs w:val="21"/>
              </w:rPr>
              <w:t>22</w:t>
            </w:r>
            <w:r>
              <w:rPr>
                <w:rFonts w:hint="eastAsia" w:ascii="仿宋_GB2312" w:hAnsi="仿宋_GB2312" w:eastAsia="仿宋_GB2312" w:cs="仿宋_GB2312"/>
                <w:spacing w:val="-2"/>
                <w:sz w:val="21"/>
                <w:szCs w:val="21"/>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6.危险废物自行利用处置情况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2023年，本市实际自行利用危险废物19.7万吨，处置危险废物（包括医疗废物）4.7万吨，处置危险废物的主要种类为铬渣。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7.主要处置设施情况</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b/>
          <w:bCs/>
          <w:spacing w:val="-2"/>
        </w:rPr>
      </w:pPr>
      <w:r>
        <w:rPr>
          <w:rFonts w:hint="eastAsia" w:ascii="仿宋_GB2312" w:hAnsi="仿宋_GB2312" w:eastAsia="仿宋_GB2312" w:cs="仿宋_GB2312"/>
          <w:snapToGrid w:val="0"/>
          <w:color w:val="000000"/>
          <w:kern w:val="0"/>
          <w:sz w:val="32"/>
          <w:szCs w:val="32"/>
          <w:lang w:val="en-US" w:eastAsia="zh-CN" w:bidi="ar-SA"/>
        </w:rPr>
        <w:t>2023年，本市共有5家单位从事危险废物处置活动，本市危险废物处置能力为51.1825万吨/年，主要处置设施情况见表6。</w:t>
      </w:r>
    </w:p>
    <w:p>
      <w:pPr>
        <w:pStyle w:val="2"/>
        <w:spacing w:before="1" w:line="199" w:lineRule="auto"/>
        <w:ind w:left="3022"/>
        <w:rPr>
          <w:rFonts w:hint="default" w:ascii="宋体" w:hAnsi="宋体" w:eastAsia="宋体" w:cs="宋体"/>
          <w:b/>
          <w:bCs/>
          <w:snapToGrid w:val="0"/>
          <w:color w:val="000000"/>
          <w:spacing w:val="8"/>
          <w:kern w:val="0"/>
          <w:sz w:val="24"/>
          <w:szCs w:val="24"/>
          <w:lang w:val="en-US" w:eastAsia="zh-CN" w:bidi="ar-SA"/>
        </w:rPr>
      </w:pPr>
      <w:r>
        <w:rPr>
          <w:rFonts w:hint="default" w:ascii="宋体" w:hAnsi="宋体" w:eastAsia="宋体" w:cs="宋体"/>
          <w:b/>
          <w:bCs/>
          <w:snapToGrid w:val="0"/>
          <w:color w:val="000000"/>
          <w:spacing w:val="8"/>
          <w:kern w:val="0"/>
          <w:sz w:val="24"/>
          <w:szCs w:val="24"/>
          <w:lang w:val="en-US" w:eastAsia="zh-CN" w:bidi="ar-SA"/>
        </w:rPr>
        <w:t>表</w:t>
      </w:r>
      <w:r>
        <w:rPr>
          <w:rFonts w:hint="eastAsia" w:ascii="宋体" w:hAnsi="宋体" w:eastAsia="宋体" w:cs="宋体"/>
          <w:b/>
          <w:bCs/>
          <w:snapToGrid w:val="0"/>
          <w:color w:val="000000"/>
          <w:spacing w:val="8"/>
          <w:kern w:val="0"/>
          <w:sz w:val="24"/>
          <w:szCs w:val="24"/>
          <w:lang w:val="en-US" w:eastAsia="zh-CN" w:bidi="ar-SA"/>
        </w:rPr>
        <w:t>6</w:t>
      </w:r>
      <w:r>
        <w:rPr>
          <w:rFonts w:hint="default" w:ascii="宋体" w:hAnsi="宋体" w:eastAsia="宋体" w:cs="宋体"/>
          <w:b/>
          <w:bCs/>
          <w:snapToGrid w:val="0"/>
          <w:color w:val="000000"/>
          <w:spacing w:val="8"/>
          <w:kern w:val="0"/>
          <w:sz w:val="24"/>
          <w:szCs w:val="24"/>
          <w:lang w:val="en-US" w:eastAsia="zh-CN" w:bidi="ar-SA"/>
        </w:rPr>
        <w:t>危险废物处置设施情况</w:t>
      </w:r>
    </w:p>
    <w:tbl>
      <w:tblPr>
        <w:tblStyle w:val="7"/>
        <w:tblW w:w="906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0"/>
        <w:gridCol w:w="1191"/>
        <w:gridCol w:w="1637"/>
        <w:gridCol w:w="1339"/>
        <w:gridCol w:w="1189"/>
        <w:gridCol w:w="2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0" w:hRule="atLeast"/>
        </w:trPr>
        <w:tc>
          <w:tcPr>
            <w:tcW w:w="1610" w:type="dxa"/>
            <w:tcBorders>
              <w:top w:val="single" w:color="000000" w:sz="6" w:space="0"/>
              <w:left w:val="single" w:color="000000" w:sz="6" w:space="0"/>
            </w:tcBorders>
            <w:vAlign w:val="top"/>
          </w:tcPr>
          <w:p>
            <w:pPr>
              <w:spacing w:before="185" w:line="230" w:lineRule="auto"/>
              <w:ind w:right="172"/>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处置设施所属</w:t>
            </w:r>
            <w:r>
              <w:rPr>
                <w:rFonts w:hint="eastAsia" w:ascii="仿宋_GB2312" w:hAnsi="仿宋_GB2312" w:eastAsia="仿宋_GB2312" w:cs="仿宋_GB2312"/>
                <w:b/>
                <w:bCs/>
                <w:spacing w:val="-3"/>
                <w:sz w:val="21"/>
                <w:szCs w:val="21"/>
              </w:rPr>
              <w:t>单位名称</w:t>
            </w:r>
          </w:p>
        </w:tc>
        <w:tc>
          <w:tcPr>
            <w:tcW w:w="1191" w:type="dxa"/>
            <w:tcBorders>
              <w:top w:val="single" w:color="000000" w:sz="6" w:space="0"/>
            </w:tcBorders>
            <w:vAlign w:val="top"/>
          </w:tcPr>
          <w:p>
            <w:pPr>
              <w:spacing w:before="184" w:line="230" w:lineRule="auto"/>
              <w:ind w:left="395" w:right="175" w:hanging="22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处置设施</w:t>
            </w:r>
            <w:r>
              <w:rPr>
                <w:rFonts w:hint="eastAsia" w:ascii="仿宋_GB2312" w:hAnsi="仿宋_GB2312" w:eastAsia="仿宋_GB2312" w:cs="仿宋_GB2312"/>
                <w:b/>
                <w:bCs/>
                <w:spacing w:val="-4"/>
                <w:sz w:val="21"/>
                <w:szCs w:val="21"/>
              </w:rPr>
              <w:t>类型</w:t>
            </w:r>
          </w:p>
        </w:tc>
        <w:tc>
          <w:tcPr>
            <w:tcW w:w="1637" w:type="dxa"/>
            <w:tcBorders>
              <w:top w:val="single" w:color="000000" w:sz="6" w:space="0"/>
            </w:tcBorders>
            <w:vAlign w:val="top"/>
          </w:tcPr>
          <w:p>
            <w:pPr>
              <w:spacing w:before="68" w:line="219" w:lineRule="auto"/>
              <w:ind w:left="19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处置废物种类</w:t>
            </w:r>
          </w:p>
        </w:tc>
        <w:tc>
          <w:tcPr>
            <w:tcW w:w="1339" w:type="dxa"/>
            <w:tcBorders>
              <w:top w:val="single" w:color="000000" w:sz="6" w:space="0"/>
            </w:tcBorders>
            <w:vAlign w:val="top"/>
          </w:tcPr>
          <w:p>
            <w:pPr>
              <w:spacing w:before="185" w:line="237" w:lineRule="auto"/>
              <w:ind w:left="117" w:right="19" w:firstLine="31"/>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rPr>
              <w:t>设计处置能</w:t>
            </w:r>
            <w:r>
              <w:rPr>
                <w:rFonts w:hint="eastAsia" w:ascii="仿宋_GB2312" w:hAnsi="仿宋_GB2312" w:eastAsia="仿宋_GB2312" w:cs="仿宋_GB2312"/>
                <w:b/>
                <w:bCs/>
                <w:spacing w:val="-18"/>
                <w:sz w:val="21"/>
                <w:szCs w:val="21"/>
              </w:rPr>
              <w:t>力（万吨/年）</w:t>
            </w:r>
          </w:p>
        </w:tc>
        <w:tc>
          <w:tcPr>
            <w:tcW w:w="1189" w:type="dxa"/>
            <w:tcBorders>
              <w:top w:val="single" w:color="000000" w:sz="6" w:space="0"/>
            </w:tcBorders>
            <w:vAlign w:val="top"/>
          </w:tcPr>
          <w:p>
            <w:pPr>
              <w:spacing w:before="185" w:line="231" w:lineRule="auto"/>
              <w:ind w:left="119" w:right="44" w:firstLine="70"/>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实际处置</w:t>
            </w:r>
            <w:r>
              <w:rPr>
                <w:rFonts w:hint="eastAsia" w:ascii="仿宋_GB2312" w:hAnsi="仿宋_GB2312" w:eastAsia="仿宋_GB2312" w:cs="仿宋_GB2312"/>
                <w:b/>
                <w:bCs/>
                <w:spacing w:val="-6"/>
                <w:sz w:val="21"/>
                <w:szCs w:val="21"/>
              </w:rPr>
              <w:t>量（万吨）</w:t>
            </w:r>
          </w:p>
        </w:tc>
        <w:tc>
          <w:tcPr>
            <w:tcW w:w="2095" w:type="dxa"/>
            <w:tcBorders>
              <w:top w:val="single" w:color="000000" w:sz="6" w:space="0"/>
              <w:right w:val="single" w:color="000000" w:sz="6" w:space="0"/>
            </w:tcBorders>
            <w:vAlign w:val="top"/>
          </w:tcPr>
          <w:p>
            <w:pPr>
              <w:spacing w:before="184" w:line="231" w:lineRule="auto"/>
              <w:ind w:left="324" w:right="169" w:hanging="142"/>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使用年限/预期关闭</w:t>
            </w:r>
            <w:r>
              <w:rPr>
                <w:rFonts w:hint="eastAsia" w:ascii="仿宋_GB2312" w:hAnsi="仿宋_GB2312" w:eastAsia="仿宋_GB2312" w:cs="仿宋_GB2312"/>
                <w:b/>
                <w:bCs/>
                <w:spacing w:val="-4"/>
                <w:sz w:val="21"/>
                <w:szCs w:val="21"/>
              </w:rPr>
              <w:t>时间（填埋场）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4" w:hRule="atLeast"/>
        </w:trPr>
        <w:tc>
          <w:tcPr>
            <w:tcW w:w="1610" w:type="dxa"/>
            <w:tcBorders>
              <w:left w:val="single" w:color="000000" w:sz="6"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鄯善万顺发新能源科技有限公司</w:t>
            </w:r>
          </w:p>
        </w:tc>
        <w:tc>
          <w:tcPr>
            <w:tcW w:w="119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综合利用</w:t>
            </w:r>
          </w:p>
        </w:tc>
        <w:tc>
          <w:tcPr>
            <w:tcW w:w="163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HW11</w:t>
            </w:r>
          </w:p>
        </w:tc>
        <w:tc>
          <w:tcPr>
            <w:tcW w:w="1339"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189"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12.27</w:t>
            </w:r>
          </w:p>
        </w:tc>
        <w:tc>
          <w:tcPr>
            <w:tcW w:w="2095" w:type="dxa"/>
            <w:tcBorders>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2028年1月19日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6" w:hRule="atLeast"/>
        </w:trPr>
        <w:tc>
          <w:tcPr>
            <w:tcW w:w="1610" w:type="dxa"/>
            <w:tcBorders>
              <w:left w:val="single" w:color="000000" w:sz="6"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鄯善久隆源技术开发服务有限公司</w:t>
            </w:r>
          </w:p>
        </w:tc>
        <w:tc>
          <w:tcPr>
            <w:tcW w:w="119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热解析</w:t>
            </w:r>
          </w:p>
        </w:tc>
        <w:tc>
          <w:tcPr>
            <w:tcW w:w="163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HW08</w:t>
            </w:r>
          </w:p>
        </w:tc>
        <w:tc>
          <w:tcPr>
            <w:tcW w:w="1339"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189"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0.64</w:t>
            </w:r>
          </w:p>
        </w:tc>
        <w:tc>
          <w:tcPr>
            <w:tcW w:w="2095" w:type="dxa"/>
            <w:tcBorders>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2025年6月4日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36" w:hRule="atLeast"/>
        </w:trPr>
        <w:tc>
          <w:tcPr>
            <w:tcW w:w="1610" w:type="dxa"/>
            <w:tcBorders>
              <w:left w:val="single" w:color="000000" w:sz="6"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吐鲁番天山金越环境科技有限公司</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吐鲁番天山水泥有限责任公司（独立法人的联合体）</w:t>
            </w:r>
          </w:p>
        </w:tc>
        <w:tc>
          <w:tcPr>
            <w:tcW w:w="119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default" w:ascii="Times New Roman" w:hAnsi="Times New Roman" w:eastAsia="仿宋_GB2312" w:cs="Times New Roman"/>
                <w:i w:val="0"/>
                <w:color w:val="000000"/>
                <w:kern w:val="0"/>
                <w:sz w:val="24"/>
                <w:szCs w:val="24"/>
                <w:u w:val="none"/>
                <w:lang w:val="en-US" w:eastAsia="zh-CN" w:bidi="ar"/>
              </w:rPr>
              <w:t>水泥窑协同处置</w:t>
            </w:r>
          </w:p>
        </w:tc>
        <w:tc>
          <w:tcPr>
            <w:tcW w:w="163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《国家危险废物名录》中13大类176种危险废物</w:t>
            </w:r>
          </w:p>
        </w:tc>
        <w:tc>
          <w:tcPr>
            <w:tcW w:w="1339"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189"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0.13</w:t>
            </w:r>
          </w:p>
        </w:tc>
        <w:tc>
          <w:tcPr>
            <w:tcW w:w="2095" w:type="dxa"/>
            <w:tcBorders>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2026年1月24日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36" w:hRule="atLeast"/>
        </w:trPr>
        <w:tc>
          <w:tcPr>
            <w:tcW w:w="1610" w:type="dxa"/>
            <w:tcBorders>
              <w:left w:val="single" w:color="000000" w:sz="6"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新疆凯伦环境科技有限公司</w:t>
            </w:r>
          </w:p>
        </w:tc>
        <w:tc>
          <w:tcPr>
            <w:tcW w:w="119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Times New Roman" w:hAnsi="Times New Roman" w:eastAsia="仿宋_GB2312" w:cs="Times New Roman"/>
                <w:i w:val="0"/>
                <w:color w:val="000000"/>
                <w:kern w:val="0"/>
                <w:sz w:val="24"/>
                <w:szCs w:val="24"/>
                <w:u w:val="none"/>
                <w:lang w:val="en-US" w:eastAsia="zh-CN" w:bidi="ar"/>
              </w:rPr>
              <w:t>热解析</w:t>
            </w:r>
          </w:p>
        </w:tc>
        <w:tc>
          <w:tcPr>
            <w:tcW w:w="1637"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HW08</w:t>
            </w:r>
          </w:p>
        </w:tc>
        <w:tc>
          <w:tcPr>
            <w:tcW w:w="1339"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189" w:type="dxa"/>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4.16</w:t>
            </w:r>
          </w:p>
        </w:tc>
        <w:tc>
          <w:tcPr>
            <w:tcW w:w="2095" w:type="dxa"/>
            <w:tcBorders>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2027年1月10日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36" w:hRule="atLeast"/>
        </w:trPr>
        <w:tc>
          <w:tcPr>
            <w:tcW w:w="1610" w:type="dxa"/>
            <w:tcBorders>
              <w:left w:val="single" w:color="000000" w:sz="6" w:space="0"/>
              <w:bottom w:val="single" w:color="000000" w:sz="6"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olor w:val="000000"/>
                <w:kern w:val="0"/>
                <w:sz w:val="21"/>
                <w:szCs w:val="21"/>
                <w:u w:val="none"/>
                <w:lang w:val="en-US" w:eastAsia="zh-CN" w:bidi="ar"/>
              </w:rPr>
              <w:t>吐鲁番市湘展环保技术咨询服务有限公司</w:t>
            </w:r>
          </w:p>
        </w:tc>
        <w:tc>
          <w:tcPr>
            <w:tcW w:w="1191"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医疗废物微波消毒处理</w:t>
            </w:r>
          </w:p>
        </w:tc>
        <w:tc>
          <w:tcPr>
            <w:tcW w:w="1637"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000000"/>
                <w:spacing w:val="0"/>
                <w:sz w:val="21"/>
                <w:szCs w:val="21"/>
                <w:shd w:val="clear" w:fill="FFFFFF"/>
              </w:rPr>
              <w:t>HW0</w:t>
            </w:r>
            <w:r>
              <w:rPr>
                <w:rFonts w:hint="eastAsia" w:ascii="仿宋_GB2312" w:hAnsi="仿宋_GB2312" w:eastAsia="仿宋_GB2312" w:cs="仿宋_GB2312"/>
                <w:i w:val="0"/>
                <w:caps w:val="0"/>
                <w:color w:val="000000"/>
                <w:spacing w:val="0"/>
                <w:sz w:val="21"/>
                <w:szCs w:val="21"/>
                <w:shd w:val="clear" w:fill="FFFFFF"/>
                <w:lang w:val="en-US" w:eastAsia="zh-CN"/>
              </w:rPr>
              <w:t>1</w:t>
            </w:r>
          </w:p>
        </w:tc>
        <w:tc>
          <w:tcPr>
            <w:tcW w:w="1339" w:type="dxa"/>
            <w:tcBorders>
              <w:bottom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000000"/>
                <w:spacing w:val="0"/>
                <w:sz w:val="21"/>
                <w:szCs w:val="21"/>
                <w:shd w:val="clear" w:fill="FFFFFF"/>
                <w:lang w:val="en-US" w:eastAsia="zh-CN"/>
              </w:rPr>
              <w:t>0.1825</w:t>
            </w:r>
          </w:p>
        </w:tc>
        <w:tc>
          <w:tcPr>
            <w:tcW w:w="1189" w:type="dxa"/>
            <w:tcBorders>
              <w:bottom w:val="single" w:color="000000" w:sz="6" w:space="0"/>
            </w:tcBorders>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0.11</w:t>
            </w:r>
          </w:p>
        </w:tc>
        <w:tc>
          <w:tcPr>
            <w:tcW w:w="2095" w:type="dxa"/>
            <w:tcBorders>
              <w:bottom w:val="single" w:color="000000" w:sz="6" w:space="0"/>
              <w:right w:val="single" w:color="000000"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aps w:val="0"/>
                <w:color w:val="000000"/>
                <w:spacing w:val="0"/>
                <w:sz w:val="21"/>
                <w:szCs w:val="21"/>
                <w:shd w:val="clear" w:fill="FFFFFF"/>
              </w:rPr>
              <w:t>2027</w:t>
            </w:r>
            <w:r>
              <w:rPr>
                <w:rFonts w:hint="eastAsia" w:ascii="仿宋_GB2312" w:hAnsi="仿宋_GB2312" w:eastAsia="仿宋_GB2312" w:cs="仿宋_GB2312"/>
                <w:i w:val="0"/>
                <w:caps w:val="0"/>
                <w:color w:val="000000"/>
                <w:spacing w:val="0"/>
                <w:sz w:val="21"/>
                <w:szCs w:val="21"/>
                <w:shd w:val="clear" w:fill="FFFFFF"/>
                <w:lang w:val="en-US" w:eastAsia="zh-CN"/>
              </w:rPr>
              <w:t>年</w:t>
            </w:r>
            <w:r>
              <w:rPr>
                <w:rFonts w:hint="eastAsia" w:ascii="仿宋_GB2312" w:hAnsi="仿宋_GB2312" w:eastAsia="仿宋_GB2312" w:cs="仿宋_GB2312"/>
                <w:i w:val="0"/>
                <w:caps w:val="0"/>
                <w:color w:val="000000"/>
                <w:spacing w:val="0"/>
                <w:sz w:val="21"/>
                <w:szCs w:val="21"/>
                <w:shd w:val="clear" w:fill="FFFFFF"/>
              </w:rPr>
              <w:t>10</w:t>
            </w:r>
            <w:r>
              <w:rPr>
                <w:rFonts w:hint="eastAsia" w:ascii="仿宋_GB2312" w:hAnsi="仿宋_GB2312" w:eastAsia="仿宋_GB2312" w:cs="仿宋_GB2312"/>
                <w:i w:val="0"/>
                <w:caps w:val="0"/>
                <w:color w:val="000000"/>
                <w:spacing w:val="0"/>
                <w:sz w:val="21"/>
                <w:szCs w:val="21"/>
                <w:shd w:val="clear" w:fill="FFFFFF"/>
                <w:lang w:val="en-US" w:eastAsia="zh-CN"/>
              </w:rPr>
              <w:t>月</w:t>
            </w:r>
            <w:r>
              <w:rPr>
                <w:rFonts w:hint="eastAsia" w:ascii="仿宋_GB2312" w:hAnsi="仿宋_GB2312" w:eastAsia="仿宋_GB2312" w:cs="仿宋_GB2312"/>
                <w:i w:val="0"/>
                <w:caps w:val="0"/>
                <w:color w:val="000000"/>
                <w:spacing w:val="0"/>
                <w:sz w:val="21"/>
                <w:szCs w:val="21"/>
                <w:shd w:val="clear" w:fill="FFFFFF"/>
              </w:rPr>
              <w:t>3</w:t>
            </w:r>
            <w:r>
              <w:rPr>
                <w:rFonts w:hint="eastAsia" w:ascii="仿宋_GB2312" w:hAnsi="仿宋_GB2312" w:eastAsia="仿宋_GB2312" w:cs="仿宋_GB2312"/>
                <w:i w:val="0"/>
                <w:caps w:val="0"/>
                <w:color w:val="000000"/>
                <w:spacing w:val="0"/>
                <w:sz w:val="21"/>
                <w:szCs w:val="21"/>
                <w:shd w:val="clear" w:fill="FFFFFF"/>
                <w:lang w:val="en-US" w:eastAsia="zh-CN"/>
              </w:rPr>
              <w:t>日</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textAlignment w:val="baseline"/>
        <w:rPr>
          <w:rFonts w:ascii="黑体" w:hAnsi="黑体" w:eastAsia="黑体" w:cs="黑体"/>
          <w:spacing w:val="-2"/>
          <w:sz w:val="32"/>
          <w:szCs w:val="32"/>
        </w:rPr>
      </w:pPr>
      <w:r>
        <w:rPr>
          <w:rFonts w:ascii="黑体" w:hAnsi="黑体" w:eastAsia="黑体" w:cs="黑体"/>
          <w:spacing w:val="-2"/>
          <w:sz w:val="32"/>
          <w:szCs w:val="32"/>
        </w:rPr>
        <w:t>三、生活垃圾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1.产生、利用及处理情况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吐鲁番市2023年生活垃圾清运量13.77万吨，无害化处理量为13.77万吨，无害化处理率为100%。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2.全市生活垃圾处理设施情况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吐鲁番市共有生活垃圾处理设施3座，总处理能力515吨/日，处置方式无害化填埋。</w:t>
      </w:r>
    </w:p>
    <w:p>
      <w:pPr>
        <w:pStyle w:val="2"/>
        <w:spacing w:before="1" w:line="199" w:lineRule="auto"/>
        <w:ind w:left="3022"/>
        <w:rPr>
          <w:rFonts w:hint="default" w:ascii="宋体" w:hAnsi="宋体" w:eastAsia="宋体" w:cs="宋体"/>
          <w:b/>
          <w:bCs/>
          <w:snapToGrid w:val="0"/>
          <w:color w:val="000000"/>
          <w:spacing w:val="8"/>
          <w:kern w:val="0"/>
          <w:sz w:val="24"/>
          <w:szCs w:val="24"/>
          <w:lang w:val="en-US" w:eastAsia="zh-CN" w:bidi="ar-SA"/>
        </w:rPr>
      </w:pPr>
      <w:r>
        <w:rPr>
          <w:rFonts w:hint="default" w:ascii="宋体" w:hAnsi="宋体" w:eastAsia="宋体" w:cs="宋体"/>
          <w:b/>
          <w:bCs/>
          <w:snapToGrid w:val="0"/>
          <w:color w:val="000000"/>
          <w:spacing w:val="8"/>
          <w:kern w:val="0"/>
          <w:sz w:val="24"/>
          <w:szCs w:val="24"/>
          <w:lang w:val="en-US" w:eastAsia="zh-CN" w:bidi="ar-SA"/>
        </w:rPr>
        <w:t>表</w:t>
      </w:r>
      <w:r>
        <w:rPr>
          <w:rFonts w:hint="eastAsia" w:ascii="宋体" w:hAnsi="宋体" w:eastAsia="宋体" w:cs="宋体"/>
          <w:b/>
          <w:bCs/>
          <w:snapToGrid w:val="0"/>
          <w:color w:val="000000"/>
          <w:spacing w:val="8"/>
          <w:kern w:val="0"/>
          <w:sz w:val="24"/>
          <w:szCs w:val="24"/>
          <w:lang w:val="en-US" w:eastAsia="zh-CN" w:bidi="ar-SA"/>
        </w:rPr>
        <w:t xml:space="preserve">7 </w:t>
      </w:r>
      <w:r>
        <w:rPr>
          <w:rFonts w:hint="default" w:ascii="宋体" w:hAnsi="宋体" w:eastAsia="宋体" w:cs="宋体"/>
          <w:b/>
          <w:bCs/>
          <w:snapToGrid w:val="0"/>
          <w:color w:val="000000"/>
          <w:spacing w:val="8"/>
          <w:kern w:val="0"/>
          <w:sz w:val="24"/>
          <w:szCs w:val="24"/>
          <w:lang w:val="en-US" w:eastAsia="zh-CN" w:bidi="ar-SA"/>
        </w:rPr>
        <w:t>本市生活垃圾处理设施情况</w:t>
      </w:r>
    </w:p>
    <w:tbl>
      <w:tblPr>
        <w:tblStyle w:val="7"/>
        <w:tblW w:w="85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3"/>
        <w:gridCol w:w="1911"/>
        <w:gridCol w:w="1960"/>
        <w:gridCol w:w="1430"/>
        <w:gridCol w:w="1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0" w:hRule="atLeast"/>
        </w:trPr>
        <w:tc>
          <w:tcPr>
            <w:tcW w:w="1583" w:type="dxa"/>
            <w:vAlign w:val="center"/>
          </w:tcPr>
          <w:p>
            <w:pPr>
              <w:keepNext w:val="0"/>
              <w:keepLines w:val="0"/>
              <w:pageBreakBefore w:val="0"/>
              <w:widowControl w:val="0"/>
              <w:kinsoku/>
              <w:wordWrap/>
              <w:overflowPunct/>
              <w:topLinePunct w:val="0"/>
              <w:autoSpaceDE/>
              <w:autoSpaceDN/>
              <w:bidi w:val="0"/>
              <w:adjustRightInd/>
              <w:snapToGrid/>
              <w:spacing w:before="244" w:line="34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设施所属单位名称</w:t>
            </w:r>
          </w:p>
        </w:tc>
        <w:tc>
          <w:tcPr>
            <w:tcW w:w="1911" w:type="dxa"/>
            <w:vAlign w:val="center"/>
          </w:tcPr>
          <w:p>
            <w:pPr>
              <w:keepNext w:val="0"/>
              <w:keepLines w:val="0"/>
              <w:pageBreakBefore w:val="0"/>
              <w:widowControl w:val="0"/>
              <w:kinsoku/>
              <w:wordWrap/>
              <w:overflowPunct/>
              <w:topLinePunct w:val="0"/>
              <w:autoSpaceDE/>
              <w:autoSpaceDN/>
              <w:bidi w:val="0"/>
              <w:adjustRightInd/>
              <w:snapToGrid/>
              <w:spacing w:before="68" w:line="34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设施名称及类型</w:t>
            </w:r>
          </w:p>
        </w:tc>
        <w:tc>
          <w:tcPr>
            <w:tcW w:w="1960" w:type="dxa"/>
            <w:vAlign w:val="center"/>
          </w:tcPr>
          <w:p>
            <w:pPr>
              <w:keepNext w:val="0"/>
              <w:keepLines w:val="0"/>
              <w:pageBreakBefore w:val="0"/>
              <w:widowControl w:val="0"/>
              <w:kinsoku/>
              <w:wordWrap/>
              <w:overflowPunct/>
              <w:topLinePunct w:val="0"/>
              <w:autoSpaceDE/>
              <w:autoSpaceDN/>
              <w:bidi w:val="0"/>
              <w:adjustRightInd/>
              <w:snapToGrid/>
              <w:spacing w:before="244" w:line="340" w:lineRule="exact"/>
              <w:ind w:right="155"/>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rPr>
              <w:t>设计处理能力</w:t>
            </w:r>
            <w:r>
              <w:rPr>
                <w:rFonts w:hint="eastAsia" w:ascii="仿宋_GB2312" w:hAnsi="仿宋_GB2312" w:eastAsia="仿宋_GB2312" w:cs="仿宋_GB2312"/>
                <w:b/>
                <w:bCs/>
                <w:spacing w:val="3"/>
                <w:sz w:val="21"/>
                <w:szCs w:val="21"/>
                <w:lang w:eastAsia="zh-CN"/>
              </w:rPr>
              <w:t>（</w:t>
            </w:r>
            <w:r>
              <w:rPr>
                <w:rFonts w:hint="eastAsia" w:ascii="仿宋_GB2312" w:hAnsi="仿宋_GB2312" w:eastAsia="仿宋_GB2312" w:cs="仿宋_GB2312"/>
                <w:b/>
                <w:bCs/>
                <w:spacing w:val="8"/>
                <w:sz w:val="21"/>
                <w:szCs w:val="21"/>
              </w:rPr>
              <w:t>万吨/年</w:t>
            </w:r>
            <w:r>
              <w:rPr>
                <w:rFonts w:hint="eastAsia" w:ascii="仿宋_GB2312" w:hAnsi="仿宋_GB2312" w:eastAsia="仿宋_GB2312" w:cs="仿宋_GB2312"/>
                <w:b/>
                <w:bCs/>
                <w:spacing w:val="8"/>
                <w:sz w:val="21"/>
                <w:szCs w:val="21"/>
                <w:lang w:eastAsia="zh-CN"/>
              </w:rPr>
              <w:t>）</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before="234" w:line="340" w:lineRule="exact"/>
              <w:ind w:right="343"/>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实际处理量</w:t>
            </w:r>
            <w:r>
              <w:rPr>
                <w:rFonts w:hint="eastAsia" w:ascii="仿宋_GB2312" w:hAnsi="仿宋_GB2312" w:eastAsia="仿宋_GB2312" w:cs="仿宋_GB2312"/>
                <w:b/>
                <w:bCs/>
                <w:spacing w:val="1"/>
                <w:sz w:val="21"/>
                <w:szCs w:val="21"/>
                <w:lang w:eastAsia="zh-CN"/>
              </w:rPr>
              <w:t>（</w:t>
            </w:r>
            <w:r>
              <w:rPr>
                <w:rFonts w:hint="eastAsia" w:ascii="仿宋_GB2312" w:hAnsi="仿宋_GB2312" w:eastAsia="仿宋_GB2312" w:cs="仿宋_GB2312"/>
                <w:b/>
                <w:bCs/>
                <w:spacing w:val="1"/>
                <w:sz w:val="21"/>
                <w:szCs w:val="21"/>
              </w:rPr>
              <w:t>万吨</w:t>
            </w:r>
            <w:r>
              <w:rPr>
                <w:rFonts w:hint="eastAsia" w:ascii="仿宋_GB2312" w:hAnsi="仿宋_GB2312" w:eastAsia="仿宋_GB2312" w:cs="仿宋_GB2312"/>
                <w:b/>
                <w:bCs/>
                <w:spacing w:val="1"/>
                <w:sz w:val="21"/>
                <w:szCs w:val="21"/>
                <w:lang w:eastAsia="zh-CN"/>
              </w:rPr>
              <w:t>）</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before="233" w:line="34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1"/>
                <w:sz w:val="21"/>
                <w:szCs w:val="21"/>
              </w:rPr>
              <w:t>使用年限/预期关闭时</w:t>
            </w:r>
            <w:r>
              <w:rPr>
                <w:rFonts w:hint="eastAsia" w:ascii="仿宋_GB2312" w:hAnsi="仿宋_GB2312" w:eastAsia="仿宋_GB2312" w:cs="仿宋_GB2312"/>
                <w:b/>
                <w:bCs/>
                <w:spacing w:val="7"/>
                <w:sz w:val="21"/>
                <w:szCs w:val="21"/>
              </w:rPr>
              <w:t>间</w:t>
            </w:r>
            <w:r>
              <w:rPr>
                <w:rFonts w:hint="eastAsia" w:ascii="仿宋_GB2312" w:hAnsi="仿宋_GB2312" w:eastAsia="仿宋_GB2312" w:cs="仿宋_GB2312"/>
                <w:b/>
                <w:bCs/>
                <w:spacing w:val="7"/>
                <w:sz w:val="21"/>
                <w:szCs w:val="21"/>
                <w:lang w:eastAsia="zh-CN"/>
              </w:rPr>
              <w:t>（</w:t>
            </w:r>
            <w:r>
              <w:rPr>
                <w:rFonts w:hint="eastAsia" w:ascii="仿宋_GB2312" w:hAnsi="仿宋_GB2312" w:eastAsia="仿宋_GB2312" w:cs="仿宋_GB2312"/>
                <w:b/>
                <w:bCs/>
                <w:spacing w:val="7"/>
                <w:sz w:val="21"/>
                <w:szCs w:val="21"/>
              </w:rPr>
              <w:t>填埋场</w:t>
            </w:r>
            <w:r>
              <w:rPr>
                <w:rFonts w:hint="eastAsia" w:ascii="仿宋_GB2312" w:hAnsi="仿宋_GB2312" w:eastAsia="仿宋_GB2312" w:cs="仿宋_GB2312"/>
                <w:b/>
                <w:bCs/>
                <w:spacing w:val="7"/>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4" w:hRule="atLeast"/>
        </w:trPr>
        <w:tc>
          <w:tcPr>
            <w:tcW w:w="1583"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高昌区环境卫生中心</w:t>
            </w:r>
          </w:p>
        </w:tc>
        <w:tc>
          <w:tcPr>
            <w:tcW w:w="1911" w:type="dxa"/>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kern w:val="2"/>
                <w:sz w:val="21"/>
                <w:szCs w:val="21"/>
                <w:lang w:val="en-US" w:eastAsia="zh-CN" w:bidi="ar-SA"/>
              </w:rPr>
              <w:t>高昌区生活垃圾填埋场</w:t>
            </w:r>
          </w:p>
        </w:tc>
        <w:tc>
          <w:tcPr>
            <w:tcW w:w="196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300吨/日；</w:t>
            </w:r>
          </w:p>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10.95万吨/年</w:t>
            </w:r>
          </w:p>
        </w:tc>
        <w:tc>
          <w:tcPr>
            <w:tcW w:w="143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8.01</w:t>
            </w:r>
          </w:p>
        </w:tc>
        <w:tc>
          <w:tcPr>
            <w:tcW w:w="168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10年（一期闭场时间：2024年年底）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4" w:hRule="atLeast"/>
        </w:trPr>
        <w:tc>
          <w:tcPr>
            <w:tcW w:w="1583"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鄯善县住建局</w:t>
            </w:r>
          </w:p>
        </w:tc>
        <w:tc>
          <w:tcPr>
            <w:tcW w:w="1911" w:type="dxa"/>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kern w:val="2"/>
                <w:sz w:val="21"/>
                <w:szCs w:val="21"/>
                <w:lang w:val="en-US" w:eastAsia="zh-CN" w:bidi="ar-SA"/>
              </w:rPr>
              <w:t>鄯善县生活垃圾填埋场</w:t>
            </w:r>
          </w:p>
        </w:tc>
        <w:tc>
          <w:tcPr>
            <w:tcW w:w="196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100吨/日；</w:t>
            </w:r>
          </w:p>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3.65万吨/年</w:t>
            </w:r>
          </w:p>
        </w:tc>
        <w:tc>
          <w:tcPr>
            <w:tcW w:w="143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3.06</w:t>
            </w:r>
          </w:p>
        </w:tc>
        <w:tc>
          <w:tcPr>
            <w:tcW w:w="168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5年（一期闭场时间：2024年年底）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4" w:hRule="atLeast"/>
        </w:trPr>
        <w:tc>
          <w:tcPr>
            <w:tcW w:w="1583"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托克逊县住建局</w:t>
            </w:r>
          </w:p>
        </w:tc>
        <w:tc>
          <w:tcPr>
            <w:tcW w:w="1911" w:type="dxa"/>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kern w:val="2"/>
                <w:sz w:val="21"/>
                <w:szCs w:val="21"/>
                <w:lang w:val="en-US" w:eastAsia="zh-CN" w:bidi="ar-SA"/>
              </w:rPr>
              <w:t>托克逊县生活垃圾填埋场</w:t>
            </w:r>
          </w:p>
        </w:tc>
        <w:tc>
          <w:tcPr>
            <w:tcW w:w="196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115吨/日；</w:t>
            </w:r>
          </w:p>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4.2万吨/年</w:t>
            </w:r>
          </w:p>
        </w:tc>
        <w:tc>
          <w:tcPr>
            <w:tcW w:w="1430" w:type="dxa"/>
            <w:vAlign w:val="center"/>
          </w:tcPr>
          <w:p>
            <w:pPr>
              <w:pStyle w:val="8"/>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2.70</w:t>
            </w:r>
          </w:p>
        </w:tc>
        <w:tc>
          <w:tcPr>
            <w:tcW w:w="1680" w:type="dxa"/>
            <w:vAlign w:val="center"/>
          </w:tcPr>
          <w:p>
            <w:pPr>
              <w:pStyle w:val="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5年（一期闭场时间：2024年年底）</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3.生活垃圾分类情况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吐鲁番市紧紧围绕生活垃圾分类成效建设，不断巩固提升，深入推进城市精细化管理，不断完善垃圾分类硬件设施，创造软件条件，推动建立居住小区、党政机关、学校等试点示范点350余个，生活垃圾回收利用率达31%、资源化利用率达40%，逐步构建生活垃圾分类收集、分类运输及分类处置体系，基本实现了公共机构生活垃圾分类设施全覆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textAlignment w:val="baseline"/>
        <w:rPr>
          <w:rFonts w:hint="eastAsia" w:ascii="楷体_GB2312" w:hAnsi="楷体_GB2312" w:eastAsia="楷体_GB2312" w:cs="楷体_GB2312"/>
          <w:b/>
          <w:bCs/>
          <w:sz w:val="32"/>
          <w:szCs w:val="32"/>
          <w:lang w:val="en-US" w:eastAsia="zh-CN"/>
        </w:rPr>
      </w:pPr>
      <w:r>
        <w:rPr>
          <w:rFonts w:ascii="黑体" w:hAnsi="黑体" w:eastAsia="黑体" w:cs="黑体"/>
          <w:spacing w:val="-2"/>
          <w:sz w:val="32"/>
          <w:szCs w:val="32"/>
        </w:rPr>
        <w:t>四、建筑垃圾</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全市现有建筑垃圾临时消纳点3个，建筑垃圾处置方式：填埋，2023年度全市年建筑垃圾处置量256.34万吨。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五、农业固体废物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1.农作物秸秆产生及利用情况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2023年，本市农作物秸秆产生量为13.19万吨，可收集量11.87万吨，利用量10.75万吨，利用率为90.57%。</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2.农作物秸秆利用设施情况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2023年，本市共有2家单位从事农作物秸秆利用活动，本市农作物秸秆利用能力为0.7万吨/年，主要利用设施情况见表8。</w:t>
      </w:r>
    </w:p>
    <w:p>
      <w:pPr>
        <w:pStyle w:val="2"/>
        <w:spacing w:before="1" w:line="199" w:lineRule="auto"/>
        <w:ind w:left="3022"/>
        <w:rPr>
          <w:rFonts w:hint="eastAsia" w:ascii="宋体" w:hAnsi="宋体" w:eastAsia="宋体" w:cs="宋体"/>
          <w:b/>
          <w:bCs/>
          <w:snapToGrid w:val="0"/>
          <w:color w:val="000000"/>
          <w:spacing w:val="8"/>
          <w:kern w:val="0"/>
          <w:sz w:val="24"/>
          <w:szCs w:val="24"/>
          <w:lang w:val="en-US" w:eastAsia="zh-CN" w:bidi="ar-SA"/>
        </w:rPr>
      </w:pPr>
      <w:r>
        <w:rPr>
          <w:rFonts w:hint="eastAsia" w:ascii="宋体" w:hAnsi="宋体" w:eastAsia="宋体" w:cs="宋体"/>
          <w:b/>
          <w:bCs/>
          <w:snapToGrid w:val="0"/>
          <w:color w:val="000000"/>
          <w:spacing w:val="8"/>
          <w:kern w:val="0"/>
          <w:sz w:val="24"/>
          <w:szCs w:val="24"/>
          <w:lang w:val="en-US" w:eastAsia="zh-CN" w:bidi="ar-SA"/>
        </w:rPr>
        <w:t>表8农作物秸秆利用设施情况</w:t>
      </w:r>
    </w:p>
    <w:tbl>
      <w:tblPr>
        <w:tblStyle w:val="5"/>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1691"/>
        <w:gridCol w:w="1186"/>
        <w:gridCol w:w="150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0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lang w:val="en-US" w:eastAsia="zh-CN"/>
              </w:rPr>
              <w:t>利用</w:t>
            </w:r>
            <w:r>
              <w:rPr>
                <w:rFonts w:hint="eastAsia" w:ascii="仿宋_GB2312" w:hAnsi="仿宋_GB2312" w:eastAsia="仿宋_GB2312" w:cs="仿宋_GB2312"/>
                <w:b/>
                <w:bCs/>
                <w:sz w:val="21"/>
                <w:szCs w:val="21"/>
              </w:rPr>
              <w:t>设施所属单位名称</w:t>
            </w:r>
          </w:p>
        </w:tc>
        <w:tc>
          <w:tcPr>
            <w:tcW w:w="1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利用设施类型</w:t>
            </w:r>
          </w:p>
        </w:tc>
        <w:tc>
          <w:tcPr>
            <w:tcW w:w="11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利用方式</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设计利用能力(万吨</w:t>
            </w:r>
            <w:r>
              <w:rPr>
                <w:rFonts w:hint="eastAsia" w:ascii="仿宋_GB2312" w:hAnsi="仿宋_GB2312" w:eastAsia="仿宋_GB2312" w:cs="仿宋_GB2312"/>
                <w:b/>
                <w:bCs/>
                <w:sz w:val="21"/>
                <w:szCs w:val="21"/>
                <w:vertAlign w:val="baseline"/>
                <w:lang w:val="en-US" w:eastAsia="zh-CN"/>
              </w:rPr>
              <w:t>/年</w:t>
            </w:r>
            <w:r>
              <w:rPr>
                <w:rFonts w:hint="eastAsia" w:ascii="仿宋_GB2312" w:hAnsi="仿宋_GB2312" w:eastAsia="仿宋_GB2312" w:cs="仿宋_GB2312"/>
                <w:b/>
                <w:bCs/>
                <w:sz w:val="21"/>
                <w:szCs w:val="21"/>
                <w:vertAlign w:val="baseline"/>
              </w:rPr>
              <w:t>)</w:t>
            </w:r>
          </w:p>
        </w:tc>
        <w:tc>
          <w:tcPr>
            <w:tcW w:w="15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实际利用量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w:t>
            </w:r>
            <w:r>
              <w:rPr>
                <w:rFonts w:hint="eastAsia" w:ascii="仿宋_GB2312" w:hAnsi="仿宋_GB2312" w:eastAsia="仿宋_GB2312" w:cs="仿宋_GB2312"/>
                <w:b/>
                <w:bCs/>
                <w:sz w:val="21"/>
                <w:szCs w:val="21"/>
                <w:vertAlign w:val="baseline"/>
                <w:lang w:val="en-US" w:eastAsia="zh-CN"/>
              </w:rPr>
              <w:t>万吨</w:t>
            </w:r>
            <w:r>
              <w:rPr>
                <w:rFonts w:hint="eastAsia" w:ascii="仿宋_GB2312" w:hAnsi="仿宋_GB2312" w:eastAsia="仿宋_GB2312" w:cs="仿宋_GB2312"/>
                <w:b/>
                <w:bCs/>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01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鄯善县明涛生物科技有限公司</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en-US" w:bidi="ar-SA"/>
              </w:rPr>
            </w:pPr>
            <w:r>
              <w:rPr>
                <w:rFonts w:hint="eastAsia" w:ascii="仿宋_GB2312" w:hAnsi="仿宋_GB2312" w:eastAsia="仿宋_GB2312" w:cs="仿宋_GB2312"/>
                <w:b w:val="0"/>
                <w:i w:val="0"/>
                <w:caps w:val="0"/>
                <w:spacing w:val="0"/>
                <w:w w:val="100"/>
                <w:sz w:val="21"/>
                <w:szCs w:val="21"/>
                <w:lang w:eastAsia="zh-CN"/>
              </w:rPr>
              <w:t>机制木炭加工</w:t>
            </w: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机制木炭</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0.42</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013"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吐鲁番梓森农业科技有限公司</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en-US" w:bidi="ar-SA"/>
              </w:rPr>
            </w:pPr>
            <w:r>
              <w:rPr>
                <w:rFonts w:hint="eastAsia" w:ascii="仿宋_GB2312" w:hAnsi="仿宋_GB2312" w:eastAsia="仿宋_GB2312" w:cs="仿宋_GB2312"/>
                <w:sz w:val="21"/>
                <w:szCs w:val="21"/>
                <w:vertAlign w:val="baseline"/>
                <w:lang w:eastAsia="zh-CN"/>
              </w:rPr>
              <w:t>生物质颗粒加工</w:t>
            </w:r>
          </w:p>
        </w:tc>
        <w:tc>
          <w:tcPr>
            <w:tcW w:w="1186"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生物质颗粒</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2.5</w:t>
            </w:r>
          </w:p>
        </w:tc>
        <w:tc>
          <w:tcPr>
            <w:tcW w:w="155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_GB2312" w:hAnsi="仿宋_GB2312" w:eastAsia="仿宋_GB2312" w:cs="仿宋_GB2312"/>
                <w:snapToGrid w:val="0"/>
                <w:color w:val="000000"/>
                <w:kern w:val="0"/>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0.6</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3.畜禽粪污产生及利用情况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2023年，本市畜禽粪污产生量为110.61万吨，收集量110.61万吨，利用量90.35万吨，综合利用率为81.68%。</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4.畜禽粪污处理设施情况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2023年，吐鲁番市共有107家畜禽养殖场（户）从事畜禽粪污处理活动，本市畜禽粪污处理能力为16.08万吨/年，主要处理设施情况见表9。</w:t>
      </w:r>
    </w:p>
    <w:p>
      <w:pPr>
        <w:pStyle w:val="2"/>
        <w:spacing w:before="1" w:line="199" w:lineRule="auto"/>
        <w:ind w:left="3022"/>
        <w:rPr>
          <w:rFonts w:hint="eastAsia" w:ascii="宋体" w:hAnsi="宋体" w:eastAsia="宋体" w:cs="宋体"/>
          <w:b/>
          <w:bCs/>
          <w:snapToGrid w:val="0"/>
          <w:color w:val="000000"/>
          <w:spacing w:val="8"/>
          <w:kern w:val="0"/>
          <w:sz w:val="24"/>
          <w:szCs w:val="24"/>
          <w:lang w:val="en-US" w:eastAsia="zh-CN" w:bidi="ar-SA"/>
        </w:rPr>
      </w:pPr>
      <w:r>
        <w:rPr>
          <w:rFonts w:hint="eastAsia" w:ascii="宋体" w:hAnsi="宋体" w:eastAsia="宋体" w:cs="宋体"/>
          <w:b/>
          <w:bCs/>
          <w:snapToGrid w:val="0"/>
          <w:color w:val="000000"/>
          <w:spacing w:val="8"/>
          <w:kern w:val="0"/>
          <w:sz w:val="24"/>
          <w:szCs w:val="24"/>
          <w:lang w:val="en-US" w:eastAsia="zh-CN" w:bidi="ar-SA"/>
        </w:rPr>
        <w:t>表9畜禽粪污处理设施情况</w:t>
      </w:r>
    </w:p>
    <w:tbl>
      <w:tblPr>
        <w:tblStyle w:val="5"/>
        <w:tblW w:w="8825"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23"/>
        <w:gridCol w:w="1420"/>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设施所属畜</w:t>
            </w:r>
          </w:p>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禽养殖场</w:t>
            </w:r>
          </w:p>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（户）名称</w:t>
            </w:r>
          </w:p>
        </w:tc>
        <w:tc>
          <w:tcPr>
            <w:tcW w:w="1420" w:type="dxa"/>
            <w:vAlign w:val="center"/>
          </w:tcPr>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处理设施</w:t>
            </w:r>
          </w:p>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类型</w:t>
            </w:r>
          </w:p>
        </w:tc>
        <w:tc>
          <w:tcPr>
            <w:tcW w:w="1420" w:type="dxa"/>
            <w:vAlign w:val="center"/>
          </w:tcPr>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处理粪污</w:t>
            </w:r>
          </w:p>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种类</w:t>
            </w:r>
          </w:p>
        </w:tc>
        <w:tc>
          <w:tcPr>
            <w:tcW w:w="1420" w:type="dxa"/>
            <w:vAlign w:val="center"/>
          </w:tcPr>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粪污处理方式</w:t>
            </w:r>
          </w:p>
        </w:tc>
        <w:tc>
          <w:tcPr>
            <w:tcW w:w="1421" w:type="dxa"/>
            <w:vAlign w:val="center"/>
          </w:tcPr>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设计处理能力（万吨/年）</w:t>
            </w:r>
          </w:p>
        </w:tc>
        <w:tc>
          <w:tcPr>
            <w:tcW w:w="1421" w:type="dxa"/>
            <w:vAlign w:val="center"/>
          </w:tcPr>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实际处理量</w:t>
            </w:r>
          </w:p>
          <w:p>
            <w:pPr>
              <w:widowControl w:val="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（万吨）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吐鲁番市艾丁湖乡小山羊畜牧养殖农民专业合作社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0.021</w:t>
            </w:r>
          </w:p>
        </w:tc>
        <w:tc>
          <w:tcPr>
            <w:tcW w:w="1421" w:type="dxa"/>
            <w:vAlign w:val="center"/>
          </w:tcPr>
          <w:p>
            <w:pPr>
              <w:keepNext w:val="0"/>
              <w:keepLines w:val="0"/>
              <w:widowControl/>
              <w:suppressLineNumbers w:val="0"/>
              <w:jc w:val="center"/>
              <w:textAlignment w:val="top"/>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阿力木·吐尔逊</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0.0245</w:t>
            </w:r>
          </w:p>
        </w:tc>
        <w:tc>
          <w:tcPr>
            <w:tcW w:w="1421" w:type="dxa"/>
            <w:vAlign w:val="top"/>
          </w:tcPr>
          <w:p>
            <w:pPr>
              <w:keepNext w:val="0"/>
              <w:keepLines w:val="0"/>
              <w:widowControl/>
              <w:suppressLineNumbers w:val="0"/>
              <w:jc w:val="center"/>
              <w:textAlignment w:val="top"/>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玉苏甫·吐尔逊</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0.032</w:t>
            </w:r>
          </w:p>
        </w:tc>
        <w:tc>
          <w:tcPr>
            <w:tcW w:w="1421" w:type="dxa"/>
            <w:vAlign w:val="top"/>
          </w:tcPr>
          <w:p>
            <w:pPr>
              <w:keepNext w:val="0"/>
              <w:keepLines w:val="0"/>
              <w:widowControl/>
              <w:suppressLineNumbers w:val="0"/>
              <w:jc w:val="center"/>
              <w:textAlignment w:val="top"/>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合力力·阿布拉</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0.021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吐鲁番市艾丁湖乡帕尔哈提牛羊养殖农民专业合作社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0.018</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吐鲁番市李氏兄弟畜牧养殖农民专业合作社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0.0175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阿布利克木·阿不力孜</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鲁番盐草地畜牧养殖农民专业合作社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0.021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艾克拜尔·力提甫</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0.0225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沙依买尓旦·阿不力克木</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依力哈木·阿依甫</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0.016</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买苏提·买尼克</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0.032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沙拉依丁·巴吾东</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0.032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卡哈尔·卡斯木</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0.0175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阿布来孜·尼吉吾力</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0.028</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吐鲁番市暖圈畜牧养殖农民专业合作社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0.014</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吐鲁番市亚尔乡吉萨拉尔畜牧养殖农民专业合作社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吐鲁番市穆塔里甫畜牧养殖农民专业合作社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吐鲁番市翱翔家禽养殖农民专业合作社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鸡粪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吐鲁番市巨安畜牧养殖农民专业合作社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吐鲁番市奇创畜牧养殖农民专业合作社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吐鲁番市古丽阿雅提养殖农民专业合作社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吐鲁番市古丽沙依畜牧养殖农民专业合作社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bottom"/>
          </w:tcPr>
          <w:p>
            <w:pPr>
              <w:keepNext w:val="0"/>
              <w:keepLines w:val="0"/>
              <w:widowControl/>
              <w:suppressLineNumbers w:val="0"/>
              <w:jc w:val="left"/>
              <w:textAlignment w:val="bottom"/>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吐鲁番市春风畜牧养殖农民专业合作社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 w:hRule="atLeast"/>
          <w:jc w:val="center"/>
        </w:trPr>
        <w:tc>
          <w:tcPr>
            <w:tcW w:w="1723" w:type="dxa"/>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吐鲁番市丰源农牧业发展有限公司</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堆粪场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猪粪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好氧堆肥</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鄯善县三旺畜禽养殖农民专业合作社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家禽粪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0.4</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鄯善县永丰养殖农民专业合作社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0.6</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鄯善县爱丽凯迪尔养殖农民农业合作社羊规模养殖场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鄯善县白杨树养殖农民农业合作社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鄯善县客格土畜牧养殖农民专业合作社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鄯善县切合努尔养殖农民专业合作社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驴粪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鄯善县蓝马养殖农民专业合作社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鄯善托图尔畜牧养殖农民专业合作社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鄯善县壹讪养殖农民农业合作社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鄯善永鑫养殖农民专业合作社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氧化塘、堆粪池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生猪粪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0.6</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鄯善县来顺畜牧养殖专业合作社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生猪粪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鄯善县阿尔发瓜果购销农民专业合作社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鄯善多力坤阿不拉牛羊养殖农民专业合作社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57"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鄯善县沙园畜牧养殖农民专业合作社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鄯善县库木买理养殖农民专业合作社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鄯善县正康蛋鸡养殖场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家禽粪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鄯善县白龙泉养殖专业合作社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鄯善县沙漠牛羊养殖农牧民专业合作社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鄯善县良种养殖农民专业合作社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鄯善县波浪坎养殖专业合作社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鄯善县金凤凰养殖农民专业合作社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鄯善县硒源养殖农民专业合作社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驴粪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鄯善县民兴养殖专业合作社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鄯善县葡萄王养殖专业合作社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养殖户尼扎木丁·哈力克</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养殖户毛沙·吾拉音</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0.3</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鄯善县美合那提畜禽养殖农民专业合作社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鄯善县买合木提养殖农民专业合作社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鄯善县艾力夺丝农民养殖合作社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鄯善县花白头养殖农民专业合作社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鄯善县三旺畜禽养殖农民专业合作社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家禽粪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0.4</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鄯善县永丰养殖农民专业合作社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0.6</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鄯善县爱丽凯迪尔养殖农民农业合作社羊规模养殖场</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44" w:hRule="atLeast"/>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鄯善县白杨树养殖农民农业合作社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鄯善县客格土畜牧养殖农民专业合作社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0.12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鄯善县切合努尔养殖农民专业合作社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驴粪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0.01</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鄯善县蓝马养殖农民专业合作社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鄯善托图尔畜牧养殖农民专业合作社</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堆粪池</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牛羊粪</w:t>
            </w:r>
          </w:p>
        </w:tc>
        <w:tc>
          <w:tcPr>
            <w:tcW w:w="1420"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厌氧发酵</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0.25</w:t>
            </w:r>
          </w:p>
        </w:tc>
        <w:tc>
          <w:tcPr>
            <w:tcW w:w="142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托克逊县地方国营牧场</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0.12</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托克逊县英阿瓦提黑羊养殖农民专业合作社</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0.023</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03" w:hRule="atLeast"/>
          <w:jc w:val="center"/>
        </w:trPr>
        <w:tc>
          <w:tcPr>
            <w:tcW w:w="1723"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吾加合买提</w:t>
            </w:r>
            <w:r>
              <w:rPr>
                <w:rFonts w:hint="eastAsia" w:ascii="仿宋_GB2312" w:hAnsi="仿宋_GB2312" w:eastAsia="仿宋_GB2312" w:cs="仿宋_GB2312"/>
                <w:sz w:val="21"/>
                <w:szCs w:val="21"/>
                <w:lang w:val="en-US" w:eastAsia="zh-CN"/>
              </w:rPr>
              <w:t>·再帕尔</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0.018</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托克逊县杰吾兰畜牧养殖农民合作社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0.013</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16" w:hRule="atLeast"/>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托克逊县波港畜牧养殖农民合作社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0.15</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托克逊县塞皮热畜牧养殖农民合作社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0.035</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托克逊县提来克畜牧养殖农民专业合作社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0.025</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托克逊县东门黑羊养殖农民专业合作社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0.1</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托克逊县拉亲畜牧养殖农民专业合作社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托克逊县金色胡杨畜牧养殖农民专业合作社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0.039</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4" w:hRule="atLeast"/>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托克逊县迪汗黑羊养殖农民专业合作社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0.026</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70" w:hRule="atLeast"/>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托克逊县卡哈尔畜牧养殖农民专业合作社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0.022</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托克逊县杰苏尔畜牧养殖农民专业合作社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0.012</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托克逊县恰克麻克畜牧养殖农民专业合作社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牛粪、羊粪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0.024</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依斯坎代尔</w:t>
            </w:r>
            <w:r>
              <w:rPr>
                <w:rFonts w:hint="eastAsia" w:ascii="仿宋_GB2312" w:hAnsi="仿宋_GB2312" w:eastAsia="仿宋_GB2312" w:cs="仿宋_GB2312"/>
                <w:sz w:val="21"/>
                <w:szCs w:val="21"/>
                <w:lang w:val="en-US" w:eastAsia="zh-CN"/>
              </w:rPr>
              <w:t>·杜尕买提</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0.06</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97" w:hRule="atLeast"/>
          <w:jc w:val="center"/>
        </w:trPr>
        <w:tc>
          <w:tcPr>
            <w:tcW w:w="1723"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艾米都拉</w:t>
            </w:r>
            <w:r>
              <w:rPr>
                <w:rFonts w:hint="eastAsia" w:ascii="仿宋_GB2312" w:hAnsi="仿宋_GB2312" w:eastAsia="仿宋_GB2312" w:cs="仿宋_GB2312"/>
                <w:sz w:val="21"/>
                <w:szCs w:val="21"/>
                <w:lang w:val="en-US" w:eastAsia="zh-CN"/>
              </w:rPr>
              <w:t>·吐尔逊</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0.036</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98" w:hRule="atLeast"/>
          <w:jc w:val="center"/>
        </w:trPr>
        <w:tc>
          <w:tcPr>
            <w:tcW w:w="1723"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托乎提</w:t>
            </w:r>
            <w:r>
              <w:rPr>
                <w:rFonts w:hint="eastAsia" w:ascii="仿宋_GB2312" w:hAnsi="仿宋_GB2312" w:eastAsia="仿宋_GB2312" w:cs="仿宋_GB2312"/>
                <w:sz w:val="21"/>
                <w:szCs w:val="21"/>
                <w:lang w:val="en-US" w:eastAsia="zh-CN"/>
              </w:rPr>
              <w:t>·艾孜木</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0.025</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托克逊县鑫隆农牧业有限公司</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氧化塘</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猪粪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氧化塘贮存</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0.042</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托克逊县巴雅提畜牧养殖农民专业合作社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0.024</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托克逊县赛合拉畜牧养殖农民呢专业合作社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羊粪、牛粪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0.035</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托克逊县喀拉墩畜牧养殖农民专业合作社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0.015</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托克逊县清晨畜牧养殖农民专业合作社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托克逊县火山畜牧养殖农民专业合作社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0.028</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夏米西</w:t>
            </w:r>
            <w:r>
              <w:rPr>
                <w:rFonts w:hint="eastAsia" w:ascii="仿宋_GB2312" w:hAnsi="仿宋_GB2312" w:eastAsia="仿宋_GB2312" w:cs="仿宋_GB2312"/>
                <w:sz w:val="21"/>
                <w:szCs w:val="21"/>
                <w:lang w:val="en-US" w:eastAsia="zh-CN"/>
              </w:rPr>
              <w:t>·牙森</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0.027</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托克逊县花园蓄奴养殖农民合作社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0.023</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托克逊县拉阔黑羊养殖农民专业合作社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0.08</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托克逊县民汉致富畜牧养殖农民合作社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0.035</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托克逊县夏格子布拉克养殖专业农民合作社</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0.02</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托克逊县徽商生态牧业有限公司</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0.3</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723"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托克逊县米拉斯养殖农民专业合作社</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堆粪池</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羊粪</w:t>
            </w:r>
          </w:p>
        </w:tc>
        <w:tc>
          <w:tcPr>
            <w:tcW w:w="1420" w:type="dxa"/>
            <w:vAlign w:val="center"/>
          </w:tcPr>
          <w:p>
            <w:pPr>
              <w:widowControl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厌氧发酵</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0.036</w:t>
            </w:r>
          </w:p>
        </w:tc>
        <w:tc>
          <w:tcPr>
            <w:tcW w:w="1421" w:type="dxa"/>
            <w:vAlign w:val="center"/>
          </w:tcPr>
          <w:p>
            <w:pPr>
              <w:widowControl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0.0072</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5.废弃农用薄膜回收利用情况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2023年，本市废弃农用薄膜回收量0.1249万吨，回收率为85.6%，利用量0.0651万吨，主要利用方式为生产塑料颗粒，处置量0.0598万吨，主要处置方式为垃圾场填埋。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6.废弃农药包装物回收利用情况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2023年，本市废弃农药包装物回收量为4.9万吨，回收率为92.28%，处置量4.9万吨，主要处置方式为清洗后作为生活垃圾填埋。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六、城镇污水处理厂污泥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en-US" w:eastAsia="zh-CN"/>
        </w:rPr>
        <w:t>吐鲁番市</w:t>
      </w:r>
      <w:r>
        <w:rPr>
          <w:rFonts w:hint="default" w:ascii="仿宋_GB2312" w:hAnsi="仿宋_GB2312" w:eastAsia="仿宋_GB2312" w:cs="仿宋_GB2312"/>
          <w:sz w:val="32"/>
          <w:szCs w:val="32"/>
          <w:lang w:val="en-US" w:eastAsia="zh-CN"/>
        </w:rPr>
        <w:t>建成并运行的城镇污水处理厂</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座</w:t>
      </w:r>
      <w:r>
        <w:rPr>
          <w:rFonts w:hint="eastAsia" w:ascii="仿宋_GB2312" w:hAnsi="仿宋_GB2312" w:eastAsia="仿宋_GB2312" w:cs="仿宋_GB2312"/>
          <w:sz w:val="32"/>
          <w:szCs w:val="32"/>
          <w:lang w:val="en-US" w:eastAsia="zh-CN"/>
        </w:rPr>
        <w:t>，2023年污泥产生量1.22万吨，处置量1.22万吨，处置方式：浓缩脱水+卫生填埋。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污泥处置设施情况</w:t>
      </w:r>
    </w:p>
    <w:tbl>
      <w:tblPr>
        <w:tblStyle w:val="4"/>
        <w:tblW w:w="834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9"/>
        <w:gridCol w:w="2840"/>
        <w:gridCol w:w="1860"/>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处置设施所属单位名称</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Style w:val="9"/>
                <w:rFonts w:hint="eastAsia" w:ascii="仿宋_GB2312" w:hAnsi="仿宋_GB2312" w:eastAsia="仿宋_GB2312" w:cs="仿宋_GB2312"/>
                <w:b/>
                <w:bCs/>
                <w:sz w:val="21"/>
                <w:szCs w:val="21"/>
                <w:lang w:val="en-US" w:eastAsia="zh-CN" w:bidi="ar"/>
              </w:rPr>
              <w:t>处置设施设备类型</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设计处置能力（万吨/年）</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实际处置量（万吨）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吐鲁番高昌区清源水处理科技有限公司</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9"/>
                <w:rFonts w:hint="eastAsia" w:ascii="仿宋_GB2312" w:hAnsi="仿宋_GB2312" w:eastAsia="仿宋_GB2312" w:cs="仿宋_GB2312"/>
                <w:sz w:val="21"/>
                <w:szCs w:val="21"/>
                <w:lang w:val="en-US" w:eastAsia="zh-CN" w:bidi="ar"/>
              </w:rPr>
              <w:t>厢式自动隔膜污泥脱水设备</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16</w:t>
            </w:r>
            <w:r>
              <w:rPr>
                <w:rFonts w:hint="eastAsia" w:ascii="仿宋_GB2312" w:hAnsi="仿宋_GB2312" w:eastAsia="仿宋_GB2312" w:cs="仿宋_GB2312"/>
                <w:i w:val="0"/>
                <w:iCs w:val="0"/>
                <w:color w:val="000000"/>
                <w:kern w:val="0"/>
                <w:sz w:val="21"/>
                <w:szCs w:val="21"/>
                <w:u w:val="none"/>
                <w:lang w:val="en-US" w:eastAsia="zh-CN" w:bidi="ar"/>
              </w:rPr>
              <w:t>吨/日；</w:t>
            </w:r>
          </w:p>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0.584万吨/年</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吐鲁番鄯善县清源水处理科技有限公司</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9"/>
                <w:rFonts w:hint="eastAsia" w:ascii="仿宋_GB2312" w:hAnsi="仿宋_GB2312" w:eastAsia="仿宋_GB2312" w:cs="仿宋_GB2312"/>
                <w:sz w:val="21"/>
                <w:szCs w:val="21"/>
                <w:lang w:val="en-US" w:eastAsia="zh-CN" w:bidi="ar"/>
              </w:rPr>
              <w:t>WJDL-351型叠螺污泥脱水机</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10吨/日；</w:t>
            </w:r>
          </w:p>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0.365</w:t>
            </w:r>
            <w:r>
              <w:rPr>
                <w:rFonts w:hint="eastAsia" w:ascii="仿宋_GB2312" w:hAnsi="仿宋_GB2312" w:eastAsia="仿宋_GB2312" w:cs="仿宋_GB2312"/>
                <w:i w:val="0"/>
                <w:iCs w:val="0"/>
                <w:color w:val="000000"/>
                <w:kern w:val="0"/>
                <w:sz w:val="21"/>
                <w:szCs w:val="21"/>
                <w:u w:val="none"/>
                <w:lang w:val="en-US" w:eastAsia="zh-CN" w:bidi="ar"/>
              </w:rPr>
              <w:t>万吨/年</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吐鲁番托克逊县清源水处理科技有限公司</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9"/>
                <w:rFonts w:hint="eastAsia" w:ascii="仿宋_GB2312" w:hAnsi="仿宋_GB2312" w:eastAsia="仿宋_GB2312" w:cs="仿宋_GB2312"/>
                <w:sz w:val="21"/>
                <w:szCs w:val="21"/>
                <w:lang w:val="en-US" w:eastAsia="zh-CN" w:bidi="ar"/>
              </w:rPr>
              <w:t>带式污泥脱水设备</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13</w:t>
            </w:r>
            <w:r>
              <w:rPr>
                <w:rFonts w:hint="eastAsia" w:ascii="仿宋_GB2312" w:hAnsi="仿宋_GB2312" w:eastAsia="仿宋_GB2312" w:cs="仿宋_GB2312"/>
                <w:i w:val="0"/>
                <w:iCs w:val="0"/>
                <w:color w:val="000000"/>
                <w:kern w:val="0"/>
                <w:sz w:val="21"/>
                <w:szCs w:val="21"/>
                <w:u w:val="none"/>
                <w:lang w:val="en-US" w:eastAsia="zh-CN" w:bidi="ar"/>
              </w:rPr>
              <w:t>吨/日；</w:t>
            </w:r>
          </w:p>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0.475万吨/年</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0.42</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2" w:firstLineChars="200"/>
        <w:textAlignment w:val="baseline"/>
        <w:rPr>
          <w:rFonts w:ascii="黑体" w:hAnsi="黑体" w:eastAsia="黑体" w:cs="黑体"/>
          <w:spacing w:val="-2"/>
          <w:sz w:val="32"/>
          <w:szCs w:val="32"/>
        </w:rPr>
      </w:pPr>
      <w:r>
        <w:rPr>
          <w:rFonts w:ascii="黑体" w:hAnsi="黑体" w:eastAsia="黑体" w:cs="黑体"/>
          <w:spacing w:val="-2"/>
          <w:sz w:val="32"/>
          <w:szCs w:val="32"/>
        </w:rPr>
        <w:t>七、再生资源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1.回收情况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全市再生资源回收总量为10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6万</w:t>
      </w:r>
      <w:r>
        <w:rPr>
          <w:rFonts w:hint="default" w:ascii="仿宋_GB2312" w:hAnsi="仿宋_GB2312" w:eastAsia="仿宋_GB2312" w:cs="仿宋_GB2312"/>
          <w:sz w:val="32"/>
          <w:szCs w:val="32"/>
          <w:lang w:val="en-US" w:eastAsia="zh-CN"/>
        </w:rPr>
        <w:t>吨，其中废纸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废铁、废塑料、废玻璃、废轮胎、废电池</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十大类别的再生资源，回收总量为</w:t>
      </w:r>
      <w:r>
        <w:rPr>
          <w:rFonts w:hint="eastAsia" w:ascii="仿宋_GB2312" w:hAnsi="仿宋_GB2312" w:eastAsia="仿宋_GB2312" w:cs="仿宋_GB2312"/>
          <w:sz w:val="32"/>
          <w:szCs w:val="32"/>
          <w:lang w:val="en-US" w:eastAsia="zh-CN"/>
        </w:rPr>
        <w:t>9.36万吨，</w:t>
      </w:r>
      <w:r>
        <w:rPr>
          <w:rFonts w:hint="default" w:ascii="仿宋_GB2312" w:hAnsi="仿宋_GB2312" w:eastAsia="仿宋_GB2312" w:cs="仿宋_GB2312"/>
          <w:sz w:val="32"/>
          <w:szCs w:val="32"/>
          <w:lang w:val="en-US" w:eastAsia="zh-CN"/>
        </w:rPr>
        <w:t>占再生资源回收总量的9</w:t>
      </w:r>
      <w:r>
        <w:rPr>
          <w:rFonts w:hint="eastAsia" w:ascii="仿宋_GB2312" w:hAnsi="仿宋_GB2312" w:eastAsia="仿宋_GB2312" w:cs="仿宋_GB2312"/>
          <w:sz w:val="32"/>
          <w:szCs w:val="32"/>
          <w:lang w:val="en-US" w:eastAsia="zh-CN"/>
        </w:rPr>
        <w:t>0.35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w:t>
      </w:r>
      <w:r>
        <w:rPr>
          <w:rFonts w:hint="default" w:ascii="楷体_GB2312" w:hAnsi="楷体_GB2312" w:eastAsia="楷体_GB2312" w:cs="楷体_GB2312"/>
          <w:b/>
          <w:bCs/>
          <w:sz w:val="32"/>
          <w:szCs w:val="32"/>
          <w:lang w:val="en-US" w:eastAsia="zh-CN"/>
        </w:rPr>
        <w:t>废弃电器电子产品回收及拆解处理情况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目前，吐鲁番市无</w:t>
      </w:r>
      <w:r>
        <w:rPr>
          <w:rFonts w:hint="default" w:ascii="仿宋_GB2312" w:hAnsi="仿宋_GB2312" w:eastAsia="仿宋_GB2312" w:cs="仿宋_GB2312"/>
          <w:sz w:val="32"/>
          <w:szCs w:val="32"/>
          <w:lang w:val="en-US" w:eastAsia="zh-CN"/>
        </w:rPr>
        <w:t>废弃电器电子产品处理资格企业</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w:t>
      </w:r>
      <w:r>
        <w:rPr>
          <w:rFonts w:hint="default" w:ascii="楷体_GB2312" w:hAnsi="楷体_GB2312" w:eastAsia="楷体_GB2312" w:cs="楷体_GB2312"/>
          <w:b/>
          <w:bCs/>
          <w:sz w:val="32"/>
          <w:szCs w:val="32"/>
          <w:lang w:val="en-US" w:eastAsia="zh-CN"/>
        </w:rPr>
        <w:t>废旧车用动力电池回收、利用及拆解处理情况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en-US" w:eastAsia="zh-CN"/>
        </w:rPr>
        <w:t>吐鲁番市</w:t>
      </w:r>
      <w:r>
        <w:rPr>
          <w:rFonts w:hint="default" w:ascii="仿宋_GB2312" w:hAnsi="仿宋_GB2312" w:eastAsia="仿宋_GB2312" w:cs="仿宋_GB2312"/>
          <w:sz w:val="32"/>
          <w:szCs w:val="32"/>
          <w:lang w:val="en-US" w:eastAsia="zh-CN"/>
        </w:rPr>
        <w:t>废旧车用动力电池回收量</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万吨，梯级利用量0万吨，再生利用量0万吨，拆解处理量0万吨。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w:t>
      </w:r>
      <w:r>
        <w:rPr>
          <w:rFonts w:hint="default" w:ascii="楷体_GB2312" w:hAnsi="楷体_GB2312" w:eastAsia="楷体_GB2312" w:cs="楷体_GB2312"/>
          <w:b/>
          <w:bCs/>
          <w:sz w:val="32"/>
          <w:szCs w:val="32"/>
          <w:lang w:val="en-US" w:eastAsia="zh-CN"/>
        </w:rPr>
        <w:t>报废机动车回收及拆解情况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吐鲁番市当前</w:t>
      </w:r>
      <w:r>
        <w:rPr>
          <w:rFonts w:hint="default" w:ascii="仿宋_GB2312" w:hAnsi="仿宋_GB2312" w:eastAsia="仿宋_GB2312" w:cs="仿宋_GB2312"/>
          <w:sz w:val="32"/>
          <w:szCs w:val="32"/>
          <w:lang w:val="en-US" w:eastAsia="zh-CN"/>
        </w:rPr>
        <w:t>仅有吐鲁番地区金星物资再生利用有限公司1家报废机动车回收及拆解</w:t>
      </w:r>
      <w:r>
        <w:rPr>
          <w:rFonts w:hint="eastAsia" w:ascii="仿宋_GB2312" w:hAnsi="仿宋_GB2312" w:eastAsia="仿宋_GB2312" w:cs="仿宋_GB2312"/>
          <w:sz w:val="32"/>
          <w:szCs w:val="32"/>
          <w:lang w:val="en-US" w:eastAsia="zh-CN"/>
        </w:rPr>
        <w:t>企业，2023年全年</w:t>
      </w:r>
      <w:r>
        <w:rPr>
          <w:rFonts w:hint="default" w:ascii="仿宋_GB2312" w:hAnsi="仿宋_GB2312" w:eastAsia="仿宋_GB2312" w:cs="仿宋_GB2312"/>
          <w:sz w:val="32"/>
          <w:szCs w:val="32"/>
          <w:lang w:val="en-US" w:eastAsia="zh-CN"/>
        </w:rPr>
        <w:t>处于停业。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5.一次性塑料制品使用及回收情况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2023年，本市快递企业一次性塑料制品使用量为37.82吨，塑料废弃物回收量0.59吨。</w:t>
      </w:r>
    </w:p>
    <w:p/>
    <w:sectPr>
      <w:footerReference r:id="rId3" w:type="default"/>
      <w:pgSz w:w="11900" w:h="16841"/>
      <w:pgMar w:top="2098" w:right="1474" w:bottom="1984" w:left="1587" w:header="0" w:footer="955"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7627"/>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4"/>
                              <w:szCs w:val="32"/>
                            </w:rPr>
                            <w:t xml:space="preserve">— </w:t>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  \* MERGEFORMAT </w:instrText>
                          </w:r>
                          <w:r>
                            <w:rPr>
                              <w:rFonts w:hint="eastAsia" w:ascii="宋体" w:hAnsi="宋体" w:eastAsia="宋体" w:cs="宋体"/>
                              <w:sz w:val="24"/>
                              <w:szCs w:val="32"/>
                            </w:rPr>
                            <w:fldChar w:fldCharType="separate"/>
                          </w:r>
                          <w:r>
                            <w:rPr>
                              <w:rFonts w:hint="eastAsia" w:ascii="宋体" w:hAnsi="宋体" w:eastAsia="宋体" w:cs="宋体"/>
                              <w:sz w:val="24"/>
                              <w:szCs w:val="32"/>
                            </w:rPr>
                            <w:t>2</w:t>
                          </w:r>
                          <w:r>
                            <w:rPr>
                              <w:rFonts w:hint="eastAsia" w:ascii="宋体" w:hAnsi="宋体" w:eastAsia="宋体" w:cs="宋体"/>
                              <w:sz w:val="24"/>
                              <w:szCs w:val="32"/>
                            </w:rPr>
                            <w:fldChar w:fldCharType="end"/>
                          </w:r>
                          <w:r>
                            <w:rPr>
                              <w:rFonts w:hint="eastAsia" w:ascii="宋体" w:hAnsi="宋体" w:eastAsia="宋体" w:cs="宋体"/>
                              <w:sz w:val="24"/>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4"/>
                        <w:szCs w:val="32"/>
                      </w:rPr>
                      <w:t xml:space="preserve">— </w:t>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  \* MERGEFORMAT </w:instrText>
                    </w:r>
                    <w:r>
                      <w:rPr>
                        <w:rFonts w:hint="eastAsia" w:ascii="宋体" w:hAnsi="宋体" w:eastAsia="宋体" w:cs="宋体"/>
                        <w:sz w:val="24"/>
                        <w:szCs w:val="32"/>
                      </w:rPr>
                      <w:fldChar w:fldCharType="separate"/>
                    </w:r>
                    <w:r>
                      <w:rPr>
                        <w:rFonts w:hint="eastAsia" w:ascii="宋体" w:hAnsi="宋体" w:eastAsia="宋体" w:cs="宋体"/>
                        <w:sz w:val="24"/>
                        <w:szCs w:val="32"/>
                      </w:rPr>
                      <w:t>2</w:t>
                    </w:r>
                    <w:r>
                      <w:rPr>
                        <w:rFonts w:hint="eastAsia" w:ascii="宋体" w:hAnsi="宋体" w:eastAsia="宋体" w:cs="宋体"/>
                        <w:sz w:val="24"/>
                        <w:szCs w:val="32"/>
                      </w:rPr>
                      <w:fldChar w:fldCharType="end"/>
                    </w:r>
                    <w:r>
                      <w:rPr>
                        <w:rFonts w:hint="eastAsia" w:ascii="宋体" w:hAnsi="宋体" w:eastAsia="宋体" w:cs="宋体"/>
                        <w:sz w:val="24"/>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2757C"/>
    <w:rsid w:val="6502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工业固废</a:t>
            </a:r>
          </a:p>
        </c:rich>
      </c:tx>
      <c:layout>
        <c:manualLayout>
          <c:xMode val="edge"/>
          <c:yMode val="edge"/>
          <c:x val="0.407597408404282"/>
          <c:y val="0.00601443464314354"/>
        </c:manualLayout>
      </c:layout>
      <c:overlay val="0"/>
      <c:spPr>
        <a:noFill/>
        <a:ln>
          <a:noFill/>
        </a:ln>
        <a:effectLst/>
      </c:spPr>
    </c:title>
    <c:autoTitleDeleted val="0"/>
    <c:view3D>
      <c:rotX val="50"/>
      <c:rotY val="28"/>
      <c:depthPercent val="100"/>
      <c:rAngAx val="0"/>
    </c:view3D>
    <c:floor>
      <c:thickness val="0"/>
    </c:floor>
    <c:sideWall>
      <c:thickness val="0"/>
    </c:sideWall>
    <c:backWall>
      <c:thickness val="0"/>
    </c:backWall>
    <c:plotArea>
      <c:layout/>
      <c:pie3DChart>
        <c:varyColors val="1"/>
        <c:ser>
          <c:idx val="0"/>
          <c:order val="0"/>
          <c:tx>
            <c:strRef>
              <c:f>Sheet1!$B$1</c:f>
              <c:strCache>
                <c:ptCount val="1"/>
                <c:pt idx="0">
                  <c:v>工业固废</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2">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3">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4">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火力发电</c:v>
                </c:pt>
                <c:pt idx="1">
                  <c:v>初级形态塑料及合成树脂制造</c:v>
                </c:pt>
                <c:pt idx="2">
                  <c:v>无机盐制造</c:v>
                </c:pt>
                <c:pt idx="3">
                  <c:v>热电联产</c:v>
                </c:pt>
                <c:pt idx="4">
                  <c:v>炼焦</c:v>
                </c:pt>
                <c:pt idx="5">
                  <c:v>其他</c:v>
                </c:pt>
              </c:strCache>
            </c:strRef>
          </c:cat>
          <c:val>
            <c:numRef>
              <c:f>Sheet1!$B$2:$B$7</c:f>
              <c:numCache>
                <c:formatCode>General</c:formatCode>
                <c:ptCount val="6"/>
                <c:pt idx="0">
                  <c:v>30</c:v>
                </c:pt>
                <c:pt idx="1">
                  <c:v>20.7</c:v>
                </c:pt>
                <c:pt idx="2">
                  <c:v>19.7</c:v>
                </c:pt>
                <c:pt idx="3">
                  <c:v>13.6</c:v>
                </c:pt>
                <c:pt idx="4">
                  <c:v>5.6</c:v>
                </c:pt>
                <c:pt idx="5">
                  <c:v>10.4</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危险废物</a:t>
            </a:r>
          </a:p>
        </c:rich>
      </c:tx>
      <c:layout>
        <c:manualLayout>
          <c:xMode val="edge"/>
          <c:yMode val="edge"/>
          <c:x val="0.174196665861319"/>
          <c:y val="0.0252868678283043"/>
        </c:manualLayout>
      </c:layout>
      <c:overlay val="0"/>
      <c:spPr>
        <a:noFill/>
        <a:ln>
          <a:noFill/>
        </a:ln>
        <a:effectLst/>
      </c:spPr>
    </c:title>
    <c:autoTitleDeleted val="0"/>
    <c:view3D>
      <c:rotX val="50"/>
      <c:rotY val="28"/>
      <c:depthPercent val="100"/>
      <c:rAngAx val="0"/>
    </c:view3D>
    <c:floor>
      <c:thickness val="0"/>
    </c:floor>
    <c:sideWall>
      <c:thickness val="0"/>
    </c:sideWall>
    <c:backWall>
      <c:thickness val="0"/>
    </c:backWall>
    <c:plotArea>
      <c:layout/>
      <c:pie3DChart>
        <c:varyColors val="1"/>
        <c:ser>
          <c:idx val="0"/>
          <c:order val="0"/>
          <c:tx>
            <c:strRef>
              <c:f>Sheet1!$B$1</c:f>
              <c:strCache>
                <c:ptCount val="1"/>
                <c:pt idx="0">
                  <c:v>危险废物</c:v>
                </c:pt>
              </c:strCache>
            </c:strRef>
          </c:tx>
          <c:spPr>
            <a:scene3d>
              <a:camera prst="orthographicFront"/>
              <a:lightRig rig="threePt" dir="t"/>
            </a:scene3d>
            <a:sp3d contourW="9525"/>
          </c:spPr>
          <c:explosion val="0"/>
          <c:dPt>
            <c:idx val="0"/>
            <c:bubble3D val="0"/>
            <c:spPr>
              <a:gradFill>
                <a:gsLst>
                  <a:gs pos="0">
                    <a:schemeClr val="accent1">
                      <a:shade val="76667"/>
                      <a:lumMod val="40000"/>
                      <a:lumOff val="60000"/>
                    </a:schemeClr>
                  </a:gs>
                  <a:gs pos="90000">
                    <a:schemeClr val="accent1">
                      <a:shade val="76667"/>
                    </a:schemeClr>
                  </a:gs>
                </a:gsLst>
                <a:lin ang="5400000" scaled="0"/>
              </a:gradFill>
              <a:ln>
                <a:gradFill>
                  <a:gsLst>
                    <a:gs pos="0">
                      <a:schemeClr val="accent1">
                        <a:shade val="76667"/>
                      </a:schemeClr>
                    </a:gs>
                    <a:gs pos="100000">
                      <a:schemeClr val="accent1">
                        <a:shade val="76667"/>
                        <a:lumMod val="75000"/>
                      </a:schemeClr>
                    </a:gs>
                  </a:gsLst>
                  <a:lin ang="5400000" scaled="1"/>
                </a:gradFill>
              </a:ln>
              <a:effectLst/>
            </c:spPr>
          </c:dPt>
          <c:dPt>
            <c:idx val="1"/>
            <c:bubble3D val="0"/>
            <c:spPr>
              <a:gradFill>
                <a:gsLst>
                  <a:gs pos="0">
                    <a:schemeClr val="accent2">
                      <a:shade val="76667"/>
                      <a:lumMod val="40000"/>
                      <a:lumOff val="60000"/>
                    </a:schemeClr>
                  </a:gs>
                  <a:gs pos="90000">
                    <a:schemeClr val="accent2">
                      <a:shade val="76667"/>
                    </a:schemeClr>
                  </a:gs>
                </a:gsLst>
                <a:lin ang="5400000" scaled="0"/>
              </a:gradFill>
              <a:ln>
                <a:gradFill>
                  <a:gsLst>
                    <a:gs pos="0">
                      <a:schemeClr val="accent2">
                        <a:shade val="76667"/>
                      </a:schemeClr>
                    </a:gs>
                    <a:gs pos="100000">
                      <a:schemeClr val="accent2">
                        <a:shade val="76667"/>
                        <a:lumMod val="75000"/>
                      </a:schemeClr>
                    </a:gs>
                  </a:gsLst>
                  <a:lin ang="5400000" scaled="1"/>
                </a:gradFill>
              </a:ln>
              <a:effectLst/>
            </c:spPr>
          </c:dPt>
          <c:dPt>
            <c:idx val="2"/>
            <c:bubble3D val="0"/>
            <c:spPr>
              <a:gradFill>
                <a:gsLst>
                  <a:gs pos="0">
                    <a:schemeClr val="accent3">
                      <a:shade val="76667"/>
                      <a:lumMod val="40000"/>
                      <a:lumOff val="60000"/>
                    </a:schemeClr>
                  </a:gs>
                  <a:gs pos="90000">
                    <a:schemeClr val="accent3">
                      <a:shade val="76667"/>
                    </a:schemeClr>
                  </a:gs>
                </a:gsLst>
                <a:lin ang="5400000" scaled="0"/>
              </a:gradFill>
              <a:ln>
                <a:gradFill>
                  <a:gsLst>
                    <a:gs pos="0">
                      <a:schemeClr val="accent3">
                        <a:shade val="76667"/>
                      </a:schemeClr>
                    </a:gs>
                    <a:gs pos="100000">
                      <a:schemeClr val="accent3">
                        <a:shade val="76667"/>
                        <a:lumMod val="75000"/>
                      </a:schemeClr>
                    </a:gs>
                  </a:gsLst>
                  <a:lin ang="5400000" scaled="1"/>
                </a:gradFill>
              </a:ln>
              <a:effectLst/>
            </c:spPr>
          </c:dPt>
          <c:dPt>
            <c:idx val="3"/>
            <c:bubble3D val="0"/>
            <c:spPr>
              <a:gradFill>
                <a:gsLst>
                  <a:gs pos="0">
                    <a:schemeClr val="accent4">
                      <a:shade val="76667"/>
                      <a:lumMod val="40000"/>
                      <a:lumOff val="60000"/>
                    </a:schemeClr>
                  </a:gs>
                  <a:gs pos="90000">
                    <a:schemeClr val="accent4">
                      <a:shade val="76667"/>
                    </a:schemeClr>
                  </a:gs>
                </a:gsLst>
                <a:lin ang="5400000" scaled="0"/>
              </a:gradFill>
              <a:ln>
                <a:gradFill>
                  <a:gsLst>
                    <a:gs pos="0">
                      <a:schemeClr val="accent4">
                        <a:shade val="76667"/>
                      </a:schemeClr>
                    </a:gs>
                    <a:gs pos="100000">
                      <a:schemeClr val="accent4">
                        <a:shade val="76667"/>
                        <a:lumMod val="75000"/>
                      </a:schemeClr>
                    </a:gs>
                  </a:gsLst>
                  <a:lin ang="5400000" scaled="1"/>
                </a:gradFill>
              </a:ln>
              <a:effectLst/>
            </c:spPr>
          </c:dPt>
          <c:dPt>
            <c:idx val="4"/>
            <c:bubble3D val="0"/>
            <c:spPr>
              <a:scene3d>
                <a:camera prst="orthographicFront"/>
                <a:lightRig rig="threePt" dir="t"/>
              </a:scene3d>
              <a:sp3d contourW="9525"/>
            </c:spPr>
          </c:dPt>
          <c:dPt>
            <c:idx val="5"/>
            <c:bubble3D val="0"/>
            <c:spPr>
              <a:scene3d>
                <a:camera prst="orthographicFront"/>
                <a:lightRig rig="threePt" dir="t"/>
              </a:scene3d>
              <a:sp3d contourW="9525"/>
            </c:spPr>
          </c:dPt>
          <c:dLbls>
            <c:dLbl>
              <c:idx val="0"/>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2">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838366755254892"/>
                  <c:y val="0.0159371015724607"/>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3">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340661995651123"/>
                  <c:y val="-0.0439864003399915"/>
                </c:manualLayout>
              </c:layout>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4">
                          <a:shade val="76667"/>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860111137956028"/>
                  <c:y val="-0.02401189970250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47257791737135"/>
                  <c:y val="0.06374840628984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化学原料和化学制品制造业</c:v>
                </c:pt>
                <c:pt idx="1">
                  <c:v>石油</c:v>
                </c:pt>
                <c:pt idx="2">
                  <c:v>煤炭及其他燃料加工业</c:v>
                </c:pt>
                <c:pt idx="3">
                  <c:v>石油和天然气开采业</c:v>
                </c:pt>
                <c:pt idx="4">
                  <c:v>卫生</c:v>
                </c:pt>
                <c:pt idx="5">
                  <c:v>其他</c:v>
                </c:pt>
              </c:strCache>
            </c:strRef>
          </c:cat>
          <c:val>
            <c:numRef>
              <c:f>Sheet1!$B$2:$B$7</c:f>
              <c:numCache>
                <c:formatCode>General</c:formatCode>
                <c:ptCount val="6"/>
                <c:pt idx="0">
                  <c:v>44.9</c:v>
                </c:pt>
                <c:pt idx="1">
                  <c:v>40.9</c:v>
                </c:pt>
                <c:pt idx="2">
                  <c:v>13</c:v>
                </c:pt>
                <c:pt idx="3">
                  <c:v>0.2</c:v>
                </c:pt>
                <c:pt idx="4">
                  <c:v>0.2</c:v>
                </c:pt>
                <c:pt idx="5">
                  <c:v>0.8</c:v>
                </c:pt>
              </c:numCache>
            </c:numRef>
          </c:val>
        </c:ser>
        <c:dLbls>
          <c:showLegendKey val="0"/>
          <c:showVal val="1"/>
          <c:showCatName val="0"/>
          <c:showSerName val="0"/>
          <c:showPercent val="0"/>
          <c:showBubbleSize val="0"/>
        </c:dLbls>
      </c:pie3DChart>
    </c:plotArea>
    <c:plotVisOnly val="1"/>
    <c:dispBlanksAs val="gap"/>
    <c:showDLblsOverMax val="0"/>
  </c:chart>
  <c:spPr>
    <a:solidFill>
      <a:schemeClr val="bg1"/>
    </a:solidFill>
    <a:ln w="6350" cap="flat" cmpd="sng" algn="ctr">
      <a:solidFill>
        <a:schemeClr val="tx1">
          <a:lumMod val="50000"/>
          <a:lumOff val="50000"/>
          <a:alpha val="2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2024-06-05T10:29:00Z</dcterms:created>
  <dc:creator>Administrator</dc:creator>
  <cp:lastModifiedBy>Administrator</cp:lastModifiedBy>
  <dcterms:modified xsi:type="dcterms:W3CDTF">2024-06-05T10:30:36Z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