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870EC9">
      <w:pPr>
        <w:rPr>
          <w:rFonts w:hint="default" w:ascii="Times New Roman" w:hAnsi="Times New Roman" w:eastAsia="仿宋_GB2312" w:cs="Times New Roman"/>
          <w:color w:val="0000FF"/>
          <w:sz w:val="36"/>
          <w:szCs w:val="36"/>
        </w:rPr>
      </w:pPr>
      <w:bookmarkStart w:id="0" w:name="_Hlk57883707"/>
    </w:p>
    <w:p w14:paraId="7996355F">
      <w:pPr>
        <w:rPr>
          <w:rFonts w:hint="default" w:ascii="Times New Roman" w:hAnsi="Times New Roman" w:eastAsia="仿宋_GB2312" w:cs="Times New Roman"/>
          <w:color w:val="0000FF"/>
          <w:sz w:val="36"/>
          <w:szCs w:val="36"/>
        </w:rPr>
      </w:pPr>
    </w:p>
    <w:p w14:paraId="3612B39D">
      <w:pPr>
        <w:rPr>
          <w:rFonts w:hint="default" w:ascii="Times New Roman" w:hAnsi="Times New Roman" w:eastAsia="仿宋_GB2312" w:cs="Times New Roman"/>
          <w:color w:val="auto"/>
          <w:sz w:val="36"/>
          <w:szCs w:val="36"/>
        </w:rPr>
      </w:pPr>
    </w:p>
    <w:p w14:paraId="12CA5CBB">
      <w:pPr>
        <w:pStyle w:val="39"/>
        <w:rPr>
          <w:rFonts w:hint="default"/>
        </w:rPr>
      </w:pPr>
    </w:p>
    <w:p w14:paraId="1CE7B2CA">
      <w:pPr>
        <w:pStyle w:val="39"/>
        <w:rPr>
          <w:rFonts w:hint="default" w:ascii="Times New Roman" w:hAnsi="Times New Roman" w:cs="Times New Roman"/>
        </w:rPr>
      </w:pPr>
    </w:p>
    <w:bookmarkEnd w:id="0"/>
    <w:p w14:paraId="3B600B00">
      <w:pPr>
        <w:adjustRightInd w:val="0"/>
        <w:snapToGrid w:val="0"/>
        <w:jc w:val="center"/>
        <w:outlineLvl w:val="0"/>
        <w:rPr>
          <w:rFonts w:hint="default" w:ascii="Times New Roman" w:hAnsi="Times New Roman" w:eastAsia="方正小标宋_GBK" w:cs="Times New Roman"/>
          <w:bCs/>
          <w:color w:val="auto"/>
          <w:sz w:val="72"/>
          <w:szCs w:val="72"/>
        </w:rPr>
      </w:pPr>
      <w:bookmarkStart w:id="1" w:name="_Toc12522"/>
      <w:bookmarkStart w:id="2" w:name="_Toc149150864"/>
      <w:bookmarkStart w:id="3" w:name="_Toc13592"/>
      <w:r>
        <w:rPr>
          <w:rFonts w:hint="default" w:ascii="Times New Roman" w:hAnsi="Times New Roman" w:eastAsia="方正小标宋_GBK" w:cs="Times New Roman"/>
          <w:bCs/>
          <w:color w:val="auto"/>
          <w:sz w:val="72"/>
          <w:szCs w:val="72"/>
        </w:rPr>
        <w:t>建设项目环境影响报告表</w:t>
      </w:r>
      <w:bookmarkEnd w:id="1"/>
      <w:bookmarkEnd w:id="2"/>
      <w:bookmarkEnd w:id="3"/>
    </w:p>
    <w:p w14:paraId="2ADE31BD">
      <w:pPr>
        <w:adjustRightInd w:val="0"/>
        <w:snapToGrid w:val="0"/>
        <w:jc w:val="center"/>
        <w:outlineLvl w:val="0"/>
        <w:rPr>
          <w:rFonts w:hint="eastAsia" w:ascii="宋体" w:hAnsi="宋体" w:eastAsia="宋体" w:cs="宋体"/>
          <w:bCs/>
          <w:color w:val="auto"/>
          <w:sz w:val="44"/>
          <w:szCs w:val="44"/>
          <w:lang w:eastAsia="zh-CN"/>
        </w:rPr>
      </w:pPr>
      <w:r>
        <w:rPr>
          <w:rFonts w:hint="eastAsia" w:ascii="宋体" w:hAnsi="宋体" w:eastAsia="宋体" w:cs="宋体"/>
          <w:bCs/>
          <w:color w:val="auto"/>
          <w:sz w:val="44"/>
          <w:szCs w:val="44"/>
          <w:lang w:eastAsia="zh-CN"/>
        </w:rPr>
        <w:t>（</w:t>
      </w:r>
      <w:r>
        <w:rPr>
          <w:rFonts w:hint="eastAsia" w:ascii="宋体" w:hAnsi="宋体" w:eastAsia="宋体" w:cs="宋体"/>
          <w:bCs/>
          <w:color w:val="auto"/>
          <w:sz w:val="44"/>
          <w:szCs w:val="44"/>
          <w:lang w:val="en-US" w:eastAsia="zh-CN"/>
        </w:rPr>
        <w:t>公示稿</w:t>
      </w:r>
      <w:r>
        <w:rPr>
          <w:rFonts w:hint="eastAsia" w:ascii="宋体" w:hAnsi="宋体" w:eastAsia="宋体" w:cs="宋体"/>
          <w:bCs/>
          <w:color w:val="auto"/>
          <w:sz w:val="44"/>
          <w:szCs w:val="44"/>
          <w:lang w:eastAsia="zh-CN"/>
        </w:rPr>
        <w:t>）</w:t>
      </w:r>
    </w:p>
    <w:p w14:paraId="44A559EE">
      <w:pPr>
        <w:adjustRightInd w:val="0"/>
        <w:snapToGrid w:val="0"/>
        <w:spacing w:before="192" w:beforeLines="80"/>
        <w:jc w:val="center"/>
        <w:rPr>
          <w:rFonts w:hint="default" w:ascii="Times New Roman" w:hAnsi="Times New Roman" w:eastAsia="楷体_GB2312" w:cs="Times New Roman"/>
          <w:bCs/>
          <w:color w:val="auto"/>
          <w:sz w:val="36"/>
          <w:szCs w:val="36"/>
          <w:lang w:eastAsia="zh-CN"/>
        </w:rPr>
      </w:pPr>
    </w:p>
    <w:p w14:paraId="75B2753B">
      <w:pPr>
        <w:adjustRightInd w:val="0"/>
        <w:snapToGrid w:val="0"/>
        <w:spacing w:before="192" w:beforeLines="80"/>
        <w:jc w:val="center"/>
        <w:rPr>
          <w:rFonts w:hint="default" w:ascii="Times New Roman" w:hAnsi="Times New Roman" w:eastAsia="楷体_GB2312" w:cs="Times New Roman"/>
          <w:bCs/>
          <w:color w:val="auto"/>
          <w:sz w:val="48"/>
          <w:szCs w:val="48"/>
        </w:rPr>
      </w:pPr>
      <w:bookmarkStart w:id="228" w:name="_GoBack"/>
      <w:bookmarkEnd w:id="228"/>
    </w:p>
    <w:p w14:paraId="3DEA55C9">
      <w:pPr>
        <w:ind w:firstLine="1040"/>
        <w:rPr>
          <w:rFonts w:hint="default" w:ascii="Times New Roman" w:hAnsi="Times New Roman" w:eastAsia="仿宋" w:cs="Times New Roman"/>
          <w:color w:val="0000FF"/>
          <w:sz w:val="44"/>
          <w:szCs w:val="44"/>
        </w:rPr>
      </w:pPr>
      <w:bookmarkStart w:id="4" w:name="_Hlk57883728"/>
    </w:p>
    <w:p w14:paraId="26088C32">
      <w:pPr>
        <w:ind w:firstLine="1040"/>
        <w:rPr>
          <w:rFonts w:hint="default" w:ascii="Times New Roman" w:hAnsi="Times New Roman" w:eastAsia="仿宋" w:cs="Times New Roman"/>
          <w:color w:val="0000FF"/>
          <w:sz w:val="44"/>
          <w:szCs w:val="44"/>
        </w:rPr>
      </w:pPr>
    </w:p>
    <w:p w14:paraId="25AA081E">
      <w:pPr>
        <w:ind w:firstLine="1040"/>
        <w:rPr>
          <w:rFonts w:hint="default" w:ascii="Times New Roman" w:hAnsi="Times New Roman" w:eastAsia="仿宋" w:cs="Times New Roman"/>
          <w:color w:val="0000FF"/>
          <w:sz w:val="44"/>
          <w:szCs w:val="44"/>
        </w:rPr>
      </w:pPr>
    </w:p>
    <w:bookmarkEnd w:id="4"/>
    <w:p w14:paraId="6FA076CD">
      <w:pPr>
        <w:spacing w:line="360" w:lineRule="auto"/>
        <w:ind w:left="2159" w:leftChars="171" w:hanging="1800" w:hangingChars="500"/>
        <w:rPr>
          <w:rFonts w:hint="default" w:ascii="Times New Roman" w:hAnsi="Times New Roman" w:eastAsia="仿宋" w:cs="Times New Roman"/>
          <w:color w:val="auto"/>
          <w:sz w:val="36"/>
          <w:szCs w:val="36"/>
          <w:u w:val="single"/>
          <w:lang w:val="en-US" w:eastAsia="zh-CN"/>
        </w:rPr>
      </w:pPr>
      <w:r>
        <w:rPr>
          <w:rFonts w:hint="default" w:ascii="Times New Roman" w:hAnsi="Times New Roman" w:eastAsia="仿宋" w:cs="Times New Roman"/>
          <w:color w:val="auto"/>
          <w:sz w:val="36"/>
          <w:szCs w:val="36"/>
        </w:rPr>
        <w:t>项目名称：</w:t>
      </w:r>
      <w:r>
        <w:rPr>
          <w:rFonts w:hint="default" w:ascii="Times New Roman" w:hAnsi="Times New Roman" w:eastAsia="仿宋" w:cs="Times New Roman"/>
          <w:color w:val="auto"/>
          <w:sz w:val="36"/>
          <w:szCs w:val="36"/>
          <w:u w:val="single"/>
          <w:lang w:val="en-US" w:eastAsia="zh-CN"/>
        </w:rPr>
        <w:t>华电鄯善煤电灵活性改造配套风电项目220千伏输变电工程</w:t>
      </w:r>
    </w:p>
    <w:p w14:paraId="3CA41167">
      <w:pPr>
        <w:spacing w:line="360" w:lineRule="auto"/>
        <w:ind w:firstLine="360" w:firstLineChars="100"/>
        <w:rPr>
          <w:rFonts w:hint="default" w:ascii="Times New Roman" w:hAnsi="Times New Roman" w:eastAsia="仿宋_GB2312" w:cs="Times New Roman"/>
          <w:color w:val="0000FF"/>
          <w:sz w:val="36"/>
          <w:szCs w:val="36"/>
          <w:u w:val="single"/>
        </w:rPr>
      </w:pPr>
      <w:r>
        <w:rPr>
          <w:rFonts w:hint="default" w:ascii="Times New Roman" w:hAnsi="Times New Roman" w:eastAsia="仿宋" w:cs="Times New Roman"/>
          <w:color w:val="auto"/>
          <w:sz w:val="36"/>
          <w:szCs w:val="36"/>
        </w:rPr>
        <w:t>建设单位</w:t>
      </w:r>
      <w:r>
        <w:rPr>
          <w:rFonts w:hint="default" w:ascii="Times New Roman" w:hAnsi="Times New Roman" w:eastAsia="仿宋" w:cs="Times New Roman"/>
          <w:color w:val="auto"/>
          <w:sz w:val="36"/>
          <w:szCs w:val="36"/>
          <w:lang w:eastAsia="zh-CN"/>
        </w:rPr>
        <w:t>（</w:t>
      </w:r>
      <w:r>
        <w:rPr>
          <w:rFonts w:hint="default" w:ascii="Times New Roman" w:hAnsi="Times New Roman" w:eastAsia="仿宋" w:cs="Times New Roman"/>
          <w:color w:val="auto"/>
          <w:sz w:val="36"/>
          <w:szCs w:val="36"/>
        </w:rPr>
        <w:t>盖章</w:t>
      </w:r>
      <w:r>
        <w:rPr>
          <w:rFonts w:hint="default" w:ascii="Times New Roman" w:hAnsi="Times New Roman" w:eastAsia="仿宋" w:cs="Times New Roman"/>
          <w:color w:val="auto"/>
          <w:sz w:val="36"/>
          <w:szCs w:val="36"/>
          <w:lang w:eastAsia="zh-CN"/>
        </w:rPr>
        <w:t>）</w:t>
      </w:r>
      <w:r>
        <w:rPr>
          <w:rFonts w:hint="default" w:ascii="Times New Roman" w:hAnsi="Times New Roman" w:eastAsia="仿宋" w:cs="Times New Roman"/>
          <w:color w:val="auto"/>
          <w:sz w:val="36"/>
          <w:szCs w:val="36"/>
        </w:rPr>
        <w:t>：</w:t>
      </w:r>
      <w:r>
        <w:rPr>
          <w:rFonts w:hint="default" w:ascii="Times New Roman" w:hAnsi="Times New Roman" w:eastAsia="仿宋" w:cs="Times New Roman"/>
          <w:color w:val="auto"/>
          <w:sz w:val="36"/>
          <w:szCs w:val="36"/>
          <w:u w:val="single"/>
          <w:lang w:val="en-US" w:eastAsia="zh-CN"/>
        </w:rPr>
        <w:t>华电瀚海吐鲁番能源开发有限公司</w:t>
      </w:r>
    </w:p>
    <w:p w14:paraId="52EEDCA2">
      <w:pPr>
        <w:adjustRightInd w:val="0"/>
        <w:snapToGrid w:val="0"/>
        <w:spacing w:line="288" w:lineRule="auto"/>
        <w:ind w:firstLine="1040"/>
        <w:rPr>
          <w:rFonts w:hint="default" w:ascii="Times New Roman" w:hAnsi="Times New Roman" w:cs="Times New Roman"/>
          <w:color w:val="0000FF"/>
          <w:sz w:val="36"/>
          <w:szCs w:val="36"/>
          <w:u w:val="single"/>
        </w:rPr>
      </w:pPr>
    </w:p>
    <w:p w14:paraId="47243C1E">
      <w:pPr>
        <w:spacing w:line="360" w:lineRule="auto"/>
        <w:ind w:left="2159" w:leftChars="171" w:hanging="1800" w:hangingChars="500"/>
        <w:jc w:val="center"/>
        <w:rPr>
          <w:rFonts w:hint="default" w:ascii="Times New Roman" w:hAnsi="Times New Roman" w:eastAsia="仿宋" w:cs="Times New Roman"/>
          <w:color w:val="auto"/>
          <w:sz w:val="36"/>
          <w:szCs w:val="36"/>
        </w:rPr>
      </w:pPr>
    </w:p>
    <w:p w14:paraId="3ABDBB70">
      <w:pPr>
        <w:spacing w:line="360" w:lineRule="auto"/>
        <w:ind w:left="2159" w:leftChars="171" w:hanging="1800" w:hangingChars="500"/>
        <w:jc w:val="center"/>
        <w:rPr>
          <w:rFonts w:hint="default" w:ascii="Times New Roman" w:hAnsi="Times New Roman" w:eastAsia="仿宋" w:cs="Times New Roman"/>
          <w:color w:val="auto"/>
          <w:sz w:val="36"/>
          <w:szCs w:val="36"/>
        </w:rPr>
      </w:pPr>
    </w:p>
    <w:p w14:paraId="74113AD9">
      <w:pPr>
        <w:spacing w:line="360" w:lineRule="auto"/>
        <w:ind w:left="2159" w:leftChars="171" w:hanging="1800" w:hangingChars="500"/>
        <w:jc w:val="center"/>
        <w:rPr>
          <w:rFonts w:hint="default" w:ascii="Times New Roman" w:hAnsi="Times New Roman" w:eastAsia="仿宋" w:cs="Times New Roman"/>
          <w:color w:val="auto"/>
          <w:sz w:val="36"/>
          <w:szCs w:val="36"/>
        </w:rPr>
      </w:pPr>
    </w:p>
    <w:p w14:paraId="7818BD33">
      <w:pPr>
        <w:spacing w:line="360" w:lineRule="auto"/>
        <w:ind w:left="2159" w:leftChars="171" w:hanging="1800" w:hangingChars="500"/>
        <w:jc w:val="center"/>
        <w:rPr>
          <w:rFonts w:hint="default" w:ascii="Times New Roman" w:hAnsi="Times New Roman" w:eastAsia="仿宋" w:cs="Times New Roman"/>
          <w:color w:val="auto"/>
          <w:sz w:val="36"/>
          <w:szCs w:val="36"/>
          <w:lang w:eastAsia="zh-CN"/>
        </w:rPr>
      </w:pPr>
      <w:r>
        <w:rPr>
          <w:rFonts w:hint="default" w:ascii="Times New Roman" w:hAnsi="Times New Roman" w:eastAsia="仿宋" w:cs="Times New Roman"/>
          <w:color w:val="auto"/>
          <w:sz w:val="36"/>
          <w:szCs w:val="36"/>
          <w:lang w:eastAsia="zh-CN"/>
        </w:rPr>
        <w:t>编制单位：新疆鼎耀工程咨询有限公司</w:t>
      </w:r>
    </w:p>
    <w:p w14:paraId="63516067">
      <w:pPr>
        <w:spacing w:line="360" w:lineRule="auto"/>
        <w:ind w:left="2159" w:leftChars="171" w:hanging="1800" w:hangingChars="500"/>
        <w:jc w:val="center"/>
        <w:rPr>
          <w:rFonts w:hint="default" w:ascii="Times New Roman" w:hAnsi="Times New Roman" w:eastAsia="仿宋" w:cs="Times New Roman"/>
          <w:color w:val="auto"/>
          <w:sz w:val="36"/>
          <w:szCs w:val="36"/>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0"/>
          <w:cols w:space="720" w:num="1"/>
          <w:docGrid w:linePitch="312" w:charSpace="0"/>
        </w:sectPr>
      </w:pPr>
      <w:r>
        <w:rPr>
          <w:rFonts w:hint="default" w:ascii="Times New Roman" w:hAnsi="Times New Roman" w:eastAsia="仿宋" w:cs="Times New Roman"/>
          <w:color w:val="auto"/>
          <w:sz w:val="36"/>
          <w:szCs w:val="36"/>
          <w:lang w:eastAsia="zh-CN"/>
        </w:rPr>
        <w:t>编制日期：</w:t>
      </w:r>
      <w:r>
        <w:rPr>
          <w:rFonts w:hint="default" w:ascii="Times New Roman" w:hAnsi="Times New Roman" w:eastAsia="仿宋" w:cs="Times New Roman"/>
          <w:color w:val="auto"/>
          <w:sz w:val="36"/>
          <w:szCs w:val="36"/>
          <w:lang w:val="en-US" w:eastAsia="zh-CN"/>
        </w:rPr>
        <w:t>2025</w:t>
      </w:r>
      <w:r>
        <w:rPr>
          <w:rFonts w:hint="default" w:ascii="Times New Roman" w:hAnsi="Times New Roman" w:eastAsia="仿宋" w:cs="Times New Roman"/>
          <w:color w:val="auto"/>
          <w:sz w:val="36"/>
          <w:szCs w:val="36"/>
        </w:rPr>
        <w:t>年</w:t>
      </w:r>
      <w:r>
        <w:rPr>
          <w:rFonts w:hint="eastAsia" w:eastAsia="仿宋" w:cs="Times New Roman"/>
          <w:color w:val="auto"/>
          <w:sz w:val="36"/>
          <w:szCs w:val="36"/>
          <w:lang w:val="en-US" w:eastAsia="zh-CN"/>
        </w:rPr>
        <w:t>4</w:t>
      </w:r>
      <w:r>
        <w:rPr>
          <w:rFonts w:hint="default" w:ascii="Times New Roman" w:hAnsi="Times New Roman" w:eastAsia="仿宋" w:cs="Times New Roman"/>
          <w:color w:val="auto"/>
          <w:sz w:val="36"/>
          <w:szCs w:val="36"/>
        </w:rPr>
        <w:t>月</w:t>
      </w:r>
    </w:p>
    <w:p w14:paraId="1A211315">
      <w:pPr>
        <w:pStyle w:val="29"/>
        <w:keepNext w:val="0"/>
        <w:keepLines w:val="0"/>
        <w:pageBreakBefore w:val="0"/>
        <w:widowControl/>
        <w:kinsoku/>
        <w:wordWrap/>
        <w:overflowPunct/>
        <w:topLinePunct w:val="0"/>
        <w:autoSpaceDE/>
        <w:autoSpaceDN/>
        <w:bidi w:val="0"/>
        <w:adjustRightInd/>
        <w:snapToGrid/>
        <w:jc w:val="center"/>
        <w:textAlignment w:val="auto"/>
        <w:outlineLvl w:val="0"/>
        <w:rPr>
          <w:rFonts w:hint="eastAsia" w:ascii="宋体" w:hAnsi="宋体" w:eastAsia="宋体" w:cs="宋体"/>
          <w:b/>
          <w:bCs/>
          <w:snapToGrid w:val="0"/>
          <w:color w:val="auto"/>
          <w:sz w:val="30"/>
          <w:szCs w:val="30"/>
          <w:highlight w:val="none"/>
        </w:rPr>
      </w:pPr>
      <w:bookmarkStart w:id="5" w:name="_Toc31177"/>
      <w:bookmarkStart w:id="6" w:name="_Toc19039"/>
      <w:bookmarkStart w:id="7" w:name="_Toc32132"/>
      <w:bookmarkStart w:id="8" w:name="_Toc756"/>
      <w:bookmarkStart w:id="9" w:name="_Toc8640"/>
      <w:bookmarkStart w:id="10" w:name="_Toc10834"/>
      <w:bookmarkStart w:id="11" w:name="_Toc6572"/>
      <w:bookmarkStart w:id="12" w:name="_Toc8019"/>
      <w:bookmarkStart w:id="13" w:name="_Toc21202"/>
      <w:r>
        <w:rPr>
          <w:rFonts w:hint="eastAsia" w:ascii="宋体" w:hAnsi="宋体" w:eastAsia="宋体" w:cs="宋体"/>
          <w:b/>
          <w:bCs/>
          <w:snapToGrid w:val="0"/>
          <w:color w:val="auto"/>
          <w:sz w:val="30"/>
          <w:szCs w:val="30"/>
          <w:highlight w:val="none"/>
        </w:rPr>
        <w:t>一、建设项目基本情况</w:t>
      </w:r>
      <w:bookmarkEnd w:id="5"/>
      <w:bookmarkEnd w:id="6"/>
      <w:bookmarkEnd w:id="7"/>
      <w:bookmarkEnd w:id="8"/>
      <w:bookmarkEnd w:id="9"/>
      <w:bookmarkEnd w:id="10"/>
      <w:bookmarkEnd w:id="11"/>
      <w:bookmarkEnd w:id="12"/>
      <w:bookmarkEnd w:id="13"/>
    </w:p>
    <w:tbl>
      <w:tblPr>
        <w:tblStyle w:val="32"/>
        <w:tblW w:w="0" w:type="auto"/>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24"/>
        <w:gridCol w:w="2511"/>
        <w:gridCol w:w="1560"/>
        <w:gridCol w:w="2921"/>
      </w:tblGrid>
      <w:tr w14:paraId="26208B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324" w:type="dxa"/>
            <w:noWrap w:val="0"/>
            <w:tcMar>
              <w:top w:w="16" w:type="dxa"/>
              <w:left w:w="16" w:type="dxa"/>
              <w:right w:w="16" w:type="dxa"/>
            </w:tcMar>
            <w:vAlign w:val="center"/>
          </w:tcPr>
          <w:p w14:paraId="2ED19D9C">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建设项目</w:t>
            </w:r>
          </w:p>
          <w:p w14:paraId="05433CBD">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p>
        </w:tc>
        <w:tc>
          <w:tcPr>
            <w:tcW w:w="6992" w:type="dxa"/>
            <w:gridSpan w:val="3"/>
            <w:noWrap w:val="0"/>
            <w:vAlign w:val="center"/>
          </w:tcPr>
          <w:p w14:paraId="3232BE64">
            <w:pPr>
              <w:keepNext w:val="0"/>
              <w:keepLines w:val="0"/>
              <w:suppressLineNumbers w:val="0"/>
              <w:spacing w:before="0" w:beforeAutospacing="0" w:after="0" w:afterAutospacing="0"/>
              <w:ind w:left="0" w:right="0"/>
              <w:jc w:val="center"/>
              <w:outlineLvl w:val="9"/>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华电鄯善煤电灵活性改造配套风电项目220千伏输变电工程</w:t>
            </w:r>
          </w:p>
        </w:tc>
      </w:tr>
      <w:tr w14:paraId="6F9ED7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324" w:type="dxa"/>
            <w:noWrap w:val="0"/>
            <w:tcMar>
              <w:top w:w="16" w:type="dxa"/>
              <w:left w:w="16" w:type="dxa"/>
              <w:right w:w="16" w:type="dxa"/>
            </w:tcMar>
            <w:vAlign w:val="center"/>
          </w:tcPr>
          <w:p w14:paraId="3195BB1D">
            <w:pPr>
              <w:keepNext w:val="0"/>
              <w:keepLines w:val="0"/>
              <w:suppressLineNumbers w:val="0"/>
              <w:spacing w:before="0" w:beforeAutospacing="0" w:after="0" w:afterAutospacing="0"/>
              <w:ind w:left="0" w:right="0"/>
              <w:jc w:val="center"/>
              <w:outlineLvl w:val="9"/>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项目代码</w:t>
            </w:r>
          </w:p>
        </w:tc>
        <w:tc>
          <w:tcPr>
            <w:tcW w:w="6992" w:type="dxa"/>
            <w:gridSpan w:val="3"/>
            <w:noWrap w:val="0"/>
            <w:vAlign w:val="center"/>
          </w:tcPr>
          <w:p w14:paraId="00827333">
            <w:pPr>
              <w:keepNext w:val="0"/>
              <w:keepLines w:val="0"/>
              <w:suppressLineNumbers w:val="0"/>
              <w:spacing w:before="0" w:beforeAutospacing="0" w:after="0" w:afterAutospacing="0"/>
              <w:ind w:left="0" w:right="0"/>
              <w:jc w:val="center"/>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2502-640121-04-01-662690</w:t>
            </w:r>
          </w:p>
        </w:tc>
      </w:tr>
      <w:tr w14:paraId="792EBC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324" w:type="dxa"/>
            <w:noWrap w:val="0"/>
            <w:tcMar>
              <w:top w:w="16" w:type="dxa"/>
              <w:left w:w="16" w:type="dxa"/>
              <w:right w:w="16" w:type="dxa"/>
            </w:tcMar>
            <w:vAlign w:val="center"/>
          </w:tcPr>
          <w:p w14:paraId="60C9C25F">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建设单位</w:t>
            </w:r>
          </w:p>
          <w:p w14:paraId="6D6D77F6">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p>
        </w:tc>
        <w:tc>
          <w:tcPr>
            <w:tcW w:w="2511" w:type="dxa"/>
            <w:noWrap w:val="0"/>
            <w:vAlign w:val="center"/>
          </w:tcPr>
          <w:p w14:paraId="4481C93D">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auto"/>
                <w:sz w:val="24"/>
                <w:szCs w:val="24"/>
                <w:highlight w:val="none"/>
                <w:lang w:val="en-US" w:eastAsia="zh-CN"/>
              </w:rPr>
            </w:pPr>
          </w:p>
        </w:tc>
        <w:tc>
          <w:tcPr>
            <w:tcW w:w="1560" w:type="dxa"/>
            <w:noWrap w:val="0"/>
            <w:vAlign w:val="center"/>
          </w:tcPr>
          <w:p w14:paraId="4E238778">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联系方式</w:t>
            </w:r>
          </w:p>
        </w:tc>
        <w:tc>
          <w:tcPr>
            <w:tcW w:w="2921" w:type="dxa"/>
            <w:noWrap w:val="0"/>
            <w:vAlign w:val="center"/>
          </w:tcPr>
          <w:p w14:paraId="0CF393D9">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auto"/>
                <w:sz w:val="24"/>
                <w:szCs w:val="24"/>
                <w:highlight w:val="none"/>
                <w:lang w:val="en-US" w:eastAsia="zh-CN"/>
              </w:rPr>
            </w:pPr>
          </w:p>
        </w:tc>
      </w:tr>
      <w:tr w14:paraId="7FB02B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324" w:type="dxa"/>
            <w:noWrap w:val="0"/>
            <w:tcMar>
              <w:top w:w="16" w:type="dxa"/>
              <w:left w:w="16" w:type="dxa"/>
              <w:right w:w="16" w:type="dxa"/>
            </w:tcMar>
            <w:vAlign w:val="center"/>
          </w:tcPr>
          <w:p w14:paraId="55C0AF71">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建设地点</w:t>
            </w:r>
          </w:p>
        </w:tc>
        <w:tc>
          <w:tcPr>
            <w:tcW w:w="6992" w:type="dxa"/>
            <w:gridSpan w:val="3"/>
            <w:noWrap w:val="0"/>
            <w:vAlign w:val="center"/>
          </w:tcPr>
          <w:p w14:paraId="2B37CB99">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4"/>
                <w:lang w:val="en-US" w:eastAsia="zh-CN"/>
              </w:rPr>
              <w:t>吐鲁番市鄯善县</w:t>
            </w:r>
          </w:p>
        </w:tc>
      </w:tr>
      <w:tr w14:paraId="467A26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324" w:type="dxa"/>
            <w:noWrap w:val="0"/>
            <w:tcMar>
              <w:top w:w="16" w:type="dxa"/>
              <w:left w:w="16" w:type="dxa"/>
              <w:right w:w="16" w:type="dxa"/>
            </w:tcMar>
            <w:vAlign w:val="center"/>
          </w:tcPr>
          <w:p w14:paraId="6FBD973B">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地理坐标</w:t>
            </w:r>
          </w:p>
        </w:tc>
        <w:tc>
          <w:tcPr>
            <w:tcW w:w="6992" w:type="dxa"/>
            <w:gridSpan w:val="3"/>
            <w:noWrap w:val="0"/>
            <w:vAlign w:val="center"/>
          </w:tcPr>
          <w:p w14:paraId="1F145BEC">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升压站站址</w:t>
            </w:r>
            <w:r>
              <w:rPr>
                <w:rFonts w:hint="eastAsia" w:ascii="宋体" w:hAnsi="宋体" w:eastAsia="宋体" w:cs="宋体"/>
                <w:color w:val="auto"/>
                <w:sz w:val="24"/>
                <w:highlight w:val="none"/>
              </w:rPr>
              <w:t>中心坐标</w:t>
            </w:r>
            <w:r>
              <w:rPr>
                <w:rFonts w:hint="eastAsia" w:ascii="宋体" w:hAnsi="宋体" w:eastAsia="宋体" w:cs="宋体"/>
                <w:color w:val="auto"/>
                <w:sz w:val="24"/>
                <w:highlight w:val="none"/>
                <w:lang w:eastAsia="zh-CN"/>
              </w:rPr>
              <w:t>；</w:t>
            </w:r>
          </w:p>
          <w:p w14:paraId="3D6EBAB1">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输电线路起点</w:t>
            </w:r>
            <w:r>
              <w:rPr>
                <w:rFonts w:hint="eastAsia" w:ascii="宋体" w:hAnsi="宋体" w:eastAsia="宋体" w:cs="宋体"/>
                <w:color w:val="auto"/>
                <w:sz w:val="24"/>
                <w:highlight w:val="none"/>
                <w:lang w:eastAsia="zh-CN"/>
              </w:rPr>
              <w:t>坐标，</w:t>
            </w:r>
          </w:p>
          <w:p w14:paraId="7359692E">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outlineLvl w:val="9"/>
              <w:rPr>
                <w:rFonts w:hint="eastAsia" w:ascii="宋体" w:hAnsi="宋体" w:eastAsia="宋体" w:cs="宋体"/>
                <w:color w:val="0000FF"/>
                <w:kern w:val="2"/>
                <w:sz w:val="24"/>
                <w:szCs w:val="24"/>
                <w:highlight w:val="none"/>
                <w:lang w:val="en-US" w:eastAsia="zh-CN" w:bidi="ar-SA"/>
              </w:rPr>
            </w:pPr>
            <w:r>
              <w:rPr>
                <w:rFonts w:hint="eastAsia" w:ascii="宋体" w:hAnsi="宋体" w:eastAsia="宋体" w:cs="宋体"/>
                <w:color w:val="auto"/>
                <w:sz w:val="24"/>
                <w:highlight w:val="none"/>
                <w:lang w:val="en-US" w:eastAsia="zh-CN"/>
              </w:rPr>
              <w:t>终点坐标</w:t>
            </w:r>
            <w:r>
              <w:rPr>
                <w:rFonts w:hint="eastAsia" w:ascii="宋体" w:hAnsi="宋体" w:eastAsia="宋体" w:cs="宋体"/>
                <w:color w:val="auto"/>
                <w:kern w:val="2"/>
                <w:sz w:val="24"/>
                <w:szCs w:val="24"/>
                <w:highlight w:val="none"/>
                <w:lang w:val="en-US" w:eastAsia="zh-CN" w:bidi="ar-SA"/>
              </w:rPr>
              <w:t>。</w:t>
            </w:r>
          </w:p>
        </w:tc>
      </w:tr>
      <w:tr w14:paraId="74A066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324" w:type="dxa"/>
            <w:noWrap w:val="0"/>
            <w:tcMar>
              <w:top w:w="16" w:type="dxa"/>
              <w:left w:w="16" w:type="dxa"/>
              <w:right w:w="16" w:type="dxa"/>
            </w:tcMar>
            <w:vAlign w:val="center"/>
          </w:tcPr>
          <w:p w14:paraId="0D5BFA87">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建设项目</w:t>
            </w:r>
          </w:p>
          <w:p w14:paraId="79250279">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行业类别</w:t>
            </w:r>
          </w:p>
        </w:tc>
        <w:tc>
          <w:tcPr>
            <w:tcW w:w="2511" w:type="dxa"/>
            <w:noWrap w:val="0"/>
            <w:vAlign w:val="center"/>
          </w:tcPr>
          <w:p w14:paraId="310AC79F">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五十五、核与辐射</w:t>
            </w:r>
          </w:p>
          <w:p w14:paraId="1D1CE0BE">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161输变电工程</w:t>
            </w:r>
          </w:p>
        </w:tc>
        <w:tc>
          <w:tcPr>
            <w:tcW w:w="1560" w:type="dxa"/>
            <w:noWrap w:val="0"/>
            <w:vAlign w:val="center"/>
          </w:tcPr>
          <w:p w14:paraId="793EA089">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用地面积</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m</w:t>
            </w:r>
            <w:r>
              <w:rPr>
                <w:rFonts w:hint="eastAsia" w:ascii="宋体" w:hAnsi="宋体" w:eastAsia="宋体" w:cs="宋体"/>
                <w:color w:val="auto"/>
                <w:sz w:val="24"/>
                <w:szCs w:val="24"/>
                <w:highlight w:val="none"/>
                <w:vertAlign w:val="superscript"/>
              </w:rPr>
              <w:t>2</w:t>
            </w:r>
            <w:r>
              <w:rPr>
                <w:rFonts w:hint="eastAsia" w:ascii="宋体" w:hAnsi="宋体" w:cs="宋体"/>
                <w:color w:val="auto"/>
                <w:sz w:val="24"/>
                <w:szCs w:val="24"/>
                <w:highlight w:val="none"/>
                <w:vertAlign w:val="superscript"/>
                <w:lang w:eastAsia="zh-CN"/>
              </w:rPr>
              <w:t>）</w:t>
            </w:r>
            <w:r>
              <w:rPr>
                <w:rFonts w:hint="eastAsia" w:ascii="宋体" w:hAnsi="宋体" w:eastAsia="宋体" w:cs="宋体"/>
                <w:color w:val="auto"/>
                <w:sz w:val="24"/>
                <w:szCs w:val="24"/>
                <w:highlight w:val="none"/>
              </w:rPr>
              <w:t>/长度</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km</w:t>
            </w:r>
            <w:r>
              <w:rPr>
                <w:rFonts w:hint="eastAsia" w:ascii="宋体" w:hAnsi="宋体" w:cs="宋体"/>
                <w:color w:val="auto"/>
                <w:sz w:val="24"/>
                <w:szCs w:val="24"/>
                <w:highlight w:val="none"/>
                <w:lang w:eastAsia="zh-CN"/>
              </w:rPr>
              <w:t>）</w:t>
            </w:r>
          </w:p>
        </w:tc>
        <w:tc>
          <w:tcPr>
            <w:tcW w:w="2921" w:type="dxa"/>
            <w:noWrap w:val="0"/>
            <w:vAlign w:val="center"/>
          </w:tcPr>
          <w:p w14:paraId="45A924A0">
            <w:pPr>
              <w:keepNext w:val="0"/>
              <w:keepLines w:val="0"/>
              <w:suppressLineNumbers w:val="0"/>
              <w:adjustRightInd w:val="0"/>
              <w:snapToGrid w:val="0"/>
              <w:spacing w:before="0" w:beforeAutospacing="0" w:after="0" w:afterAutospacing="0"/>
              <w:ind w:left="0" w:right="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永久占地：</w:t>
            </w:r>
            <w:r>
              <w:rPr>
                <w:rFonts w:hint="eastAsia" w:ascii="宋体" w:hAnsi="宋体" w:eastAsia="宋体" w:cs="宋体"/>
                <w:color w:val="auto"/>
                <w:sz w:val="24"/>
                <w:szCs w:val="24"/>
                <w:highlight w:val="none"/>
                <w:lang w:val="en-US" w:eastAsia="zh-CN"/>
              </w:rPr>
              <w:t>26300m</w:t>
            </w:r>
            <w:r>
              <w:rPr>
                <w:rFonts w:hint="eastAsia" w:ascii="宋体" w:hAnsi="宋体" w:eastAsia="宋体" w:cs="宋体"/>
                <w:color w:val="auto"/>
                <w:sz w:val="24"/>
                <w:szCs w:val="24"/>
                <w:highlight w:val="none"/>
                <w:vertAlign w:val="superscript"/>
              </w:rPr>
              <w:t>2</w:t>
            </w:r>
          </w:p>
          <w:p w14:paraId="541290AE">
            <w:pPr>
              <w:keepNext w:val="0"/>
              <w:keepLines w:val="0"/>
              <w:suppressLineNumbers w:val="0"/>
              <w:adjustRightInd w:val="0"/>
              <w:snapToGrid w:val="0"/>
              <w:spacing w:before="0" w:beforeAutospacing="0" w:after="0" w:afterAutospacing="0"/>
              <w:ind w:left="0" w:right="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临时占地：</w:t>
            </w:r>
            <w:r>
              <w:rPr>
                <w:rFonts w:hint="eastAsia" w:ascii="宋体" w:hAnsi="宋体" w:eastAsia="宋体" w:cs="宋体"/>
                <w:color w:val="auto"/>
                <w:sz w:val="24"/>
                <w:szCs w:val="24"/>
                <w:highlight w:val="none"/>
                <w:lang w:val="en-US" w:eastAsia="zh-CN"/>
              </w:rPr>
              <w:t>51300m</w:t>
            </w:r>
            <w:r>
              <w:rPr>
                <w:rFonts w:hint="eastAsia" w:ascii="宋体" w:hAnsi="宋体" w:eastAsia="宋体" w:cs="宋体"/>
                <w:color w:val="auto"/>
                <w:sz w:val="24"/>
                <w:szCs w:val="24"/>
                <w:highlight w:val="none"/>
                <w:vertAlign w:val="superscript"/>
              </w:rPr>
              <w:t>2</w:t>
            </w:r>
          </w:p>
          <w:p w14:paraId="3FB5F1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outlineLvl w:val="9"/>
              <w:rPr>
                <w:rFonts w:hint="eastAsia" w:ascii="宋体" w:hAnsi="宋体" w:eastAsia="宋体" w:cs="宋体"/>
                <w:color w:val="0000FF"/>
                <w:lang w:val="en-US" w:eastAsia="zh-CN"/>
              </w:rPr>
            </w:pPr>
            <w:r>
              <w:rPr>
                <w:rFonts w:hint="eastAsia" w:ascii="宋体" w:hAnsi="宋体" w:eastAsia="宋体" w:cs="宋体"/>
                <w:color w:val="auto"/>
                <w:kern w:val="2"/>
                <w:sz w:val="24"/>
                <w:szCs w:val="24"/>
                <w:highlight w:val="none"/>
                <w:lang w:val="en-US" w:eastAsia="zh-CN" w:bidi="ar-SA"/>
              </w:rPr>
              <w:t>长度：9.7km</w:t>
            </w:r>
          </w:p>
        </w:tc>
      </w:tr>
      <w:tr w14:paraId="5C701A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324" w:type="dxa"/>
            <w:noWrap w:val="0"/>
            <w:tcMar>
              <w:top w:w="16" w:type="dxa"/>
              <w:left w:w="16" w:type="dxa"/>
              <w:right w:w="16" w:type="dxa"/>
            </w:tcMar>
            <w:vAlign w:val="center"/>
          </w:tcPr>
          <w:p w14:paraId="79CB62C6">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建设性质</w:t>
            </w:r>
          </w:p>
        </w:tc>
        <w:tc>
          <w:tcPr>
            <w:tcW w:w="2511" w:type="dxa"/>
            <w:noWrap w:val="0"/>
            <w:vAlign w:val="top"/>
          </w:tcPr>
          <w:p w14:paraId="7C264F9C">
            <w:pPr>
              <w:keepNext w:val="0"/>
              <w:keepLines w:val="0"/>
              <w:suppressLineNumbers w:val="0"/>
              <w:adjustRightInd w:val="0"/>
              <w:snapToGrid w:val="0"/>
              <w:spacing w:before="0" w:beforeAutospacing="0" w:after="0" w:afterAutospacing="0"/>
              <w:ind w:left="0" w:right="0"/>
              <w:jc w:val="left"/>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sym w:font="Wingdings 2" w:char="0052"/>
            </w:r>
            <w:r>
              <w:rPr>
                <w:rFonts w:hint="eastAsia" w:ascii="宋体" w:hAnsi="宋体" w:eastAsia="宋体" w:cs="宋体"/>
                <w:color w:val="auto"/>
                <w:sz w:val="24"/>
                <w:szCs w:val="24"/>
                <w:highlight w:val="none"/>
              </w:rPr>
              <w:t>新建</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迁建</w:t>
            </w:r>
            <w:r>
              <w:rPr>
                <w:rFonts w:hint="eastAsia" w:ascii="宋体" w:hAnsi="宋体" w:cs="宋体"/>
                <w:color w:val="auto"/>
                <w:sz w:val="24"/>
                <w:szCs w:val="24"/>
                <w:highlight w:val="none"/>
                <w:lang w:eastAsia="zh-CN"/>
              </w:rPr>
              <w:t>）</w:t>
            </w:r>
          </w:p>
          <w:p w14:paraId="61F4F3E2">
            <w:pPr>
              <w:keepNext w:val="0"/>
              <w:keepLines w:val="0"/>
              <w:suppressLineNumbers w:val="0"/>
              <w:adjustRightInd w:val="0"/>
              <w:snapToGrid w:val="0"/>
              <w:spacing w:before="0" w:beforeAutospacing="0" w:after="0" w:afterAutospacing="0"/>
              <w:ind w:left="0" w:right="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2" w:char="00A3"/>
            </w:r>
            <w:r>
              <w:rPr>
                <w:rFonts w:hint="eastAsia" w:ascii="宋体" w:hAnsi="宋体" w:eastAsia="宋体" w:cs="宋体"/>
                <w:color w:val="auto"/>
                <w:sz w:val="24"/>
                <w:szCs w:val="24"/>
                <w:highlight w:val="none"/>
              </w:rPr>
              <w:t>改建</w:t>
            </w:r>
          </w:p>
          <w:p w14:paraId="7C1287CC">
            <w:pPr>
              <w:keepNext w:val="0"/>
              <w:keepLines w:val="0"/>
              <w:suppressLineNumbers w:val="0"/>
              <w:adjustRightInd w:val="0"/>
              <w:snapToGrid w:val="0"/>
              <w:spacing w:before="0" w:beforeAutospacing="0" w:after="0" w:afterAutospacing="0"/>
              <w:ind w:left="0" w:right="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2" w:char="00A3"/>
            </w:r>
            <w:r>
              <w:rPr>
                <w:rFonts w:hint="eastAsia" w:ascii="宋体" w:hAnsi="宋体" w:eastAsia="宋体" w:cs="宋体"/>
                <w:color w:val="auto"/>
                <w:sz w:val="24"/>
                <w:szCs w:val="24"/>
                <w:highlight w:val="none"/>
              </w:rPr>
              <w:t>扩建</w:t>
            </w:r>
          </w:p>
          <w:p w14:paraId="78A13386">
            <w:pPr>
              <w:keepNext w:val="0"/>
              <w:keepLines w:val="0"/>
              <w:suppressLineNumbers w:val="0"/>
              <w:adjustRightInd w:val="0"/>
              <w:snapToGrid w:val="0"/>
              <w:spacing w:before="0" w:beforeAutospacing="0" w:after="0" w:afterAutospacing="0"/>
              <w:ind w:left="0" w:right="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□技术改造</w:t>
            </w:r>
          </w:p>
        </w:tc>
        <w:tc>
          <w:tcPr>
            <w:tcW w:w="1560" w:type="dxa"/>
            <w:noWrap w:val="0"/>
            <w:vAlign w:val="center"/>
          </w:tcPr>
          <w:p w14:paraId="6959F733">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建设项目</w:t>
            </w:r>
          </w:p>
          <w:p w14:paraId="4AF0950F">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申报情形</w:t>
            </w:r>
          </w:p>
        </w:tc>
        <w:tc>
          <w:tcPr>
            <w:tcW w:w="2921" w:type="dxa"/>
            <w:noWrap w:val="0"/>
            <w:vAlign w:val="center"/>
          </w:tcPr>
          <w:p w14:paraId="5EDB89F5">
            <w:pPr>
              <w:keepNext w:val="0"/>
              <w:keepLines w:val="0"/>
              <w:suppressLineNumbers w:val="0"/>
              <w:adjustRightInd w:val="0"/>
              <w:snapToGrid w:val="0"/>
              <w:spacing w:before="0" w:beforeAutospacing="0" w:after="0" w:afterAutospacing="0"/>
              <w:ind w:left="0" w:right="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2" w:char="0052"/>
            </w:r>
            <w:r>
              <w:rPr>
                <w:rFonts w:hint="eastAsia" w:ascii="宋体" w:hAnsi="宋体" w:eastAsia="宋体" w:cs="宋体"/>
                <w:color w:val="auto"/>
                <w:sz w:val="24"/>
                <w:szCs w:val="24"/>
                <w:highlight w:val="none"/>
              </w:rPr>
              <w:t>首次申报项目</w:t>
            </w:r>
          </w:p>
          <w:p w14:paraId="1EA3CB02">
            <w:pPr>
              <w:keepNext w:val="0"/>
              <w:keepLines w:val="0"/>
              <w:suppressLineNumbers w:val="0"/>
              <w:adjustRightInd w:val="0"/>
              <w:snapToGrid w:val="0"/>
              <w:spacing w:before="0" w:beforeAutospacing="0" w:after="0" w:afterAutospacing="0"/>
              <w:ind w:left="0" w:right="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□不予批准后再次申报项目</w:t>
            </w:r>
          </w:p>
          <w:p w14:paraId="6FCF266C">
            <w:pPr>
              <w:keepNext w:val="0"/>
              <w:keepLines w:val="0"/>
              <w:suppressLineNumbers w:val="0"/>
              <w:adjustRightInd w:val="0"/>
              <w:snapToGrid w:val="0"/>
              <w:spacing w:before="0" w:beforeAutospacing="0" w:after="0" w:afterAutospacing="0"/>
              <w:ind w:left="0" w:right="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□超五年重新审核项目</w:t>
            </w:r>
          </w:p>
          <w:p w14:paraId="29BCE45B">
            <w:pPr>
              <w:keepNext w:val="0"/>
              <w:keepLines w:val="0"/>
              <w:suppressLineNumbers w:val="0"/>
              <w:adjustRightInd w:val="0"/>
              <w:snapToGrid w:val="0"/>
              <w:spacing w:before="0" w:beforeAutospacing="0" w:after="0" w:afterAutospacing="0"/>
              <w:ind w:left="0" w:right="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□重大变动重新报批项目</w:t>
            </w:r>
          </w:p>
        </w:tc>
      </w:tr>
      <w:tr w14:paraId="14CA6E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324" w:type="dxa"/>
            <w:noWrap w:val="0"/>
            <w:tcMar>
              <w:top w:w="16" w:type="dxa"/>
              <w:left w:w="16" w:type="dxa"/>
              <w:right w:w="16" w:type="dxa"/>
            </w:tcMar>
            <w:vAlign w:val="center"/>
          </w:tcPr>
          <w:p w14:paraId="2707B5BA">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项目审批</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核准/备案</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部门</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选填</w:t>
            </w:r>
            <w:r>
              <w:rPr>
                <w:rFonts w:hint="eastAsia" w:ascii="宋体" w:hAnsi="宋体" w:cs="宋体"/>
                <w:color w:val="auto"/>
                <w:sz w:val="24"/>
                <w:szCs w:val="24"/>
                <w:highlight w:val="none"/>
                <w:lang w:eastAsia="zh-CN"/>
              </w:rPr>
              <w:t>）</w:t>
            </w:r>
          </w:p>
        </w:tc>
        <w:tc>
          <w:tcPr>
            <w:tcW w:w="2511" w:type="dxa"/>
            <w:noWrap w:val="0"/>
            <w:vAlign w:val="center"/>
          </w:tcPr>
          <w:p w14:paraId="10BD661B">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吐鲁番市发展和改革委员会</w:t>
            </w:r>
          </w:p>
        </w:tc>
        <w:tc>
          <w:tcPr>
            <w:tcW w:w="1560" w:type="dxa"/>
            <w:noWrap w:val="0"/>
            <w:vAlign w:val="center"/>
          </w:tcPr>
          <w:p w14:paraId="2B71CA2B">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项目审批</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核准/备案</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文号</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选填</w:t>
            </w:r>
            <w:r>
              <w:rPr>
                <w:rFonts w:hint="eastAsia" w:ascii="宋体" w:hAnsi="宋体" w:cs="宋体"/>
                <w:color w:val="auto"/>
                <w:sz w:val="24"/>
                <w:szCs w:val="24"/>
                <w:highlight w:val="none"/>
                <w:lang w:eastAsia="zh-CN"/>
              </w:rPr>
              <w:t>）</w:t>
            </w:r>
          </w:p>
        </w:tc>
        <w:tc>
          <w:tcPr>
            <w:tcW w:w="2921" w:type="dxa"/>
            <w:noWrap w:val="0"/>
            <w:vAlign w:val="center"/>
          </w:tcPr>
          <w:p w14:paraId="11DD29BF">
            <w:pPr>
              <w:keepNext w:val="0"/>
              <w:keepLines w:val="0"/>
              <w:suppressLineNumbers w:val="0"/>
              <w:spacing w:before="0" w:beforeAutospacing="0" w:after="0" w:afterAutospacing="0"/>
              <w:ind w:left="0" w:right="0"/>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吐市发改能交〔2025〕</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9号</w:t>
            </w:r>
          </w:p>
        </w:tc>
      </w:tr>
      <w:tr w14:paraId="6C5EB7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324" w:type="dxa"/>
            <w:noWrap w:val="0"/>
            <w:tcMar>
              <w:top w:w="16" w:type="dxa"/>
              <w:left w:w="16" w:type="dxa"/>
              <w:right w:w="16" w:type="dxa"/>
            </w:tcMar>
            <w:vAlign w:val="center"/>
          </w:tcPr>
          <w:p w14:paraId="6EADD3E8">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总投资</w:t>
            </w:r>
          </w:p>
          <w:p w14:paraId="6EAE1760">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万元</w:t>
            </w:r>
            <w:r>
              <w:rPr>
                <w:rFonts w:hint="eastAsia" w:ascii="宋体" w:hAnsi="宋体" w:cs="宋体"/>
                <w:color w:val="auto"/>
                <w:sz w:val="24"/>
                <w:szCs w:val="24"/>
                <w:highlight w:val="none"/>
                <w:lang w:eastAsia="zh-CN"/>
              </w:rPr>
              <w:t>）</w:t>
            </w:r>
          </w:p>
        </w:tc>
        <w:tc>
          <w:tcPr>
            <w:tcW w:w="2511" w:type="dxa"/>
            <w:noWrap w:val="0"/>
            <w:vAlign w:val="center"/>
          </w:tcPr>
          <w:p w14:paraId="57DB2774">
            <w:pPr>
              <w:keepNext w:val="0"/>
              <w:keepLines w:val="0"/>
              <w:suppressLineNumbers w:val="0"/>
              <w:adjustRightInd w:val="0"/>
              <w:snapToGrid w:val="0"/>
              <w:spacing w:before="0" w:beforeAutospacing="0" w:after="0" w:afterAutospacing="0"/>
              <w:ind w:left="0" w:right="0"/>
              <w:jc w:val="center"/>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12618.12</w:t>
            </w:r>
          </w:p>
        </w:tc>
        <w:tc>
          <w:tcPr>
            <w:tcW w:w="1560" w:type="dxa"/>
            <w:noWrap w:val="0"/>
            <w:tcMar>
              <w:top w:w="16" w:type="dxa"/>
              <w:left w:w="16" w:type="dxa"/>
              <w:right w:w="16" w:type="dxa"/>
            </w:tcMar>
            <w:vAlign w:val="center"/>
          </w:tcPr>
          <w:p w14:paraId="3FB91EB3">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环保投资</w:t>
            </w:r>
          </w:p>
          <w:p w14:paraId="6A033E6D">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万元</w:t>
            </w:r>
            <w:r>
              <w:rPr>
                <w:rFonts w:hint="eastAsia" w:ascii="宋体" w:hAnsi="宋体" w:cs="宋体"/>
                <w:color w:val="auto"/>
                <w:sz w:val="24"/>
                <w:szCs w:val="24"/>
                <w:highlight w:val="none"/>
                <w:lang w:eastAsia="zh-CN"/>
              </w:rPr>
              <w:t>）</w:t>
            </w:r>
          </w:p>
        </w:tc>
        <w:tc>
          <w:tcPr>
            <w:tcW w:w="2921" w:type="dxa"/>
            <w:noWrap w:val="0"/>
            <w:vAlign w:val="center"/>
          </w:tcPr>
          <w:p w14:paraId="286D1DAA">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232</w:t>
            </w:r>
          </w:p>
        </w:tc>
      </w:tr>
      <w:tr w14:paraId="46C095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324" w:type="dxa"/>
            <w:noWrap w:val="0"/>
            <w:tcMar>
              <w:top w:w="16" w:type="dxa"/>
              <w:left w:w="16" w:type="dxa"/>
              <w:right w:w="16" w:type="dxa"/>
            </w:tcMar>
            <w:vAlign w:val="center"/>
          </w:tcPr>
          <w:p w14:paraId="1B94C167">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环保投资</w:t>
            </w:r>
          </w:p>
          <w:p w14:paraId="7A2B27CC">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占比</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w:t>
            </w:r>
          </w:p>
        </w:tc>
        <w:tc>
          <w:tcPr>
            <w:tcW w:w="2511" w:type="dxa"/>
            <w:noWrap w:val="0"/>
            <w:vAlign w:val="center"/>
          </w:tcPr>
          <w:p w14:paraId="140719E1">
            <w:pPr>
              <w:keepNext w:val="0"/>
              <w:keepLines w:val="0"/>
              <w:suppressLineNumbers w:val="0"/>
              <w:adjustRightInd w:val="0"/>
              <w:snapToGrid w:val="0"/>
              <w:spacing w:before="0" w:beforeAutospacing="0" w:after="0" w:afterAutospacing="0"/>
              <w:ind w:left="0" w:right="0"/>
              <w:jc w:val="center"/>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1.84</w:t>
            </w:r>
          </w:p>
        </w:tc>
        <w:tc>
          <w:tcPr>
            <w:tcW w:w="1560" w:type="dxa"/>
            <w:noWrap w:val="0"/>
            <w:tcMar>
              <w:top w:w="16" w:type="dxa"/>
              <w:left w:w="16" w:type="dxa"/>
              <w:right w:w="16" w:type="dxa"/>
            </w:tcMar>
            <w:vAlign w:val="center"/>
          </w:tcPr>
          <w:p w14:paraId="54832A65">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施工工期</w:t>
            </w:r>
          </w:p>
        </w:tc>
        <w:tc>
          <w:tcPr>
            <w:tcW w:w="2921" w:type="dxa"/>
            <w:noWrap w:val="0"/>
            <w:vAlign w:val="center"/>
          </w:tcPr>
          <w:p w14:paraId="25D728B3">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7个月</w:t>
            </w:r>
          </w:p>
        </w:tc>
      </w:tr>
      <w:tr w14:paraId="6ABF46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324" w:type="dxa"/>
            <w:noWrap w:val="0"/>
            <w:tcMar>
              <w:top w:w="16" w:type="dxa"/>
              <w:left w:w="16" w:type="dxa"/>
              <w:right w:w="16" w:type="dxa"/>
            </w:tcMar>
            <w:vAlign w:val="center"/>
          </w:tcPr>
          <w:p w14:paraId="6A44F188">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是否开工</w:t>
            </w:r>
          </w:p>
          <w:p w14:paraId="2D7BA410">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建设</w:t>
            </w:r>
          </w:p>
        </w:tc>
        <w:tc>
          <w:tcPr>
            <w:tcW w:w="6992" w:type="dxa"/>
            <w:gridSpan w:val="3"/>
            <w:noWrap w:val="0"/>
            <w:vAlign w:val="center"/>
          </w:tcPr>
          <w:p w14:paraId="2CB5744E">
            <w:pPr>
              <w:keepNext w:val="0"/>
              <w:keepLines w:val="0"/>
              <w:suppressLineNumbers w:val="0"/>
              <w:adjustRightInd w:val="0"/>
              <w:snapToGrid w:val="0"/>
              <w:spacing w:before="0" w:beforeAutospacing="0" w:after="0" w:afterAutospacing="0"/>
              <w:ind w:left="0" w:right="0" w:firstLine="105"/>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2" w:char="0052"/>
            </w:r>
            <w:r>
              <w:rPr>
                <w:rFonts w:hint="eastAsia" w:ascii="宋体" w:hAnsi="宋体" w:eastAsia="宋体" w:cs="宋体"/>
                <w:color w:val="auto"/>
                <w:sz w:val="24"/>
                <w:szCs w:val="24"/>
                <w:highlight w:val="none"/>
              </w:rPr>
              <w:t>否</w:t>
            </w:r>
          </w:p>
          <w:p w14:paraId="0E8ABEC8">
            <w:pPr>
              <w:keepNext w:val="0"/>
              <w:keepLines w:val="0"/>
              <w:suppressLineNumbers w:val="0"/>
              <w:adjustRightInd w:val="0"/>
              <w:snapToGrid w:val="0"/>
              <w:spacing w:before="0" w:beforeAutospacing="0" w:after="0" w:afterAutospacing="0"/>
              <w:ind w:left="0" w:right="0" w:firstLine="92"/>
              <w:jc w:val="left"/>
              <w:outlineLvl w:val="9"/>
              <w:rPr>
                <w:rFonts w:hint="eastAsia" w:ascii="宋体" w:hAnsi="宋体" w:eastAsia="宋体" w:cs="宋体"/>
                <w:color w:val="0000FF"/>
                <w:sz w:val="24"/>
                <w:szCs w:val="24"/>
                <w:highlight w:val="none"/>
                <w:lang w:eastAsia="zh-CN"/>
              </w:rPr>
            </w:pPr>
            <w:r>
              <w:rPr>
                <w:rFonts w:hint="eastAsia" w:ascii="宋体" w:hAnsi="宋体" w:eastAsia="宋体" w:cs="宋体"/>
                <w:color w:val="auto"/>
                <w:sz w:val="24"/>
                <w:szCs w:val="24"/>
                <w:highlight w:val="none"/>
              </w:rPr>
              <w:t>□是：</w:t>
            </w:r>
          </w:p>
        </w:tc>
      </w:tr>
      <w:tr w14:paraId="62C598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324" w:type="dxa"/>
            <w:noWrap w:val="0"/>
            <w:tcMar>
              <w:top w:w="16" w:type="dxa"/>
              <w:left w:w="16" w:type="dxa"/>
              <w:right w:w="16" w:type="dxa"/>
            </w:tcMar>
            <w:vAlign w:val="center"/>
          </w:tcPr>
          <w:p w14:paraId="76614D45">
            <w:pPr>
              <w:keepNext w:val="0"/>
              <w:keepLines w:val="0"/>
              <w:suppressLineNumbers w:val="0"/>
              <w:autoSpaceDE w:val="0"/>
              <w:autoSpaceDN w:val="0"/>
              <w:adjustRightInd w:val="0"/>
              <w:snapToGrid w:val="0"/>
              <w:spacing w:before="0" w:beforeAutospacing="0" w:after="0" w:afterAutospacing="0"/>
              <w:ind w:left="0" w:right="0"/>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专项评价设置情况</w:t>
            </w:r>
          </w:p>
        </w:tc>
        <w:tc>
          <w:tcPr>
            <w:tcW w:w="6992" w:type="dxa"/>
            <w:gridSpan w:val="3"/>
            <w:noWrap w:val="0"/>
            <w:tcMar>
              <w:top w:w="16" w:type="dxa"/>
              <w:left w:w="16" w:type="dxa"/>
              <w:right w:w="16" w:type="dxa"/>
            </w:tcMar>
            <w:vAlign w:val="center"/>
          </w:tcPr>
          <w:p w14:paraId="282E628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根据</w:t>
            </w:r>
            <w:r>
              <w:rPr>
                <w:rFonts w:hint="eastAsia" w:ascii="宋体" w:hAnsi="宋体" w:eastAsia="宋体" w:cs="宋体"/>
                <w:color w:val="auto"/>
                <w:sz w:val="24"/>
                <w:szCs w:val="24"/>
                <w:highlight w:val="none"/>
              </w:rPr>
              <w:t>《环境影响评价技术导则</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输变电》</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HJ24-2020</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附录B要求：输变电建设项目环境影响报告表应设电磁环境影响专题评价，</w:t>
            </w:r>
            <w:r>
              <w:rPr>
                <w:rFonts w:hint="eastAsia" w:ascii="宋体" w:hAnsi="宋体" w:eastAsia="宋体" w:cs="宋体"/>
                <w:color w:val="auto"/>
                <w:sz w:val="24"/>
                <w:szCs w:val="24"/>
                <w:highlight w:val="none"/>
                <w:lang w:val="en-US" w:eastAsia="zh-CN"/>
              </w:rPr>
              <w:t>华电鄯善煤电灵活性改造配套风电项目220千伏输变电工程</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以下简称“</w:t>
            </w:r>
            <w:r>
              <w:rPr>
                <w:rFonts w:hint="eastAsia" w:ascii="宋体" w:hAnsi="宋体" w:eastAsia="宋体" w:cs="宋体"/>
                <w:color w:val="auto"/>
                <w:sz w:val="24"/>
                <w:szCs w:val="24"/>
                <w:highlight w:val="none"/>
                <w:lang w:eastAsia="zh-CN"/>
              </w:rPr>
              <w:t>本项目</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属于编制环境影响报告表的输变电建设项目，因此设置电磁环境影响专题评价。</w:t>
            </w:r>
          </w:p>
        </w:tc>
      </w:tr>
      <w:tr w14:paraId="301FFC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7" w:hRule="atLeast"/>
        </w:trPr>
        <w:tc>
          <w:tcPr>
            <w:tcW w:w="1324" w:type="dxa"/>
            <w:noWrap w:val="0"/>
            <w:tcMar>
              <w:top w:w="16" w:type="dxa"/>
              <w:left w:w="16" w:type="dxa"/>
              <w:right w:w="16" w:type="dxa"/>
            </w:tcMar>
            <w:vAlign w:val="center"/>
          </w:tcPr>
          <w:p w14:paraId="5B2DB98E">
            <w:pPr>
              <w:keepNext w:val="0"/>
              <w:keepLines w:val="0"/>
              <w:suppressLineNumbers w:val="0"/>
              <w:autoSpaceDE w:val="0"/>
              <w:autoSpaceDN w:val="0"/>
              <w:adjustRightInd w:val="0"/>
              <w:snapToGrid w:val="0"/>
              <w:spacing w:before="0" w:beforeAutospacing="0" w:after="0" w:afterAutospacing="0"/>
              <w:ind w:left="0" w:right="0"/>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规划情况</w:t>
            </w:r>
          </w:p>
        </w:tc>
        <w:tc>
          <w:tcPr>
            <w:tcW w:w="6992" w:type="dxa"/>
            <w:gridSpan w:val="3"/>
            <w:noWrap w:val="0"/>
            <w:tcMar>
              <w:top w:w="16" w:type="dxa"/>
              <w:left w:w="16" w:type="dxa"/>
              <w:right w:w="16" w:type="dxa"/>
            </w:tcMar>
            <w:vAlign w:val="center"/>
          </w:tcPr>
          <w:p w14:paraId="1BF320E5">
            <w:pPr>
              <w:keepNext w:val="0"/>
              <w:keepLines w:val="0"/>
              <w:suppressLineNumbers w:val="0"/>
              <w:spacing w:before="0" w:beforeLines="0" w:beforeAutospacing="0" w:after="0" w:afterLines="0" w:afterAutospacing="0"/>
              <w:ind w:left="0" w:right="0"/>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rPr>
              <w:t>无</w:t>
            </w:r>
          </w:p>
        </w:tc>
      </w:tr>
      <w:tr w14:paraId="57166C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3" w:hRule="atLeast"/>
        </w:trPr>
        <w:tc>
          <w:tcPr>
            <w:tcW w:w="1324" w:type="dxa"/>
            <w:noWrap w:val="0"/>
            <w:tcMar>
              <w:top w:w="16" w:type="dxa"/>
              <w:left w:w="16" w:type="dxa"/>
              <w:right w:w="16" w:type="dxa"/>
            </w:tcMar>
            <w:vAlign w:val="center"/>
          </w:tcPr>
          <w:p w14:paraId="73BD8FAB">
            <w:pPr>
              <w:keepNext w:val="0"/>
              <w:keepLines w:val="0"/>
              <w:suppressLineNumbers w:val="0"/>
              <w:autoSpaceDE w:val="0"/>
              <w:autoSpaceDN w:val="0"/>
              <w:adjustRightInd w:val="0"/>
              <w:snapToGrid w:val="0"/>
              <w:spacing w:before="0" w:beforeAutospacing="0" w:after="0" w:afterAutospacing="0"/>
              <w:ind w:left="0" w:right="0"/>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规划环境影</w:t>
            </w:r>
            <w:r>
              <w:rPr>
                <w:rFonts w:hint="eastAsia" w:ascii="宋体" w:hAnsi="宋体" w:eastAsia="宋体" w:cs="宋体"/>
                <w:color w:val="auto"/>
                <w:sz w:val="24"/>
                <w:szCs w:val="24"/>
                <w:highlight w:val="none"/>
                <w:lang w:val="en-US" w:eastAsia="zh-CN"/>
              </w:rPr>
              <w:t>响</w:t>
            </w:r>
            <w:r>
              <w:rPr>
                <w:rFonts w:hint="eastAsia" w:ascii="宋体" w:hAnsi="宋体" w:eastAsia="宋体" w:cs="宋体"/>
                <w:color w:val="auto"/>
                <w:sz w:val="24"/>
                <w:szCs w:val="24"/>
                <w:highlight w:val="none"/>
              </w:rPr>
              <w:t>评价情况</w:t>
            </w:r>
          </w:p>
        </w:tc>
        <w:tc>
          <w:tcPr>
            <w:tcW w:w="6992" w:type="dxa"/>
            <w:gridSpan w:val="3"/>
            <w:noWrap w:val="0"/>
            <w:tcMar>
              <w:top w:w="16" w:type="dxa"/>
              <w:left w:w="16" w:type="dxa"/>
              <w:right w:w="16" w:type="dxa"/>
            </w:tcMar>
            <w:vAlign w:val="center"/>
          </w:tcPr>
          <w:p w14:paraId="078625C8">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无</w:t>
            </w:r>
          </w:p>
        </w:tc>
      </w:tr>
      <w:tr w14:paraId="7AD981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324" w:type="dxa"/>
            <w:noWrap w:val="0"/>
            <w:tcMar>
              <w:top w:w="16" w:type="dxa"/>
              <w:left w:w="16" w:type="dxa"/>
              <w:right w:w="16" w:type="dxa"/>
            </w:tcMar>
            <w:vAlign w:val="center"/>
          </w:tcPr>
          <w:p w14:paraId="350FAD36">
            <w:pPr>
              <w:keepNext w:val="0"/>
              <w:keepLines w:val="0"/>
              <w:suppressLineNumbers w:val="0"/>
              <w:autoSpaceDE w:val="0"/>
              <w:autoSpaceDN w:val="0"/>
              <w:adjustRightInd w:val="0"/>
              <w:snapToGrid w:val="0"/>
              <w:spacing w:before="0" w:beforeAutospacing="0" w:after="0" w:afterAutospacing="0"/>
              <w:ind w:left="0" w:right="0"/>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规划及</w:t>
            </w:r>
            <w:r>
              <w:rPr>
                <w:rFonts w:hint="eastAsia" w:ascii="宋体" w:hAnsi="宋体" w:eastAsia="宋体" w:cs="宋体"/>
                <w:color w:val="auto"/>
                <w:sz w:val="24"/>
                <w:szCs w:val="24"/>
                <w:highlight w:val="none"/>
              </w:rPr>
              <w:t>规划环境影响评价</w:t>
            </w:r>
            <w:r>
              <w:rPr>
                <w:rFonts w:hint="eastAsia" w:ascii="宋体" w:hAnsi="宋体" w:eastAsia="宋体" w:cs="宋体"/>
                <w:color w:val="auto"/>
                <w:kern w:val="0"/>
                <w:sz w:val="24"/>
                <w:szCs w:val="24"/>
                <w:highlight w:val="none"/>
              </w:rPr>
              <w:t>符合性分析</w:t>
            </w:r>
          </w:p>
        </w:tc>
        <w:tc>
          <w:tcPr>
            <w:tcW w:w="6992" w:type="dxa"/>
            <w:gridSpan w:val="3"/>
            <w:noWrap w:val="0"/>
            <w:tcMar>
              <w:top w:w="16" w:type="dxa"/>
              <w:left w:w="16" w:type="dxa"/>
              <w:right w:w="16" w:type="dxa"/>
            </w:tcMar>
            <w:vAlign w:val="center"/>
          </w:tcPr>
          <w:p w14:paraId="3E52CC95">
            <w:pPr>
              <w:keepNext w:val="0"/>
              <w:keepLines w:val="0"/>
              <w:suppressLineNumbers w:val="0"/>
              <w:autoSpaceDE w:val="0"/>
              <w:autoSpaceDN w:val="0"/>
              <w:adjustRightInd w:val="0"/>
              <w:snapToGrid w:val="0"/>
              <w:spacing w:before="0" w:beforeAutospacing="0" w:after="0" w:afterAutospacing="0"/>
              <w:ind w:left="0" w:right="0"/>
              <w:jc w:val="center"/>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无</w:t>
            </w:r>
          </w:p>
        </w:tc>
      </w:tr>
      <w:tr w14:paraId="0A0E32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324" w:type="dxa"/>
            <w:noWrap w:val="0"/>
            <w:tcMar>
              <w:top w:w="16" w:type="dxa"/>
              <w:left w:w="16" w:type="dxa"/>
              <w:right w:w="16" w:type="dxa"/>
            </w:tcMar>
            <w:vAlign w:val="center"/>
          </w:tcPr>
          <w:p w14:paraId="1AA733B4">
            <w:pPr>
              <w:keepNext w:val="0"/>
              <w:keepLines w:val="0"/>
              <w:suppressLineNumbers w:val="0"/>
              <w:autoSpaceDE w:val="0"/>
              <w:autoSpaceDN w:val="0"/>
              <w:adjustRightInd w:val="0"/>
              <w:snapToGrid w:val="0"/>
              <w:spacing w:before="0" w:beforeAutospacing="0" w:after="0" w:afterAutospacing="0"/>
              <w:ind w:left="0" w:right="0"/>
              <w:jc w:val="center"/>
              <w:outlineLvl w:val="9"/>
              <w:rPr>
                <w:rFonts w:hint="eastAsia" w:ascii="宋体" w:hAnsi="宋体" w:eastAsia="宋体" w:cs="宋体"/>
                <w:color w:val="0000FF"/>
                <w:kern w:val="0"/>
                <w:szCs w:val="21"/>
                <w:highlight w:val="none"/>
              </w:rPr>
            </w:pPr>
            <w:bookmarkStart w:id="14" w:name="_Hlk56690880"/>
            <w:r>
              <w:rPr>
                <w:rFonts w:hint="eastAsia" w:ascii="宋体" w:hAnsi="宋体" w:eastAsia="宋体" w:cs="宋体"/>
                <w:color w:val="auto"/>
                <w:kern w:val="0"/>
                <w:sz w:val="24"/>
                <w:szCs w:val="24"/>
                <w:highlight w:val="none"/>
              </w:rPr>
              <w:t>其他符合性分析</w:t>
            </w:r>
            <w:bookmarkEnd w:id="14"/>
          </w:p>
        </w:tc>
        <w:tc>
          <w:tcPr>
            <w:tcW w:w="6992" w:type="dxa"/>
            <w:gridSpan w:val="3"/>
            <w:noWrap w:val="0"/>
            <w:tcMar>
              <w:top w:w="16" w:type="dxa"/>
              <w:left w:w="16" w:type="dxa"/>
              <w:right w:w="16" w:type="dxa"/>
            </w:tcMar>
            <w:vAlign w:val="top"/>
          </w:tcPr>
          <w:p w14:paraId="15F15EBF">
            <w:pPr>
              <w:keepNext w:val="0"/>
              <w:keepLines w:val="0"/>
              <w:suppressLineNumbers w:val="0"/>
              <w:adjustRightInd w:val="0"/>
              <w:snapToGrid w:val="0"/>
              <w:spacing w:before="0" w:beforeAutospacing="0" w:after="0" w:afterAutospacing="0" w:line="360" w:lineRule="auto"/>
              <w:ind w:left="0" w:right="0"/>
              <w:jc w:val="both"/>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1产业政策符合性</w:t>
            </w:r>
          </w:p>
          <w:p w14:paraId="4F4634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与</w:t>
            </w:r>
            <w:r>
              <w:rPr>
                <w:rFonts w:hint="eastAsia" w:ascii="宋体" w:hAnsi="宋体" w:eastAsia="宋体" w:cs="宋体"/>
                <w:color w:val="auto"/>
                <w:sz w:val="24"/>
                <w:szCs w:val="24"/>
              </w:rPr>
              <w:t>《产业结构调整指导目录</w:t>
            </w:r>
            <w:r>
              <w:rPr>
                <w:rFonts w:hint="eastAsia" w:ascii="宋体" w:hAnsi="宋体" w:cs="宋体"/>
                <w:color w:val="auto"/>
                <w:sz w:val="24"/>
                <w:szCs w:val="24"/>
                <w:lang w:eastAsia="zh-CN"/>
              </w:rPr>
              <w:t>（</w:t>
            </w:r>
            <w:r>
              <w:rPr>
                <w:rFonts w:hint="eastAsia" w:ascii="宋体" w:hAnsi="宋体" w:eastAsia="宋体" w:cs="宋体"/>
                <w:color w:val="auto"/>
                <w:sz w:val="24"/>
                <w:szCs w:val="24"/>
              </w:rPr>
              <w:t>20</w:t>
            </w:r>
            <w:r>
              <w:rPr>
                <w:rFonts w:hint="eastAsia" w:ascii="宋体" w:hAnsi="宋体" w:eastAsia="宋体" w:cs="宋体"/>
                <w:color w:val="auto"/>
                <w:sz w:val="24"/>
                <w:szCs w:val="24"/>
                <w:lang w:val="en-US" w:eastAsia="zh-CN"/>
              </w:rPr>
              <w:t>24</w:t>
            </w:r>
            <w:r>
              <w:rPr>
                <w:rFonts w:hint="eastAsia" w:ascii="宋体" w:hAnsi="宋体" w:eastAsia="宋体" w:cs="宋体"/>
                <w:color w:val="auto"/>
                <w:sz w:val="24"/>
                <w:szCs w:val="24"/>
              </w:rPr>
              <w:t>年本</w:t>
            </w:r>
            <w:r>
              <w:rPr>
                <w:rFonts w:hint="eastAsia" w:ascii="宋体" w:hAnsi="宋体" w:cs="宋体"/>
                <w:color w:val="auto"/>
                <w:sz w:val="24"/>
                <w:szCs w:val="24"/>
                <w:lang w:eastAsia="zh-CN"/>
              </w:rPr>
              <w:t>）</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的符合性</w:t>
            </w:r>
          </w:p>
          <w:p w14:paraId="6F5EAC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根据《产业结构调整指导目录</w:t>
            </w:r>
            <w:r>
              <w:rPr>
                <w:rFonts w:hint="eastAsia" w:ascii="宋体" w:hAnsi="宋体" w:cs="宋体"/>
                <w:color w:val="auto"/>
                <w:sz w:val="24"/>
                <w:szCs w:val="24"/>
                <w:lang w:eastAsia="zh-CN"/>
              </w:rPr>
              <w:t>（</w:t>
            </w:r>
            <w:r>
              <w:rPr>
                <w:rFonts w:hint="eastAsia" w:ascii="宋体" w:hAnsi="宋体" w:eastAsia="宋体" w:cs="宋体"/>
                <w:color w:val="auto"/>
                <w:sz w:val="24"/>
                <w:szCs w:val="24"/>
              </w:rPr>
              <w:t>20</w:t>
            </w:r>
            <w:r>
              <w:rPr>
                <w:rFonts w:hint="eastAsia" w:ascii="宋体" w:hAnsi="宋体" w:eastAsia="宋体" w:cs="宋体"/>
                <w:color w:val="auto"/>
                <w:sz w:val="24"/>
                <w:szCs w:val="24"/>
                <w:lang w:val="en-US" w:eastAsia="zh-CN"/>
              </w:rPr>
              <w:t>24</w:t>
            </w:r>
            <w:r>
              <w:rPr>
                <w:rFonts w:hint="eastAsia" w:ascii="宋体" w:hAnsi="宋体" w:eastAsia="宋体" w:cs="宋体"/>
                <w:color w:val="auto"/>
                <w:sz w:val="24"/>
                <w:szCs w:val="24"/>
              </w:rPr>
              <w:t>年本</w:t>
            </w:r>
            <w:r>
              <w:rPr>
                <w:rFonts w:hint="eastAsia" w:ascii="宋体" w:hAnsi="宋体" w:cs="宋体"/>
                <w:color w:val="auto"/>
                <w:sz w:val="24"/>
                <w:szCs w:val="24"/>
                <w:lang w:eastAsia="zh-CN"/>
              </w:rPr>
              <w:t>）</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，本项目</w:t>
            </w:r>
            <w:r>
              <w:rPr>
                <w:rFonts w:hint="eastAsia" w:ascii="宋体" w:hAnsi="宋体" w:eastAsia="宋体" w:cs="宋体"/>
                <w:color w:val="auto"/>
                <w:sz w:val="24"/>
                <w:szCs w:val="24"/>
                <w:lang w:val="en-US" w:eastAsia="zh-CN"/>
              </w:rPr>
              <w:t>属于</w:t>
            </w:r>
            <w:r>
              <w:rPr>
                <w:rFonts w:hint="eastAsia" w:ascii="宋体" w:hAnsi="宋体" w:eastAsia="宋体" w:cs="宋体"/>
                <w:color w:val="auto"/>
                <w:sz w:val="24"/>
                <w:lang w:val="en-US" w:eastAsia="zh-CN"/>
              </w:rPr>
              <w:t>“第一类 鼓励类”第四部分“电力”第10条“电网改造与建设，增量配电网建设”，符合国家产业政策。</w:t>
            </w:r>
          </w:p>
          <w:p w14:paraId="244FCACF">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2</w:t>
            </w:r>
            <w:r>
              <w:rPr>
                <w:rFonts w:hint="eastAsia" w:ascii="宋体" w:hAnsi="宋体" w:eastAsia="宋体" w:cs="宋体"/>
                <w:color w:val="auto"/>
                <w:sz w:val="24"/>
                <w:lang w:eastAsia="zh-CN"/>
              </w:rPr>
              <w:t>）</w:t>
            </w:r>
            <w:r>
              <w:rPr>
                <w:rFonts w:hint="eastAsia" w:ascii="宋体" w:hAnsi="宋体" w:eastAsia="宋体" w:cs="宋体"/>
                <w:color w:val="auto"/>
                <w:sz w:val="24"/>
              </w:rPr>
              <w:t>与《西部地区鼓励类产业目录</w:t>
            </w:r>
            <w:r>
              <w:rPr>
                <w:rFonts w:hint="eastAsia" w:ascii="宋体" w:hAnsi="宋体" w:eastAsia="宋体" w:cs="宋体"/>
                <w:color w:val="auto"/>
                <w:sz w:val="24"/>
                <w:lang w:eastAsia="zh-CN"/>
              </w:rPr>
              <w:t>（</w:t>
            </w:r>
            <w:r>
              <w:rPr>
                <w:rFonts w:hint="eastAsia" w:ascii="宋体" w:hAnsi="宋体" w:eastAsia="宋体" w:cs="宋体"/>
                <w:color w:val="auto"/>
                <w:sz w:val="24"/>
              </w:rPr>
              <w:t>202</w:t>
            </w:r>
            <w:r>
              <w:rPr>
                <w:rFonts w:hint="eastAsia" w:ascii="宋体" w:hAnsi="宋体" w:eastAsia="宋体" w:cs="宋体"/>
                <w:color w:val="auto"/>
                <w:sz w:val="24"/>
                <w:lang w:val="en-US" w:eastAsia="zh-CN"/>
              </w:rPr>
              <w:t>5</w:t>
            </w:r>
            <w:r>
              <w:rPr>
                <w:rFonts w:hint="eastAsia" w:ascii="宋体" w:hAnsi="宋体" w:eastAsia="宋体" w:cs="宋体"/>
                <w:color w:val="auto"/>
                <w:sz w:val="24"/>
              </w:rPr>
              <w:t>年本</w:t>
            </w:r>
            <w:r>
              <w:rPr>
                <w:rFonts w:hint="eastAsia" w:ascii="宋体" w:hAnsi="宋体" w:eastAsia="宋体" w:cs="宋体"/>
                <w:color w:val="auto"/>
                <w:sz w:val="24"/>
                <w:lang w:eastAsia="zh-CN"/>
              </w:rPr>
              <w:t>）</w:t>
            </w:r>
            <w:r>
              <w:rPr>
                <w:rFonts w:hint="eastAsia" w:ascii="宋体" w:hAnsi="宋体" w:eastAsia="宋体" w:cs="宋体"/>
                <w:color w:val="auto"/>
                <w:sz w:val="24"/>
              </w:rPr>
              <w:t>》的符合性</w:t>
            </w:r>
          </w:p>
          <w:p w14:paraId="3A3241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本项目属于《西部地区鼓励类产业目录</w:t>
            </w:r>
            <w:r>
              <w:rPr>
                <w:rFonts w:hint="eastAsia" w:ascii="宋体" w:hAnsi="宋体" w:eastAsia="宋体" w:cs="宋体"/>
                <w:color w:val="auto"/>
                <w:sz w:val="24"/>
                <w:lang w:eastAsia="zh-CN"/>
              </w:rPr>
              <w:t>（</w:t>
            </w:r>
            <w:r>
              <w:rPr>
                <w:rFonts w:hint="eastAsia" w:ascii="宋体" w:hAnsi="宋体" w:eastAsia="宋体" w:cs="宋体"/>
                <w:color w:val="auto"/>
                <w:sz w:val="24"/>
              </w:rPr>
              <w:t>202</w:t>
            </w:r>
            <w:r>
              <w:rPr>
                <w:rFonts w:hint="eastAsia" w:ascii="宋体" w:hAnsi="宋体" w:eastAsia="宋体" w:cs="宋体"/>
                <w:color w:val="auto"/>
                <w:sz w:val="24"/>
                <w:lang w:val="en-US" w:eastAsia="zh-CN"/>
              </w:rPr>
              <w:t>5</w:t>
            </w:r>
            <w:r>
              <w:rPr>
                <w:rFonts w:hint="eastAsia" w:ascii="宋体" w:hAnsi="宋体" w:eastAsia="宋体" w:cs="宋体"/>
                <w:color w:val="auto"/>
                <w:sz w:val="24"/>
              </w:rPr>
              <w:t>年本</w:t>
            </w:r>
            <w:r>
              <w:rPr>
                <w:rFonts w:hint="eastAsia" w:ascii="宋体" w:hAnsi="宋体" w:eastAsia="宋体" w:cs="宋体"/>
                <w:color w:val="auto"/>
                <w:sz w:val="24"/>
                <w:lang w:eastAsia="zh-CN"/>
              </w:rPr>
              <w:t>）</w:t>
            </w:r>
            <w:r>
              <w:rPr>
                <w:rFonts w:hint="eastAsia" w:ascii="宋体" w:hAnsi="宋体" w:eastAsia="宋体" w:cs="宋体"/>
                <w:color w:val="auto"/>
                <w:sz w:val="24"/>
              </w:rPr>
              <w:t>》</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中华人民共和国</w:t>
            </w:r>
            <w:r>
              <w:rPr>
                <w:rFonts w:hint="eastAsia" w:ascii="宋体" w:hAnsi="宋体" w:eastAsia="宋体" w:cs="宋体"/>
                <w:color w:val="auto"/>
                <w:sz w:val="24"/>
              </w:rPr>
              <w:t>国家发展和改革委员会令第</w:t>
            </w:r>
            <w:r>
              <w:rPr>
                <w:rFonts w:hint="eastAsia" w:ascii="宋体" w:hAnsi="宋体" w:eastAsia="宋体" w:cs="宋体"/>
                <w:color w:val="auto"/>
                <w:sz w:val="24"/>
                <w:lang w:val="en-US" w:eastAsia="zh-CN"/>
              </w:rPr>
              <w:t>28</w:t>
            </w:r>
            <w:r>
              <w:rPr>
                <w:rFonts w:hint="eastAsia" w:ascii="宋体" w:hAnsi="宋体" w:eastAsia="宋体" w:cs="宋体"/>
                <w:color w:val="auto"/>
                <w:sz w:val="24"/>
              </w:rPr>
              <w:t>号</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文</w:t>
            </w:r>
            <w:r>
              <w:rPr>
                <w:rFonts w:hint="eastAsia" w:ascii="宋体" w:hAnsi="宋体" w:eastAsia="宋体" w:cs="宋体"/>
                <w:color w:val="auto"/>
                <w:sz w:val="24"/>
              </w:rPr>
              <w:t>中</w:t>
            </w:r>
            <w:r>
              <w:rPr>
                <w:rFonts w:hint="eastAsia" w:ascii="宋体" w:hAnsi="宋体" w:eastAsia="宋体" w:cs="宋体"/>
                <w:color w:val="auto"/>
                <w:sz w:val="24"/>
                <w:lang w:eastAsia="zh-CN"/>
              </w:rPr>
              <w:t>（</w:t>
            </w:r>
            <w:r>
              <w:rPr>
                <w:rFonts w:hint="eastAsia" w:ascii="宋体" w:hAnsi="宋体" w:eastAsia="宋体" w:cs="宋体"/>
                <w:color w:val="auto"/>
                <w:sz w:val="24"/>
              </w:rPr>
              <w:t>十</w:t>
            </w:r>
            <w:r>
              <w:rPr>
                <w:rFonts w:hint="eastAsia" w:ascii="宋体" w:hAnsi="宋体" w:eastAsia="宋体" w:cs="宋体"/>
                <w:color w:val="auto"/>
                <w:sz w:val="24"/>
                <w:lang w:eastAsia="zh-CN"/>
              </w:rPr>
              <w:t>）</w:t>
            </w:r>
            <w:r>
              <w:rPr>
                <w:rFonts w:hint="eastAsia" w:ascii="宋体" w:hAnsi="宋体" w:eastAsia="宋体" w:cs="宋体"/>
                <w:color w:val="auto"/>
                <w:sz w:val="24"/>
              </w:rPr>
              <w:t>新疆维吾尔自治区</w:t>
            </w:r>
            <w:r>
              <w:rPr>
                <w:rFonts w:hint="eastAsia" w:ascii="宋体" w:hAnsi="宋体" w:eastAsia="宋体" w:cs="宋体"/>
                <w:color w:val="auto"/>
                <w:sz w:val="24"/>
                <w:lang w:eastAsia="zh-CN"/>
              </w:rPr>
              <w:t>（</w:t>
            </w:r>
            <w:r>
              <w:rPr>
                <w:rFonts w:hint="eastAsia" w:ascii="宋体" w:hAnsi="宋体" w:eastAsia="宋体" w:cs="宋体"/>
                <w:color w:val="auto"/>
                <w:sz w:val="24"/>
              </w:rPr>
              <w:t>含新疆生产建设兵团</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30.高压输变电、新能源输变电。</w:t>
            </w:r>
          </w:p>
          <w:p w14:paraId="5D6A8E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综上，</w:t>
            </w:r>
            <w:r>
              <w:rPr>
                <w:rFonts w:hint="eastAsia" w:ascii="宋体" w:hAnsi="宋体" w:eastAsia="宋体" w:cs="宋体"/>
                <w:color w:val="auto"/>
                <w:sz w:val="24"/>
              </w:rPr>
              <w:t>本项目的建设符合国家及西部地区的产业政策要求。</w:t>
            </w:r>
          </w:p>
          <w:p w14:paraId="2810BAD6">
            <w:pPr>
              <w:keepNext w:val="0"/>
              <w:keepLines w:val="0"/>
              <w:suppressLineNumbers w:val="0"/>
              <w:adjustRightInd w:val="0"/>
              <w:snapToGrid w:val="0"/>
              <w:spacing w:before="0" w:beforeAutospacing="0" w:after="0" w:afterAutospacing="0" w:line="360" w:lineRule="auto"/>
              <w:ind w:left="0" w:right="0"/>
              <w:jc w:val="both"/>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生态环境分区管控</w:t>
            </w:r>
            <w:r>
              <w:rPr>
                <w:rFonts w:hint="eastAsia" w:ascii="宋体" w:hAnsi="宋体" w:eastAsia="宋体" w:cs="宋体"/>
                <w:b/>
                <w:bCs/>
                <w:color w:val="auto"/>
                <w:sz w:val="24"/>
                <w:szCs w:val="24"/>
                <w:highlight w:val="none"/>
              </w:rPr>
              <w:t>”符合性分析</w:t>
            </w:r>
          </w:p>
          <w:p w14:paraId="40187A06">
            <w:pPr>
              <w:keepNext w:val="0"/>
              <w:keepLines w:val="0"/>
              <w:suppressLineNumbers w:val="0"/>
              <w:autoSpaceDE w:val="0"/>
              <w:autoSpaceDN w:val="0"/>
              <w:snapToGrid w:val="0"/>
              <w:spacing w:before="0" w:beforeAutospacing="0" w:after="0" w:afterAutospacing="0" w:line="360" w:lineRule="auto"/>
              <w:ind w:left="0" w:right="0"/>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lang w:val="en-US" w:eastAsia="zh-CN"/>
              </w:rPr>
              <w:t>2.1</w:t>
            </w:r>
            <w:r>
              <w:rPr>
                <w:rFonts w:hint="eastAsia" w:ascii="宋体" w:hAnsi="宋体" w:eastAsia="宋体" w:cs="宋体"/>
                <w:b/>
                <w:bCs/>
                <w:color w:val="auto"/>
                <w:kern w:val="0"/>
                <w:sz w:val="24"/>
                <w:szCs w:val="24"/>
                <w:highlight w:val="none"/>
                <w:lang w:bidi="ar"/>
              </w:rPr>
              <w:t>与</w:t>
            </w:r>
            <w:r>
              <w:rPr>
                <w:rFonts w:hint="eastAsia" w:ascii="宋体" w:hAnsi="宋体" w:eastAsia="宋体" w:cs="宋体"/>
                <w:b/>
                <w:bCs/>
                <w:color w:val="auto"/>
                <w:kern w:val="0"/>
                <w:sz w:val="24"/>
                <w:szCs w:val="24"/>
                <w:highlight w:val="none"/>
                <w:lang w:eastAsia="zh-CN" w:bidi="ar"/>
              </w:rPr>
              <w:t>“</w:t>
            </w:r>
            <w:r>
              <w:rPr>
                <w:rFonts w:hint="eastAsia" w:ascii="宋体" w:hAnsi="宋体" w:eastAsia="宋体" w:cs="宋体"/>
                <w:b/>
                <w:color w:val="auto"/>
                <w:sz w:val="24"/>
                <w:szCs w:val="24"/>
                <w:highlight w:val="none"/>
                <w:lang w:val="en-US" w:eastAsia="zh-CN"/>
              </w:rPr>
              <w:t>关于印发《新疆维吾尔自治区生态环境分区管控动态更新成果》的通知”</w:t>
            </w:r>
            <w:r>
              <w:rPr>
                <w:rFonts w:hint="eastAsia" w:ascii="宋体" w:hAnsi="宋体" w:cs="宋体"/>
                <w:b/>
                <w:color w:val="auto"/>
                <w:sz w:val="24"/>
                <w:szCs w:val="24"/>
                <w:highlight w:val="none"/>
                <w:lang w:val="en-US" w:eastAsia="zh-CN"/>
              </w:rPr>
              <w:t>（</w:t>
            </w:r>
            <w:r>
              <w:rPr>
                <w:rFonts w:hint="eastAsia" w:ascii="宋体" w:hAnsi="宋体" w:eastAsia="宋体" w:cs="宋体"/>
                <w:b/>
                <w:color w:val="auto"/>
                <w:sz w:val="24"/>
                <w:szCs w:val="24"/>
                <w:highlight w:val="none"/>
                <w:lang w:val="en-US" w:eastAsia="zh-CN"/>
              </w:rPr>
              <w:t>新环环评发〔2024〕157号</w:t>
            </w:r>
            <w:r>
              <w:rPr>
                <w:rFonts w:hint="eastAsia" w:ascii="宋体" w:hAnsi="宋体" w:cs="宋体"/>
                <w:b/>
                <w:color w:val="auto"/>
                <w:sz w:val="24"/>
                <w:szCs w:val="24"/>
                <w:highlight w:val="none"/>
                <w:lang w:val="en-US" w:eastAsia="zh-CN"/>
              </w:rPr>
              <w:t>）</w:t>
            </w:r>
            <w:r>
              <w:rPr>
                <w:rFonts w:hint="eastAsia" w:ascii="宋体" w:hAnsi="宋体" w:eastAsia="宋体" w:cs="宋体"/>
                <w:b/>
                <w:color w:val="auto"/>
                <w:sz w:val="24"/>
                <w:szCs w:val="24"/>
                <w:highlight w:val="none"/>
              </w:rPr>
              <w:t>符合性分析</w:t>
            </w:r>
          </w:p>
          <w:p w14:paraId="6724D1F3">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rPr>
              <w:t>根据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关于印发《新疆维吾尔自治区生态环境分区管控动态更新成果》的通知”</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新环环评发〔2024〕157号</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，将</w:t>
            </w:r>
            <w:r>
              <w:rPr>
                <w:rFonts w:hint="eastAsia" w:ascii="宋体" w:hAnsi="宋体" w:eastAsia="宋体" w:cs="宋体"/>
                <w:color w:val="auto"/>
                <w:sz w:val="24"/>
                <w:szCs w:val="24"/>
                <w:highlight w:val="none"/>
                <w:lang w:eastAsia="zh-CN"/>
              </w:rPr>
              <w:t>本项目</w:t>
            </w:r>
            <w:r>
              <w:rPr>
                <w:rFonts w:hint="eastAsia" w:ascii="宋体" w:hAnsi="宋体" w:eastAsia="宋体" w:cs="宋体"/>
                <w:color w:val="auto"/>
                <w:sz w:val="24"/>
                <w:szCs w:val="24"/>
                <w:highlight w:val="none"/>
              </w:rPr>
              <w:t>与</w:t>
            </w:r>
            <w:r>
              <w:rPr>
                <w:rFonts w:hint="eastAsia" w:ascii="宋体" w:hAnsi="宋体" w:eastAsia="宋体" w:cs="宋体"/>
                <w:color w:val="auto"/>
                <w:sz w:val="24"/>
                <w:szCs w:val="24"/>
                <w:highlight w:val="none"/>
                <w:lang w:val="en-US" w:eastAsia="zh-CN"/>
              </w:rPr>
              <w:t>空间布局约束</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污染物排放管控</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环境风险防控</w:t>
            </w:r>
            <w:r>
              <w:rPr>
                <w:rFonts w:hint="eastAsia" w:ascii="宋体" w:hAnsi="宋体" w:eastAsia="宋体" w:cs="宋体"/>
                <w:color w:val="auto"/>
                <w:sz w:val="24"/>
                <w:szCs w:val="24"/>
                <w:highlight w:val="none"/>
              </w:rPr>
              <w:t>和</w:t>
            </w:r>
            <w:r>
              <w:rPr>
                <w:rFonts w:hint="eastAsia" w:ascii="宋体" w:hAnsi="宋体" w:eastAsia="宋体" w:cs="宋体"/>
                <w:color w:val="auto"/>
                <w:sz w:val="24"/>
                <w:szCs w:val="24"/>
                <w:highlight w:val="none"/>
                <w:lang w:val="en-US" w:eastAsia="zh-CN"/>
              </w:rPr>
              <w:t>资源利用</w:t>
            </w:r>
            <w:r>
              <w:rPr>
                <w:rFonts w:hint="eastAsia" w:ascii="宋体" w:hAnsi="宋体" w:eastAsia="宋体" w:cs="宋体"/>
                <w:color w:val="auto"/>
                <w:sz w:val="24"/>
                <w:szCs w:val="24"/>
                <w:highlight w:val="none"/>
              </w:rPr>
              <w:t>相关要求对比分析，详见表1-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p>
          <w:p w14:paraId="19063BF8">
            <w:pPr>
              <w:keepNext w:val="0"/>
              <w:keepLines w:val="0"/>
              <w:pageBreakBefore w:val="0"/>
              <w:widowControl w:val="0"/>
              <w:suppressLineNumbers w:val="0"/>
              <w:tabs>
                <w:tab w:val="left" w:pos="1699"/>
                <w:tab w:val="center" w:pos="3594"/>
                <w:tab w:val="left" w:pos="4586"/>
                <w:tab w:val="left" w:pos="5786"/>
              </w:tabs>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outlineLvl w:val="9"/>
              <w:rPr>
                <w:rFonts w:hint="eastAsia" w:ascii="宋体" w:hAnsi="宋体" w:eastAsia="宋体" w:cs="宋体"/>
                <w:color w:val="auto"/>
                <w:lang w:val="en-US" w:eastAsia="zh-CN"/>
              </w:rPr>
            </w:pPr>
            <w:r>
              <w:rPr>
                <w:rFonts w:hint="eastAsia" w:ascii="宋体" w:hAnsi="宋体" w:eastAsia="宋体" w:cs="宋体"/>
                <w:b/>
                <w:bCs/>
                <w:color w:val="auto"/>
                <w:sz w:val="24"/>
                <w:szCs w:val="24"/>
              </w:rPr>
              <w:t>表1</w:t>
            </w:r>
            <w:r>
              <w:rPr>
                <w:rFonts w:hint="eastAsia" w:ascii="宋体" w:hAnsi="宋体" w:eastAsia="宋体" w:cs="宋体"/>
                <w:b/>
                <w:bCs/>
                <w:color w:val="auto"/>
                <w:sz w:val="24"/>
                <w:szCs w:val="24"/>
                <w:lang w:val="en-US" w:eastAsia="zh-CN"/>
              </w:rPr>
              <w:t>-1    本项目与新环环评发〔2024〕157号相符性分析</w:t>
            </w:r>
          </w:p>
          <w:tbl>
            <w:tblPr>
              <w:tblStyle w:val="33"/>
              <w:tblW w:w="493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64"/>
              <w:gridCol w:w="2665"/>
              <w:gridCol w:w="707"/>
            </w:tblGrid>
            <w:tr w14:paraId="40D6BC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33" w:type="pct"/>
                  <w:tcBorders>
                    <w:tl2br w:val="nil"/>
                    <w:tr2bl w:val="nil"/>
                  </w:tcBorders>
                  <w:vAlign w:val="center"/>
                </w:tcPr>
                <w:p w14:paraId="45975D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新环环评发〔2024〕157号</w:t>
                  </w:r>
                  <w:r>
                    <w:rPr>
                      <w:rFonts w:hint="eastAsia" w:ascii="宋体" w:hAnsi="宋体" w:eastAsia="宋体" w:cs="宋体"/>
                      <w:color w:val="auto"/>
                    </w:rPr>
                    <w:t>文要求</w:t>
                  </w:r>
                </w:p>
              </w:tc>
              <w:tc>
                <w:tcPr>
                  <w:tcW w:w="1949" w:type="pct"/>
                  <w:tcBorders>
                    <w:tl2br w:val="nil"/>
                    <w:tr2bl w:val="nil"/>
                  </w:tcBorders>
                  <w:vAlign w:val="center"/>
                </w:tcPr>
                <w:p w14:paraId="173725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zh-CN"/>
                    </w:rPr>
                    <w:t>本</w:t>
                  </w:r>
                  <w:r>
                    <w:rPr>
                      <w:rFonts w:hint="eastAsia" w:ascii="宋体" w:hAnsi="宋体" w:eastAsia="宋体" w:cs="宋体"/>
                      <w:color w:val="auto"/>
                    </w:rPr>
                    <w:t>项目</w:t>
                  </w:r>
                </w:p>
              </w:tc>
              <w:tc>
                <w:tcPr>
                  <w:tcW w:w="517" w:type="pct"/>
                  <w:tcBorders>
                    <w:tl2br w:val="nil"/>
                    <w:tr2bl w:val="nil"/>
                  </w:tcBorders>
                  <w:vAlign w:val="center"/>
                </w:tcPr>
                <w:p w14:paraId="4B7F7C45">
                  <w:pPr>
                    <w:keepNext w:val="0"/>
                    <w:keepLines w:val="0"/>
                    <w:widowControl w:val="0"/>
                    <w:suppressLineNumbers w:val="0"/>
                    <w:adjustRightInd w:val="0"/>
                    <w:snapToGrid w:val="0"/>
                    <w:spacing w:before="0" w:beforeAutospacing="0" w:after="0" w:afterAutospacing="0" w:line="240" w:lineRule="auto"/>
                    <w:ind w:left="0" w:right="0"/>
                    <w:jc w:val="center"/>
                    <w:outlineLvl w:val="9"/>
                    <w:rPr>
                      <w:rFonts w:hint="eastAsia" w:ascii="宋体" w:hAnsi="宋体" w:eastAsia="宋体" w:cs="宋体"/>
                      <w:color w:val="auto"/>
                      <w:lang w:val="en-US" w:eastAsia="zh-CN"/>
                    </w:rPr>
                  </w:pPr>
                  <w:r>
                    <w:rPr>
                      <w:rFonts w:hint="eastAsia" w:ascii="宋体" w:hAnsi="宋体" w:eastAsia="宋体" w:cs="宋体"/>
                      <w:color w:val="auto"/>
                      <w:lang w:val="zh-CN"/>
                    </w:rPr>
                    <w:t>相符性</w:t>
                  </w:r>
                </w:p>
              </w:tc>
            </w:tr>
            <w:tr w14:paraId="49034F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33" w:type="pct"/>
                  <w:tcBorders>
                    <w:tl2br w:val="nil"/>
                    <w:tr2bl w:val="nil"/>
                  </w:tcBorders>
                  <w:vAlign w:val="center"/>
                </w:tcPr>
                <w:p w14:paraId="2A2EEBA4">
                  <w:pPr>
                    <w:keepNext w:val="0"/>
                    <w:keepLines w:val="0"/>
                    <w:widowControl w:val="0"/>
                    <w:suppressLineNumbers w:val="0"/>
                    <w:adjustRightInd w:val="0"/>
                    <w:snapToGrid w:val="0"/>
                    <w:spacing w:before="0" w:beforeAutospacing="0" w:after="0" w:afterAutospacing="0" w:line="240" w:lineRule="auto"/>
                    <w:ind w:left="0" w:right="0"/>
                    <w:jc w:val="both"/>
                    <w:outlineLvl w:val="9"/>
                    <w:rPr>
                      <w:rFonts w:hint="eastAsia" w:ascii="宋体" w:hAnsi="宋体" w:eastAsia="宋体" w:cs="宋体"/>
                      <w:color w:val="auto"/>
                      <w:lang w:val="en-US" w:eastAsia="zh-CN"/>
                    </w:rPr>
                  </w:pPr>
                  <w:r>
                    <w:rPr>
                      <w:rFonts w:hint="eastAsia" w:ascii="宋体" w:hAnsi="宋体" w:eastAsia="宋体" w:cs="宋体"/>
                      <w:b/>
                      <w:bCs/>
                      <w:color w:val="auto"/>
                      <w:lang w:val="en-US" w:eastAsia="zh-CN"/>
                    </w:rPr>
                    <w:t>空间布局约束</w:t>
                  </w:r>
                  <w:r>
                    <w:rPr>
                      <w:rFonts w:hint="eastAsia" w:ascii="宋体" w:hAnsi="宋体" w:eastAsia="宋体" w:cs="宋体"/>
                      <w:b/>
                      <w:bCs/>
                      <w:color w:val="auto"/>
                      <w:lang w:eastAsia="zh-CN"/>
                    </w:rPr>
                    <w:t>：</w:t>
                  </w:r>
                  <w:r>
                    <w:rPr>
                      <w:rFonts w:hint="eastAsia" w:ascii="宋体" w:hAnsi="宋体" w:eastAsia="宋体" w:cs="宋体"/>
                      <w:color w:val="auto"/>
                    </w:rPr>
                    <w:t>〔A1.1-1〕禁止新建、扩建《产业结构调整指导目录</w:t>
                  </w:r>
                  <w:r>
                    <w:rPr>
                      <w:rFonts w:hint="eastAsia" w:ascii="宋体" w:hAnsi="宋体" w:cs="宋体"/>
                      <w:color w:val="auto"/>
                      <w:lang w:eastAsia="zh-CN"/>
                    </w:rPr>
                    <w:t>（</w:t>
                  </w:r>
                  <w:r>
                    <w:rPr>
                      <w:rFonts w:hint="eastAsia" w:ascii="宋体" w:hAnsi="宋体" w:eastAsia="宋体" w:cs="宋体"/>
                      <w:color w:val="auto"/>
                    </w:rPr>
                    <w:t>2024年本</w:t>
                  </w:r>
                  <w:r>
                    <w:rPr>
                      <w:rFonts w:hint="eastAsia" w:ascii="宋体" w:hAnsi="宋体" w:cs="宋体"/>
                      <w:color w:val="auto"/>
                      <w:lang w:eastAsia="zh-CN"/>
                    </w:rPr>
                    <w:t>）</w:t>
                  </w:r>
                  <w:r>
                    <w:rPr>
                      <w:rFonts w:hint="eastAsia" w:ascii="宋体" w:hAnsi="宋体" w:eastAsia="宋体" w:cs="宋体"/>
                      <w:color w:val="auto"/>
                    </w:rPr>
                    <w:t>》中淘汰类项目。禁止引入《市场准入负面清单</w:t>
                  </w:r>
                  <w:r>
                    <w:rPr>
                      <w:rFonts w:hint="eastAsia" w:ascii="宋体" w:hAnsi="宋体" w:cs="宋体"/>
                      <w:color w:val="auto"/>
                      <w:lang w:eastAsia="zh-CN"/>
                    </w:rPr>
                    <w:t>（</w:t>
                  </w:r>
                  <w:r>
                    <w:rPr>
                      <w:rFonts w:hint="eastAsia" w:ascii="宋体" w:hAnsi="宋体" w:eastAsia="宋体" w:cs="宋体"/>
                      <w:color w:val="auto"/>
                    </w:rPr>
                    <w:t>2022年版</w:t>
                  </w:r>
                  <w:r>
                    <w:rPr>
                      <w:rFonts w:hint="eastAsia" w:ascii="宋体" w:hAnsi="宋体" w:cs="宋体"/>
                      <w:color w:val="auto"/>
                      <w:lang w:eastAsia="zh-CN"/>
                    </w:rPr>
                    <w:t>）</w:t>
                  </w:r>
                  <w:r>
                    <w:rPr>
                      <w:rFonts w:hint="eastAsia" w:ascii="宋体" w:hAnsi="宋体" w:eastAsia="宋体" w:cs="宋体"/>
                      <w:color w:val="auto"/>
                    </w:rPr>
                    <w:t>》禁止准入类事项。〔A1.1-2〕禁止建设不符合国家和自治区环境保护标准的项目</w:t>
                  </w:r>
                  <w:r>
                    <w:rPr>
                      <w:rFonts w:hint="eastAsia" w:ascii="宋体" w:hAnsi="宋体" w:eastAsia="宋体" w:cs="宋体"/>
                      <w:color w:val="auto"/>
                      <w:lang w:eastAsia="zh-CN"/>
                    </w:rPr>
                    <w:t>。</w:t>
                  </w:r>
                  <w:r>
                    <w:rPr>
                      <w:rFonts w:hint="eastAsia" w:ascii="宋体" w:hAnsi="宋体" w:eastAsia="宋体" w:cs="宋体"/>
                      <w:color w:val="auto"/>
                      <w:lang w:val="en-US" w:eastAsia="zh-CN"/>
                    </w:rPr>
                    <w:t>〔A1.2-2〕建设项目用地原则上不得占用永久基本农田，确需占用永久基本农田的建设项目须符合《中华人民共和国基本农田保护条例》</w:t>
                  </w:r>
                  <w:r>
                    <w:rPr>
                      <w:rFonts w:hint="eastAsia" w:ascii="宋体" w:hAnsi="宋体" w:cs="宋体"/>
                      <w:color w:val="auto"/>
                      <w:lang w:val="en-US" w:eastAsia="zh-CN"/>
                    </w:rPr>
                    <w:t>中的</w:t>
                  </w:r>
                  <w:r>
                    <w:rPr>
                      <w:rFonts w:hint="eastAsia" w:ascii="宋体" w:hAnsi="宋体" w:eastAsia="宋体" w:cs="宋体"/>
                      <w:color w:val="auto"/>
                      <w:lang w:val="en-US" w:eastAsia="zh-CN"/>
                    </w:rPr>
                    <w:t>相关要求，占用耕地、林地或草地的建设项目须按照国家、自治区相关补偿要求进行补偿。〔A1.4-1〕一切开发建设活动应符合国家、自治区主体功能区规划自治区和各地颁布实施的生态环境功能区划、国民经济发展规划、产业发展规划、国土空间规划等相关规划及重点生态功能区负面清单要求，符合区域或产业规划环评要求。</w:t>
                  </w:r>
                </w:p>
              </w:tc>
              <w:tc>
                <w:tcPr>
                  <w:tcW w:w="1949" w:type="pct"/>
                  <w:tcBorders>
                    <w:tl2br w:val="nil"/>
                    <w:tr2bl w:val="nil"/>
                  </w:tcBorders>
                  <w:vAlign w:val="center"/>
                </w:tcPr>
                <w:p w14:paraId="41124F78">
                  <w:pPr>
                    <w:keepNext w:val="0"/>
                    <w:keepLines w:val="0"/>
                    <w:widowControl w:val="0"/>
                    <w:suppressLineNumbers w:val="0"/>
                    <w:adjustRightInd w:val="0"/>
                    <w:snapToGrid w:val="0"/>
                    <w:spacing w:before="0" w:beforeAutospacing="0" w:after="0" w:afterAutospacing="0" w:line="240" w:lineRule="auto"/>
                    <w:ind w:left="0" w:right="0"/>
                    <w:jc w:val="both"/>
                    <w:outlineLvl w:val="9"/>
                    <w:rPr>
                      <w:rFonts w:hint="eastAsia" w:ascii="宋体" w:hAnsi="宋体" w:eastAsia="宋体" w:cs="宋体"/>
                      <w:color w:val="auto"/>
                      <w:lang w:val="en-US" w:eastAsia="zh-CN"/>
                    </w:rPr>
                  </w:pPr>
                  <w:r>
                    <w:rPr>
                      <w:rFonts w:hint="eastAsia" w:ascii="宋体" w:hAnsi="宋体" w:eastAsia="宋体" w:cs="宋体"/>
                      <w:color w:val="auto"/>
                    </w:rPr>
                    <w:t>本项目</w:t>
                  </w:r>
                  <w:r>
                    <w:rPr>
                      <w:rFonts w:hint="eastAsia" w:ascii="宋体" w:hAnsi="宋体" w:eastAsia="宋体" w:cs="宋体"/>
                      <w:color w:val="auto"/>
                      <w:lang w:val="en-US" w:eastAsia="zh-CN"/>
                    </w:rPr>
                    <w:t>属于</w:t>
                  </w:r>
                  <w:r>
                    <w:rPr>
                      <w:rFonts w:hint="eastAsia" w:ascii="宋体" w:hAnsi="宋体" w:eastAsia="宋体" w:cs="宋体"/>
                      <w:color w:val="auto"/>
                    </w:rPr>
                    <w:t>《产业结构调整指导目录</w:t>
                  </w:r>
                  <w:r>
                    <w:rPr>
                      <w:rFonts w:hint="eastAsia" w:ascii="宋体" w:hAnsi="宋体" w:cs="宋体"/>
                      <w:color w:val="auto"/>
                      <w:lang w:eastAsia="zh-CN"/>
                    </w:rPr>
                    <w:t>（</w:t>
                  </w:r>
                  <w:r>
                    <w:rPr>
                      <w:rFonts w:hint="eastAsia" w:ascii="宋体" w:hAnsi="宋体" w:eastAsia="宋体" w:cs="宋体"/>
                      <w:color w:val="auto"/>
                    </w:rPr>
                    <w:t>2024年本</w:t>
                  </w:r>
                  <w:r>
                    <w:rPr>
                      <w:rFonts w:hint="eastAsia" w:ascii="宋体" w:hAnsi="宋体" w:cs="宋体"/>
                      <w:color w:val="auto"/>
                      <w:lang w:eastAsia="zh-CN"/>
                    </w:rPr>
                    <w:t>）</w:t>
                  </w:r>
                  <w:r>
                    <w:rPr>
                      <w:rFonts w:hint="eastAsia" w:ascii="宋体" w:hAnsi="宋体" w:eastAsia="宋体" w:cs="宋体"/>
                      <w:color w:val="auto"/>
                    </w:rPr>
                    <w:t>》</w:t>
                  </w:r>
                  <w:r>
                    <w:rPr>
                      <w:rFonts w:hint="eastAsia" w:ascii="宋体" w:hAnsi="宋体" w:cs="宋体"/>
                      <w:color w:val="auto"/>
                      <w:lang w:val="en-US" w:eastAsia="zh-CN"/>
                    </w:rPr>
                    <w:t>中</w:t>
                  </w:r>
                  <w:r>
                    <w:rPr>
                      <w:rFonts w:hint="eastAsia" w:ascii="宋体" w:hAnsi="宋体" w:eastAsia="宋体" w:cs="宋体"/>
                      <w:color w:val="auto"/>
                      <w:lang w:val="en-US" w:eastAsia="zh-CN"/>
                    </w:rPr>
                    <w:t>“第一类 鼓励类”第四部分“电力”第10条“电网改造与建设，增量配电网建设”，项目符合国家产业政策。</w:t>
                  </w:r>
                </w:p>
                <w:p w14:paraId="3DE65E14">
                  <w:pPr>
                    <w:keepNext w:val="0"/>
                    <w:keepLines w:val="0"/>
                    <w:widowControl w:val="0"/>
                    <w:suppressLineNumbers w:val="0"/>
                    <w:adjustRightInd w:val="0"/>
                    <w:snapToGrid w:val="0"/>
                    <w:spacing w:before="0" w:beforeAutospacing="0" w:after="0" w:afterAutospacing="0" w:line="240" w:lineRule="auto"/>
                    <w:ind w:left="0" w:right="0"/>
                    <w:jc w:val="both"/>
                    <w:outlineLvl w:val="9"/>
                    <w:rPr>
                      <w:rFonts w:hint="eastAsia" w:ascii="宋体" w:hAnsi="宋体" w:eastAsia="宋体" w:cs="宋体"/>
                      <w:color w:val="0000FF"/>
                      <w:lang w:val="en-US" w:eastAsia="zh-CN"/>
                    </w:rPr>
                  </w:pPr>
                  <w:r>
                    <w:rPr>
                      <w:rFonts w:hint="eastAsia" w:ascii="宋体" w:hAnsi="宋体" w:eastAsia="宋体" w:cs="宋体"/>
                      <w:color w:val="auto"/>
                      <w:lang w:val="en-US" w:eastAsia="zh-CN"/>
                    </w:rPr>
                    <w:t>本项目不涉及自然保护区、风景名胜区、水源地保护区等生态保护目标。本项目建设不涉及生态保护红线、永久基本农田。</w:t>
                  </w:r>
                </w:p>
              </w:tc>
              <w:tc>
                <w:tcPr>
                  <w:tcW w:w="517" w:type="pct"/>
                  <w:tcBorders>
                    <w:tl2br w:val="nil"/>
                    <w:tr2bl w:val="nil"/>
                  </w:tcBorders>
                  <w:vAlign w:val="center"/>
                </w:tcPr>
                <w:p w14:paraId="50F9E4D0">
                  <w:pPr>
                    <w:keepNext w:val="0"/>
                    <w:keepLines w:val="0"/>
                    <w:widowControl w:val="0"/>
                    <w:suppressLineNumbers w:val="0"/>
                    <w:adjustRightInd w:val="0"/>
                    <w:snapToGrid w:val="0"/>
                    <w:spacing w:before="0" w:beforeAutospacing="0" w:after="0" w:afterAutospacing="0" w:line="360" w:lineRule="auto"/>
                    <w:ind w:left="0" w:right="0"/>
                    <w:jc w:val="center"/>
                    <w:outlineLvl w:val="9"/>
                    <w:rPr>
                      <w:rFonts w:hint="eastAsia" w:ascii="宋体" w:hAnsi="宋体" w:eastAsia="宋体" w:cs="宋体"/>
                      <w:color w:val="0000FF"/>
                      <w:lang w:val="en-US" w:eastAsia="zh-CN"/>
                    </w:rPr>
                  </w:pPr>
                  <w:r>
                    <w:rPr>
                      <w:rFonts w:hint="eastAsia" w:ascii="宋体" w:hAnsi="宋体" w:eastAsia="宋体" w:cs="宋体"/>
                      <w:color w:val="auto"/>
                    </w:rPr>
                    <w:t>符合</w:t>
                  </w:r>
                </w:p>
              </w:tc>
            </w:tr>
            <w:tr w14:paraId="5B1098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33" w:type="pct"/>
                  <w:tcBorders>
                    <w:tl2br w:val="nil"/>
                    <w:tr2bl w:val="nil"/>
                  </w:tcBorders>
                  <w:vAlign w:val="center"/>
                </w:tcPr>
                <w:p w14:paraId="19437FC6">
                  <w:pPr>
                    <w:keepNext w:val="0"/>
                    <w:keepLines w:val="0"/>
                    <w:widowControl w:val="0"/>
                    <w:suppressLineNumbers w:val="0"/>
                    <w:adjustRightInd w:val="0"/>
                    <w:snapToGrid w:val="0"/>
                    <w:spacing w:before="0" w:beforeAutospacing="0" w:after="0" w:afterAutospacing="0" w:line="240" w:lineRule="auto"/>
                    <w:ind w:left="0" w:right="0"/>
                    <w:jc w:val="both"/>
                    <w:outlineLvl w:val="9"/>
                    <w:rPr>
                      <w:rFonts w:hint="eastAsia" w:ascii="宋体" w:hAnsi="宋体" w:eastAsia="宋体" w:cs="宋体"/>
                      <w:color w:val="auto"/>
                      <w:lang w:val="en-US" w:eastAsia="zh-CN"/>
                    </w:rPr>
                  </w:pPr>
                  <w:r>
                    <w:rPr>
                      <w:rFonts w:hint="eastAsia" w:ascii="宋体" w:hAnsi="宋体" w:eastAsia="宋体" w:cs="宋体"/>
                      <w:b/>
                      <w:bCs/>
                      <w:color w:val="auto"/>
                      <w:lang w:val="en-US" w:eastAsia="zh-CN"/>
                    </w:rPr>
                    <w:t>污染物排放管控：</w:t>
                  </w:r>
                  <w:r>
                    <w:rPr>
                      <w:rFonts w:hint="eastAsia" w:ascii="宋体" w:hAnsi="宋体" w:eastAsia="宋体" w:cs="宋体"/>
                      <w:color w:val="auto"/>
                      <w:lang w:val="en-US" w:eastAsia="zh-CN"/>
                    </w:rPr>
                    <w:t>〔A2.1-1〕新、改、扩建重点行业建设项目应符合“三线一单”、产业政策、区域环评、规划环评和行业环境准入管控要求。重点区域的新、改、扩建重点行业建设项目应遵循重点重金属污染物排放“减量替代”原则。〔A2.2-1〕推动能源、钢铁、建材、有色、电力、化工等重点领域技术升级，控制工业过程温室气体排放，推动工业领域绿色低碳发展。积极鼓励发展二氧化碳捕集利用与封存等低碳技术。促进大气污染物与温室气体协同控制。实施污染物和温室气体协同控制，实现减污降碳协同效应。强化污水、垃圾等集中处置设施环境管理协同控制氢氟碳化物、甲烷、氧化亚氮等温室气体。加强节约能源与大气污染防治协同有效衔接，促进大气污染防治协同增效。</w:t>
                  </w:r>
                </w:p>
              </w:tc>
              <w:tc>
                <w:tcPr>
                  <w:tcW w:w="1949" w:type="pct"/>
                  <w:tcBorders>
                    <w:tl2br w:val="nil"/>
                    <w:tr2bl w:val="nil"/>
                  </w:tcBorders>
                  <w:vAlign w:val="center"/>
                </w:tcPr>
                <w:p w14:paraId="272FE4B5">
                  <w:pPr>
                    <w:keepNext w:val="0"/>
                    <w:keepLines w:val="0"/>
                    <w:widowControl w:val="0"/>
                    <w:suppressLineNumbers w:val="0"/>
                    <w:adjustRightInd w:val="0"/>
                    <w:snapToGrid w:val="0"/>
                    <w:spacing w:before="0" w:beforeAutospacing="0" w:after="0" w:afterAutospacing="0" w:line="240" w:lineRule="auto"/>
                    <w:ind w:left="0" w:right="0"/>
                    <w:jc w:val="both"/>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本项目为新能源项目配套建设的输变电项目，项目建设有利于构建清洁低碳、安全高效的能源体系。运营期生产人员生活产生的食堂油烟经油烟机处理后排放；生活污水经地埋式一体化生活污水处理设施处理达标后用于荒漠生态恢复的灌溉，对环境质量影响较小。施工和运营均不涉及氢氟碳化物、甲烷、氧化亚氮等温室气体排放。</w:t>
                  </w:r>
                </w:p>
              </w:tc>
              <w:tc>
                <w:tcPr>
                  <w:tcW w:w="517" w:type="pct"/>
                  <w:tcBorders>
                    <w:tl2br w:val="nil"/>
                    <w:tr2bl w:val="nil"/>
                  </w:tcBorders>
                  <w:vAlign w:val="center"/>
                </w:tcPr>
                <w:p w14:paraId="070853B1">
                  <w:pPr>
                    <w:keepNext w:val="0"/>
                    <w:keepLines w:val="0"/>
                    <w:widowControl w:val="0"/>
                    <w:suppressLineNumbers w:val="0"/>
                    <w:adjustRightInd w:val="0"/>
                    <w:snapToGrid w:val="0"/>
                    <w:spacing w:before="0" w:beforeAutospacing="0" w:after="0" w:afterAutospacing="0" w:line="360" w:lineRule="auto"/>
                    <w:ind w:left="0" w:right="0"/>
                    <w:jc w:val="center"/>
                    <w:outlineLvl w:val="9"/>
                    <w:rPr>
                      <w:rFonts w:hint="eastAsia" w:ascii="宋体" w:hAnsi="宋体" w:eastAsia="宋体" w:cs="宋体"/>
                      <w:color w:val="auto"/>
                      <w:lang w:val="en-US" w:eastAsia="zh-CN"/>
                    </w:rPr>
                  </w:pPr>
                  <w:r>
                    <w:rPr>
                      <w:rFonts w:hint="eastAsia" w:ascii="宋体" w:hAnsi="宋体" w:eastAsia="宋体" w:cs="宋体"/>
                      <w:color w:val="auto"/>
                    </w:rPr>
                    <w:t>符合</w:t>
                  </w:r>
                </w:p>
              </w:tc>
            </w:tr>
            <w:tr w14:paraId="41DF0A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33" w:type="pct"/>
                  <w:tcBorders>
                    <w:tl2br w:val="nil"/>
                    <w:tr2bl w:val="nil"/>
                  </w:tcBorders>
                  <w:vAlign w:val="center"/>
                </w:tcPr>
                <w:p w14:paraId="6F0D729C">
                  <w:pPr>
                    <w:keepNext w:val="0"/>
                    <w:keepLines w:val="0"/>
                    <w:widowControl w:val="0"/>
                    <w:suppressLineNumbers w:val="0"/>
                    <w:adjustRightInd w:val="0"/>
                    <w:snapToGrid w:val="0"/>
                    <w:spacing w:before="0" w:beforeAutospacing="0" w:after="0" w:afterAutospacing="0" w:line="240" w:lineRule="auto"/>
                    <w:ind w:left="0" w:right="0"/>
                    <w:jc w:val="both"/>
                    <w:outlineLvl w:val="9"/>
                    <w:rPr>
                      <w:rFonts w:hint="eastAsia" w:ascii="宋体" w:hAnsi="宋体" w:eastAsia="宋体" w:cs="宋体"/>
                      <w:color w:val="auto"/>
                      <w:lang w:val="en-US" w:eastAsia="zh-CN"/>
                    </w:rPr>
                  </w:pPr>
                  <w:r>
                    <w:rPr>
                      <w:rFonts w:hint="eastAsia" w:ascii="宋体" w:hAnsi="宋体" w:eastAsia="宋体" w:cs="宋体"/>
                      <w:b/>
                      <w:bCs/>
                      <w:color w:val="auto"/>
                      <w:lang w:val="en-US" w:eastAsia="zh-CN"/>
                    </w:rPr>
                    <w:t>环境风险防控</w:t>
                  </w:r>
                  <w:r>
                    <w:rPr>
                      <w:rFonts w:hint="eastAsia" w:ascii="宋体" w:hAnsi="宋体" w:eastAsia="宋体" w:cs="宋体"/>
                      <w:b/>
                      <w:bCs/>
                      <w:color w:val="auto"/>
                      <w:lang w:eastAsia="zh-CN"/>
                    </w:rPr>
                    <w:t>：</w:t>
                  </w:r>
                  <w:r>
                    <w:rPr>
                      <w:rFonts w:hint="eastAsia" w:ascii="宋体" w:hAnsi="宋体" w:eastAsia="宋体" w:cs="宋体"/>
                      <w:color w:val="auto"/>
                    </w:rPr>
                    <w:t>〔A3.2-2〕依法推行农用地分类管理制度，强化受污染耕地安全利用和风险管控。因地制宜制定实施安全利用方案，鼓励采取种植结构调整等措施，确保受污染耕地全部实现安全利用。〔A3.2-4〕加强环境风险预警防控。加强涉危险废物企业、涉重金属企业、化工园区、集中式饮用水水源地及重点流域环境风险调查评估，实施分类分级风险管控，协同推进重点区域、流域生态环境污染综合防治、风险防控与生态修复。</w:t>
                  </w:r>
                </w:p>
              </w:tc>
              <w:tc>
                <w:tcPr>
                  <w:tcW w:w="1949" w:type="pct"/>
                  <w:tcBorders>
                    <w:tl2br w:val="nil"/>
                    <w:tr2bl w:val="nil"/>
                  </w:tcBorders>
                  <w:vAlign w:val="center"/>
                </w:tcPr>
                <w:p w14:paraId="5F59B8A2">
                  <w:pPr>
                    <w:keepNext w:val="0"/>
                    <w:keepLines w:val="0"/>
                    <w:widowControl w:val="0"/>
                    <w:suppressLineNumbers w:val="0"/>
                    <w:adjustRightInd w:val="0"/>
                    <w:snapToGrid w:val="0"/>
                    <w:spacing w:before="0" w:beforeAutospacing="0" w:after="0" w:afterAutospacing="0" w:line="240" w:lineRule="auto"/>
                    <w:ind w:left="0" w:right="0"/>
                    <w:jc w:val="both"/>
                    <w:outlineLvl w:val="9"/>
                    <w:rPr>
                      <w:rFonts w:hint="eastAsia" w:ascii="宋体" w:hAnsi="宋体" w:eastAsia="宋体" w:cs="宋体"/>
                      <w:color w:val="auto"/>
                      <w:lang w:eastAsia="zh-CN"/>
                    </w:rPr>
                  </w:pPr>
                  <w:r>
                    <w:rPr>
                      <w:rFonts w:hint="eastAsia" w:ascii="宋体" w:hAnsi="宋体" w:eastAsia="宋体" w:cs="宋体"/>
                      <w:color w:val="auto"/>
                      <w:lang w:eastAsia="zh-CN"/>
                    </w:rPr>
                    <w:t>本项目用地</w:t>
                  </w:r>
                  <w:r>
                    <w:rPr>
                      <w:rFonts w:hint="eastAsia" w:ascii="宋体" w:hAnsi="宋体" w:eastAsia="宋体" w:cs="宋体"/>
                      <w:color w:val="auto"/>
                      <w:lang w:val="en-US" w:eastAsia="zh-CN"/>
                    </w:rPr>
                    <w:t>类型主要为天然牧草地和裸地</w:t>
                  </w:r>
                  <w:r>
                    <w:rPr>
                      <w:rFonts w:hint="eastAsia" w:ascii="宋体" w:hAnsi="宋体" w:eastAsia="宋体" w:cs="宋体"/>
                      <w:color w:val="auto"/>
                      <w:lang w:eastAsia="zh-CN"/>
                    </w:rPr>
                    <w:t>，</w:t>
                  </w:r>
                  <w:r>
                    <w:rPr>
                      <w:rFonts w:hint="eastAsia" w:ascii="宋体" w:hAnsi="宋体" w:eastAsia="宋体" w:cs="宋体"/>
                      <w:color w:val="auto"/>
                      <w:lang w:val="en-US" w:eastAsia="zh-CN"/>
                    </w:rPr>
                    <w:t>不涉及农用地</w:t>
                  </w:r>
                  <w:r>
                    <w:rPr>
                      <w:rFonts w:hint="eastAsia" w:ascii="宋体" w:hAnsi="宋体" w:eastAsia="宋体" w:cs="宋体"/>
                      <w:color w:val="auto"/>
                      <w:lang w:eastAsia="zh-CN"/>
                    </w:rPr>
                    <w:t>。</w:t>
                  </w:r>
                </w:p>
                <w:p w14:paraId="4B964B6B">
                  <w:pPr>
                    <w:keepNext w:val="0"/>
                    <w:keepLines w:val="0"/>
                    <w:widowControl w:val="0"/>
                    <w:suppressLineNumbers w:val="0"/>
                    <w:adjustRightInd w:val="0"/>
                    <w:snapToGrid w:val="0"/>
                    <w:spacing w:before="0" w:beforeAutospacing="0" w:after="0" w:afterAutospacing="0" w:line="240" w:lineRule="auto"/>
                    <w:ind w:left="0" w:right="0"/>
                    <w:jc w:val="both"/>
                    <w:outlineLvl w:val="9"/>
                    <w:rPr>
                      <w:rFonts w:hint="eastAsia" w:ascii="宋体" w:hAnsi="宋体" w:eastAsia="宋体" w:cs="宋体"/>
                      <w:color w:val="auto"/>
                      <w:lang w:val="en-US" w:eastAsia="zh-CN"/>
                    </w:rPr>
                  </w:pPr>
                  <w:r>
                    <w:rPr>
                      <w:rFonts w:hint="eastAsia" w:ascii="宋体" w:hAnsi="宋体" w:eastAsia="宋体" w:cs="宋体"/>
                      <w:color w:val="auto"/>
                      <w:sz w:val="21"/>
                      <w:szCs w:val="21"/>
                      <w:highlight w:val="none"/>
                      <w:vertAlign w:val="baseline"/>
                      <w:lang w:val="en-US" w:eastAsia="zh-CN"/>
                    </w:rPr>
                    <w:t>本项目涉及的风险物质主要为变压器油等油类物质</w:t>
                  </w:r>
                  <w:r>
                    <w:rPr>
                      <w:rFonts w:hint="eastAsia" w:ascii="宋体" w:hAnsi="宋体" w:cs="宋体"/>
                      <w:color w:val="auto"/>
                      <w:sz w:val="21"/>
                      <w:szCs w:val="21"/>
                      <w:highlight w:val="none"/>
                      <w:vertAlign w:val="baseline"/>
                      <w:lang w:val="en-US" w:eastAsia="zh-CN"/>
                    </w:rPr>
                    <w:t>和废铅蓄电池</w:t>
                  </w:r>
                  <w:r>
                    <w:rPr>
                      <w:rFonts w:hint="eastAsia" w:ascii="宋体" w:hAnsi="宋体" w:eastAsia="宋体" w:cs="宋体"/>
                      <w:color w:val="auto"/>
                      <w:sz w:val="21"/>
                      <w:szCs w:val="21"/>
                      <w:highlight w:val="none"/>
                      <w:vertAlign w:val="baseline"/>
                      <w:lang w:val="en-US" w:eastAsia="zh-CN"/>
                    </w:rPr>
                    <w:t>，项目配套建设</w:t>
                  </w:r>
                  <w:r>
                    <w:rPr>
                      <w:rFonts w:hint="eastAsia" w:ascii="宋体" w:hAnsi="宋体" w:cs="宋体"/>
                      <w:color w:val="auto"/>
                      <w:sz w:val="21"/>
                      <w:szCs w:val="21"/>
                      <w:highlight w:val="none"/>
                      <w:vertAlign w:val="baseline"/>
                      <w:lang w:val="en-US" w:eastAsia="zh-CN"/>
                    </w:rPr>
                    <w:t>事故油池和</w:t>
                  </w:r>
                  <w:r>
                    <w:rPr>
                      <w:rFonts w:hint="eastAsia" w:ascii="宋体" w:hAnsi="宋体" w:eastAsia="宋体" w:cs="宋体"/>
                      <w:color w:val="auto"/>
                      <w:sz w:val="21"/>
                      <w:szCs w:val="21"/>
                      <w:highlight w:val="none"/>
                      <w:vertAlign w:val="baseline"/>
                      <w:lang w:val="en-US" w:eastAsia="zh-CN"/>
                    </w:rPr>
                    <w:t>危废贮存点，并严格防渗，运营期加强废变压器油等危险废物的收集、贮存和转运等管理工作，建设单位需编制突发环境事件应急预案，并备案。</w:t>
                  </w:r>
                </w:p>
              </w:tc>
              <w:tc>
                <w:tcPr>
                  <w:tcW w:w="517" w:type="pct"/>
                  <w:tcBorders>
                    <w:tl2br w:val="nil"/>
                    <w:tr2bl w:val="nil"/>
                  </w:tcBorders>
                  <w:vAlign w:val="center"/>
                </w:tcPr>
                <w:p w14:paraId="67971EA5">
                  <w:pPr>
                    <w:keepNext w:val="0"/>
                    <w:keepLines w:val="0"/>
                    <w:widowControl w:val="0"/>
                    <w:suppressLineNumbers w:val="0"/>
                    <w:adjustRightInd w:val="0"/>
                    <w:snapToGrid w:val="0"/>
                    <w:spacing w:before="0" w:beforeAutospacing="0" w:after="0" w:afterAutospacing="0" w:line="360" w:lineRule="auto"/>
                    <w:ind w:left="0" w:right="0"/>
                    <w:jc w:val="center"/>
                    <w:outlineLvl w:val="9"/>
                    <w:rPr>
                      <w:rFonts w:hint="eastAsia" w:ascii="宋体" w:hAnsi="宋体" w:eastAsia="宋体" w:cs="宋体"/>
                      <w:color w:val="auto"/>
                      <w:lang w:val="en-US" w:eastAsia="zh-CN"/>
                    </w:rPr>
                  </w:pPr>
                  <w:r>
                    <w:rPr>
                      <w:rFonts w:hint="eastAsia" w:ascii="宋体" w:hAnsi="宋体" w:eastAsia="宋体" w:cs="宋体"/>
                      <w:color w:val="auto"/>
                    </w:rPr>
                    <w:t>符合</w:t>
                  </w:r>
                </w:p>
              </w:tc>
            </w:tr>
            <w:tr w14:paraId="25847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53" w:hRule="atLeast"/>
                <w:jc w:val="center"/>
              </w:trPr>
              <w:tc>
                <w:tcPr>
                  <w:tcW w:w="2533" w:type="pct"/>
                  <w:tcBorders>
                    <w:tl2br w:val="nil"/>
                    <w:tr2bl w:val="nil"/>
                  </w:tcBorders>
                  <w:vAlign w:val="center"/>
                </w:tcPr>
                <w:p w14:paraId="0ECF0F02">
                  <w:pPr>
                    <w:pStyle w:val="39"/>
                    <w:keepNext w:val="0"/>
                    <w:keepLines w:val="0"/>
                    <w:suppressLineNumbers w:val="0"/>
                    <w:spacing w:before="0" w:beforeAutospacing="0" w:after="0" w:afterAutospacing="0"/>
                    <w:ind w:left="0" w:right="0"/>
                    <w:jc w:val="both"/>
                    <w:outlineLvl w:val="9"/>
                    <w:rPr>
                      <w:rFonts w:hint="eastAsia" w:ascii="宋体" w:hAnsi="宋体" w:eastAsia="宋体" w:cs="宋体"/>
                      <w:color w:val="auto"/>
                      <w:lang w:val="en-US" w:eastAsia="zh-CN"/>
                    </w:rPr>
                  </w:pPr>
                  <w:r>
                    <w:rPr>
                      <w:rFonts w:hint="eastAsia" w:ascii="宋体" w:hAnsi="宋体" w:eastAsia="宋体" w:cs="宋体"/>
                      <w:b/>
                      <w:bCs/>
                      <w:color w:val="auto"/>
                      <w:kern w:val="2"/>
                      <w:sz w:val="21"/>
                      <w:szCs w:val="24"/>
                      <w:lang w:val="en-US" w:eastAsia="zh-CN" w:bidi="ar-SA"/>
                    </w:rPr>
                    <w:t>资源利用要求：</w:t>
                  </w:r>
                  <w:r>
                    <w:rPr>
                      <w:rFonts w:hint="eastAsia" w:ascii="宋体" w:hAnsi="宋体" w:eastAsia="宋体" w:cs="宋体"/>
                      <w:b w:val="0"/>
                      <w:bCs w:val="0"/>
                      <w:color w:val="auto"/>
                      <w:kern w:val="2"/>
                      <w:sz w:val="21"/>
                      <w:szCs w:val="24"/>
                      <w:lang w:val="en-US" w:eastAsia="zh-CN" w:bidi="ar-SA"/>
                    </w:rPr>
                    <w:t>〔A4.1-4〕地下水资源利用实行总量控制和水位控制。取用地下水资源，应当按照国家和自治区有关规定申请取水许可。地下水利用应当以浅层地下水为主。〔A4.3-4〕鼓励使用清洁能源或电厂热力、工业余热等替代锅炉炉密燃料用煤。</w:t>
                  </w:r>
                </w:p>
              </w:tc>
              <w:tc>
                <w:tcPr>
                  <w:tcW w:w="1949" w:type="pct"/>
                  <w:tcBorders>
                    <w:tl2br w:val="nil"/>
                    <w:tr2bl w:val="nil"/>
                  </w:tcBorders>
                  <w:vAlign w:val="center"/>
                </w:tcPr>
                <w:p w14:paraId="27F4B3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sz w:val="21"/>
                      <w:szCs w:val="21"/>
                      <w:highlight w:val="none"/>
                      <w:lang w:val="en-US" w:eastAsia="zh-CN"/>
                    </w:rPr>
                    <w:t>本项目不涉及取用地下水资源。本项目为新能源项目配套建设的输变电项目，有利于构建清洁低碳、安全高效的能源体系。</w:t>
                  </w:r>
                </w:p>
              </w:tc>
              <w:tc>
                <w:tcPr>
                  <w:tcW w:w="517" w:type="pct"/>
                  <w:tcBorders>
                    <w:tl2br w:val="nil"/>
                    <w:tr2bl w:val="nil"/>
                  </w:tcBorders>
                  <w:vAlign w:val="center"/>
                </w:tcPr>
                <w:p w14:paraId="5D158910">
                  <w:pPr>
                    <w:keepNext w:val="0"/>
                    <w:keepLines w:val="0"/>
                    <w:widowControl w:val="0"/>
                    <w:suppressLineNumbers w:val="0"/>
                    <w:adjustRightInd w:val="0"/>
                    <w:snapToGrid w:val="0"/>
                    <w:spacing w:before="0" w:beforeAutospacing="0" w:after="0" w:afterAutospacing="0" w:line="360" w:lineRule="auto"/>
                    <w:ind w:left="0" w:right="0"/>
                    <w:jc w:val="center"/>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符合</w:t>
                  </w:r>
                </w:p>
              </w:tc>
            </w:tr>
          </w:tbl>
          <w:p w14:paraId="1E83851F">
            <w:pPr>
              <w:pStyle w:val="8"/>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0" w:afterAutospacing="0" w:line="360" w:lineRule="auto"/>
              <w:ind w:left="0" w:right="0"/>
              <w:textAlignment w:val="auto"/>
              <w:rPr>
                <w:rFonts w:hint="eastAsia" w:ascii="宋体" w:hAnsi="宋体" w:eastAsia="宋体" w:cs="宋体"/>
                <w:b/>
                <w:bCs/>
                <w:color w:val="0000FF"/>
                <w:sz w:val="24"/>
                <w:szCs w:val="24"/>
                <w:lang w:val="en-US" w:eastAsia="zh-CN"/>
              </w:rPr>
            </w:pPr>
            <w:r>
              <w:rPr>
                <w:rFonts w:hint="eastAsia" w:ascii="宋体" w:hAnsi="宋体" w:eastAsia="宋体" w:cs="宋体"/>
                <w:b/>
                <w:color w:val="auto"/>
                <w:sz w:val="24"/>
                <w:lang w:val="en-US" w:eastAsia="zh-CN"/>
              </w:rPr>
              <w:t>2.2</w:t>
            </w:r>
            <w:r>
              <w:rPr>
                <w:rFonts w:hint="eastAsia" w:ascii="宋体" w:hAnsi="宋体" w:eastAsia="宋体" w:cs="宋体"/>
                <w:b/>
                <w:bCs/>
                <w:color w:val="auto"/>
                <w:sz w:val="24"/>
                <w:szCs w:val="24"/>
                <w:lang w:val="en-US" w:eastAsia="zh-CN"/>
              </w:rPr>
              <w:t>与《新疆维吾尔自治区七大片区“三线一单”生态环境分区管控要求</w:t>
            </w:r>
            <w:r>
              <w:rPr>
                <w:rFonts w:hint="eastAsia" w:hAnsi="宋体" w:eastAsia="宋体" w:cs="宋体"/>
                <w:b/>
                <w:bCs/>
                <w:color w:val="auto"/>
                <w:sz w:val="24"/>
                <w:szCs w:val="24"/>
                <w:lang w:val="en-US" w:eastAsia="zh-CN"/>
              </w:rPr>
              <w:t>（</w:t>
            </w:r>
            <w:r>
              <w:rPr>
                <w:rFonts w:hint="eastAsia" w:ascii="宋体" w:hAnsi="宋体" w:eastAsia="宋体" w:cs="宋体"/>
                <w:b/>
                <w:bCs/>
                <w:color w:val="auto"/>
                <w:sz w:val="24"/>
                <w:szCs w:val="24"/>
                <w:lang w:val="en-US" w:eastAsia="zh-CN"/>
              </w:rPr>
              <w:t>2021版</w:t>
            </w:r>
            <w:r>
              <w:rPr>
                <w:rFonts w:hint="eastAsia" w:hAnsi="宋体" w:eastAsia="宋体" w:cs="宋体"/>
                <w:b/>
                <w:bCs/>
                <w:color w:val="auto"/>
                <w:sz w:val="24"/>
                <w:szCs w:val="24"/>
                <w:lang w:val="en-US" w:eastAsia="zh-CN"/>
              </w:rPr>
              <w:t>）</w:t>
            </w:r>
            <w:r>
              <w:rPr>
                <w:rFonts w:hint="eastAsia" w:ascii="宋体" w:hAnsi="宋体" w:eastAsia="宋体" w:cs="宋体"/>
                <w:b/>
                <w:bCs/>
                <w:color w:val="auto"/>
                <w:sz w:val="24"/>
                <w:szCs w:val="24"/>
                <w:lang w:val="en-US" w:eastAsia="zh-CN"/>
              </w:rPr>
              <w:t>》及《新疆维吾尔自治区生态环境分区管控成果动态更新成果》的符合性分析</w:t>
            </w:r>
          </w:p>
          <w:p w14:paraId="3E2495CE">
            <w:pPr>
              <w:keepNext w:val="0"/>
              <w:keepLines w:val="0"/>
              <w:widowControl w:val="0"/>
              <w:suppressLineNumbers w:val="0"/>
              <w:spacing w:before="0" w:beforeAutospacing="0" w:after="0" w:afterAutospacing="0" w:line="360" w:lineRule="auto"/>
              <w:ind w:left="0" w:right="0" w:firstLine="480" w:firstLineChars="200"/>
              <w:jc w:val="both"/>
              <w:outlineLvl w:val="1"/>
              <w:rPr>
                <w:rFonts w:hint="eastAsia" w:ascii="宋体" w:hAnsi="宋体" w:eastAsia="宋体" w:cs="宋体"/>
                <w:color w:val="auto"/>
                <w:kern w:val="2"/>
                <w:sz w:val="24"/>
                <w:szCs w:val="32"/>
                <w:highlight w:val="yellow"/>
                <w:lang w:val="en-US" w:eastAsia="zh-CN" w:bidi="ar-SA"/>
              </w:rPr>
            </w:pPr>
            <w:bookmarkStart w:id="15" w:name="_Toc9196"/>
            <w:r>
              <w:rPr>
                <w:rFonts w:hint="eastAsia" w:ascii="宋体" w:hAnsi="宋体" w:eastAsia="宋体" w:cs="宋体"/>
                <w:color w:val="auto"/>
                <w:kern w:val="2"/>
                <w:sz w:val="24"/>
                <w:szCs w:val="32"/>
                <w:lang w:val="en-US" w:eastAsia="zh-CN" w:bidi="ar-SA"/>
              </w:rPr>
              <w:t>根据关于印发《新疆维吾尔自治区七大片区“三线一单”生态环境分区管控要求</w:t>
            </w:r>
            <w:r>
              <w:rPr>
                <w:rFonts w:hint="eastAsia" w:ascii="宋体" w:hAnsi="宋体" w:cs="宋体"/>
                <w:color w:val="auto"/>
                <w:kern w:val="2"/>
                <w:sz w:val="24"/>
                <w:szCs w:val="32"/>
                <w:lang w:val="en-US" w:eastAsia="zh-CN" w:bidi="ar-SA"/>
              </w:rPr>
              <w:t>（</w:t>
            </w:r>
            <w:r>
              <w:rPr>
                <w:rFonts w:hint="eastAsia" w:ascii="宋体" w:hAnsi="宋体" w:eastAsia="宋体" w:cs="宋体"/>
                <w:color w:val="auto"/>
                <w:kern w:val="2"/>
                <w:sz w:val="24"/>
                <w:szCs w:val="32"/>
                <w:lang w:val="en-US" w:eastAsia="zh-CN" w:bidi="ar-SA"/>
              </w:rPr>
              <w:t>2021年版</w:t>
            </w:r>
            <w:r>
              <w:rPr>
                <w:rFonts w:hint="eastAsia" w:ascii="宋体" w:hAnsi="宋体" w:cs="宋体"/>
                <w:color w:val="auto"/>
                <w:kern w:val="2"/>
                <w:sz w:val="24"/>
                <w:szCs w:val="32"/>
                <w:lang w:val="en-US" w:eastAsia="zh-CN" w:bidi="ar-SA"/>
              </w:rPr>
              <w:t>）</w:t>
            </w:r>
            <w:r>
              <w:rPr>
                <w:rFonts w:hint="eastAsia" w:ascii="宋体" w:hAnsi="宋体" w:eastAsia="宋体" w:cs="宋体"/>
                <w:color w:val="auto"/>
                <w:kern w:val="2"/>
                <w:sz w:val="24"/>
                <w:szCs w:val="32"/>
                <w:lang w:val="en-US" w:eastAsia="zh-CN" w:bidi="ar-SA"/>
              </w:rPr>
              <w:t>》的通知</w:t>
            </w:r>
            <w:r>
              <w:rPr>
                <w:rFonts w:hint="eastAsia" w:ascii="宋体" w:hAnsi="宋体" w:cs="宋体"/>
                <w:color w:val="auto"/>
                <w:kern w:val="2"/>
                <w:sz w:val="24"/>
                <w:szCs w:val="32"/>
                <w:lang w:val="en-US" w:eastAsia="zh-CN" w:bidi="ar-SA"/>
              </w:rPr>
              <w:t>（</w:t>
            </w:r>
            <w:r>
              <w:rPr>
                <w:rFonts w:hint="eastAsia" w:ascii="宋体" w:hAnsi="宋体" w:eastAsia="宋体" w:cs="宋体"/>
                <w:color w:val="auto"/>
                <w:kern w:val="2"/>
                <w:sz w:val="24"/>
                <w:szCs w:val="32"/>
                <w:lang w:val="en-US" w:eastAsia="zh-CN" w:bidi="ar-SA"/>
              </w:rPr>
              <w:t>新环环评发〔2021〕162号</w:t>
            </w:r>
            <w:r>
              <w:rPr>
                <w:rFonts w:hint="eastAsia" w:ascii="宋体" w:hAnsi="宋体" w:cs="宋体"/>
                <w:color w:val="auto"/>
                <w:kern w:val="2"/>
                <w:sz w:val="24"/>
                <w:szCs w:val="32"/>
                <w:lang w:val="en-US" w:eastAsia="zh-CN" w:bidi="ar-SA"/>
              </w:rPr>
              <w:t>）</w:t>
            </w:r>
            <w:r>
              <w:rPr>
                <w:rFonts w:hint="eastAsia" w:ascii="宋体" w:hAnsi="宋体" w:eastAsia="宋体" w:cs="宋体"/>
                <w:color w:val="auto"/>
                <w:kern w:val="2"/>
                <w:sz w:val="24"/>
                <w:szCs w:val="32"/>
                <w:lang w:val="en-US" w:eastAsia="zh-CN" w:bidi="ar-SA"/>
              </w:rPr>
              <w:t>及《新疆维吾尔自治区生态环境分区管控成果动态更新成果》，</w:t>
            </w:r>
            <w:r>
              <w:rPr>
                <w:rFonts w:hint="eastAsia" w:ascii="宋体" w:hAnsi="宋体" w:eastAsia="宋体" w:cs="宋体"/>
                <w:color w:val="auto"/>
                <w:kern w:val="2"/>
                <w:sz w:val="24"/>
                <w:szCs w:val="32"/>
                <w:highlight w:val="none"/>
                <w:lang w:val="en-US" w:eastAsia="zh-CN" w:bidi="ar-SA"/>
              </w:rPr>
              <w:t>本项目位于吐哈片区，具体管控要求见表1-2。</w:t>
            </w:r>
            <w:bookmarkEnd w:id="15"/>
          </w:p>
          <w:p w14:paraId="664B48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表1</w:t>
            </w:r>
            <w:r>
              <w:rPr>
                <w:rFonts w:hint="eastAsia" w:ascii="宋体" w:hAnsi="宋体" w:eastAsia="宋体" w:cs="宋体"/>
                <w:b/>
                <w:bCs/>
                <w:color w:val="auto"/>
                <w:sz w:val="24"/>
                <w:szCs w:val="24"/>
                <w:highlight w:val="none"/>
                <w:lang w:val="en-US" w:eastAsia="zh-CN"/>
              </w:rPr>
              <w:t>-2  七大片区生态环境分区管控要求符合性</w:t>
            </w:r>
          </w:p>
          <w:tbl>
            <w:tblPr>
              <w:tblStyle w:val="33"/>
              <w:tblW w:w="4904"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3504"/>
              <w:gridCol w:w="2429"/>
              <w:gridCol w:w="864"/>
            </w:tblGrid>
            <w:tr w14:paraId="3A87B1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2" w:hRule="atLeast"/>
                <w:jc w:val="center"/>
              </w:trPr>
              <w:tc>
                <w:tcPr>
                  <w:tcW w:w="2577" w:type="pct"/>
                  <w:tcBorders>
                    <w:tl2br w:val="nil"/>
                    <w:tr2bl w:val="nil"/>
                  </w:tcBorders>
                  <w:vAlign w:val="center"/>
                </w:tcPr>
                <w:p w14:paraId="12C855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rPr>
                    <w:t>文</w:t>
                  </w:r>
                  <w:r>
                    <w:rPr>
                      <w:rFonts w:hint="eastAsia" w:ascii="宋体" w:hAnsi="宋体" w:eastAsia="宋体" w:cs="宋体"/>
                      <w:color w:val="auto"/>
                      <w:sz w:val="21"/>
                      <w:szCs w:val="21"/>
                      <w:highlight w:val="none"/>
                      <w:vertAlign w:val="baseline"/>
                      <w:lang w:val="en-US" w:eastAsia="zh-CN"/>
                    </w:rPr>
                    <w:t>件要求</w:t>
                  </w:r>
                </w:p>
              </w:tc>
              <w:tc>
                <w:tcPr>
                  <w:tcW w:w="1786" w:type="pct"/>
                  <w:tcBorders>
                    <w:tl2br w:val="nil"/>
                    <w:tr2bl w:val="nil"/>
                  </w:tcBorders>
                  <w:vAlign w:val="center"/>
                </w:tcPr>
                <w:p w14:paraId="568781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本项目</w:t>
                  </w:r>
                </w:p>
              </w:tc>
              <w:tc>
                <w:tcPr>
                  <w:tcW w:w="635" w:type="pct"/>
                  <w:tcBorders>
                    <w:tl2br w:val="nil"/>
                    <w:tr2bl w:val="nil"/>
                  </w:tcBorders>
                  <w:vAlign w:val="center"/>
                </w:tcPr>
                <w:p w14:paraId="5A367C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zh-CN"/>
                    </w:rPr>
                    <w:t>相符性分析</w:t>
                  </w:r>
                </w:p>
              </w:tc>
            </w:tr>
            <w:tr w14:paraId="034F0AF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1" w:hRule="atLeast"/>
                <w:jc w:val="center"/>
              </w:trPr>
              <w:tc>
                <w:tcPr>
                  <w:tcW w:w="2577" w:type="pct"/>
                  <w:tcBorders>
                    <w:tl2br w:val="nil"/>
                    <w:tr2bl w:val="nil"/>
                  </w:tcBorders>
                  <w:vAlign w:val="top"/>
                </w:tcPr>
                <w:p w14:paraId="60AEFD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b/>
                      <w:bCs/>
                      <w:color w:val="auto"/>
                      <w:highlight w:val="none"/>
                      <w:lang w:val="en-US" w:eastAsia="zh-CN"/>
                    </w:rPr>
                    <w:t>空间布局约束</w:t>
                  </w:r>
                  <w:r>
                    <w:rPr>
                      <w:rFonts w:hint="eastAsia" w:ascii="宋体" w:hAnsi="宋体" w:eastAsia="宋体" w:cs="宋体"/>
                      <w:b/>
                      <w:bCs/>
                      <w:color w:val="auto"/>
                      <w:highlight w:val="none"/>
                      <w:lang w:eastAsia="zh-CN"/>
                    </w:rPr>
                    <w:t>：</w:t>
                  </w:r>
                  <w:r>
                    <w:rPr>
                      <w:rFonts w:hint="eastAsia" w:ascii="宋体" w:hAnsi="宋体" w:eastAsia="宋体" w:cs="宋体"/>
                      <w:color w:val="auto"/>
                      <w:sz w:val="21"/>
                      <w:szCs w:val="21"/>
                      <w:highlight w:val="none"/>
                      <w:vertAlign w:val="baseline"/>
                      <w:lang w:val="en-US" w:eastAsia="zh-CN"/>
                    </w:rPr>
                    <w:t>1.1严守生态保护红线。生态保护红线内自然保护地核心保护区外，禁止开发性、生产性建设活动，在符合法律法规的前提下，仅允许对生态功能不造成破坏的有限人为活动。生态保护红线内自然保护区、风景名胜区、饮用水水源保护区等区域，依照法律法规执行。确需占用生态保护红线的国家重大项目须经国务院批准。</w:t>
                  </w:r>
                </w:p>
                <w:p w14:paraId="1C66E6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1.3除国务院批准的具有选址不可避让性的国家能源、交通、水利、军事设施等重点建设项目外，禁止在基本农田保护区内建窑、建房、建坟、挖砂、采石、采矿、取土、堆放固体废弃物或者进行其他破坏基本农田的活动，禁止占用基本农田发展林果业和挖塘养鱼。</w:t>
                  </w:r>
                </w:p>
                <w:p w14:paraId="4DB1EC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1.5禁止新建、扩建现行有效的《产业结构调整指导目录》中的淘汰类项目。禁止引入现行有效的《市场准入负面清单》中的禁止准入类事项。限制新建、扩建现行有效的《产业结构调整指导目录》中的限制类项目。</w:t>
                  </w:r>
                </w:p>
                <w:p w14:paraId="62F718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outlineLvl w:val="9"/>
                    <w:rPr>
                      <w:rFonts w:hint="eastAsia" w:ascii="宋体" w:hAnsi="宋体" w:eastAsia="宋体" w:cs="宋体"/>
                      <w:color w:val="0000FF"/>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1.13加强坎儿井的保护。在坎儿井所在地从事水资源开发利用活动，应当遵守坎儿井保护和利用规划，新建、扩建、改建水库等控制性水利工程或者打机电井，应当对工程的建设和运行管理进行科学论证，避免对坎儿井水源造成影响。新建、扩建、改建公路、铁路、输油输气管道以及石油、天然气开采等各类工程，需要穿越、跨越坎儿井的，需对工程建设期间、运行过程中可能给坎儿井造成的危害进行论证，并制定坎儿井保护方案。</w:t>
                  </w:r>
                </w:p>
              </w:tc>
              <w:tc>
                <w:tcPr>
                  <w:tcW w:w="1786" w:type="pct"/>
                  <w:tcBorders>
                    <w:tl2br w:val="nil"/>
                    <w:tr2bl w:val="nil"/>
                  </w:tcBorders>
                  <w:vAlign w:val="center"/>
                </w:tcPr>
                <w:p w14:paraId="1BD0F8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outlineLvl w:val="9"/>
                    <w:rPr>
                      <w:rFonts w:hint="eastAsia" w:ascii="宋体" w:hAnsi="宋体" w:eastAsia="宋体" w:cs="宋体"/>
                      <w:color w:val="auto"/>
                      <w:sz w:val="21"/>
                      <w:szCs w:val="21"/>
                      <w:highlight w:val="yellow"/>
                      <w:vertAlign w:val="baseline"/>
                      <w:lang w:val="en-US" w:eastAsia="zh-CN"/>
                    </w:rPr>
                  </w:pPr>
                  <w:r>
                    <w:rPr>
                      <w:rFonts w:hint="eastAsia" w:ascii="宋体" w:hAnsi="宋体" w:eastAsia="宋体" w:cs="宋体"/>
                      <w:color w:val="auto"/>
                      <w:sz w:val="21"/>
                      <w:szCs w:val="21"/>
                      <w:highlight w:val="none"/>
                      <w:vertAlign w:val="baseline"/>
                      <w:lang w:val="en-US" w:eastAsia="zh-CN"/>
                    </w:rPr>
                    <w:t>本项目位于吐鲁番市鄯善县，项目选址不涉及生态保护红线、不涉及基本农田。本项目属于新能源项目配套的输变电项目</w:t>
                  </w:r>
                  <w:r>
                    <w:rPr>
                      <w:rFonts w:hint="eastAsia" w:ascii="宋体" w:hAnsi="宋体" w:cs="宋体"/>
                      <w:color w:val="auto"/>
                      <w:sz w:val="21"/>
                      <w:szCs w:val="21"/>
                      <w:highlight w:val="none"/>
                      <w:vertAlign w:val="baseline"/>
                      <w:lang w:val="en-US" w:eastAsia="zh-CN"/>
                    </w:rPr>
                    <w:t>，</w:t>
                  </w:r>
                  <w:r>
                    <w:rPr>
                      <w:rFonts w:hint="eastAsia" w:ascii="宋体" w:hAnsi="宋体" w:eastAsia="宋体" w:cs="宋体"/>
                      <w:color w:val="auto"/>
                      <w:sz w:val="21"/>
                      <w:szCs w:val="21"/>
                      <w:highlight w:val="none"/>
                      <w:vertAlign w:val="baseline"/>
                      <w:lang w:val="en-US" w:eastAsia="zh-CN"/>
                    </w:rPr>
                    <w:t>属于《产业结构调整指导目录</w:t>
                  </w:r>
                  <w:r>
                    <w:rPr>
                      <w:rFonts w:hint="eastAsia" w:ascii="宋体" w:hAnsi="宋体" w:cs="宋体"/>
                      <w:color w:val="auto"/>
                      <w:sz w:val="21"/>
                      <w:szCs w:val="21"/>
                      <w:highlight w:val="none"/>
                      <w:vertAlign w:val="baseline"/>
                      <w:lang w:val="en-US" w:eastAsia="zh-CN"/>
                    </w:rPr>
                    <w:t>（</w:t>
                  </w:r>
                  <w:r>
                    <w:rPr>
                      <w:rFonts w:hint="eastAsia" w:ascii="宋体" w:hAnsi="宋体" w:eastAsia="宋体" w:cs="宋体"/>
                      <w:color w:val="auto"/>
                      <w:sz w:val="21"/>
                      <w:szCs w:val="21"/>
                      <w:highlight w:val="none"/>
                      <w:vertAlign w:val="baseline"/>
                      <w:lang w:val="en-US" w:eastAsia="zh-CN"/>
                    </w:rPr>
                    <w:t>2024年本</w:t>
                  </w:r>
                  <w:r>
                    <w:rPr>
                      <w:rFonts w:hint="eastAsia" w:ascii="宋体" w:hAnsi="宋体" w:cs="宋体"/>
                      <w:color w:val="auto"/>
                      <w:sz w:val="21"/>
                      <w:szCs w:val="21"/>
                      <w:highlight w:val="none"/>
                      <w:vertAlign w:val="baseline"/>
                      <w:lang w:val="en-US" w:eastAsia="zh-CN"/>
                    </w:rPr>
                    <w:t>）</w:t>
                  </w:r>
                  <w:r>
                    <w:rPr>
                      <w:rFonts w:hint="eastAsia" w:ascii="宋体" w:hAnsi="宋体" w:eastAsia="宋体" w:cs="宋体"/>
                      <w:color w:val="auto"/>
                      <w:sz w:val="21"/>
                      <w:szCs w:val="21"/>
                      <w:highlight w:val="none"/>
                      <w:vertAlign w:val="baseline"/>
                      <w:lang w:val="en-US" w:eastAsia="zh-CN"/>
                    </w:rPr>
                    <w:t>》中的鼓励类项目，符合国家产业政策。本项目施工期及运营期用水由周边村镇拉运，污废水全部合理处理处置，不外排，项目建设对坎儿井</w:t>
                  </w:r>
                  <w:r>
                    <w:rPr>
                      <w:rFonts w:hint="eastAsia" w:ascii="宋体" w:hAnsi="宋体" w:eastAsia="宋体" w:cs="宋体"/>
                      <w:kern w:val="2"/>
                      <w:sz w:val="21"/>
                      <w:szCs w:val="24"/>
                      <w:lang w:val="en-US" w:eastAsia="zh-CN" w:bidi="ar-SA"/>
                    </w:rPr>
                    <w:t>无影响</w:t>
                  </w:r>
                  <w:r>
                    <w:rPr>
                      <w:rFonts w:hint="eastAsia" w:ascii="宋体" w:hAnsi="宋体" w:eastAsia="宋体" w:cs="宋体"/>
                      <w:color w:val="auto"/>
                      <w:sz w:val="21"/>
                      <w:szCs w:val="21"/>
                      <w:highlight w:val="none"/>
                      <w:vertAlign w:val="baseline"/>
                      <w:lang w:val="en-US" w:eastAsia="zh-CN"/>
                    </w:rPr>
                    <w:t>。</w:t>
                  </w:r>
                </w:p>
              </w:tc>
              <w:tc>
                <w:tcPr>
                  <w:tcW w:w="635" w:type="pct"/>
                  <w:tcBorders>
                    <w:tl2br w:val="nil"/>
                    <w:tr2bl w:val="nil"/>
                  </w:tcBorders>
                  <w:vAlign w:val="center"/>
                </w:tcPr>
                <w:p w14:paraId="7D4009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highlight w:val="yellow"/>
                      <w:vertAlign w:val="baseline"/>
                      <w:lang w:val="en-US" w:eastAsia="zh-CN"/>
                    </w:rPr>
                  </w:pPr>
                  <w:r>
                    <w:rPr>
                      <w:rFonts w:hint="eastAsia" w:ascii="宋体" w:hAnsi="宋体" w:eastAsia="宋体" w:cs="宋体"/>
                      <w:color w:val="auto"/>
                      <w:sz w:val="21"/>
                      <w:szCs w:val="21"/>
                      <w:highlight w:val="none"/>
                      <w:vertAlign w:val="baseline"/>
                      <w:lang w:val="en-US" w:eastAsia="zh-CN"/>
                    </w:rPr>
                    <w:t>符合</w:t>
                  </w:r>
                </w:p>
              </w:tc>
            </w:tr>
            <w:tr w14:paraId="3B31A90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1" w:hRule="atLeast"/>
                <w:jc w:val="center"/>
              </w:trPr>
              <w:tc>
                <w:tcPr>
                  <w:tcW w:w="2577" w:type="pct"/>
                  <w:tcBorders>
                    <w:tl2br w:val="nil"/>
                    <w:tr2bl w:val="nil"/>
                  </w:tcBorders>
                  <w:vAlign w:val="top"/>
                </w:tcPr>
                <w:p w14:paraId="7CD4CC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b/>
                      <w:bCs/>
                      <w:color w:val="auto"/>
                      <w:highlight w:val="none"/>
                      <w:lang w:val="en-US" w:eastAsia="zh-CN"/>
                    </w:rPr>
                    <w:t>污染物排放管控：</w:t>
                  </w:r>
                  <w:r>
                    <w:rPr>
                      <w:rFonts w:hint="eastAsia" w:ascii="宋体" w:hAnsi="宋体" w:eastAsia="宋体" w:cs="宋体"/>
                      <w:color w:val="auto"/>
                      <w:sz w:val="21"/>
                      <w:szCs w:val="21"/>
                      <w:highlight w:val="none"/>
                      <w:vertAlign w:val="baseline"/>
                      <w:lang w:val="en-US" w:eastAsia="zh-CN"/>
                    </w:rPr>
                    <w:t>2.8 实施差异化的国土空间开发保护：外环山区加强国家级公益林保护，加强防护林建设，全面实施退耕还林（草），控制水土流失，增强涵养水源，保护生物多样性，实施重大生态修复工程，在维护自然生态环境的前提下，合理开发矿产资源；中环荒漠地带加强防风固沙工程建设，加强分布在山前、沙漠、绿洲外围的荒漠灌木林保护，保护地下水、保护荒漠植被和砾幕，在保护生态、控制污染的前提下，合理开发油气资源；内环人工绿洲加强人工林建设，全面实施退耕还林（草），切实加强文物古迹、坎儿井保护与利用工作，对地表水和地下水进行合理的统一开发利用和管理，强化地下水超采区治理，积极发展节水灌溉，进一步加大再生水利用力度。</w:t>
                  </w:r>
                </w:p>
                <w:p w14:paraId="33FD95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2.10 严格按照《新疆维吾尔自治区坎儿井保护条例》对区域内坎儿井进行保护，禁止向坎儿井水源、明渠、蓄水池倾倒废污水、垃圾等废弃物。</w:t>
                  </w:r>
                </w:p>
              </w:tc>
              <w:tc>
                <w:tcPr>
                  <w:tcW w:w="1786" w:type="pct"/>
                  <w:tcBorders>
                    <w:tl2br w:val="nil"/>
                    <w:tr2bl w:val="nil"/>
                  </w:tcBorders>
                  <w:vAlign w:val="center"/>
                </w:tcPr>
                <w:p w14:paraId="638F1C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outlineLvl w:val="9"/>
                    <w:rPr>
                      <w:rFonts w:hint="eastAsia" w:ascii="宋体" w:hAnsi="宋体" w:eastAsia="宋体" w:cs="宋体"/>
                      <w:lang w:val="en-US" w:eastAsia="zh-CN"/>
                    </w:rPr>
                  </w:pPr>
                  <w:r>
                    <w:rPr>
                      <w:rFonts w:hint="eastAsia" w:ascii="宋体" w:hAnsi="宋体" w:eastAsia="宋体" w:cs="宋体"/>
                      <w:lang w:val="en-US" w:eastAsia="zh-CN"/>
                    </w:rPr>
                    <w:t>本项目选址位于戈壁荒漠区域，不涉及国家级公益林，不涉及沙化土地。施工期采取防沙治沙措施后，本项目对区域土地沙化影响较小。</w:t>
                  </w:r>
                </w:p>
                <w:p w14:paraId="6B48DF1B">
                  <w:pPr>
                    <w:pStyle w:val="4"/>
                    <w:keepNext w:val="0"/>
                    <w:keepLines w:val="0"/>
                    <w:suppressLineNumbers w:val="0"/>
                    <w:spacing w:before="0" w:beforeAutospacing="0" w:after="0" w:afterAutospacing="0" w:line="240" w:lineRule="auto"/>
                    <w:ind w:left="0" w:right="0"/>
                    <w:rPr>
                      <w:rFonts w:hint="eastAsia" w:ascii="宋体" w:hAnsi="宋体" w:eastAsia="宋体" w:cs="宋体"/>
                      <w:lang w:val="en-US" w:eastAsia="zh-CN"/>
                    </w:rPr>
                  </w:pPr>
                  <w:r>
                    <w:rPr>
                      <w:rFonts w:hint="eastAsia" w:ascii="宋体" w:hAnsi="宋体" w:eastAsia="宋体" w:cs="宋体"/>
                      <w:kern w:val="2"/>
                      <w:sz w:val="21"/>
                      <w:szCs w:val="24"/>
                      <w:lang w:val="en-US" w:eastAsia="zh-CN" w:bidi="ar-SA"/>
                    </w:rPr>
                    <w:t>本项目施工期及运营期用水由周边村镇拉运，污废水全部合理处理处置，不外排，项目建设对坎儿井无影响。</w:t>
                  </w:r>
                </w:p>
              </w:tc>
              <w:tc>
                <w:tcPr>
                  <w:tcW w:w="635" w:type="pct"/>
                  <w:tcBorders>
                    <w:tl2br w:val="nil"/>
                    <w:tr2bl w:val="nil"/>
                  </w:tcBorders>
                  <w:vAlign w:val="center"/>
                </w:tcPr>
                <w:p w14:paraId="4A3237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highlight w:val="yellow"/>
                      <w:vertAlign w:val="baseline"/>
                      <w:lang w:val="en-US" w:eastAsia="zh-CN"/>
                    </w:rPr>
                  </w:pPr>
                  <w:r>
                    <w:rPr>
                      <w:rFonts w:hint="eastAsia" w:ascii="宋体" w:hAnsi="宋体" w:eastAsia="宋体" w:cs="宋体"/>
                      <w:color w:val="auto"/>
                      <w:sz w:val="21"/>
                      <w:szCs w:val="21"/>
                      <w:highlight w:val="none"/>
                      <w:vertAlign w:val="baseline"/>
                      <w:lang w:val="en-US" w:eastAsia="zh-CN"/>
                    </w:rPr>
                    <w:t>符合</w:t>
                  </w:r>
                </w:p>
              </w:tc>
            </w:tr>
            <w:tr w14:paraId="72A84B2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1" w:hRule="atLeast"/>
                <w:jc w:val="center"/>
              </w:trPr>
              <w:tc>
                <w:tcPr>
                  <w:tcW w:w="2577" w:type="pct"/>
                  <w:tcBorders>
                    <w:tl2br w:val="nil"/>
                    <w:tr2bl w:val="nil"/>
                  </w:tcBorders>
                  <w:vAlign w:val="top"/>
                </w:tcPr>
                <w:p w14:paraId="42D26E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b/>
                      <w:bCs/>
                      <w:color w:val="auto"/>
                      <w:highlight w:val="none"/>
                      <w:lang w:val="en-US" w:eastAsia="zh-CN"/>
                    </w:rPr>
                    <w:t>环境风险防控</w:t>
                  </w:r>
                  <w:r>
                    <w:rPr>
                      <w:rFonts w:hint="eastAsia" w:ascii="宋体" w:hAnsi="宋体" w:eastAsia="宋体" w:cs="宋体"/>
                      <w:b/>
                      <w:bCs/>
                      <w:color w:val="auto"/>
                      <w:highlight w:val="none"/>
                      <w:lang w:eastAsia="zh-CN"/>
                    </w:rPr>
                    <w:t>：</w:t>
                  </w:r>
                </w:p>
                <w:p w14:paraId="13644C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3.2 严格管控易导致环境风险的有毒有害和易燃易爆物质的使用和贮运，涉及此类物质的项目必须编制风险应急预案；强化应急物资储备和救援队伍建设。</w:t>
                  </w:r>
                </w:p>
              </w:tc>
              <w:tc>
                <w:tcPr>
                  <w:tcW w:w="1786" w:type="pct"/>
                  <w:tcBorders>
                    <w:tl2br w:val="nil"/>
                    <w:tr2bl w:val="nil"/>
                  </w:tcBorders>
                  <w:vAlign w:val="center"/>
                </w:tcPr>
                <w:p w14:paraId="1A7AFC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本项目涉及的风险物质主要为变压器油等油类物质</w:t>
                  </w:r>
                  <w:r>
                    <w:rPr>
                      <w:rFonts w:hint="eastAsia" w:ascii="宋体" w:hAnsi="宋体" w:cs="宋体"/>
                      <w:color w:val="auto"/>
                      <w:sz w:val="21"/>
                      <w:szCs w:val="21"/>
                      <w:highlight w:val="none"/>
                      <w:vertAlign w:val="baseline"/>
                      <w:lang w:val="en-US" w:eastAsia="zh-CN"/>
                    </w:rPr>
                    <w:t>和废铅蓄电池</w:t>
                  </w:r>
                  <w:r>
                    <w:rPr>
                      <w:rFonts w:hint="eastAsia" w:ascii="宋体" w:hAnsi="宋体" w:eastAsia="宋体" w:cs="宋体"/>
                      <w:color w:val="auto"/>
                      <w:sz w:val="21"/>
                      <w:szCs w:val="21"/>
                      <w:highlight w:val="none"/>
                      <w:vertAlign w:val="baseline"/>
                      <w:lang w:val="en-US" w:eastAsia="zh-CN"/>
                    </w:rPr>
                    <w:t>，项目配套建设</w:t>
                  </w:r>
                  <w:r>
                    <w:rPr>
                      <w:rFonts w:hint="eastAsia" w:ascii="宋体" w:hAnsi="宋体" w:cs="宋体"/>
                      <w:color w:val="auto"/>
                      <w:sz w:val="21"/>
                      <w:szCs w:val="21"/>
                      <w:highlight w:val="none"/>
                      <w:vertAlign w:val="baseline"/>
                      <w:lang w:val="en-US" w:eastAsia="zh-CN"/>
                    </w:rPr>
                    <w:t>事故油池和</w:t>
                  </w:r>
                  <w:r>
                    <w:rPr>
                      <w:rFonts w:hint="eastAsia" w:ascii="宋体" w:hAnsi="宋体" w:eastAsia="宋体" w:cs="宋体"/>
                      <w:color w:val="auto"/>
                      <w:sz w:val="21"/>
                      <w:szCs w:val="21"/>
                      <w:highlight w:val="none"/>
                      <w:vertAlign w:val="baseline"/>
                      <w:lang w:val="en-US" w:eastAsia="zh-CN"/>
                    </w:rPr>
                    <w:t>危废贮存点，并严格防渗，运营期加强废变压器油等危险废物的收集、贮存和转运等管理工作，建设单位需编制突发环境事件应急预案，并备案。</w:t>
                  </w:r>
                </w:p>
              </w:tc>
              <w:tc>
                <w:tcPr>
                  <w:tcW w:w="635" w:type="pct"/>
                  <w:tcBorders>
                    <w:tl2br w:val="nil"/>
                    <w:tr2bl w:val="nil"/>
                  </w:tcBorders>
                  <w:vAlign w:val="center"/>
                </w:tcPr>
                <w:p w14:paraId="466B6F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highlight w:val="yellow"/>
                      <w:vertAlign w:val="baseline"/>
                      <w:lang w:val="en-US" w:eastAsia="zh-CN"/>
                    </w:rPr>
                  </w:pPr>
                  <w:r>
                    <w:rPr>
                      <w:rFonts w:hint="eastAsia" w:ascii="宋体" w:hAnsi="宋体" w:eastAsia="宋体" w:cs="宋体"/>
                      <w:color w:val="auto"/>
                      <w:sz w:val="21"/>
                      <w:szCs w:val="21"/>
                      <w:highlight w:val="none"/>
                      <w:vertAlign w:val="baseline"/>
                      <w:lang w:val="en-US" w:eastAsia="zh-CN"/>
                    </w:rPr>
                    <w:t>符合</w:t>
                  </w:r>
                </w:p>
              </w:tc>
            </w:tr>
            <w:tr w14:paraId="20D94BB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1" w:hRule="atLeast"/>
                <w:jc w:val="center"/>
              </w:trPr>
              <w:tc>
                <w:tcPr>
                  <w:tcW w:w="2577" w:type="pct"/>
                  <w:tcBorders>
                    <w:tl2br w:val="nil"/>
                    <w:tr2bl w:val="nil"/>
                  </w:tcBorders>
                  <w:vAlign w:val="top"/>
                </w:tcPr>
                <w:p w14:paraId="006CBA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b/>
                      <w:bCs/>
                      <w:color w:val="auto"/>
                      <w:kern w:val="2"/>
                      <w:sz w:val="21"/>
                      <w:szCs w:val="24"/>
                      <w:highlight w:val="none"/>
                      <w:lang w:val="en-US" w:eastAsia="zh-CN" w:bidi="ar-SA"/>
                    </w:rPr>
                    <w:t>资源利用要求：</w:t>
                  </w:r>
                </w:p>
                <w:p w14:paraId="51280B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4.2 严控地下水超采。严格机电井管理，限期关闭公共供水管网覆盖范围内的自备水井，坚决拆除非法取水设施。除</w:t>
                  </w:r>
                  <w:r>
                    <w:rPr>
                      <w:rFonts w:hint="eastAsia" w:ascii="宋体" w:hAnsi="宋体" w:cs="宋体"/>
                      <w:color w:val="auto"/>
                      <w:sz w:val="21"/>
                      <w:szCs w:val="21"/>
                      <w:highlight w:val="none"/>
                      <w:vertAlign w:val="baseline"/>
                      <w:lang w:val="en-US" w:eastAsia="zh-CN"/>
                    </w:rPr>
                    <w:t>必需的</w:t>
                  </w:r>
                  <w:r>
                    <w:rPr>
                      <w:rFonts w:hint="eastAsia" w:ascii="宋体" w:hAnsi="宋体" w:eastAsia="宋体" w:cs="宋体"/>
                      <w:color w:val="auto"/>
                      <w:sz w:val="21"/>
                      <w:szCs w:val="21"/>
                      <w:highlight w:val="none"/>
                      <w:vertAlign w:val="baseline"/>
                      <w:lang w:val="en-US" w:eastAsia="zh-CN"/>
                    </w:rPr>
                    <w:t>生活用水与突发事件应急取水外，严禁开采深层承压水。积极做好坎儿井保护工作。至2025年，鄯善的大型超采区变为中型超采区，托克逊的中型超采区变为小型超采区。</w:t>
                  </w:r>
                </w:p>
                <w:p w14:paraId="213242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4.6 深入推进碳达峰碳中和行动，推动能源清洁低碳转型。大力发展风能、太阳能等非化石能源，落实好“新增可再生能源和原料用能不纳入能源消费总量和强度考核”政策，鼓励新上项目以“绿电”代替传统燃煤用电。</w:t>
                  </w:r>
                </w:p>
                <w:p w14:paraId="2D4386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4.8 土地资源利用上线：控制在国土空间总体规划控制指标内。</w:t>
                  </w:r>
                </w:p>
              </w:tc>
              <w:tc>
                <w:tcPr>
                  <w:tcW w:w="1786" w:type="pct"/>
                  <w:tcBorders>
                    <w:tl2br w:val="nil"/>
                    <w:tr2bl w:val="nil"/>
                  </w:tcBorders>
                  <w:vAlign w:val="center"/>
                </w:tcPr>
                <w:p w14:paraId="63489B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outlineLvl w:val="9"/>
                    <w:rPr>
                      <w:rFonts w:hint="eastAsia" w:ascii="宋体" w:hAnsi="宋体" w:eastAsia="宋体" w:cs="宋体"/>
                      <w:lang w:val="en-US" w:eastAsia="zh-CN"/>
                    </w:rPr>
                  </w:pPr>
                  <w:r>
                    <w:rPr>
                      <w:rFonts w:hint="eastAsia" w:ascii="宋体" w:hAnsi="宋体" w:eastAsia="宋体" w:cs="宋体"/>
                      <w:lang w:val="en-US" w:eastAsia="zh-CN"/>
                    </w:rPr>
                    <w:t>本项目施工期及运营期用水由周边村镇拉运，污废水全部合理处理处置，不外排，项目建设对坎儿井</w:t>
                  </w:r>
                  <w:r>
                    <w:rPr>
                      <w:rFonts w:hint="eastAsia" w:ascii="宋体" w:hAnsi="宋体" w:eastAsia="宋体" w:cs="宋体"/>
                      <w:kern w:val="2"/>
                      <w:sz w:val="21"/>
                      <w:szCs w:val="24"/>
                      <w:lang w:val="en-US" w:eastAsia="zh-CN" w:bidi="ar-SA"/>
                    </w:rPr>
                    <w:t>无影响</w:t>
                  </w:r>
                  <w:r>
                    <w:rPr>
                      <w:rFonts w:hint="eastAsia" w:ascii="宋体" w:hAnsi="宋体" w:eastAsia="宋体" w:cs="宋体"/>
                      <w:lang w:val="en-US" w:eastAsia="zh-CN"/>
                    </w:rPr>
                    <w:t>。</w:t>
                  </w:r>
                </w:p>
                <w:p w14:paraId="222FDE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outlineLvl w:val="9"/>
                    <w:rPr>
                      <w:rFonts w:hint="eastAsia" w:ascii="宋体" w:hAnsi="宋体" w:eastAsia="宋体" w:cs="宋体"/>
                      <w:highlight w:val="none"/>
                      <w:lang w:val="en-US" w:eastAsia="zh-CN"/>
                    </w:rPr>
                  </w:pPr>
                  <w:r>
                    <w:rPr>
                      <w:rFonts w:hint="eastAsia" w:ascii="宋体" w:hAnsi="宋体" w:eastAsia="宋体" w:cs="宋体"/>
                      <w:lang w:val="en-US" w:eastAsia="zh-CN"/>
                    </w:rPr>
                    <w:t>本项目属于风电新能源项目配套的输变电项目，属于清洁能源发电项目配套工程，项目建设有利于生态</w:t>
                  </w:r>
                  <w:r>
                    <w:rPr>
                      <w:rFonts w:hint="eastAsia" w:ascii="宋体" w:hAnsi="宋体" w:eastAsia="宋体" w:cs="宋体"/>
                      <w:highlight w:val="none"/>
                      <w:lang w:val="en-US" w:eastAsia="zh-CN"/>
                    </w:rPr>
                    <w:t>环境保护。</w:t>
                  </w:r>
                </w:p>
                <w:p w14:paraId="4FE50DBF">
                  <w:pPr>
                    <w:keepNext w:val="0"/>
                    <w:keepLines w:val="0"/>
                    <w:suppressLineNumbers w:val="0"/>
                    <w:spacing w:before="0" w:beforeAutospacing="0" w:after="0" w:afterAutospacing="0"/>
                    <w:ind w:left="0" w:right="0"/>
                    <w:rPr>
                      <w:rFonts w:hint="default" w:ascii="宋体" w:hAnsi="宋体" w:eastAsia="宋体" w:cs="宋体"/>
                      <w:lang w:val="en-US" w:eastAsia="zh-CN"/>
                    </w:rPr>
                  </w:pPr>
                  <w:r>
                    <w:rPr>
                      <w:rFonts w:hint="eastAsia" w:ascii="宋体" w:hAnsi="宋体" w:eastAsia="宋体" w:cs="宋体"/>
                      <w:highlight w:val="none"/>
                      <w:lang w:val="en-US" w:eastAsia="zh-CN"/>
                    </w:rPr>
                    <w:t>本项目已取得吐鲁番市自然资源局的用地预审与规划选址意见</w:t>
                  </w:r>
                  <w:r>
                    <w:rPr>
                      <w:rFonts w:hint="eastAsia" w:ascii="宋体" w:hAnsi="宋体" w:cs="宋体"/>
                      <w:highlight w:val="none"/>
                      <w:lang w:val="en-US" w:eastAsia="zh-CN"/>
                    </w:rPr>
                    <w:t>书</w:t>
                  </w:r>
                  <w:r>
                    <w:rPr>
                      <w:rFonts w:hint="eastAsia" w:ascii="宋体" w:hAnsi="宋体" w:eastAsia="宋体" w:cs="宋体"/>
                      <w:highlight w:val="none"/>
                      <w:lang w:val="en-US" w:eastAsia="zh-CN"/>
                    </w:rPr>
                    <w:t>，同意本项目选址，符合吐鲁番市国土空间</w:t>
                  </w:r>
                  <w:r>
                    <w:rPr>
                      <w:rFonts w:hint="eastAsia" w:ascii="宋体" w:hAnsi="宋体" w:cs="宋体"/>
                      <w:highlight w:val="none"/>
                      <w:lang w:val="en-US" w:eastAsia="zh-CN"/>
                    </w:rPr>
                    <w:t>管制要求</w:t>
                  </w:r>
                  <w:r>
                    <w:rPr>
                      <w:rFonts w:hint="eastAsia" w:ascii="宋体" w:hAnsi="宋体" w:eastAsia="宋体" w:cs="宋体"/>
                      <w:highlight w:val="none"/>
                      <w:lang w:val="en-US" w:eastAsia="zh-CN"/>
                    </w:rPr>
                    <w:t>。</w:t>
                  </w:r>
                  <w:r>
                    <w:rPr>
                      <w:rFonts w:hint="eastAsia" w:ascii="宋体" w:hAnsi="宋体" w:cs="宋体"/>
                      <w:highlight w:val="none"/>
                      <w:lang w:val="en-US" w:eastAsia="zh-CN"/>
                    </w:rPr>
                    <w:t>详见附件4。</w:t>
                  </w:r>
                </w:p>
              </w:tc>
              <w:tc>
                <w:tcPr>
                  <w:tcW w:w="635" w:type="pct"/>
                  <w:tcBorders>
                    <w:tl2br w:val="nil"/>
                    <w:tr2bl w:val="nil"/>
                  </w:tcBorders>
                  <w:vAlign w:val="center"/>
                </w:tcPr>
                <w:p w14:paraId="1B4F6F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highlight w:val="yellow"/>
                      <w:vertAlign w:val="baseline"/>
                      <w:lang w:val="en-US" w:eastAsia="zh-CN"/>
                    </w:rPr>
                  </w:pPr>
                  <w:r>
                    <w:rPr>
                      <w:rFonts w:hint="eastAsia" w:ascii="宋体" w:hAnsi="宋体" w:eastAsia="宋体" w:cs="宋体"/>
                      <w:color w:val="auto"/>
                      <w:sz w:val="21"/>
                      <w:szCs w:val="21"/>
                      <w:highlight w:val="none"/>
                      <w:vertAlign w:val="baseline"/>
                      <w:lang w:val="en-US" w:eastAsia="zh-CN"/>
                    </w:rPr>
                    <w:t>符合</w:t>
                  </w:r>
                </w:p>
              </w:tc>
            </w:tr>
          </w:tbl>
          <w:p w14:paraId="48C876B2">
            <w:pPr>
              <w:keepNext w:val="0"/>
              <w:keepLines w:val="0"/>
              <w:pageBreakBefore w:val="0"/>
              <w:widowControl w:val="0"/>
              <w:suppressLineNumbers w:val="0"/>
              <w:kinsoku/>
              <w:wordWrap/>
              <w:overflowPunct/>
              <w:topLinePunct w:val="0"/>
              <w:autoSpaceDE w:val="0"/>
              <w:autoSpaceDN w:val="0"/>
              <w:bidi w:val="0"/>
              <w:adjustRightInd w:val="0"/>
              <w:snapToGrid w:val="0"/>
              <w:spacing w:before="313" w:beforeLines="100" w:beforeAutospacing="0" w:after="0" w:afterAutospacing="0" w:line="360" w:lineRule="auto"/>
              <w:ind w:left="0" w:right="0" w:firstLine="0" w:firstLineChars="0"/>
              <w:textAlignment w:val="auto"/>
              <w:rPr>
                <w:rFonts w:hint="eastAsia" w:ascii="宋体" w:hAnsi="宋体" w:eastAsia="宋体" w:cs="宋体"/>
                <w:b/>
                <w:color w:val="auto"/>
                <w:sz w:val="24"/>
              </w:rPr>
            </w:pPr>
            <w:r>
              <w:rPr>
                <w:rFonts w:hint="eastAsia" w:ascii="宋体" w:hAnsi="宋体" w:eastAsia="宋体" w:cs="宋体"/>
                <w:b/>
                <w:color w:val="auto"/>
                <w:sz w:val="24"/>
                <w:lang w:val="en-US" w:eastAsia="zh-CN"/>
              </w:rPr>
              <w:t>2.3</w:t>
            </w:r>
            <w:r>
              <w:rPr>
                <w:rFonts w:hint="eastAsia" w:ascii="宋体" w:hAnsi="宋体" w:eastAsia="宋体" w:cs="宋体"/>
                <w:b/>
                <w:color w:val="auto"/>
                <w:sz w:val="24"/>
              </w:rPr>
              <w:t>与《</w:t>
            </w:r>
            <w:r>
              <w:rPr>
                <w:rFonts w:hint="eastAsia" w:ascii="宋体" w:hAnsi="宋体" w:eastAsia="宋体" w:cs="宋体"/>
                <w:b/>
                <w:color w:val="auto"/>
                <w:sz w:val="24"/>
                <w:lang w:val="en-US" w:eastAsia="zh-CN"/>
              </w:rPr>
              <w:t>吐鲁番市</w:t>
            </w:r>
            <w:r>
              <w:rPr>
                <w:rFonts w:hint="eastAsia" w:ascii="宋体" w:hAnsi="宋体" w:eastAsia="宋体" w:cs="宋体"/>
                <w:b/>
                <w:color w:val="auto"/>
                <w:sz w:val="24"/>
              </w:rPr>
              <w:t>“三线一单”生态环境分区管控方案》符合性</w:t>
            </w:r>
            <w:r>
              <w:rPr>
                <w:rFonts w:hint="eastAsia" w:ascii="宋体" w:hAnsi="宋体" w:eastAsia="宋体" w:cs="宋体"/>
                <w:b/>
                <w:color w:val="auto"/>
                <w:sz w:val="24"/>
                <w:lang w:eastAsia="zh-CN"/>
              </w:rPr>
              <w:t>分析</w:t>
            </w:r>
          </w:p>
          <w:p w14:paraId="37889E6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rPr>
              <w:t>根据</w:t>
            </w:r>
            <w:r>
              <w:rPr>
                <w:rFonts w:hint="eastAsia" w:ascii="宋体" w:hAnsi="宋体" w:cs="宋体"/>
                <w:color w:val="auto"/>
                <w:sz w:val="24"/>
                <w:szCs w:val="24"/>
                <w:lang w:eastAsia="zh-CN"/>
              </w:rPr>
              <w:t>《</w:t>
            </w:r>
            <w:r>
              <w:rPr>
                <w:rFonts w:hint="eastAsia" w:ascii="宋体" w:hAnsi="宋体" w:eastAsia="宋体" w:cs="宋体"/>
                <w:color w:val="auto"/>
                <w:sz w:val="24"/>
                <w:szCs w:val="24"/>
              </w:rPr>
              <w:t>关于印发</w:t>
            </w:r>
            <w:r>
              <w:rPr>
                <w:rFonts w:hint="eastAsia" w:ascii="宋体" w:hAnsi="宋体" w:cs="宋体"/>
                <w:color w:val="auto"/>
                <w:sz w:val="24"/>
                <w:szCs w:val="24"/>
                <w:lang w:eastAsia="zh-CN"/>
              </w:rPr>
              <w:t>〈</w:t>
            </w:r>
            <w:r>
              <w:rPr>
                <w:rFonts w:hint="eastAsia" w:ascii="宋体" w:hAnsi="宋体" w:eastAsia="宋体" w:cs="宋体"/>
                <w:color w:val="auto"/>
                <w:sz w:val="24"/>
                <w:szCs w:val="24"/>
              </w:rPr>
              <w:t>吐鲁番市“三线一单”生态环境分区管控方案</w:t>
            </w:r>
            <w:r>
              <w:rPr>
                <w:rFonts w:hint="eastAsia" w:ascii="宋体" w:hAnsi="宋体" w:cs="宋体"/>
                <w:color w:val="auto"/>
                <w:sz w:val="24"/>
                <w:szCs w:val="24"/>
                <w:lang w:eastAsia="zh-CN"/>
              </w:rPr>
              <w:t>〉</w:t>
            </w:r>
            <w:r>
              <w:rPr>
                <w:rFonts w:hint="eastAsia" w:ascii="宋体" w:hAnsi="宋体" w:eastAsia="宋体" w:cs="宋体"/>
                <w:color w:val="auto"/>
                <w:sz w:val="24"/>
                <w:szCs w:val="24"/>
              </w:rPr>
              <w:t>的</w:t>
            </w:r>
            <w:r>
              <w:rPr>
                <w:rFonts w:hint="eastAsia" w:ascii="宋体" w:hAnsi="宋体" w:eastAsia="宋体" w:cs="宋体"/>
                <w:color w:val="auto"/>
                <w:sz w:val="24"/>
                <w:szCs w:val="24"/>
                <w:highlight w:val="none"/>
              </w:rPr>
              <w:t>通知</w:t>
            </w:r>
            <w:r>
              <w:rPr>
                <w:rFonts w:hint="eastAsia" w:ascii="宋体" w:hAnsi="宋体" w:eastAsia="宋体" w:cs="宋体"/>
                <w:color w:val="auto"/>
                <w:sz w:val="24"/>
                <w:szCs w:val="24"/>
              </w:rPr>
              <w:t>》</w:t>
            </w:r>
            <w:r>
              <w:rPr>
                <w:rFonts w:hint="eastAsia" w:ascii="宋体" w:hAnsi="宋体" w:cs="宋体"/>
                <w:color w:val="auto"/>
                <w:sz w:val="24"/>
                <w:szCs w:val="24"/>
                <w:lang w:eastAsia="zh-CN"/>
              </w:rPr>
              <w:t>（</w:t>
            </w:r>
            <w:r>
              <w:rPr>
                <w:rFonts w:hint="eastAsia" w:ascii="宋体" w:hAnsi="宋体" w:eastAsia="宋体" w:cs="宋体"/>
                <w:color w:val="auto"/>
                <w:sz w:val="24"/>
                <w:szCs w:val="24"/>
              </w:rPr>
              <w:t>吐政办〔2021〕24号</w:t>
            </w:r>
            <w:r>
              <w:rPr>
                <w:rFonts w:hint="eastAsia" w:ascii="宋体" w:hAnsi="宋体" w:cs="宋体"/>
                <w:color w:val="auto"/>
                <w:sz w:val="24"/>
                <w:szCs w:val="24"/>
                <w:lang w:eastAsia="zh-CN"/>
              </w:rPr>
              <w:t>）</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kern w:val="0"/>
                <w:sz w:val="24"/>
                <w:szCs w:val="20"/>
                <w:lang w:val="en-US" w:eastAsia="zh-CN" w:bidi="ar-SA"/>
              </w:rPr>
              <w:t>《新疆维吾尔自治区生态环境厅关于做好“三线一单”生态环境分区管控更新调整工作的通知》</w:t>
            </w:r>
            <w:r>
              <w:rPr>
                <w:rFonts w:hint="eastAsia" w:ascii="宋体" w:hAnsi="宋体" w:cs="宋体"/>
                <w:color w:val="auto"/>
                <w:kern w:val="0"/>
                <w:sz w:val="24"/>
                <w:szCs w:val="20"/>
                <w:lang w:val="en-US" w:eastAsia="zh-CN" w:bidi="ar-SA"/>
              </w:rPr>
              <w:t>（</w:t>
            </w:r>
            <w:r>
              <w:rPr>
                <w:rFonts w:hint="eastAsia" w:ascii="宋体" w:hAnsi="宋体" w:eastAsia="宋体" w:cs="宋体"/>
                <w:color w:val="auto"/>
                <w:kern w:val="0"/>
                <w:sz w:val="24"/>
                <w:szCs w:val="20"/>
                <w:lang w:val="en-US" w:eastAsia="zh-CN" w:bidi="ar-SA"/>
              </w:rPr>
              <w:t>新环环评发〔2022〕113号）更新后的管控单元要求</w:t>
            </w:r>
            <w:r>
              <w:rPr>
                <w:rFonts w:hint="eastAsia" w:ascii="宋体" w:hAnsi="宋体" w:eastAsia="宋体" w:cs="宋体"/>
                <w:color w:val="auto"/>
                <w:sz w:val="24"/>
                <w:szCs w:val="24"/>
              </w:rPr>
              <w:t>，将本项目与生态保护红线、环境质量底线、资源利用上线和生态环境准入清单相关要求对比分析，详见表1-</w:t>
            </w:r>
            <w:r>
              <w:rPr>
                <w:rFonts w:hint="eastAsia" w:ascii="宋体" w:hAnsi="宋体" w:eastAsia="宋体" w:cs="宋体"/>
                <w:color w:val="auto"/>
                <w:sz w:val="24"/>
                <w:szCs w:val="24"/>
                <w:lang w:val="en-US"/>
              </w:rPr>
              <w:t>3</w:t>
            </w:r>
            <w:r>
              <w:rPr>
                <w:rFonts w:hint="eastAsia" w:ascii="宋体" w:hAnsi="宋体" w:eastAsia="宋体" w:cs="宋体"/>
                <w:color w:val="auto"/>
                <w:sz w:val="24"/>
                <w:szCs w:val="24"/>
              </w:rPr>
              <w:t>。</w:t>
            </w:r>
          </w:p>
          <w:p w14:paraId="703C013F">
            <w:pPr>
              <w:keepNext w:val="0"/>
              <w:keepLines w:val="0"/>
              <w:pageBreakBefore w:val="0"/>
              <w:widowControl w:val="0"/>
              <w:suppressLineNumbers w:val="0"/>
              <w:tabs>
                <w:tab w:val="left" w:pos="1699"/>
                <w:tab w:val="center" w:pos="3594"/>
                <w:tab w:val="left" w:pos="4586"/>
                <w:tab w:val="left" w:pos="5786"/>
              </w:tabs>
              <w:kinsoku/>
              <w:wordWrap/>
              <w:overflowPunct/>
              <w:topLinePunct w:val="0"/>
              <w:autoSpaceDE w:val="0"/>
              <w:autoSpaceDN w:val="0"/>
              <w:bidi w:val="0"/>
              <w:adjustRightInd w:val="0"/>
              <w:snapToGrid w:val="0"/>
              <w:spacing w:before="0" w:beforeAutospacing="0" w:after="0" w:afterAutospacing="0" w:line="320" w:lineRule="exact"/>
              <w:ind w:left="0" w:right="0" w:firstLine="482" w:firstLineChars="200"/>
              <w:jc w:val="both"/>
              <w:textAlignment w:val="auto"/>
              <w:outlineLvl w:val="9"/>
              <w:rPr>
                <w:rFonts w:hint="eastAsia" w:ascii="宋体" w:hAnsi="宋体" w:eastAsia="宋体" w:cs="宋体"/>
                <w:color w:val="auto"/>
                <w:lang w:val="en-US" w:eastAsia="zh-CN"/>
              </w:rPr>
            </w:pPr>
            <w:r>
              <w:rPr>
                <w:rFonts w:hint="eastAsia" w:ascii="宋体" w:hAnsi="宋体" w:eastAsia="宋体" w:cs="宋体"/>
                <w:b/>
                <w:bCs/>
                <w:color w:val="auto"/>
                <w:sz w:val="24"/>
                <w:szCs w:val="24"/>
              </w:rPr>
              <w:t>表1</w:t>
            </w:r>
            <w:r>
              <w:rPr>
                <w:rFonts w:hint="eastAsia" w:ascii="宋体" w:hAnsi="宋体" w:eastAsia="宋体" w:cs="宋体"/>
                <w:b/>
                <w:bCs/>
                <w:color w:val="auto"/>
                <w:sz w:val="24"/>
                <w:szCs w:val="24"/>
                <w:lang w:val="en-US" w:eastAsia="zh-CN"/>
              </w:rPr>
              <w:t xml:space="preserve">-3 </w:t>
            </w:r>
            <w:r>
              <w:rPr>
                <w:rFonts w:hint="eastAsia" w:ascii="宋体" w:hAnsi="宋体" w:cs="宋体"/>
                <w:b/>
                <w:bCs/>
                <w:color w:val="auto"/>
                <w:sz w:val="24"/>
                <w:szCs w:val="24"/>
                <w:lang w:val="en-US" w:eastAsia="zh-CN"/>
              </w:rPr>
              <w:t xml:space="preserve"> </w:t>
            </w:r>
            <w:r>
              <w:rPr>
                <w:rFonts w:hint="eastAsia" w:ascii="宋体" w:hAnsi="宋体" w:eastAsia="宋体" w:cs="宋体"/>
                <w:b/>
                <w:bCs/>
                <w:color w:val="auto"/>
                <w:sz w:val="24"/>
                <w:szCs w:val="24"/>
                <w:lang w:val="en-US" w:eastAsia="zh-CN"/>
              </w:rPr>
              <w:t>与吐政办〔2021〕24号文</w:t>
            </w:r>
            <w:r>
              <w:rPr>
                <w:rFonts w:hint="eastAsia" w:ascii="宋体" w:hAnsi="宋体" w:cs="宋体"/>
                <w:b/>
                <w:bCs/>
                <w:color w:val="auto"/>
                <w:sz w:val="24"/>
                <w:szCs w:val="24"/>
                <w:lang w:val="en-US" w:eastAsia="zh-CN"/>
              </w:rPr>
              <w:t>及动态更新成果</w:t>
            </w:r>
            <w:r>
              <w:rPr>
                <w:rFonts w:hint="eastAsia" w:ascii="宋体" w:hAnsi="宋体" w:eastAsia="宋体" w:cs="宋体"/>
                <w:b/>
                <w:bCs/>
                <w:color w:val="auto"/>
                <w:sz w:val="24"/>
                <w:szCs w:val="24"/>
                <w:lang w:val="en-US" w:eastAsia="zh-CN"/>
              </w:rPr>
              <w:t>符合性分析</w:t>
            </w:r>
          </w:p>
          <w:tbl>
            <w:tblPr>
              <w:tblStyle w:val="33"/>
              <w:tblW w:w="493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64"/>
              <w:gridCol w:w="2441"/>
              <w:gridCol w:w="931"/>
            </w:tblGrid>
            <w:tr w14:paraId="5BDFFE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533" w:type="pct"/>
                  <w:tcBorders>
                    <w:tl2br w:val="nil"/>
                    <w:tr2bl w:val="nil"/>
                  </w:tcBorders>
                  <w:vAlign w:val="center"/>
                </w:tcPr>
                <w:p w14:paraId="5ED78D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吐政办〔2021〕24号文及动态更新成果要求</w:t>
                  </w:r>
                </w:p>
              </w:tc>
              <w:tc>
                <w:tcPr>
                  <w:tcW w:w="1785" w:type="pct"/>
                  <w:tcBorders>
                    <w:tl2br w:val="nil"/>
                    <w:tr2bl w:val="nil"/>
                  </w:tcBorders>
                  <w:vAlign w:val="center"/>
                </w:tcPr>
                <w:p w14:paraId="599F5A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zh-CN"/>
                    </w:rPr>
                    <w:t>本</w:t>
                  </w:r>
                  <w:r>
                    <w:rPr>
                      <w:rFonts w:hint="eastAsia" w:ascii="宋体" w:hAnsi="宋体" w:eastAsia="宋体" w:cs="宋体"/>
                      <w:color w:val="auto"/>
                    </w:rPr>
                    <w:t>项目</w:t>
                  </w:r>
                </w:p>
              </w:tc>
              <w:tc>
                <w:tcPr>
                  <w:tcW w:w="681" w:type="pct"/>
                  <w:tcBorders>
                    <w:tl2br w:val="nil"/>
                    <w:tr2bl w:val="nil"/>
                  </w:tcBorders>
                  <w:vAlign w:val="center"/>
                </w:tcPr>
                <w:p w14:paraId="7AE55A23">
                  <w:pPr>
                    <w:keepNext w:val="0"/>
                    <w:keepLines w:val="0"/>
                    <w:widowControl w:val="0"/>
                    <w:suppressLineNumbers w:val="0"/>
                    <w:adjustRightInd w:val="0"/>
                    <w:snapToGrid w:val="0"/>
                    <w:spacing w:before="0" w:beforeAutospacing="0" w:after="0" w:afterAutospacing="0" w:line="240" w:lineRule="auto"/>
                    <w:ind w:left="0" w:right="0"/>
                    <w:jc w:val="center"/>
                    <w:outlineLvl w:val="9"/>
                    <w:rPr>
                      <w:rFonts w:hint="eastAsia" w:ascii="宋体" w:hAnsi="宋体" w:eastAsia="宋体" w:cs="宋体"/>
                      <w:color w:val="auto"/>
                      <w:lang w:val="en-US" w:eastAsia="zh-CN"/>
                    </w:rPr>
                  </w:pPr>
                  <w:r>
                    <w:rPr>
                      <w:rFonts w:hint="eastAsia" w:ascii="宋体" w:hAnsi="宋体" w:eastAsia="宋体" w:cs="宋体"/>
                      <w:color w:val="auto"/>
                      <w:lang w:val="zh-CN"/>
                    </w:rPr>
                    <w:t>相符性</w:t>
                  </w:r>
                </w:p>
              </w:tc>
            </w:tr>
            <w:tr w14:paraId="3DA6A0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25" w:hRule="atLeast"/>
                <w:jc w:val="center"/>
              </w:trPr>
              <w:tc>
                <w:tcPr>
                  <w:tcW w:w="2533" w:type="pct"/>
                  <w:tcBorders>
                    <w:tl2br w:val="nil"/>
                    <w:tr2bl w:val="nil"/>
                  </w:tcBorders>
                  <w:vAlign w:val="center"/>
                </w:tcPr>
                <w:p w14:paraId="3E329F03">
                  <w:pPr>
                    <w:keepNext w:val="0"/>
                    <w:keepLines w:val="0"/>
                    <w:widowControl w:val="0"/>
                    <w:suppressLineNumbers w:val="0"/>
                    <w:adjustRightInd w:val="0"/>
                    <w:snapToGrid w:val="0"/>
                    <w:spacing w:before="0" w:beforeAutospacing="0" w:after="0" w:afterAutospacing="0" w:line="240" w:lineRule="auto"/>
                    <w:ind w:left="0" w:right="0"/>
                    <w:jc w:val="both"/>
                    <w:outlineLvl w:val="9"/>
                    <w:rPr>
                      <w:rFonts w:hint="eastAsia" w:ascii="宋体" w:hAnsi="宋体" w:eastAsia="宋体" w:cs="宋体"/>
                      <w:color w:val="auto"/>
                      <w:lang w:val="en-US" w:eastAsia="zh-CN"/>
                    </w:rPr>
                  </w:pPr>
                  <w:r>
                    <w:rPr>
                      <w:rFonts w:hint="eastAsia" w:ascii="宋体" w:hAnsi="宋体" w:eastAsia="宋体" w:cs="宋体"/>
                      <w:b/>
                      <w:bCs/>
                      <w:color w:val="auto"/>
                    </w:rPr>
                    <w:t>生态保护红线</w:t>
                  </w:r>
                  <w:r>
                    <w:rPr>
                      <w:rFonts w:hint="eastAsia" w:ascii="宋体" w:hAnsi="宋体" w:eastAsia="宋体" w:cs="宋体"/>
                      <w:b/>
                      <w:bCs/>
                      <w:color w:val="auto"/>
                      <w:lang w:eastAsia="zh-CN"/>
                    </w:rPr>
                    <w:t>：</w:t>
                  </w:r>
                  <w:r>
                    <w:rPr>
                      <w:rFonts w:hint="eastAsia" w:ascii="宋体" w:hAnsi="宋体" w:eastAsia="宋体" w:cs="宋体"/>
                      <w:color w:val="auto"/>
                    </w:rPr>
                    <w:t>按照“生态功能不降低、面积不减少、性质不改变”的基本要求，对划定的生态保护红线实施严格管控，保障和维护国家生态安全的底线和生命线。</w:t>
                  </w:r>
                </w:p>
              </w:tc>
              <w:tc>
                <w:tcPr>
                  <w:tcW w:w="1785" w:type="pct"/>
                  <w:tcBorders>
                    <w:tl2br w:val="nil"/>
                    <w:tr2bl w:val="nil"/>
                  </w:tcBorders>
                  <w:vAlign w:val="center"/>
                </w:tcPr>
                <w:p w14:paraId="315241C7">
                  <w:pPr>
                    <w:keepNext w:val="0"/>
                    <w:keepLines w:val="0"/>
                    <w:widowControl w:val="0"/>
                    <w:suppressLineNumbers w:val="0"/>
                    <w:adjustRightInd w:val="0"/>
                    <w:snapToGrid w:val="0"/>
                    <w:spacing w:before="0" w:beforeAutospacing="0" w:after="0" w:afterAutospacing="0" w:line="240" w:lineRule="auto"/>
                    <w:ind w:left="0" w:right="0"/>
                    <w:jc w:val="both"/>
                    <w:outlineLvl w:val="9"/>
                    <w:rPr>
                      <w:rFonts w:hint="eastAsia" w:ascii="宋体" w:hAnsi="宋体" w:eastAsia="宋体" w:cs="宋体"/>
                      <w:color w:val="auto"/>
                      <w:lang w:val="en-US" w:eastAsia="zh-CN"/>
                    </w:rPr>
                  </w:pPr>
                  <w:r>
                    <w:rPr>
                      <w:rFonts w:hint="eastAsia" w:ascii="宋体" w:hAnsi="宋体" w:eastAsia="宋体" w:cs="宋体"/>
                      <w:color w:val="auto"/>
                    </w:rPr>
                    <w:t>本项目位于</w:t>
                  </w:r>
                  <w:r>
                    <w:rPr>
                      <w:rFonts w:hint="eastAsia" w:ascii="宋体" w:hAnsi="宋体" w:eastAsia="宋体" w:cs="宋体"/>
                      <w:color w:val="auto"/>
                      <w:lang w:val="en-US" w:eastAsia="zh-CN"/>
                    </w:rPr>
                    <w:t>吐鲁番市鄯善县境内，拟建项目选址选线</w:t>
                  </w:r>
                  <w:r>
                    <w:rPr>
                      <w:rFonts w:hint="eastAsia" w:ascii="宋体" w:hAnsi="宋体" w:eastAsia="宋体" w:cs="宋体"/>
                      <w:color w:val="auto"/>
                    </w:rPr>
                    <w:t>不涉及生态保护红线。</w:t>
                  </w:r>
                </w:p>
              </w:tc>
              <w:tc>
                <w:tcPr>
                  <w:tcW w:w="681" w:type="pct"/>
                  <w:tcBorders>
                    <w:tl2br w:val="nil"/>
                    <w:tr2bl w:val="nil"/>
                  </w:tcBorders>
                  <w:vAlign w:val="center"/>
                </w:tcPr>
                <w:p w14:paraId="506E876B">
                  <w:pPr>
                    <w:keepNext w:val="0"/>
                    <w:keepLines w:val="0"/>
                    <w:widowControl w:val="0"/>
                    <w:suppressLineNumbers w:val="0"/>
                    <w:adjustRightInd w:val="0"/>
                    <w:snapToGrid w:val="0"/>
                    <w:spacing w:before="0" w:beforeAutospacing="0" w:after="0" w:afterAutospacing="0" w:line="360" w:lineRule="auto"/>
                    <w:ind w:left="0" w:right="0"/>
                    <w:jc w:val="center"/>
                    <w:outlineLvl w:val="9"/>
                    <w:rPr>
                      <w:rFonts w:hint="eastAsia" w:ascii="宋体" w:hAnsi="宋体" w:eastAsia="宋体" w:cs="宋体"/>
                      <w:color w:val="auto"/>
                      <w:lang w:val="en-US" w:eastAsia="zh-CN"/>
                    </w:rPr>
                  </w:pPr>
                  <w:r>
                    <w:rPr>
                      <w:rFonts w:hint="eastAsia" w:ascii="宋体" w:hAnsi="宋体" w:eastAsia="宋体" w:cs="宋体"/>
                      <w:color w:val="auto"/>
                    </w:rPr>
                    <w:t>符合</w:t>
                  </w:r>
                </w:p>
              </w:tc>
            </w:tr>
            <w:tr w14:paraId="0B8921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33" w:type="pct"/>
                  <w:tcBorders>
                    <w:tl2br w:val="nil"/>
                    <w:tr2bl w:val="nil"/>
                  </w:tcBorders>
                  <w:vAlign w:val="center"/>
                </w:tcPr>
                <w:p w14:paraId="26B262E1">
                  <w:pPr>
                    <w:keepNext w:val="0"/>
                    <w:keepLines w:val="0"/>
                    <w:widowControl w:val="0"/>
                    <w:suppressLineNumbers w:val="0"/>
                    <w:adjustRightInd w:val="0"/>
                    <w:snapToGrid w:val="0"/>
                    <w:spacing w:before="0" w:beforeAutospacing="0" w:after="0" w:afterAutospacing="0" w:line="240" w:lineRule="auto"/>
                    <w:ind w:left="0" w:right="0"/>
                    <w:jc w:val="both"/>
                    <w:outlineLvl w:val="9"/>
                    <w:rPr>
                      <w:rFonts w:hint="eastAsia" w:ascii="宋体" w:hAnsi="宋体" w:eastAsia="宋体" w:cs="宋体"/>
                      <w:color w:val="auto"/>
                      <w:lang w:val="en-US" w:eastAsia="zh-CN"/>
                    </w:rPr>
                  </w:pPr>
                  <w:r>
                    <w:rPr>
                      <w:rFonts w:hint="eastAsia" w:ascii="宋体" w:hAnsi="宋体" w:eastAsia="宋体" w:cs="宋体"/>
                      <w:b/>
                      <w:bCs/>
                      <w:color w:val="auto"/>
                      <w:lang w:val="en-US" w:eastAsia="zh-CN"/>
                    </w:rPr>
                    <w:t>环境质量底线：</w:t>
                  </w:r>
                  <w:r>
                    <w:rPr>
                      <w:rFonts w:hint="eastAsia" w:ascii="宋体" w:hAnsi="宋体" w:eastAsia="宋体" w:cs="宋体"/>
                      <w:color w:val="auto"/>
                      <w:lang w:val="en-US" w:eastAsia="zh-CN"/>
                    </w:rPr>
                    <w:t>全市环境空气质量进一步改善，PM2.5浓度稳步下降，重污染天数持续减少；水环境质量稳定达标并持续改善，水生态建设得到加强，地下水超采得到严格控制，地下水水质保持稳定；土壤环境质量稳中向好，土壤环境安全得到有效保证，土壤环境风险得到进一步管控。</w:t>
                  </w:r>
                </w:p>
              </w:tc>
              <w:tc>
                <w:tcPr>
                  <w:tcW w:w="1785" w:type="pct"/>
                  <w:tcBorders>
                    <w:tl2br w:val="nil"/>
                    <w:tr2bl w:val="nil"/>
                  </w:tcBorders>
                  <w:vAlign w:val="center"/>
                </w:tcPr>
                <w:p w14:paraId="6EF59587">
                  <w:pPr>
                    <w:keepNext w:val="0"/>
                    <w:keepLines w:val="0"/>
                    <w:widowControl w:val="0"/>
                    <w:suppressLineNumbers w:val="0"/>
                    <w:adjustRightInd w:val="0"/>
                    <w:snapToGrid w:val="0"/>
                    <w:spacing w:before="0" w:beforeAutospacing="0" w:after="0" w:afterAutospacing="0" w:line="240" w:lineRule="auto"/>
                    <w:ind w:left="0" w:right="0"/>
                    <w:jc w:val="both"/>
                    <w:outlineLvl w:val="9"/>
                    <w:rPr>
                      <w:rFonts w:hint="eastAsia" w:ascii="宋体" w:hAnsi="宋体" w:eastAsia="宋体" w:cs="宋体"/>
                      <w:color w:val="auto"/>
                      <w:lang w:val="en-US" w:eastAsia="zh-CN"/>
                    </w:rPr>
                  </w:pPr>
                  <w:r>
                    <w:rPr>
                      <w:rFonts w:hint="eastAsia" w:ascii="宋体" w:hAnsi="宋体" w:eastAsia="宋体" w:cs="宋体"/>
                      <w:color w:val="auto"/>
                    </w:rPr>
                    <w:t>本项目施工期采取有效措施防治大气、水污染</w:t>
                  </w:r>
                  <w:r>
                    <w:rPr>
                      <w:rFonts w:hint="eastAsia" w:ascii="宋体" w:hAnsi="宋体" w:eastAsia="宋体" w:cs="宋体"/>
                      <w:color w:val="auto"/>
                      <w:lang w:eastAsia="zh-CN"/>
                    </w:rPr>
                    <w:t>、</w:t>
                  </w:r>
                  <w:r>
                    <w:rPr>
                      <w:rFonts w:hint="eastAsia" w:ascii="宋体" w:hAnsi="宋体" w:eastAsia="宋体" w:cs="宋体"/>
                      <w:color w:val="auto"/>
                      <w:lang w:val="en-US" w:eastAsia="zh-CN"/>
                    </w:rPr>
                    <w:t>生态破坏</w:t>
                  </w:r>
                  <w:r>
                    <w:rPr>
                      <w:rFonts w:hint="eastAsia" w:ascii="宋体" w:hAnsi="宋体" w:eastAsia="宋体" w:cs="宋体"/>
                      <w:color w:val="auto"/>
                    </w:rPr>
                    <w:t>，运营期</w:t>
                  </w:r>
                  <w:r>
                    <w:rPr>
                      <w:rFonts w:hint="eastAsia" w:ascii="宋体" w:hAnsi="宋体" w:eastAsia="宋体" w:cs="宋体"/>
                      <w:color w:val="auto"/>
                      <w:highlight w:val="none"/>
                      <w:lang w:val="en-US" w:eastAsia="zh-CN"/>
                    </w:rPr>
                    <w:t>食堂</w:t>
                  </w:r>
                  <w:r>
                    <w:rPr>
                      <w:rFonts w:hint="eastAsia" w:ascii="宋体" w:hAnsi="宋体" w:cs="宋体"/>
                      <w:color w:val="auto"/>
                      <w:highlight w:val="none"/>
                      <w:lang w:val="en-US" w:eastAsia="zh-CN"/>
                    </w:rPr>
                    <w:t>餐饮</w:t>
                  </w:r>
                  <w:r>
                    <w:rPr>
                      <w:rFonts w:hint="eastAsia" w:ascii="宋体" w:hAnsi="宋体" w:eastAsia="宋体" w:cs="宋体"/>
                      <w:color w:val="auto"/>
                      <w:highlight w:val="none"/>
                      <w:lang w:val="en-US" w:eastAsia="zh-CN"/>
                    </w:rPr>
                    <w:t>油烟经油烟机处理后排放，</w:t>
                  </w:r>
                  <w:r>
                    <w:rPr>
                      <w:rFonts w:hint="eastAsia" w:ascii="宋体" w:hAnsi="宋体" w:eastAsia="宋体" w:cs="宋体"/>
                      <w:color w:val="auto"/>
                      <w:lang w:val="en-US" w:eastAsia="zh-CN"/>
                    </w:rPr>
                    <w:t>生活污水经地埋式一体化生活污水处理装置处理后回用</w:t>
                  </w:r>
                  <w:r>
                    <w:rPr>
                      <w:rFonts w:hint="eastAsia" w:ascii="宋体" w:hAnsi="宋体" w:cs="宋体"/>
                      <w:color w:val="auto"/>
                      <w:lang w:val="en-US" w:eastAsia="zh-CN"/>
                    </w:rPr>
                    <w:t>于生态恢复的荒漠灌溉</w:t>
                  </w:r>
                  <w:r>
                    <w:rPr>
                      <w:rFonts w:hint="eastAsia" w:ascii="宋体" w:hAnsi="宋体" w:eastAsia="宋体" w:cs="宋体"/>
                      <w:color w:val="auto"/>
                      <w:lang w:val="en-US" w:eastAsia="zh-CN"/>
                    </w:rPr>
                    <w:t>，不外排。项目建设</w:t>
                  </w:r>
                  <w:r>
                    <w:rPr>
                      <w:rFonts w:hint="eastAsia" w:ascii="宋体" w:hAnsi="宋体" w:eastAsia="宋体" w:cs="宋体"/>
                      <w:color w:val="auto"/>
                    </w:rPr>
                    <w:t>对区域环境空气质量、水环境</w:t>
                  </w:r>
                  <w:r>
                    <w:rPr>
                      <w:rFonts w:hint="eastAsia" w:ascii="宋体" w:hAnsi="宋体" w:eastAsia="宋体" w:cs="宋体"/>
                      <w:color w:val="auto"/>
                      <w:lang w:val="en-US" w:eastAsia="zh-CN"/>
                    </w:rPr>
                    <w:t>质量影响较小</w:t>
                  </w:r>
                  <w:r>
                    <w:rPr>
                      <w:rFonts w:hint="eastAsia" w:ascii="宋体" w:hAnsi="宋体" w:eastAsia="宋体" w:cs="宋体"/>
                      <w:color w:val="auto"/>
                      <w:lang w:eastAsia="zh-CN"/>
                    </w:rPr>
                    <w:t>，</w:t>
                  </w:r>
                  <w:r>
                    <w:rPr>
                      <w:rFonts w:hint="eastAsia" w:ascii="宋体" w:hAnsi="宋体" w:eastAsia="宋体" w:cs="宋体"/>
                      <w:color w:val="auto"/>
                      <w:lang w:val="en-US" w:eastAsia="zh-CN"/>
                    </w:rPr>
                    <w:t>项目配套建设事故油池和危废贮存点，运营期加强危废管理措施，</w:t>
                  </w:r>
                  <w:r>
                    <w:rPr>
                      <w:rFonts w:hint="eastAsia" w:ascii="宋体" w:hAnsi="宋体" w:eastAsia="宋体" w:cs="宋体"/>
                      <w:color w:val="auto"/>
                    </w:rPr>
                    <w:t>不会对工程周边区域土壤环境造成影响。</w:t>
                  </w:r>
                  <w:r>
                    <w:rPr>
                      <w:rFonts w:hint="eastAsia" w:ascii="宋体" w:hAnsi="宋体" w:eastAsia="宋体" w:cs="宋体"/>
                      <w:color w:val="auto"/>
                      <w:lang w:val="en-US" w:eastAsia="zh-CN"/>
                    </w:rPr>
                    <w:t>项目对周边环境影响较小，</w:t>
                  </w:r>
                  <w:r>
                    <w:rPr>
                      <w:rFonts w:hint="eastAsia" w:ascii="宋体" w:hAnsi="宋体" w:eastAsia="宋体" w:cs="宋体"/>
                      <w:color w:val="auto"/>
                    </w:rPr>
                    <w:t>不</w:t>
                  </w:r>
                  <w:r>
                    <w:rPr>
                      <w:rFonts w:hint="eastAsia" w:ascii="宋体" w:hAnsi="宋体" w:eastAsia="宋体" w:cs="宋体"/>
                      <w:color w:val="auto"/>
                      <w:lang w:val="en-US" w:eastAsia="zh-CN"/>
                    </w:rPr>
                    <w:t>会</w:t>
                  </w:r>
                  <w:r>
                    <w:rPr>
                      <w:rFonts w:hint="eastAsia" w:ascii="宋体" w:hAnsi="宋体" w:eastAsia="宋体" w:cs="宋体"/>
                      <w:color w:val="auto"/>
                    </w:rPr>
                    <w:t>突破所在区域环境质量底线。</w:t>
                  </w:r>
                </w:p>
              </w:tc>
              <w:tc>
                <w:tcPr>
                  <w:tcW w:w="681" w:type="pct"/>
                  <w:tcBorders>
                    <w:tl2br w:val="nil"/>
                    <w:tr2bl w:val="nil"/>
                  </w:tcBorders>
                  <w:vAlign w:val="center"/>
                </w:tcPr>
                <w:p w14:paraId="625FD670">
                  <w:pPr>
                    <w:keepNext w:val="0"/>
                    <w:keepLines w:val="0"/>
                    <w:widowControl w:val="0"/>
                    <w:suppressLineNumbers w:val="0"/>
                    <w:adjustRightInd w:val="0"/>
                    <w:snapToGrid w:val="0"/>
                    <w:spacing w:before="0" w:beforeAutospacing="0" w:after="0" w:afterAutospacing="0" w:line="360" w:lineRule="auto"/>
                    <w:ind w:left="0" w:right="0"/>
                    <w:jc w:val="center"/>
                    <w:outlineLvl w:val="9"/>
                    <w:rPr>
                      <w:rFonts w:hint="eastAsia" w:ascii="宋体" w:hAnsi="宋体" w:eastAsia="宋体" w:cs="宋体"/>
                      <w:color w:val="auto"/>
                      <w:lang w:val="en-US" w:eastAsia="zh-CN"/>
                    </w:rPr>
                  </w:pPr>
                  <w:r>
                    <w:rPr>
                      <w:rFonts w:hint="eastAsia" w:ascii="宋体" w:hAnsi="宋体" w:eastAsia="宋体" w:cs="宋体"/>
                      <w:color w:val="auto"/>
                    </w:rPr>
                    <w:t>符合</w:t>
                  </w:r>
                </w:p>
              </w:tc>
            </w:tr>
            <w:tr w14:paraId="50489F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33" w:type="pct"/>
                  <w:tcBorders>
                    <w:tl2br w:val="nil"/>
                    <w:tr2bl w:val="nil"/>
                  </w:tcBorders>
                  <w:vAlign w:val="center"/>
                </w:tcPr>
                <w:p w14:paraId="77EC7B50">
                  <w:pPr>
                    <w:keepNext w:val="0"/>
                    <w:keepLines w:val="0"/>
                    <w:widowControl w:val="0"/>
                    <w:suppressLineNumbers w:val="0"/>
                    <w:adjustRightInd w:val="0"/>
                    <w:snapToGrid w:val="0"/>
                    <w:spacing w:before="0" w:beforeAutospacing="0" w:after="0" w:afterAutospacing="0" w:line="240" w:lineRule="auto"/>
                    <w:ind w:left="0" w:right="0"/>
                    <w:jc w:val="both"/>
                    <w:outlineLvl w:val="9"/>
                    <w:rPr>
                      <w:rFonts w:hint="eastAsia" w:ascii="宋体" w:hAnsi="宋体" w:eastAsia="宋体" w:cs="宋体"/>
                      <w:color w:val="auto"/>
                      <w:lang w:val="en-US" w:eastAsia="zh-CN"/>
                    </w:rPr>
                  </w:pPr>
                  <w:r>
                    <w:rPr>
                      <w:rFonts w:hint="eastAsia" w:ascii="宋体" w:hAnsi="宋体" w:eastAsia="宋体" w:cs="宋体"/>
                      <w:b/>
                      <w:bCs/>
                      <w:color w:val="auto"/>
                    </w:rPr>
                    <w:t>资源利用上线</w:t>
                  </w:r>
                  <w:r>
                    <w:rPr>
                      <w:rFonts w:hint="eastAsia" w:ascii="宋体" w:hAnsi="宋体" w:eastAsia="宋体" w:cs="宋体"/>
                      <w:b/>
                      <w:bCs/>
                      <w:color w:val="auto"/>
                      <w:lang w:eastAsia="zh-CN"/>
                    </w:rPr>
                    <w:t>：</w:t>
                  </w:r>
                  <w:r>
                    <w:rPr>
                      <w:rFonts w:hint="eastAsia" w:ascii="宋体" w:hAnsi="宋体" w:eastAsia="宋体" w:cs="宋体"/>
                      <w:color w:val="auto"/>
                    </w:rPr>
                    <w:t>强化节约集约利用，持续提升资源能源利用效率，水资源、土地资源、能源消耗等达到自治区下达的总量和强度控制目标。推动低碳发展。</w:t>
                  </w:r>
                </w:p>
              </w:tc>
              <w:tc>
                <w:tcPr>
                  <w:tcW w:w="1785" w:type="pct"/>
                  <w:tcBorders>
                    <w:tl2br w:val="nil"/>
                    <w:tr2bl w:val="nil"/>
                  </w:tcBorders>
                  <w:vAlign w:val="center"/>
                </w:tcPr>
                <w:p w14:paraId="2757C8A7">
                  <w:pPr>
                    <w:keepNext w:val="0"/>
                    <w:keepLines w:val="0"/>
                    <w:widowControl w:val="0"/>
                    <w:suppressLineNumbers w:val="0"/>
                    <w:adjustRightInd w:val="0"/>
                    <w:snapToGrid w:val="0"/>
                    <w:spacing w:before="0" w:beforeAutospacing="0" w:after="0" w:afterAutospacing="0" w:line="240" w:lineRule="auto"/>
                    <w:ind w:left="0" w:right="0"/>
                    <w:jc w:val="both"/>
                    <w:outlineLvl w:val="9"/>
                    <w:rPr>
                      <w:rFonts w:hint="eastAsia" w:ascii="宋体" w:hAnsi="宋体" w:eastAsia="宋体" w:cs="宋体"/>
                      <w:color w:val="auto"/>
                      <w:lang w:val="en-US" w:eastAsia="zh-CN"/>
                    </w:rPr>
                  </w:pPr>
                  <w:r>
                    <w:rPr>
                      <w:rFonts w:hint="eastAsia" w:ascii="宋体" w:hAnsi="宋体" w:eastAsia="宋体" w:cs="宋体"/>
                      <w:color w:val="auto"/>
                      <w:lang w:eastAsia="zh-CN"/>
                    </w:rPr>
                    <w:t>本项目</w:t>
                  </w:r>
                  <w:r>
                    <w:rPr>
                      <w:rFonts w:hint="eastAsia" w:ascii="宋体" w:hAnsi="宋体" w:cs="宋体"/>
                      <w:color w:val="auto"/>
                      <w:lang w:val="en-US" w:eastAsia="zh-CN"/>
                    </w:rPr>
                    <w:t>为输变电项目</w:t>
                  </w:r>
                  <w:r>
                    <w:rPr>
                      <w:rFonts w:hint="eastAsia" w:ascii="宋体" w:hAnsi="宋体" w:eastAsia="宋体" w:cs="宋体"/>
                      <w:color w:val="auto"/>
                      <w:lang w:eastAsia="zh-CN"/>
                    </w:rPr>
                    <w:t>，</w:t>
                  </w:r>
                  <w:r>
                    <w:rPr>
                      <w:rFonts w:hint="eastAsia" w:ascii="宋体" w:hAnsi="宋体" w:eastAsia="宋体" w:cs="宋体"/>
                      <w:color w:val="auto"/>
                    </w:rPr>
                    <w:t>项目的建设运营对水资源及其他资源能源消耗量极小，</w:t>
                  </w:r>
                  <w:r>
                    <w:rPr>
                      <w:rFonts w:hint="eastAsia" w:ascii="宋体" w:hAnsi="宋体" w:eastAsia="宋体" w:cs="宋体"/>
                      <w:color w:val="auto"/>
                      <w:lang w:val="en-US" w:eastAsia="zh-CN"/>
                    </w:rPr>
                    <w:t>设计</w:t>
                  </w:r>
                  <w:r>
                    <w:rPr>
                      <w:rFonts w:hint="eastAsia" w:ascii="宋体" w:hAnsi="宋体" w:eastAsia="宋体" w:cs="宋体"/>
                      <w:color w:val="auto"/>
                    </w:rPr>
                    <w:t>严格控制用地指标、节约土地资源</w:t>
                  </w:r>
                  <w:r>
                    <w:rPr>
                      <w:rFonts w:hint="eastAsia" w:ascii="宋体" w:hAnsi="宋体" w:eastAsia="宋体" w:cs="宋体"/>
                      <w:color w:val="auto"/>
                      <w:lang w:eastAsia="zh-CN"/>
                    </w:rPr>
                    <w:t>，</w:t>
                  </w:r>
                  <w:r>
                    <w:rPr>
                      <w:rFonts w:hint="eastAsia" w:ascii="宋体" w:hAnsi="宋体" w:eastAsia="宋体" w:cs="宋体"/>
                      <w:color w:val="auto"/>
                      <w:lang w:val="en-US" w:eastAsia="zh-CN"/>
                    </w:rPr>
                    <w:t>不突破当地土地资源利用上线，</w:t>
                  </w:r>
                  <w:r>
                    <w:rPr>
                      <w:rFonts w:hint="eastAsia" w:ascii="宋体" w:hAnsi="宋体" w:eastAsia="宋体" w:cs="宋体"/>
                      <w:color w:val="auto"/>
                    </w:rPr>
                    <w:t>项目所在地不属于资源、能源紧缺区域，项目运营期资源利用量较少，不会超过划定的资源利用上线，可以满足资源利用要求。</w:t>
                  </w:r>
                </w:p>
              </w:tc>
              <w:tc>
                <w:tcPr>
                  <w:tcW w:w="681" w:type="pct"/>
                  <w:tcBorders>
                    <w:tl2br w:val="nil"/>
                    <w:tr2bl w:val="nil"/>
                  </w:tcBorders>
                  <w:vAlign w:val="center"/>
                </w:tcPr>
                <w:p w14:paraId="5E788C7B">
                  <w:pPr>
                    <w:keepNext w:val="0"/>
                    <w:keepLines w:val="0"/>
                    <w:widowControl w:val="0"/>
                    <w:suppressLineNumbers w:val="0"/>
                    <w:adjustRightInd w:val="0"/>
                    <w:snapToGrid w:val="0"/>
                    <w:spacing w:before="0" w:beforeAutospacing="0" w:after="0" w:afterAutospacing="0" w:line="360" w:lineRule="auto"/>
                    <w:ind w:left="0" w:right="0"/>
                    <w:jc w:val="center"/>
                    <w:outlineLvl w:val="9"/>
                    <w:rPr>
                      <w:rFonts w:hint="eastAsia" w:ascii="宋体" w:hAnsi="宋体" w:eastAsia="宋体" w:cs="宋体"/>
                      <w:color w:val="auto"/>
                      <w:lang w:val="en-US" w:eastAsia="zh-CN"/>
                    </w:rPr>
                  </w:pPr>
                  <w:r>
                    <w:rPr>
                      <w:rFonts w:hint="eastAsia" w:ascii="宋体" w:hAnsi="宋体" w:eastAsia="宋体" w:cs="宋体"/>
                      <w:color w:val="auto"/>
                    </w:rPr>
                    <w:t>符合</w:t>
                  </w:r>
                </w:p>
              </w:tc>
            </w:tr>
          </w:tbl>
          <w:p w14:paraId="3A9DD1C5">
            <w:pPr>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0"/>
                <w:lang w:val="en-US" w:eastAsia="zh-CN" w:bidi="ar-SA"/>
              </w:rPr>
            </w:pPr>
            <w:r>
              <w:rPr>
                <w:rFonts w:hint="eastAsia" w:ascii="宋体" w:hAnsi="宋体" w:eastAsia="宋体" w:cs="宋体"/>
                <w:color w:val="auto"/>
                <w:kern w:val="0"/>
                <w:sz w:val="24"/>
                <w:szCs w:val="20"/>
                <w:lang w:val="en-GB" w:eastAsia="zh-CN" w:bidi="ar-SA"/>
              </w:rPr>
              <w:t>本项目建设地点位于吐鲁番市</w:t>
            </w:r>
            <w:r>
              <w:rPr>
                <w:rFonts w:hint="eastAsia" w:ascii="宋体" w:hAnsi="宋体" w:eastAsia="宋体" w:cs="宋体"/>
                <w:color w:val="auto"/>
                <w:kern w:val="0"/>
                <w:sz w:val="24"/>
                <w:szCs w:val="20"/>
                <w:lang w:val="en-US" w:eastAsia="zh-CN" w:bidi="ar-SA"/>
              </w:rPr>
              <w:t>鄯善</w:t>
            </w:r>
            <w:r>
              <w:rPr>
                <w:rFonts w:hint="eastAsia" w:ascii="宋体" w:hAnsi="宋体" w:eastAsia="宋体" w:cs="宋体"/>
                <w:color w:val="auto"/>
                <w:kern w:val="0"/>
                <w:sz w:val="24"/>
                <w:szCs w:val="20"/>
                <w:lang w:val="en-GB" w:eastAsia="zh-CN" w:bidi="ar-SA"/>
              </w:rPr>
              <w:t>县，</w:t>
            </w:r>
            <w:r>
              <w:rPr>
                <w:rFonts w:hint="eastAsia" w:ascii="宋体" w:hAnsi="宋体" w:eastAsia="宋体" w:cs="宋体"/>
                <w:color w:val="auto"/>
                <w:kern w:val="0"/>
                <w:sz w:val="24"/>
                <w:szCs w:val="20"/>
                <w:lang w:val="en-US" w:eastAsia="zh-CN" w:bidi="ar-SA"/>
              </w:rPr>
              <w:t>根据《新疆维吾尔自治区生态环境厅关于做好“三线一单”生态环境分区管控更新调整工作的通知》</w:t>
            </w:r>
            <w:r>
              <w:rPr>
                <w:rFonts w:hint="eastAsia" w:ascii="宋体" w:hAnsi="宋体" w:cs="宋体"/>
                <w:color w:val="auto"/>
                <w:kern w:val="0"/>
                <w:sz w:val="24"/>
                <w:szCs w:val="20"/>
                <w:lang w:val="en-US" w:eastAsia="zh-CN" w:bidi="ar-SA"/>
              </w:rPr>
              <w:t>（</w:t>
            </w:r>
            <w:r>
              <w:rPr>
                <w:rFonts w:hint="eastAsia" w:ascii="宋体" w:hAnsi="宋体" w:eastAsia="宋体" w:cs="宋体"/>
                <w:color w:val="auto"/>
                <w:kern w:val="0"/>
                <w:sz w:val="24"/>
                <w:szCs w:val="20"/>
                <w:lang w:val="en-US" w:eastAsia="zh-CN" w:bidi="ar-SA"/>
              </w:rPr>
              <w:t>新环环评发〔2022〕113号）更新后的管控单元要求，本项目升压站和输电</w:t>
            </w:r>
            <w:r>
              <w:rPr>
                <w:rFonts w:hint="eastAsia" w:ascii="宋体" w:hAnsi="宋体" w:eastAsia="宋体" w:cs="宋体"/>
                <w:color w:val="auto"/>
                <w:kern w:val="0"/>
                <w:sz w:val="24"/>
                <w:szCs w:val="20"/>
                <w:highlight w:val="none"/>
                <w:lang w:val="en-US" w:eastAsia="zh-CN" w:bidi="ar-SA"/>
              </w:rPr>
              <w:t>线路涉及一般管控单元1个。管控单元名称：鄯善县一般管控单元，管控单元编号：ZH65042130001。</w:t>
            </w:r>
            <w:r>
              <w:rPr>
                <w:rFonts w:hint="eastAsia" w:ascii="宋体" w:hAnsi="宋体" w:eastAsia="宋体" w:cs="宋体"/>
                <w:color w:val="auto"/>
                <w:kern w:val="0"/>
                <w:sz w:val="24"/>
                <w:szCs w:val="20"/>
                <w:lang w:val="en-GB" w:eastAsia="zh-CN" w:bidi="ar-SA"/>
              </w:rPr>
              <w:t>本项目所在环境管控单元管控要求详见表1-</w:t>
            </w:r>
            <w:r>
              <w:rPr>
                <w:rFonts w:hint="eastAsia" w:ascii="宋体" w:hAnsi="宋体" w:eastAsia="宋体" w:cs="宋体"/>
                <w:color w:val="auto"/>
                <w:kern w:val="0"/>
                <w:sz w:val="24"/>
                <w:szCs w:val="20"/>
                <w:lang w:val="en-US" w:eastAsia="zh-CN" w:bidi="ar-SA"/>
              </w:rPr>
              <w:t>4</w:t>
            </w:r>
            <w:r>
              <w:rPr>
                <w:rFonts w:hint="eastAsia" w:ascii="宋体" w:hAnsi="宋体" w:eastAsia="宋体" w:cs="宋体"/>
                <w:color w:val="auto"/>
                <w:kern w:val="0"/>
                <w:sz w:val="24"/>
                <w:szCs w:val="20"/>
                <w:lang w:val="en-GB" w:eastAsia="zh-CN" w:bidi="ar-SA"/>
              </w:rPr>
              <w:t>。</w:t>
            </w:r>
          </w:p>
          <w:p w14:paraId="6F7AA640">
            <w:pPr>
              <w:keepNext w:val="0"/>
              <w:keepLines w:val="0"/>
              <w:suppressLineNumbers w:val="0"/>
              <w:tabs>
                <w:tab w:val="left" w:pos="4586"/>
                <w:tab w:val="left" w:pos="5786"/>
              </w:tabs>
              <w:autoSpaceDE w:val="0"/>
              <w:autoSpaceDN w:val="0"/>
              <w:adjustRightInd w:val="0"/>
              <w:snapToGrid w:val="0"/>
              <w:spacing w:before="0" w:beforeAutospacing="0" w:after="0" w:afterAutospacing="0" w:line="240" w:lineRule="auto"/>
              <w:ind w:left="0" w:right="0" w:firstLine="482" w:firstLineChars="20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表1-4</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环境管控单元管控要求</w:t>
            </w:r>
          </w:p>
          <w:tbl>
            <w:tblPr>
              <w:tblStyle w:val="32"/>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1"/>
              <w:gridCol w:w="1089"/>
              <w:gridCol w:w="2818"/>
              <w:gridCol w:w="1994"/>
              <w:gridCol w:w="354"/>
            </w:tblGrid>
            <w:tr w14:paraId="5BB209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70" w:type="pct"/>
                  <w:gridSpan w:val="2"/>
                  <w:noWrap/>
                  <w:vAlign w:val="center"/>
                </w:tcPr>
                <w:p w14:paraId="59DC9798">
                  <w:pPr>
                    <w:keepNext w:val="0"/>
                    <w:keepLines w:val="0"/>
                    <w:suppressLineNumbers w:val="0"/>
                    <w:adjustRightInd w:val="0"/>
                    <w:snapToGrid w:val="0"/>
                    <w:spacing w:before="0" w:beforeAutospacing="0" w:after="0" w:afterAutospacing="0" w:line="240" w:lineRule="auto"/>
                    <w:ind w:left="-105" w:leftChars="-50" w:right="-105" w:rightChars="-5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环境管控单元编码</w:t>
                  </w:r>
                </w:p>
              </w:tc>
              <w:tc>
                <w:tcPr>
                  <w:tcW w:w="2034" w:type="pct"/>
                  <w:noWrap/>
                  <w:vAlign w:val="center"/>
                </w:tcPr>
                <w:p w14:paraId="6B31D8FD">
                  <w:pPr>
                    <w:keepNext w:val="0"/>
                    <w:keepLines w:val="0"/>
                    <w:suppressLineNumbers w:val="0"/>
                    <w:autoSpaceDE w:val="0"/>
                    <w:autoSpaceDN w:val="0"/>
                    <w:adjustRightInd w:val="0"/>
                    <w:snapToGrid w:val="0"/>
                    <w:spacing w:before="0" w:beforeAutospacing="0" w:after="0" w:afterAutospacing="0" w:line="240" w:lineRule="auto"/>
                    <w:ind w:left="-105" w:leftChars="-50" w:right="-105" w:rightChars="-50"/>
                    <w:jc w:val="center"/>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rPr>
                    <w:t>ZH6504213000</w:t>
                  </w:r>
                  <w:r>
                    <w:rPr>
                      <w:rFonts w:hint="eastAsia" w:ascii="宋体" w:hAnsi="宋体" w:eastAsia="宋体" w:cs="宋体"/>
                      <w:color w:val="000000"/>
                      <w:kern w:val="0"/>
                      <w:sz w:val="21"/>
                      <w:szCs w:val="21"/>
                      <w:highlight w:val="none"/>
                      <w:lang w:val="en-US" w:eastAsia="zh-CN"/>
                    </w:rPr>
                    <w:t>1</w:t>
                  </w:r>
                </w:p>
              </w:tc>
              <w:tc>
                <w:tcPr>
                  <w:tcW w:w="1439" w:type="pct"/>
                  <w:vMerge w:val="restart"/>
                  <w:noWrap/>
                  <w:vAlign w:val="center"/>
                </w:tcPr>
                <w:p w14:paraId="4CEE003E">
                  <w:pPr>
                    <w:keepNext w:val="0"/>
                    <w:keepLines w:val="0"/>
                    <w:suppressLineNumbers w:val="0"/>
                    <w:autoSpaceDE w:val="0"/>
                    <w:autoSpaceDN w:val="0"/>
                    <w:adjustRightInd w:val="0"/>
                    <w:snapToGrid w:val="0"/>
                    <w:spacing w:before="0" w:beforeAutospacing="0" w:after="0" w:afterAutospacing="0" w:line="240" w:lineRule="auto"/>
                    <w:ind w:left="-105" w:leftChars="-50" w:right="-105" w:rightChars="-5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本项目情况</w:t>
                  </w:r>
                </w:p>
              </w:tc>
              <w:tc>
                <w:tcPr>
                  <w:tcW w:w="255" w:type="pct"/>
                  <w:vMerge w:val="restart"/>
                  <w:noWrap/>
                  <w:vAlign w:val="center"/>
                </w:tcPr>
                <w:p w14:paraId="40CFB1A9">
                  <w:pPr>
                    <w:keepNext w:val="0"/>
                    <w:keepLines w:val="0"/>
                    <w:suppressLineNumbers w:val="0"/>
                    <w:autoSpaceDE w:val="0"/>
                    <w:autoSpaceDN w:val="0"/>
                    <w:adjustRightInd w:val="0"/>
                    <w:snapToGrid w:val="0"/>
                    <w:spacing w:before="0" w:beforeAutospacing="0" w:after="0" w:afterAutospacing="0" w:line="240" w:lineRule="auto"/>
                    <w:ind w:left="-105" w:leftChars="-50" w:right="-105" w:rightChars="-5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符合性</w:t>
                  </w:r>
                </w:p>
              </w:tc>
            </w:tr>
            <w:tr w14:paraId="1167AC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70" w:type="pct"/>
                  <w:gridSpan w:val="2"/>
                  <w:noWrap/>
                  <w:vAlign w:val="center"/>
                </w:tcPr>
                <w:p w14:paraId="725B2D9A">
                  <w:pPr>
                    <w:keepNext w:val="0"/>
                    <w:keepLines w:val="0"/>
                    <w:suppressLineNumbers w:val="0"/>
                    <w:autoSpaceDE w:val="0"/>
                    <w:autoSpaceDN w:val="0"/>
                    <w:adjustRightInd w:val="0"/>
                    <w:snapToGrid w:val="0"/>
                    <w:spacing w:before="0" w:beforeAutospacing="0" w:after="0" w:afterAutospacing="0" w:line="240" w:lineRule="auto"/>
                    <w:ind w:left="-105" w:leftChars="-50" w:right="-105" w:rightChars="-5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环境管控单元名称</w:t>
                  </w:r>
                </w:p>
              </w:tc>
              <w:tc>
                <w:tcPr>
                  <w:tcW w:w="2034" w:type="pct"/>
                  <w:noWrap/>
                  <w:vAlign w:val="center"/>
                </w:tcPr>
                <w:p w14:paraId="399D3BE9">
                  <w:pPr>
                    <w:keepNext w:val="0"/>
                    <w:keepLines w:val="0"/>
                    <w:suppressLineNumbers w:val="0"/>
                    <w:autoSpaceDE w:val="0"/>
                    <w:autoSpaceDN w:val="0"/>
                    <w:adjustRightInd w:val="0"/>
                    <w:snapToGrid w:val="0"/>
                    <w:spacing w:before="0" w:beforeAutospacing="0" w:after="0" w:afterAutospacing="0" w:line="240" w:lineRule="auto"/>
                    <w:ind w:left="-105" w:leftChars="-50" w:right="-105" w:rightChars="-5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鄯善县一般管控单元</w:t>
                  </w:r>
                </w:p>
              </w:tc>
              <w:tc>
                <w:tcPr>
                  <w:tcW w:w="1439" w:type="pct"/>
                  <w:vMerge w:val="continue"/>
                  <w:noWrap/>
                </w:tcPr>
                <w:p w14:paraId="51D31416">
                  <w:pPr>
                    <w:keepNext w:val="0"/>
                    <w:keepLines w:val="0"/>
                    <w:suppressLineNumbers w:val="0"/>
                    <w:adjustRightInd w:val="0"/>
                    <w:snapToGrid w:val="0"/>
                    <w:spacing w:before="0" w:beforeAutospacing="0" w:after="0" w:afterAutospacing="0" w:line="240" w:lineRule="auto"/>
                    <w:ind w:left="-105" w:leftChars="-50" w:right="-105" w:rightChars="-50"/>
                    <w:jc w:val="center"/>
                    <w:rPr>
                      <w:rFonts w:hint="eastAsia" w:ascii="宋体" w:hAnsi="宋体" w:eastAsia="宋体" w:cs="宋体"/>
                      <w:color w:val="000000"/>
                      <w:kern w:val="0"/>
                      <w:sz w:val="21"/>
                      <w:szCs w:val="21"/>
                      <w:highlight w:val="none"/>
                    </w:rPr>
                  </w:pPr>
                </w:p>
              </w:tc>
              <w:tc>
                <w:tcPr>
                  <w:tcW w:w="255" w:type="pct"/>
                  <w:vMerge w:val="continue"/>
                  <w:noWrap/>
                </w:tcPr>
                <w:p w14:paraId="39C07CAA">
                  <w:pPr>
                    <w:keepNext w:val="0"/>
                    <w:keepLines w:val="0"/>
                    <w:suppressLineNumbers w:val="0"/>
                    <w:adjustRightInd w:val="0"/>
                    <w:snapToGrid w:val="0"/>
                    <w:spacing w:before="0" w:beforeAutospacing="0" w:after="0" w:afterAutospacing="0" w:line="240" w:lineRule="auto"/>
                    <w:ind w:left="-105" w:leftChars="-50" w:right="-105" w:rightChars="-50"/>
                    <w:jc w:val="center"/>
                    <w:rPr>
                      <w:rFonts w:hint="eastAsia" w:ascii="宋体" w:hAnsi="宋体" w:eastAsia="宋体" w:cs="宋体"/>
                      <w:color w:val="000000"/>
                      <w:kern w:val="0"/>
                      <w:sz w:val="21"/>
                      <w:szCs w:val="21"/>
                      <w:highlight w:val="none"/>
                    </w:rPr>
                  </w:pPr>
                </w:p>
              </w:tc>
            </w:tr>
            <w:tr w14:paraId="0BB362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70" w:type="pct"/>
                  <w:gridSpan w:val="2"/>
                  <w:noWrap/>
                  <w:vAlign w:val="center"/>
                </w:tcPr>
                <w:p w14:paraId="14581836">
                  <w:pPr>
                    <w:keepNext w:val="0"/>
                    <w:keepLines w:val="0"/>
                    <w:suppressLineNumbers w:val="0"/>
                    <w:adjustRightInd w:val="0"/>
                    <w:snapToGrid w:val="0"/>
                    <w:spacing w:before="0" w:beforeAutospacing="0" w:after="0" w:afterAutospacing="0" w:line="240" w:lineRule="auto"/>
                    <w:ind w:left="-105" w:leftChars="-50" w:right="-105" w:rightChars="-5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环境管控单元类别</w:t>
                  </w:r>
                </w:p>
              </w:tc>
              <w:tc>
                <w:tcPr>
                  <w:tcW w:w="2034" w:type="pct"/>
                  <w:noWrap/>
                  <w:vAlign w:val="center"/>
                </w:tcPr>
                <w:p w14:paraId="707C5654">
                  <w:pPr>
                    <w:keepNext w:val="0"/>
                    <w:keepLines w:val="0"/>
                    <w:suppressLineNumbers w:val="0"/>
                    <w:autoSpaceDE w:val="0"/>
                    <w:autoSpaceDN w:val="0"/>
                    <w:adjustRightInd w:val="0"/>
                    <w:snapToGrid w:val="0"/>
                    <w:spacing w:before="0" w:beforeAutospacing="0" w:after="0" w:afterAutospacing="0" w:line="240" w:lineRule="auto"/>
                    <w:ind w:left="-105" w:leftChars="-50" w:right="-105" w:rightChars="-5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一般管控单元</w:t>
                  </w:r>
                </w:p>
              </w:tc>
              <w:tc>
                <w:tcPr>
                  <w:tcW w:w="1439" w:type="pct"/>
                  <w:vMerge w:val="continue"/>
                  <w:noWrap/>
                </w:tcPr>
                <w:p w14:paraId="6C88FA13">
                  <w:pPr>
                    <w:keepNext w:val="0"/>
                    <w:keepLines w:val="0"/>
                    <w:suppressLineNumbers w:val="0"/>
                    <w:adjustRightInd w:val="0"/>
                    <w:snapToGrid w:val="0"/>
                    <w:spacing w:before="0" w:beforeAutospacing="0" w:after="0" w:afterAutospacing="0" w:line="240" w:lineRule="auto"/>
                    <w:ind w:left="-105" w:leftChars="-50" w:right="-105" w:rightChars="-50"/>
                    <w:jc w:val="center"/>
                    <w:rPr>
                      <w:rFonts w:hint="eastAsia" w:ascii="宋体" w:hAnsi="宋体" w:eastAsia="宋体" w:cs="宋体"/>
                      <w:color w:val="000000"/>
                      <w:kern w:val="0"/>
                      <w:sz w:val="21"/>
                      <w:szCs w:val="21"/>
                      <w:highlight w:val="none"/>
                    </w:rPr>
                  </w:pPr>
                </w:p>
              </w:tc>
              <w:tc>
                <w:tcPr>
                  <w:tcW w:w="255" w:type="pct"/>
                  <w:vMerge w:val="continue"/>
                  <w:noWrap/>
                </w:tcPr>
                <w:p w14:paraId="1FA2479A">
                  <w:pPr>
                    <w:keepNext w:val="0"/>
                    <w:keepLines w:val="0"/>
                    <w:suppressLineNumbers w:val="0"/>
                    <w:adjustRightInd w:val="0"/>
                    <w:snapToGrid w:val="0"/>
                    <w:spacing w:before="0" w:beforeAutospacing="0" w:after="0" w:afterAutospacing="0" w:line="240" w:lineRule="auto"/>
                    <w:ind w:left="-105" w:leftChars="-50" w:right="-105" w:rightChars="-50"/>
                    <w:jc w:val="center"/>
                    <w:rPr>
                      <w:rFonts w:hint="eastAsia" w:ascii="宋体" w:hAnsi="宋体" w:eastAsia="宋体" w:cs="宋体"/>
                      <w:color w:val="000000"/>
                      <w:kern w:val="0"/>
                      <w:sz w:val="21"/>
                      <w:szCs w:val="21"/>
                      <w:highlight w:val="none"/>
                    </w:rPr>
                  </w:pPr>
                </w:p>
              </w:tc>
            </w:tr>
            <w:tr w14:paraId="51045E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73" w:hRule="atLeast"/>
              </w:trPr>
              <w:tc>
                <w:tcPr>
                  <w:tcW w:w="484" w:type="pct"/>
                  <w:vMerge w:val="restart"/>
                  <w:noWrap/>
                  <w:vAlign w:val="center"/>
                </w:tcPr>
                <w:p w14:paraId="45A9DE45">
                  <w:pPr>
                    <w:keepNext w:val="0"/>
                    <w:keepLines w:val="0"/>
                    <w:suppressLineNumbers w:val="0"/>
                    <w:adjustRightInd w:val="0"/>
                    <w:snapToGrid w:val="0"/>
                    <w:spacing w:before="0" w:beforeAutospacing="0" w:after="0" w:afterAutospacing="0" w:line="240" w:lineRule="auto"/>
                    <w:ind w:left="-105" w:leftChars="-50" w:right="-105" w:rightChars="-5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管控</w:t>
                  </w:r>
                </w:p>
                <w:p w14:paraId="0504201D">
                  <w:pPr>
                    <w:keepNext w:val="0"/>
                    <w:keepLines w:val="0"/>
                    <w:suppressLineNumbers w:val="0"/>
                    <w:adjustRightInd w:val="0"/>
                    <w:snapToGrid w:val="0"/>
                    <w:spacing w:before="0" w:beforeAutospacing="0" w:after="0" w:afterAutospacing="0" w:line="240" w:lineRule="auto"/>
                    <w:ind w:left="-105" w:leftChars="-50" w:right="-105" w:rightChars="-5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要求</w:t>
                  </w:r>
                </w:p>
              </w:tc>
              <w:tc>
                <w:tcPr>
                  <w:tcW w:w="785" w:type="pct"/>
                  <w:noWrap/>
                  <w:vAlign w:val="center"/>
                </w:tcPr>
                <w:p w14:paraId="605E58D8">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空间布局约束</w:t>
                  </w:r>
                </w:p>
              </w:tc>
              <w:tc>
                <w:tcPr>
                  <w:tcW w:w="2034" w:type="pct"/>
                  <w:noWrap/>
                </w:tcPr>
                <w:p w14:paraId="434D0BE5">
                  <w:pPr>
                    <w:keepNext w:val="0"/>
                    <w:keepLines w:val="0"/>
                    <w:widowControl/>
                    <w:numPr>
                      <w:ilvl w:val="0"/>
                      <w:numId w:val="0"/>
                    </w:numPr>
                    <w:suppressLineNumbers w:val="0"/>
                    <w:spacing w:before="0" w:beforeAutospacing="0" w:after="0" w:afterAutospacing="0" w:line="240" w:lineRule="auto"/>
                    <w:ind w:left="0" w:right="0"/>
                    <w:jc w:val="left"/>
                    <w:textAlignment w:val="top"/>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1.原则上禁止建设涉及一类重金属、持久性有机污染物排放的工业项目。</w:t>
                  </w:r>
                </w:p>
                <w:p w14:paraId="5BE3382C">
                  <w:pPr>
                    <w:keepNext w:val="0"/>
                    <w:keepLines w:val="0"/>
                    <w:widowControl/>
                    <w:numPr>
                      <w:ilvl w:val="0"/>
                      <w:numId w:val="0"/>
                    </w:numPr>
                    <w:suppressLineNumbers w:val="0"/>
                    <w:spacing w:before="0" w:beforeAutospacing="0" w:after="0" w:afterAutospacing="0" w:line="240" w:lineRule="auto"/>
                    <w:ind w:left="0" w:right="0"/>
                    <w:jc w:val="left"/>
                    <w:textAlignment w:val="top"/>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2.限制进行大规模高强度工业化、城镇化开发。按照自治区要求建立“两高”项目环评管理台账，严格执行环评审批原则和准入条件，落实主要污染物区域削减、煤炭消费减量替代等措施。</w:t>
                  </w:r>
                </w:p>
                <w:p w14:paraId="4C2BBE39">
                  <w:pPr>
                    <w:keepNext w:val="0"/>
                    <w:keepLines w:val="0"/>
                    <w:widowControl/>
                    <w:numPr>
                      <w:ilvl w:val="0"/>
                      <w:numId w:val="0"/>
                    </w:numPr>
                    <w:suppressLineNumbers w:val="0"/>
                    <w:spacing w:before="0" w:beforeAutospacing="0" w:after="0" w:afterAutospacing="0" w:line="240" w:lineRule="auto"/>
                    <w:ind w:left="0" w:right="0"/>
                    <w:jc w:val="left"/>
                    <w:textAlignment w:val="top"/>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3.推进新能源的开发和利用，鼓励发展风力发电和太阳能发电。</w:t>
                  </w:r>
                </w:p>
                <w:p w14:paraId="7DEE45A8">
                  <w:pPr>
                    <w:keepNext w:val="0"/>
                    <w:keepLines w:val="0"/>
                    <w:widowControl/>
                    <w:numPr>
                      <w:ilvl w:val="0"/>
                      <w:numId w:val="0"/>
                    </w:numPr>
                    <w:suppressLineNumbers w:val="0"/>
                    <w:spacing w:before="0" w:beforeAutospacing="0" w:after="0" w:afterAutospacing="0" w:line="240" w:lineRule="auto"/>
                    <w:ind w:left="0" w:right="0"/>
                    <w:jc w:val="left"/>
                    <w:textAlignment w:val="top"/>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4.建立集镇居住商业区、耕地保护区与工业功能区等集聚区块之间的防护带。</w:t>
                  </w:r>
                </w:p>
                <w:p w14:paraId="376E92A4">
                  <w:pPr>
                    <w:keepNext w:val="0"/>
                    <w:keepLines w:val="0"/>
                    <w:widowControl/>
                    <w:numPr>
                      <w:ilvl w:val="0"/>
                      <w:numId w:val="0"/>
                    </w:numPr>
                    <w:suppressLineNumbers w:val="0"/>
                    <w:spacing w:before="0" w:beforeAutospacing="0" w:after="0" w:afterAutospacing="0" w:line="240" w:lineRule="auto"/>
                    <w:ind w:left="0" w:right="0"/>
                    <w:jc w:val="left"/>
                    <w:textAlignment w:val="top"/>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5.严格执行畜禽养殖禁养区规定，根据区域用地和消纳水平，合理确定养殖规模。</w:t>
                  </w:r>
                </w:p>
                <w:p w14:paraId="6AFB5B30">
                  <w:pPr>
                    <w:keepNext w:val="0"/>
                    <w:keepLines w:val="0"/>
                    <w:widowControl/>
                    <w:numPr>
                      <w:ilvl w:val="0"/>
                      <w:numId w:val="0"/>
                    </w:numPr>
                    <w:suppressLineNumbers w:val="0"/>
                    <w:spacing w:before="0" w:beforeAutospacing="0" w:after="0" w:afterAutospacing="0" w:line="240" w:lineRule="auto"/>
                    <w:ind w:left="0" w:right="0"/>
                    <w:jc w:val="left"/>
                    <w:textAlignment w:val="top"/>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任何单位和个人不得改变或者占用基本农田保护区。国家能源、交通、水利、军事设施等重点建设项目选址确实无法避开基本农田保护区，需要占用基本农田，涉及农用地转用或者征收土地的，必须经国务院批准。</w:t>
                  </w:r>
                </w:p>
                <w:p w14:paraId="17E07640">
                  <w:pPr>
                    <w:keepNext w:val="0"/>
                    <w:keepLines w:val="0"/>
                    <w:widowControl/>
                    <w:numPr>
                      <w:ilvl w:val="0"/>
                      <w:numId w:val="0"/>
                    </w:numPr>
                    <w:suppressLineNumbers w:val="0"/>
                    <w:spacing w:before="0" w:beforeAutospacing="0" w:after="0" w:afterAutospacing="0" w:line="240" w:lineRule="auto"/>
                    <w:ind w:left="0" w:right="0"/>
                    <w:jc w:val="left"/>
                    <w:textAlignment w:val="top"/>
                    <w:rPr>
                      <w:rFonts w:hint="eastAsia" w:ascii="宋体" w:hAnsi="宋体" w:eastAsia="宋体" w:cs="宋体"/>
                      <w:color w:val="000000"/>
                      <w:sz w:val="21"/>
                      <w:szCs w:val="21"/>
                      <w:highlight w:val="none"/>
                    </w:rPr>
                  </w:pPr>
                  <w:r>
                    <w:rPr>
                      <w:rFonts w:hint="eastAsia" w:ascii="宋体" w:hAnsi="宋体" w:eastAsia="宋体" w:cs="宋体"/>
                      <w:color w:val="auto"/>
                      <w:sz w:val="21"/>
                      <w:szCs w:val="21"/>
                      <w:highlight w:val="none"/>
                      <w:lang w:val="en-US" w:eastAsia="zh-CN"/>
                    </w:rPr>
                    <w:t>7.禁止任何单位和个人在基本农田保护区内建窑、建房、建坟、挖砂、采石、采矿、取土、堆放固体废弃物或者进行其他破坏基本农田的活动。禁止任何单位和个人占用基本农田发展林果业和挖塘养鱼。</w:t>
                  </w:r>
                </w:p>
              </w:tc>
              <w:tc>
                <w:tcPr>
                  <w:tcW w:w="1439" w:type="pct"/>
                  <w:noWrap/>
                  <w:vAlign w:val="center"/>
                </w:tcPr>
                <w:p w14:paraId="06BBAF66">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rPr>
                    <w:t>本项目为</w:t>
                  </w:r>
                  <w:r>
                    <w:rPr>
                      <w:rFonts w:hint="eastAsia" w:ascii="宋体" w:hAnsi="宋体" w:eastAsia="宋体" w:cs="宋体"/>
                      <w:color w:val="000000"/>
                      <w:sz w:val="21"/>
                      <w:szCs w:val="21"/>
                      <w:highlight w:val="none"/>
                      <w:lang w:val="en-US" w:eastAsia="zh-CN"/>
                    </w:rPr>
                    <w:t>输变电项目</w:t>
                  </w:r>
                  <w:r>
                    <w:rPr>
                      <w:rFonts w:hint="eastAsia" w:ascii="宋体" w:hAnsi="宋体" w:eastAsia="宋体" w:cs="宋体"/>
                      <w:color w:val="000000"/>
                      <w:sz w:val="21"/>
                      <w:szCs w:val="21"/>
                      <w:highlight w:val="none"/>
                    </w:rPr>
                    <w:t>，属于</w:t>
                  </w:r>
                  <w:r>
                    <w:rPr>
                      <w:rFonts w:hint="eastAsia" w:ascii="宋体" w:hAnsi="宋体" w:eastAsia="宋体" w:cs="宋体"/>
                      <w:color w:val="000000"/>
                      <w:sz w:val="21"/>
                      <w:szCs w:val="21"/>
                      <w:highlight w:val="none"/>
                      <w:lang w:val="en-US" w:eastAsia="zh-CN"/>
                    </w:rPr>
                    <w:t>风力发电配套输变电项目</w:t>
                  </w:r>
                  <w:r>
                    <w:rPr>
                      <w:rFonts w:hint="eastAsia" w:ascii="宋体" w:hAnsi="宋体" w:eastAsia="宋体" w:cs="宋体"/>
                      <w:color w:val="000000"/>
                      <w:kern w:val="0"/>
                      <w:sz w:val="21"/>
                      <w:szCs w:val="21"/>
                      <w:highlight w:val="none"/>
                    </w:rPr>
                    <w:t>，符合国家、自治区产业政策和环境准入要求，不属于</w:t>
                  </w:r>
                  <w:r>
                    <w:rPr>
                      <w:rFonts w:hint="eastAsia" w:ascii="宋体" w:hAnsi="宋体" w:eastAsia="宋体" w:cs="宋体"/>
                      <w:color w:val="000000"/>
                      <w:sz w:val="21"/>
                      <w:szCs w:val="21"/>
                      <w:highlight w:val="none"/>
                    </w:rPr>
                    <w:t>“高污染、高环境风险产品”工业项目，不涉及</w:t>
                  </w:r>
                  <w:r>
                    <w:rPr>
                      <w:rFonts w:hint="eastAsia" w:ascii="宋体" w:hAnsi="宋体" w:eastAsia="宋体" w:cs="宋体"/>
                      <w:color w:val="000000"/>
                      <w:sz w:val="21"/>
                      <w:szCs w:val="21"/>
                      <w:highlight w:val="none"/>
                      <w:lang w:val="zh-CN"/>
                    </w:rPr>
                    <w:t>一类重金属、持久性有机污染物排放</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不涉及畜禽养殖。本项目占地为国有未利用土地，不占用基本农田。</w:t>
                  </w:r>
                </w:p>
                <w:p w14:paraId="575D6272">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kern w:val="0"/>
                      <w:sz w:val="21"/>
                      <w:szCs w:val="21"/>
                      <w:highlight w:val="none"/>
                    </w:rPr>
                  </w:pPr>
                </w:p>
              </w:tc>
              <w:tc>
                <w:tcPr>
                  <w:tcW w:w="255" w:type="pct"/>
                  <w:noWrap/>
                  <w:vAlign w:val="center"/>
                </w:tcPr>
                <w:p w14:paraId="5B09031A">
                  <w:pPr>
                    <w:keepNext w:val="0"/>
                    <w:keepLines w:val="0"/>
                    <w:suppressLineNumbers w:val="0"/>
                    <w:adjustRightInd w:val="0"/>
                    <w:snapToGrid w:val="0"/>
                    <w:spacing w:before="0" w:beforeAutospacing="0" w:after="0" w:afterAutospacing="0" w:line="240" w:lineRule="auto"/>
                    <w:ind w:left="-105" w:leftChars="-50" w:right="-105" w:rightChars="-5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符合</w:t>
                  </w:r>
                </w:p>
              </w:tc>
            </w:tr>
            <w:tr w14:paraId="17184A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84" w:type="pct"/>
                  <w:vMerge w:val="continue"/>
                  <w:noWrap/>
                  <w:vAlign w:val="center"/>
                </w:tcPr>
                <w:p w14:paraId="050DBF39">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kern w:val="0"/>
                      <w:sz w:val="21"/>
                      <w:szCs w:val="21"/>
                      <w:highlight w:val="none"/>
                    </w:rPr>
                  </w:pPr>
                </w:p>
              </w:tc>
              <w:tc>
                <w:tcPr>
                  <w:tcW w:w="785" w:type="pct"/>
                  <w:noWrap/>
                  <w:vAlign w:val="center"/>
                </w:tcPr>
                <w:p w14:paraId="680E72BC">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污染物排放管控</w:t>
                  </w:r>
                </w:p>
              </w:tc>
              <w:tc>
                <w:tcPr>
                  <w:tcW w:w="2034" w:type="pct"/>
                  <w:noWrap/>
                </w:tcPr>
                <w:p w14:paraId="3029B991">
                  <w:pPr>
                    <w:keepNext w:val="0"/>
                    <w:keepLines w:val="0"/>
                    <w:widowControl/>
                    <w:numPr>
                      <w:ilvl w:val="0"/>
                      <w:numId w:val="0"/>
                    </w:numPr>
                    <w:suppressLineNumbers w:val="0"/>
                    <w:spacing w:before="0" w:beforeAutospacing="0" w:after="0" w:afterAutospacing="0" w:line="240" w:lineRule="auto"/>
                    <w:ind w:left="0" w:right="0"/>
                    <w:jc w:val="left"/>
                    <w:textAlignment w:val="top"/>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1.加强农业面源污染治理，科学合理使用化肥农药，逐步削减农业面源污染物排放量。</w:t>
                  </w:r>
                </w:p>
                <w:p w14:paraId="5B5FCA24">
                  <w:pPr>
                    <w:keepNext w:val="0"/>
                    <w:keepLines w:val="0"/>
                    <w:widowControl/>
                    <w:numPr>
                      <w:ilvl w:val="0"/>
                      <w:numId w:val="0"/>
                    </w:numPr>
                    <w:suppressLineNumbers w:val="0"/>
                    <w:spacing w:before="0" w:beforeAutospacing="0" w:after="0" w:afterAutospacing="0" w:line="240" w:lineRule="auto"/>
                    <w:ind w:left="0" w:right="0"/>
                    <w:jc w:val="left"/>
                    <w:textAlignment w:val="top"/>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2.加强矿产资源开采的环境保护工作。</w:t>
                  </w:r>
                </w:p>
              </w:tc>
              <w:tc>
                <w:tcPr>
                  <w:tcW w:w="1439" w:type="pct"/>
                  <w:noWrap/>
                  <w:vAlign w:val="center"/>
                </w:tcPr>
                <w:p w14:paraId="792DF501">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本项目为输变电项目，不涉及化肥农药、矿产资源开采等。</w:t>
                  </w:r>
                </w:p>
              </w:tc>
              <w:tc>
                <w:tcPr>
                  <w:tcW w:w="255" w:type="pct"/>
                  <w:noWrap/>
                  <w:vAlign w:val="center"/>
                </w:tcPr>
                <w:p w14:paraId="0AFEB6AA">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符合</w:t>
                  </w:r>
                </w:p>
              </w:tc>
            </w:tr>
            <w:tr w14:paraId="3BA4B1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84" w:type="pct"/>
                  <w:vMerge w:val="continue"/>
                  <w:noWrap/>
                  <w:vAlign w:val="center"/>
                </w:tcPr>
                <w:p w14:paraId="53A5DB3F">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kern w:val="0"/>
                      <w:sz w:val="21"/>
                      <w:szCs w:val="21"/>
                      <w:highlight w:val="none"/>
                    </w:rPr>
                  </w:pPr>
                </w:p>
              </w:tc>
              <w:tc>
                <w:tcPr>
                  <w:tcW w:w="785" w:type="pct"/>
                  <w:noWrap/>
                  <w:vAlign w:val="center"/>
                </w:tcPr>
                <w:p w14:paraId="670222FC">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环境风险防控</w:t>
                  </w:r>
                </w:p>
              </w:tc>
              <w:tc>
                <w:tcPr>
                  <w:tcW w:w="2820" w:type="dxa"/>
                  <w:noWrap/>
                  <w:vAlign w:val="center"/>
                </w:tcPr>
                <w:p w14:paraId="0691A1F7">
                  <w:pPr>
                    <w:keepNext w:val="0"/>
                    <w:keepLines w:val="0"/>
                    <w:widowControl/>
                    <w:numPr>
                      <w:ilvl w:val="0"/>
                      <w:numId w:val="0"/>
                    </w:numPr>
                    <w:suppressLineNumbers w:val="0"/>
                    <w:spacing w:before="0" w:beforeAutospacing="0" w:after="0" w:afterAutospacing="0" w:line="240" w:lineRule="auto"/>
                    <w:ind w:left="0" w:right="0"/>
                    <w:jc w:val="left"/>
                    <w:textAlignment w:val="top"/>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1.禁止向农用地排放重金属或者其他有毒有害物质含量超标的污水、污泥，以及可能造成土壤污染的尾矿、矿渣等。</w:t>
                  </w:r>
                </w:p>
                <w:p w14:paraId="6D7C97B2">
                  <w:pPr>
                    <w:keepNext w:val="0"/>
                    <w:keepLines w:val="0"/>
                    <w:widowControl/>
                    <w:numPr>
                      <w:ilvl w:val="0"/>
                      <w:numId w:val="0"/>
                    </w:numPr>
                    <w:suppressLineNumbers w:val="0"/>
                    <w:spacing w:before="0" w:beforeAutospacing="0" w:after="0" w:afterAutospacing="0" w:line="240" w:lineRule="auto"/>
                    <w:ind w:left="0" w:right="0"/>
                    <w:jc w:val="left"/>
                    <w:textAlignment w:val="top"/>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2.加强农田土壤、灌溉水的监测及评价，对周边或区域环境风险源进行评估。</w:t>
                  </w:r>
                </w:p>
              </w:tc>
              <w:tc>
                <w:tcPr>
                  <w:tcW w:w="1439" w:type="pct"/>
                  <w:noWrap/>
                  <w:vAlign w:val="center"/>
                </w:tcPr>
                <w:p w14:paraId="504251CA">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本项目为输变电项目，不涉及重金属和其他有毒有害物质排放。项目选址不涉及耕地。</w:t>
                  </w:r>
                </w:p>
              </w:tc>
              <w:tc>
                <w:tcPr>
                  <w:tcW w:w="255" w:type="pct"/>
                  <w:noWrap/>
                  <w:vAlign w:val="center"/>
                </w:tcPr>
                <w:p w14:paraId="1A6C8239">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符合</w:t>
                  </w:r>
                </w:p>
              </w:tc>
            </w:tr>
            <w:tr w14:paraId="0CFCBA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84" w:type="pct"/>
                  <w:vMerge w:val="continue"/>
                  <w:noWrap/>
                  <w:vAlign w:val="center"/>
                </w:tcPr>
                <w:p w14:paraId="368A9487">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kern w:val="0"/>
                      <w:sz w:val="21"/>
                      <w:szCs w:val="21"/>
                      <w:highlight w:val="none"/>
                    </w:rPr>
                  </w:pPr>
                </w:p>
              </w:tc>
              <w:tc>
                <w:tcPr>
                  <w:tcW w:w="785" w:type="pct"/>
                  <w:noWrap/>
                  <w:vAlign w:val="center"/>
                </w:tcPr>
                <w:p w14:paraId="4B00CAE1">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资源利用效率</w:t>
                  </w:r>
                </w:p>
              </w:tc>
              <w:tc>
                <w:tcPr>
                  <w:tcW w:w="2820" w:type="dxa"/>
                  <w:noWrap/>
                  <w:vAlign w:val="center"/>
                </w:tcPr>
                <w:p w14:paraId="769F88CD">
                  <w:pPr>
                    <w:keepNext w:val="0"/>
                    <w:keepLines w:val="0"/>
                    <w:widowControl/>
                    <w:numPr>
                      <w:ilvl w:val="0"/>
                      <w:numId w:val="0"/>
                    </w:numPr>
                    <w:suppressLineNumbers w:val="0"/>
                    <w:spacing w:before="0" w:beforeAutospacing="0" w:after="0" w:afterAutospacing="0" w:line="240" w:lineRule="auto"/>
                    <w:ind w:left="0" w:right="0"/>
                    <w:jc w:val="left"/>
                    <w:textAlignment w:val="top"/>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1.实行水资源消耗总量和强度双控，推进农业节水，提高农业用水效率。</w:t>
                  </w:r>
                </w:p>
                <w:p w14:paraId="4BF6D21A">
                  <w:pPr>
                    <w:keepNext w:val="0"/>
                    <w:keepLines w:val="0"/>
                    <w:widowControl/>
                    <w:numPr>
                      <w:ilvl w:val="0"/>
                      <w:numId w:val="0"/>
                    </w:numPr>
                    <w:suppressLineNumbers w:val="0"/>
                    <w:spacing w:before="0" w:beforeAutospacing="0" w:after="0" w:afterAutospacing="0" w:line="240" w:lineRule="auto"/>
                    <w:ind w:left="0" w:right="0"/>
                    <w:jc w:val="left"/>
                    <w:textAlignment w:val="top"/>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2.优化能源结构，加强能源清洁利用。</w:t>
                  </w:r>
                </w:p>
              </w:tc>
              <w:tc>
                <w:tcPr>
                  <w:tcW w:w="1439" w:type="pct"/>
                  <w:noWrap/>
                  <w:vAlign w:val="center"/>
                </w:tcPr>
                <w:p w14:paraId="60F81A95">
                  <w:pPr>
                    <w:keepNext w:val="0"/>
                    <w:keepLines w:val="0"/>
                    <w:suppressLineNumbers w:val="0"/>
                    <w:adjustRightInd w:val="0"/>
                    <w:snapToGrid w:val="0"/>
                    <w:spacing w:before="0" w:beforeAutospacing="0" w:after="0" w:afterAutospacing="0" w:line="240" w:lineRule="auto"/>
                    <w:ind w:left="0" w:right="0"/>
                    <w:jc w:val="left"/>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sz w:val="21"/>
                      <w:szCs w:val="21"/>
                      <w:highlight w:val="none"/>
                    </w:rPr>
                    <w:t>本项目为</w:t>
                  </w:r>
                  <w:r>
                    <w:rPr>
                      <w:rFonts w:hint="eastAsia" w:ascii="宋体" w:hAnsi="宋体" w:eastAsia="宋体" w:cs="宋体"/>
                      <w:color w:val="000000"/>
                      <w:sz w:val="21"/>
                      <w:szCs w:val="21"/>
                      <w:highlight w:val="none"/>
                      <w:lang w:val="en-US" w:eastAsia="zh-CN"/>
                    </w:rPr>
                    <w:t>输变电项目</w:t>
                  </w:r>
                  <w:r>
                    <w:rPr>
                      <w:rFonts w:hint="eastAsia" w:ascii="宋体" w:hAnsi="宋体" w:eastAsia="宋体" w:cs="宋体"/>
                      <w:color w:val="000000"/>
                      <w:sz w:val="21"/>
                      <w:szCs w:val="21"/>
                      <w:highlight w:val="none"/>
                    </w:rPr>
                    <w:t>，</w:t>
                  </w:r>
                  <w:r>
                    <w:rPr>
                      <w:rFonts w:hint="eastAsia" w:ascii="宋体" w:hAnsi="宋体" w:eastAsia="宋体" w:cs="宋体"/>
                      <w:color w:val="000000"/>
                      <w:kern w:val="0"/>
                      <w:sz w:val="21"/>
                      <w:szCs w:val="21"/>
                      <w:highlight w:val="none"/>
                      <w:lang w:val="en-US" w:eastAsia="zh-CN"/>
                    </w:rPr>
                    <w:t>不涉及农业用水。项目为风电新能源配套输变电项目，项目建设有利于优化能源结构。</w:t>
                  </w:r>
                </w:p>
              </w:tc>
              <w:tc>
                <w:tcPr>
                  <w:tcW w:w="255" w:type="pct"/>
                  <w:noWrap/>
                  <w:vAlign w:val="center"/>
                </w:tcPr>
                <w:p w14:paraId="099F38E0">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符合</w:t>
                  </w:r>
                </w:p>
              </w:tc>
            </w:tr>
          </w:tbl>
          <w:p w14:paraId="742197A2">
            <w:pPr>
              <w:keepNext w:val="0"/>
              <w:keepLines w:val="0"/>
              <w:pageBreakBefore w:val="0"/>
              <w:widowControl w:val="0"/>
              <w:suppressLineNumbers w:val="0"/>
              <w:kinsoku/>
              <w:wordWrap/>
              <w:overflowPunct/>
              <w:topLinePunct w:val="0"/>
              <w:autoSpaceDE/>
              <w:autoSpaceDN/>
              <w:bidi w:val="0"/>
              <w:adjustRightInd w:val="0"/>
              <w:snapToGrid w:val="0"/>
              <w:spacing w:before="313" w:beforeLines="100" w:beforeAutospacing="0" w:after="0" w:afterAutospacing="0" w:line="360" w:lineRule="auto"/>
              <w:ind w:left="0" w:right="0"/>
              <w:jc w:val="both"/>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3与《输变电建设项目环境保护技术要求》符合性分析</w:t>
            </w:r>
          </w:p>
          <w:p w14:paraId="63408012">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根据《输变电建设项目环境保护技术要求》(HJ1113-2020)</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以下简称“要求”</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中选址、设计等相关技术内容，本项目符合性情况见下表1-5。</w:t>
            </w:r>
          </w:p>
          <w:p w14:paraId="55C52E4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0" w:right="0"/>
              <w:jc w:val="center"/>
              <w:textAlignment w:val="baseline"/>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表1-5</w:t>
            </w:r>
            <w:r>
              <w:rPr>
                <w:rFonts w:hint="eastAsia" w:ascii="宋体" w:hAnsi="宋体" w:cs="宋体"/>
                <w:b/>
                <w:bCs/>
                <w:color w:val="auto"/>
                <w:sz w:val="24"/>
                <w:szCs w:val="24"/>
                <w:lang w:val="en-US" w:eastAsia="zh-CN"/>
              </w:rPr>
              <w:t xml:space="preserve">  </w:t>
            </w:r>
            <w:r>
              <w:rPr>
                <w:rFonts w:hint="eastAsia" w:ascii="宋体" w:hAnsi="宋体" w:eastAsia="宋体" w:cs="宋体"/>
                <w:b/>
                <w:bCs/>
                <w:color w:val="auto"/>
                <w:sz w:val="24"/>
                <w:szCs w:val="24"/>
                <w:lang w:val="en-US" w:eastAsia="zh-CN"/>
              </w:rPr>
              <w:t>与《输变电建设项目环境保护技术要求》的符合性分析</w:t>
            </w:r>
          </w:p>
          <w:tbl>
            <w:tblPr>
              <w:tblStyle w:val="33"/>
              <w:tblW w:w="4997"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57" w:type="dxa"/>
                <w:bottom w:w="0" w:type="dxa"/>
                <w:right w:w="57" w:type="dxa"/>
              </w:tblCellMar>
            </w:tblPr>
            <w:tblGrid>
              <w:gridCol w:w="435"/>
              <w:gridCol w:w="424"/>
              <w:gridCol w:w="568"/>
              <w:gridCol w:w="2530"/>
              <w:gridCol w:w="2416"/>
              <w:gridCol w:w="553"/>
            </w:tblGrid>
            <w:tr w14:paraId="6EF0B3B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510" w:hRule="atLeast"/>
                <w:jc w:val="center"/>
              </w:trPr>
              <w:tc>
                <w:tcPr>
                  <w:tcW w:w="620" w:type="pct"/>
                  <w:gridSpan w:val="2"/>
                  <w:tcBorders>
                    <w:tl2br w:val="nil"/>
                    <w:tr2bl w:val="nil"/>
                  </w:tcBorders>
                  <w:noWrap w:val="0"/>
                  <w:vAlign w:val="center"/>
                </w:tcPr>
                <w:p w14:paraId="3B47FF6B">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序号</w:t>
                  </w:r>
                </w:p>
              </w:tc>
              <w:tc>
                <w:tcPr>
                  <w:tcW w:w="2236" w:type="pct"/>
                  <w:gridSpan w:val="2"/>
                  <w:tcBorders>
                    <w:tl2br w:val="nil"/>
                    <w:tr2bl w:val="nil"/>
                  </w:tcBorders>
                  <w:noWrap w:val="0"/>
                  <w:vAlign w:val="center"/>
                </w:tcPr>
                <w:p w14:paraId="50C61A28">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具体要求</w:t>
                  </w:r>
                </w:p>
              </w:tc>
              <w:tc>
                <w:tcPr>
                  <w:tcW w:w="1744" w:type="pct"/>
                  <w:tcBorders>
                    <w:tl2br w:val="nil"/>
                    <w:tr2bl w:val="nil"/>
                  </w:tcBorders>
                  <w:noWrap w:val="0"/>
                  <w:vAlign w:val="center"/>
                </w:tcPr>
                <w:p w14:paraId="50CC866E">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项目实际情况</w:t>
                  </w:r>
                </w:p>
              </w:tc>
              <w:tc>
                <w:tcPr>
                  <w:tcW w:w="399" w:type="pct"/>
                  <w:tcBorders>
                    <w:tl2br w:val="nil"/>
                    <w:tr2bl w:val="nil"/>
                  </w:tcBorders>
                  <w:noWrap w:val="0"/>
                  <w:vAlign w:val="center"/>
                </w:tcPr>
                <w:p w14:paraId="655F8161">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是否</w:t>
                  </w:r>
                </w:p>
                <w:p w14:paraId="1D96ACE3">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符合</w:t>
                  </w:r>
                </w:p>
              </w:tc>
            </w:tr>
            <w:tr w14:paraId="16555E6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931" w:hRule="atLeast"/>
                <w:jc w:val="center"/>
              </w:trPr>
              <w:tc>
                <w:tcPr>
                  <w:tcW w:w="314" w:type="pct"/>
                  <w:vMerge w:val="restart"/>
                  <w:tcBorders>
                    <w:tl2br w:val="nil"/>
                    <w:tr2bl w:val="nil"/>
                  </w:tcBorders>
                  <w:noWrap w:val="0"/>
                  <w:vAlign w:val="center"/>
                </w:tcPr>
                <w:p w14:paraId="49182335">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1</w:t>
                  </w:r>
                </w:p>
              </w:tc>
              <w:tc>
                <w:tcPr>
                  <w:tcW w:w="306" w:type="pct"/>
                  <w:vMerge w:val="restart"/>
                  <w:tcBorders>
                    <w:tl2br w:val="nil"/>
                    <w:tr2bl w:val="nil"/>
                  </w:tcBorders>
                  <w:noWrap w:val="0"/>
                  <w:vAlign w:val="center"/>
                </w:tcPr>
                <w:p w14:paraId="1D37691A">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选</w:t>
                  </w:r>
                </w:p>
                <w:p w14:paraId="06A86FD7">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址</w:t>
                  </w:r>
                </w:p>
                <w:p w14:paraId="59EBB5FF">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2236" w:type="pct"/>
                  <w:gridSpan w:val="2"/>
                  <w:tcBorders>
                    <w:tl2br w:val="nil"/>
                    <w:tr2bl w:val="nil"/>
                  </w:tcBorders>
                  <w:noWrap w:val="0"/>
                  <w:vAlign w:val="center"/>
                </w:tcPr>
                <w:p w14:paraId="6A677010">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输变电建设项目选址选线应符合生态保护红线管控要求，避让自然保护区、饮用水水源保护区等环境敏感区。</w:t>
                  </w:r>
                </w:p>
              </w:tc>
              <w:tc>
                <w:tcPr>
                  <w:tcW w:w="1744" w:type="pct"/>
                  <w:tcBorders>
                    <w:tl2br w:val="nil"/>
                    <w:tr2bl w:val="nil"/>
                  </w:tcBorders>
                  <w:noWrap w:val="0"/>
                  <w:vAlign w:val="center"/>
                </w:tcPr>
                <w:p w14:paraId="3B659B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本项目不在生态保护红线管控区内，不涉及自然保护区、饮用水水源保护区等环境敏感区。</w:t>
                  </w:r>
                </w:p>
              </w:tc>
              <w:tc>
                <w:tcPr>
                  <w:tcW w:w="399" w:type="pct"/>
                  <w:tcBorders>
                    <w:tl2br w:val="nil"/>
                    <w:tr2bl w:val="nil"/>
                  </w:tcBorders>
                  <w:noWrap w:val="0"/>
                  <w:vAlign w:val="center"/>
                </w:tcPr>
                <w:p w14:paraId="0B5FB2AB">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符合</w:t>
                  </w:r>
                </w:p>
              </w:tc>
            </w:tr>
            <w:tr w14:paraId="6AD40E5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jc w:val="center"/>
              </w:trPr>
              <w:tc>
                <w:tcPr>
                  <w:tcW w:w="314" w:type="pct"/>
                  <w:vMerge w:val="continue"/>
                  <w:tcBorders>
                    <w:tl2br w:val="nil"/>
                    <w:tr2bl w:val="nil"/>
                  </w:tcBorders>
                  <w:noWrap w:val="0"/>
                  <w:vAlign w:val="center"/>
                </w:tcPr>
                <w:p w14:paraId="76A683CC">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306" w:type="pct"/>
                  <w:vMerge w:val="continue"/>
                  <w:tcBorders>
                    <w:tl2br w:val="nil"/>
                    <w:tr2bl w:val="nil"/>
                  </w:tcBorders>
                  <w:noWrap w:val="0"/>
                  <w:vAlign w:val="center"/>
                </w:tcPr>
                <w:p w14:paraId="1C3F698B">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2236" w:type="pct"/>
                  <w:gridSpan w:val="2"/>
                  <w:tcBorders>
                    <w:tl2br w:val="nil"/>
                    <w:tr2bl w:val="nil"/>
                  </w:tcBorders>
                  <w:noWrap w:val="0"/>
                  <w:vAlign w:val="center"/>
                </w:tcPr>
                <w:p w14:paraId="136EA94E">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变电工程在选址时应按终期规模综合考虑进出线走廊规划，避免进出线进入自然保护区、饮用水水源保护区等环境敏感区。</w:t>
                  </w:r>
                </w:p>
              </w:tc>
              <w:tc>
                <w:tcPr>
                  <w:tcW w:w="1744" w:type="pct"/>
                  <w:tcBorders>
                    <w:tl2br w:val="nil"/>
                    <w:tr2bl w:val="nil"/>
                  </w:tcBorders>
                  <w:noWrap w:val="0"/>
                  <w:vAlign w:val="center"/>
                </w:tcPr>
                <w:p w14:paraId="02E039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本项目</w:t>
                  </w:r>
                  <w:r>
                    <w:rPr>
                      <w:rFonts w:hint="eastAsia" w:ascii="宋体" w:hAnsi="宋体" w:cs="宋体"/>
                      <w:color w:val="auto"/>
                      <w:lang w:val="en-US" w:eastAsia="zh-CN"/>
                    </w:rPr>
                    <w:t>输电线路</w:t>
                  </w:r>
                  <w:r>
                    <w:rPr>
                      <w:rFonts w:hint="eastAsia" w:ascii="宋体" w:hAnsi="宋体" w:eastAsia="宋体" w:cs="宋体"/>
                      <w:color w:val="auto"/>
                      <w:lang w:val="en-US" w:eastAsia="zh-CN"/>
                    </w:rPr>
                    <w:t>不涉及自然保护区、饮用水水源保护区等环境敏感区。</w:t>
                  </w:r>
                </w:p>
              </w:tc>
              <w:tc>
                <w:tcPr>
                  <w:tcW w:w="399" w:type="pct"/>
                  <w:tcBorders>
                    <w:tl2br w:val="nil"/>
                    <w:tr2bl w:val="nil"/>
                  </w:tcBorders>
                  <w:noWrap w:val="0"/>
                  <w:vAlign w:val="center"/>
                </w:tcPr>
                <w:p w14:paraId="11F69445">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符合</w:t>
                  </w:r>
                </w:p>
              </w:tc>
            </w:tr>
            <w:tr w14:paraId="366E5DF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jc w:val="center"/>
              </w:trPr>
              <w:tc>
                <w:tcPr>
                  <w:tcW w:w="314" w:type="pct"/>
                  <w:vMerge w:val="continue"/>
                  <w:tcBorders>
                    <w:tl2br w:val="nil"/>
                    <w:tr2bl w:val="nil"/>
                  </w:tcBorders>
                  <w:noWrap w:val="0"/>
                  <w:vAlign w:val="center"/>
                </w:tcPr>
                <w:p w14:paraId="737ECF8F">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306" w:type="pct"/>
                  <w:vMerge w:val="continue"/>
                  <w:tcBorders>
                    <w:tl2br w:val="nil"/>
                    <w:tr2bl w:val="nil"/>
                  </w:tcBorders>
                  <w:noWrap w:val="0"/>
                  <w:vAlign w:val="center"/>
                </w:tcPr>
                <w:p w14:paraId="174EA0C7">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2236" w:type="pct"/>
                  <w:gridSpan w:val="2"/>
                  <w:tcBorders>
                    <w:tl2br w:val="nil"/>
                    <w:tr2bl w:val="nil"/>
                  </w:tcBorders>
                  <w:noWrap w:val="0"/>
                  <w:vAlign w:val="center"/>
                </w:tcPr>
                <w:p w14:paraId="624B1000">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户外变电工程及规划架空进出线选址选线时，应关注以居住、医疗卫生、文化教育、科研、行政办公等为主要功能的区域，采取综合措施，减少电磁和声环境影响。</w:t>
                  </w:r>
                </w:p>
              </w:tc>
              <w:tc>
                <w:tcPr>
                  <w:tcW w:w="1744" w:type="pct"/>
                  <w:tcBorders>
                    <w:tl2br w:val="nil"/>
                    <w:tr2bl w:val="nil"/>
                  </w:tcBorders>
                  <w:noWrap w:val="0"/>
                  <w:vAlign w:val="center"/>
                </w:tcPr>
                <w:p w14:paraId="0230DD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本项目站址区域不涉及医疗卫生、文化教育、科研、行政办公等功能的区域。</w:t>
                  </w:r>
                </w:p>
              </w:tc>
              <w:tc>
                <w:tcPr>
                  <w:tcW w:w="399" w:type="pct"/>
                  <w:tcBorders>
                    <w:tl2br w:val="nil"/>
                    <w:tr2bl w:val="nil"/>
                  </w:tcBorders>
                  <w:noWrap w:val="0"/>
                  <w:vAlign w:val="center"/>
                </w:tcPr>
                <w:p w14:paraId="55F60F4B">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符合</w:t>
                  </w:r>
                </w:p>
              </w:tc>
            </w:tr>
            <w:tr w14:paraId="1F4143C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jc w:val="center"/>
              </w:trPr>
              <w:tc>
                <w:tcPr>
                  <w:tcW w:w="314" w:type="pct"/>
                  <w:vMerge w:val="continue"/>
                  <w:tcBorders>
                    <w:tl2br w:val="nil"/>
                    <w:tr2bl w:val="nil"/>
                  </w:tcBorders>
                  <w:noWrap w:val="0"/>
                  <w:vAlign w:val="center"/>
                </w:tcPr>
                <w:p w14:paraId="081F26A8">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306" w:type="pct"/>
                  <w:vMerge w:val="continue"/>
                  <w:tcBorders>
                    <w:tl2br w:val="nil"/>
                    <w:tr2bl w:val="nil"/>
                  </w:tcBorders>
                  <w:noWrap w:val="0"/>
                  <w:vAlign w:val="center"/>
                </w:tcPr>
                <w:p w14:paraId="4B83850F">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2236" w:type="pct"/>
                  <w:gridSpan w:val="2"/>
                  <w:tcBorders>
                    <w:tl2br w:val="nil"/>
                    <w:tr2bl w:val="nil"/>
                  </w:tcBorders>
                  <w:noWrap w:val="0"/>
                  <w:vAlign w:val="center"/>
                </w:tcPr>
                <w:p w14:paraId="4BA39D54">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原则上避免在0类声环境功能区建设变电工程。</w:t>
                  </w:r>
                </w:p>
              </w:tc>
              <w:tc>
                <w:tcPr>
                  <w:tcW w:w="1744" w:type="pct"/>
                  <w:tcBorders>
                    <w:tl2br w:val="nil"/>
                    <w:tr2bl w:val="nil"/>
                  </w:tcBorders>
                  <w:noWrap w:val="0"/>
                  <w:vAlign w:val="center"/>
                </w:tcPr>
                <w:p w14:paraId="1E6BBCF6">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highlight w:val="none"/>
                      <w:lang w:val="en-US" w:eastAsia="zh-CN"/>
                    </w:rPr>
                    <w:t>本项目升压站和输电线路沿线均位于2类声功能区。</w:t>
                  </w:r>
                </w:p>
              </w:tc>
              <w:tc>
                <w:tcPr>
                  <w:tcW w:w="399" w:type="pct"/>
                  <w:tcBorders>
                    <w:tl2br w:val="nil"/>
                    <w:tr2bl w:val="nil"/>
                  </w:tcBorders>
                  <w:noWrap w:val="0"/>
                  <w:vAlign w:val="center"/>
                </w:tcPr>
                <w:p w14:paraId="77F28836">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符合</w:t>
                  </w:r>
                </w:p>
              </w:tc>
            </w:tr>
            <w:tr w14:paraId="2134C27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jc w:val="center"/>
              </w:trPr>
              <w:tc>
                <w:tcPr>
                  <w:tcW w:w="314" w:type="pct"/>
                  <w:vMerge w:val="continue"/>
                  <w:tcBorders>
                    <w:tl2br w:val="nil"/>
                    <w:tr2bl w:val="nil"/>
                  </w:tcBorders>
                  <w:noWrap w:val="0"/>
                  <w:vAlign w:val="center"/>
                </w:tcPr>
                <w:p w14:paraId="104DD99A">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306" w:type="pct"/>
                  <w:vMerge w:val="continue"/>
                  <w:tcBorders>
                    <w:tl2br w:val="nil"/>
                    <w:tr2bl w:val="nil"/>
                  </w:tcBorders>
                  <w:noWrap w:val="0"/>
                  <w:vAlign w:val="center"/>
                </w:tcPr>
                <w:p w14:paraId="7C34381D">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2236" w:type="pct"/>
                  <w:gridSpan w:val="2"/>
                  <w:tcBorders>
                    <w:tl2br w:val="nil"/>
                    <w:tr2bl w:val="nil"/>
                  </w:tcBorders>
                  <w:noWrap w:val="0"/>
                  <w:vAlign w:val="center"/>
                </w:tcPr>
                <w:p w14:paraId="1EBC43BC">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变电工程选址时，应综合考虑减少土地占用、植被砍伐和弃土弃渣等，以减少对生态环境的不利影响。</w:t>
                  </w:r>
                </w:p>
              </w:tc>
              <w:tc>
                <w:tcPr>
                  <w:tcW w:w="1744" w:type="pct"/>
                  <w:tcBorders>
                    <w:tl2br w:val="nil"/>
                    <w:tr2bl w:val="nil"/>
                  </w:tcBorders>
                  <w:noWrap w:val="0"/>
                  <w:vAlign w:val="center"/>
                </w:tcPr>
                <w:p w14:paraId="36C695B7">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highlight w:val="none"/>
                      <w:lang w:val="en-US" w:eastAsia="zh-CN"/>
                    </w:rPr>
                    <w:t>本项目</w:t>
                  </w:r>
                  <w:r>
                    <w:rPr>
                      <w:rFonts w:hint="eastAsia" w:ascii="宋体" w:hAnsi="宋体" w:eastAsia="宋体" w:cs="宋体"/>
                      <w:color w:val="auto"/>
                      <w:lang w:val="en-US" w:eastAsia="zh-CN"/>
                    </w:rPr>
                    <w:t>选址时，综合考虑各种施工因素，尽量减少占地，不涉及植被砍伐，土石方内部调运平衡，不涉及多余弃土，项目建设对生态环境影响较小。</w:t>
                  </w:r>
                </w:p>
              </w:tc>
              <w:tc>
                <w:tcPr>
                  <w:tcW w:w="399" w:type="pct"/>
                  <w:tcBorders>
                    <w:tl2br w:val="nil"/>
                    <w:tr2bl w:val="nil"/>
                  </w:tcBorders>
                  <w:noWrap w:val="0"/>
                  <w:vAlign w:val="center"/>
                </w:tcPr>
                <w:p w14:paraId="3ECD98B1">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符合</w:t>
                  </w:r>
                </w:p>
              </w:tc>
            </w:tr>
            <w:tr w14:paraId="7F671CA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jc w:val="center"/>
              </w:trPr>
              <w:tc>
                <w:tcPr>
                  <w:tcW w:w="314" w:type="pct"/>
                  <w:vMerge w:val="restart"/>
                  <w:tcBorders>
                    <w:tl2br w:val="nil"/>
                    <w:tr2bl w:val="nil"/>
                  </w:tcBorders>
                  <w:noWrap w:val="0"/>
                  <w:vAlign w:val="center"/>
                </w:tcPr>
                <w:p w14:paraId="073A03BA">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2</w:t>
                  </w:r>
                </w:p>
              </w:tc>
              <w:tc>
                <w:tcPr>
                  <w:tcW w:w="306" w:type="pct"/>
                  <w:vMerge w:val="restart"/>
                  <w:tcBorders>
                    <w:tl2br w:val="nil"/>
                    <w:tr2bl w:val="nil"/>
                  </w:tcBorders>
                  <w:noWrap w:val="0"/>
                  <w:vAlign w:val="center"/>
                </w:tcPr>
                <w:p w14:paraId="7B9A6D87">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设计</w:t>
                  </w:r>
                </w:p>
              </w:tc>
              <w:tc>
                <w:tcPr>
                  <w:tcW w:w="410" w:type="pct"/>
                  <w:tcBorders>
                    <w:tl2br w:val="nil"/>
                    <w:tr2bl w:val="nil"/>
                  </w:tcBorders>
                  <w:noWrap w:val="0"/>
                  <w:vAlign w:val="center"/>
                </w:tcPr>
                <w:p w14:paraId="266F1E97">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总体</w:t>
                  </w:r>
                </w:p>
                <w:p w14:paraId="1A24A5E0">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要求</w:t>
                  </w:r>
                </w:p>
              </w:tc>
              <w:tc>
                <w:tcPr>
                  <w:tcW w:w="1826" w:type="pct"/>
                  <w:tcBorders>
                    <w:tl2br w:val="nil"/>
                    <w:tr2bl w:val="nil"/>
                  </w:tcBorders>
                  <w:noWrap w:val="0"/>
                  <w:vAlign w:val="center"/>
                </w:tcPr>
                <w:p w14:paraId="7BF95EBD">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变电工程应设置足够容量的事故油池及其配套的拦截、防雨、防渗等措施和设施。一旦发生泄漏，应能及时进行拦截和处理，确保油及油水混合物全部收集、不外排。</w:t>
                  </w:r>
                </w:p>
              </w:tc>
              <w:tc>
                <w:tcPr>
                  <w:tcW w:w="1744" w:type="pct"/>
                  <w:tcBorders>
                    <w:tl2br w:val="nil"/>
                    <w:tr2bl w:val="nil"/>
                  </w:tcBorders>
                  <w:noWrap w:val="0"/>
                  <w:vAlign w:val="center"/>
                </w:tcPr>
                <w:p w14:paraId="25081048">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本项目设置事故油池，</w:t>
                  </w:r>
                  <w:r>
                    <w:rPr>
                      <w:rFonts w:hint="eastAsia" w:ascii="宋体" w:hAnsi="宋体" w:eastAsia="宋体" w:cs="宋体"/>
                      <w:color w:val="auto"/>
                      <w:highlight w:val="none"/>
                      <w:lang w:val="en-US" w:eastAsia="zh-CN"/>
                    </w:rPr>
                    <w:t>容积80m</w:t>
                  </w:r>
                  <w:r>
                    <w:rPr>
                      <w:rFonts w:hint="eastAsia" w:ascii="宋体" w:hAnsi="宋体" w:eastAsia="宋体" w:cs="宋体"/>
                      <w:color w:val="auto"/>
                      <w:highlight w:val="none"/>
                      <w:vertAlign w:val="superscript"/>
                      <w:lang w:val="en-US" w:eastAsia="zh-CN"/>
                    </w:rPr>
                    <w:t>3</w:t>
                  </w:r>
                  <w:r>
                    <w:rPr>
                      <w:rFonts w:hint="eastAsia" w:ascii="宋体" w:hAnsi="宋体" w:eastAsia="宋体" w:cs="宋体"/>
                      <w:color w:val="auto"/>
                      <w:highlight w:val="none"/>
                      <w:lang w:val="en-US" w:eastAsia="zh-CN"/>
                    </w:rPr>
                    <w:t>，</w:t>
                  </w:r>
                  <w:r>
                    <w:rPr>
                      <w:rFonts w:hint="eastAsia" w:ascii="宋体" w:hAnsi="宋体" w:eastAsia="宋体" w:cs="宋体"/>
                      <w:color w:val="auto"/>
                      <w:lang w:val="en-US" w:eastAsia="zh-CN"/>
                    </w:rPr>
                    <w:t>满足最大单台变压器100%排油量要求，事故油池防渗层为至少1m厚黏土层</w:t>
                  </w:r>
                  <w:r>
                    <w:rPr>
                      <w:rFonts w:hint="eastAsia" w:ascii="宋体" w:hAnsi="宋体" w:cs="宋体"/>
                      <w:color w:val="auto"/>
                      <w:lang w:val="en-US" w:eastAsia="zh-CN"/>
                    </w:rPr>
                    <w:t>（</w:t>
                  </w:r>
                  <w:r>
                    <w:rPr>
                      <w:rFonts w:hint="eastAsia" w:ascii="宋体" w:hAnsi="宋体" w:eastAsia="宋体" w:cs="宋体"/>
                      <w:color w:val="auto"/>
                      <w:lang w:val="en-US" w:eastAsia="zh-CN"/>
                    </w:rPr>
                    <w:t>渗透系数≤10</w:t>
                  </w:r>
                  <w:r>
                    <w:rPr>
                      <w:rFonts w:hint="eastAsia" w:ascii="宋体" w:hAnsi="宋体" w:eastAsia="宋体" w:cs="宋体"/>
                      <w:color w:val="auto"/>
                      <w:vertAlign w:val="superscript"/>
                      <w:lang w:val="en-US" w:eastAsia="zh-CN"/>
                    </w:rPr>
                    <w:t>-7</w:t>
                  </w:r>
                  <w:r>
                    <w:rPr>
                      <w:rFonts w:hint="eastAsia" w:ascii="宋体" w:hAnsi="宋体" w:eastAsia="宋体" w:cs="宋体"/>
                      <w:color w:val="auto"/>
                      <w:lang w:val="en-US" w:eastAsia="zh-CN"/>
                    </w:rPr>
                    <w:t>cm/s</w:t>
                  </w:r>
                  <w:r>
                    <w:rPr>
                      <w:rFonts w:hint="eastAsia" w:ascii="宋体" w:hAnsi="宋体" w:cs="宋体"/>
                      <w:color w:val="auto"/>
                      <w:lang w:val="en-US" w:eastAsia="zh-CN"/>
                    </w:rPr>
                    <w:t>），</w:t>
                  </w:r>
                  <w:r>
                    <w:rPr>
                      <w:rFonts w:hint="eastAsia" w:ascii="宋体" w:hAnsi="宋体" w:eastAsia="宋体" w:cs="宋体"/>
                      <w:color w:val="auto"/>
                      <w:lang w:val="en-US" w:eastAsia="zh-CN"/>
                    </w:rPr>
                    <w:t>或2mm厚高密度聚乙烯，或至少2mm厚的其他人工材料，渗透系数≤10</w:t>
                  </w:r>
                  <w:r>
                    <w:rPr>
                      <w:rFonts w:hint="eastAsia" w:ascii="宋体" w:hAnsi="宋体" w:eastAsia="宋体" w:cs="宋体"/>
                      <w:color w:val="auto"/>
                      <w:vertAlign w:val="superscript"/>
                      <w:lang w:val="en-US" w:eastAsia="zh-CN"/>
                    </w:rPr>
                    <w:t>-10</w:t>
                  </w:r>
                  <w:r>
                    <w:rPr>
                      <w:rFonts w:hint="eastAsia" w:ascii="宋体" w:hAnsi="宋体" w:eastAsia="宋体" w:cs="宋体"/>
                      <w:color w:val="auto"/>
                      <w:lang w:val="en-US" w:eastAsia="zh-CN"/>
                    </w:rPr>
                    <w:t>cm/s。废油排入事故油池后，委托有资质单位处置。</w:t>
                  </w:r>
                </w:p>
              </w:tc>
              <w:tc>
                <w:tcPr>
                  <w:tcW w:w="399" w:type="pct"/>
                  <w:tcBorders>
                    <w:tl2br w:val="nil"/>
                    <w:tr2bl w:val="nil"/>
                  </w:tcBorders>
                  <w:noWrap w:val="0"/>
                  <w:vAlign w:val="center"/>
                </w:tcPr>
                <w:p w14:paraId="6FC6732C">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符合</w:t>
                  </w:r>
                </w:p>
              </w:tc>
            </w:tr>
            <w:tr w14:paraId="3F30BE7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jc w:val="center"/>
              </w:trPr>
              <w:tc>
                <w:tcPr>
                  <w:tcW w:w="314" w:type="pct"/>
                  <w:vMerge w:val="continue"/>
                  <w:tcBorders>
                    <w:tl2br w:val="nil"/>
                    <w:tr2bl w:val="nil"/>
                  </w:tcBorders>
                  <w:noWrap w:val="0"/>
                  <w:vAlign w:val="center"/>
                </w:tcPr>
                <w:p w14:paraId="7FFDDCC0">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306" w:type="pct"/>
                  <w:vMerge w:val="continue"/>
                  <w:tcBorders>
                    <w:tl2br w:val="nil"/>
                    <w:tr2bl w:val="nil"/>
                  </w:tcBorders>
                  <w:noWrap w:val="0"/>
                  <w:vAlign w:val="center"/>
                </w:tcPr>
                <w:p w14:paraId="6187BB83">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410" w:type="pct"/>
                  <w:vMerge w:val="restart"/>
                  <w:tcBorders>
                    <w:tl2br w:val="nil"/>
                    <w:tr2bl w:val="nil"/>
                  </w:tcBorders>
                  <w:noWrap w:val="0"/>
                  <w:vAlign w:val="center"/>
                </w:tcPr>
                <w:p w14:paraId="2BBDF628">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电磁环境保护</w:t>
                  </w:r>
                </w:p>
              </w:tc>
              <w:tc>
                <w:tcPr>
                  <w:tcW w:w="1826" w:type="pct"/>
                  <w:tcBorders>
                    <w:tl2br w:val="nil"/>
                    <w:tr2bl w:val="nil"/>
                  </w:tcBorders>
                  <w:noWrap w:val="0"/>
                  <w:vAlign w:val="center"/>
                </w:tcPr>
                <w:p w14:paraId="35EF0583">
                  <w:pPr>
                    <w:keepNext w:val="0"/>
                    <w:keepLines w:val="0"/>
                    <w:suppressLineNumbers w:val="0"/>
                    <w:adjustRightInd w:val="0"/>
                    <w:snapToGrid w:val="0"/>
                    <w:spacing w:before="0" w:beforeAutospacing="0" w:after="0" w:afterAutospacing="0"/>
                    <w:ind w:left="0" w:right="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输电线路设计应因地制宜选择线路型式、架设高度、杆塔塔型、导线参数、相序布置等，减少电磁环境影响。</w:t>
                  </w:r>
                </w:p>
              </w:tc>
              <w:tc>
                <w:tcPr>
                  <w:tcW w:w="1744" w:type="pct"/>
                  <w:tcBorders>
                    <w:tl2br w:val="nil"/>
                    <w:tr2bl w:val="nil"/>
                  </w:tcBorders>
                  <w:noWrap w:val="0"/>
                  <w:vAlign w:val="center"/>
                </w:tcPr>
                <w:p w14:paraId="4CCB40C1">
                  <w:pPr>
                    <w:keepNext w:val="0"/>
                    <w:keepLines w:val="0"/>
                    <w:suppressLineNumbers w:val="0"/>
                    <w:adjustRightInd w:val="0"/>
                    <w:snapToGrid w:val="0"/>
                    <w:spacing w:before="0" w:beforeAutospacing="0" w:after="0" w:afterAutospacing="0"/>
                    <w:ind w:left="0" w:right="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本项目设计阶段即选取适宜的杆塔，以减少电磁环境影响。输电线路型式、架设高度、杆塔塔型、导线参数、相序布置等均满足相关要求。</w:t>
                  </w:r>
                </w:p>
              </w:tc>
              <w:tc>
                <w:tcPr>
                  <w:tcW w:w="399" w:type="pct"/>
                  <w:tcBorders>
                    <w:tl2br w:val="nil"/>
                    <w:tr2bl w:val="nil"/>
                  </w:tcBorders>
                  <w:noWrap w:val="0"/>
                  <w:vAlign w:val="center"/>
                </w:tcPr>
                <w:p w14:paraId="6A34417D">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sz w:val="21"/>
                      <w:szCs w:val="21"/>
                    </w:rPr>
                    <w:t>符合</w:t>
                  </w:r>
                </w:p>
              </w:tc>
            </w:tr>
            <w:tr w14:paraId="0F8BC16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jc w:val="center"/>
              </w:trPr>
              <w:tc>
                <w:tcPr>
                  <w:tcW w:w="314" w:type="pct"/>
                  <w:vMerge w:val="continue"/>
                  <w:tcBorders>
                    <w:tl2br w:val="nil"/>
                    <w:tr2bl w:val="nil"/>
                  </w:tcBorders>
                  <w:noWrap w:val="0"/>
                  <w:vAlign w:val="center"/>
                </w:tcPr>
                <w:p w14:paraId="506C1161">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306" w:type="pct"/>
                  <w:vMerge w:val="continue"/>
                  <w:tcBorders>
                    <w:tl2br w:val="nil"/>
                    <w:tr2bl w:val="nil"/>
                  </w:tcBorders>
                  <w:noWrap w:val="0"/>
                  <w:vAlign w:val="center"/>
                </w:tcPr>
                <w:p w14:paraId="4C9D381B">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410" w:type="pct"/>
                  <w:vMerge w:val="continue"/>
                  <w:tcBorders>
                    <w:tl2br w:val="nil"/>
                    <w:tr2bl w:val="nil"/>
                  </w:tcBorders>
                  <w:noWrap w:val="0"/>
                  <w:vAlign w:val="center"/>
                </w:tcPr>
                <w:p w14:paraId="49F1F60D">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p>
              </w:tc>
              <w:tc>
                <w:tcPr>
                  <w:tcW w:w="1826" w:type="pct"/>
                  <w:tcBorders>
                    <w:tl2br w:val="nil"/>
                    <w:tr2bl w:val="nil"/>
                  </w:tcBorders>
                  <w:noWrap w:val="0"/>
                  <w:vAlign w:val="center"/>
                </w:tcPr>
                <w:p w14:paraId="65669AE8">
                  <w:pPr>
                    <w:keepNext w:val="0"/>
                    <w:keepLines w:val="0"/>
                    <w:suppressLineNumbers w:val="0"/>
                    <w:autoSpaceDE w:val="0"/>
                    <w:autoSpaceDN w:val="0"/>
                    <w:snapToGrid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架空输电线路经过电磁环境敏感目标时，应采取避让或增加导线对地高度等措施，减少电磁环境影响。</w:t>
                  </w:r>
                </w:p>
              </w:tc>
              <w:tc>
                <w:tcPr>
                  <w:tcW w:w="1744" w:type="pct"/>
                  <w:tcBorders>
                    <w:tl2br w:val="nil"/>
                    <w:tr2bl w:val="nil"/>
                  </w:tcBorders>
                  <w:noWrap w:val="0"/>
                  <w:vAlign w:val="center"/>
                </w:tcPr>
                <w:p w14:paraId="1CF888FA">
                  <w:pPr>
                    <w:keepNext w:val="0"/>
                    <w:keepLines w:val="0"/>
                    <w:suppressLineNumbers w:val="0"/>
                    <w:adjustRightInd w:val="0"/>
                    <w:snapToGrid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本项目评价范围内</w:t>
                  </w:r>
                  <w:r>
                    <w:rPr>
                      <w:rFonts w:hint="eastAsia" w:ascii="宋体" w:hAnsi="宋体" w:eastAsia="宋体" w:cs="宋体"/>
                      <w:color w:val="auto"/>
                      <w:sz w:val="21"/>
                      <w:szCs w:val="21"/>
                      <w:lang w:eastAsia="zh-CN"/>
                    </w:rPr>
                    <w:t>无</w:t>
                  </w:r>
                  <w:r>
                    <w:rPr>
                      <w:rFonts w:hint="eastAsia" w:ascii="宋体" w:hAnsi="宋体" w:eastAsia="宋体" w:cs="宋体"/>
                      <w:color w:val="auto"/>
                      <w:sz w:val="21"/>
                      <w:szCs w:val="21"/>
                      <w:lang w:val="en-US" w:eastAsia="zh-CN"/>
                    </w:rPr>
                    <w:t>电磁环境敏感目标</w:t>
                  </w:r>
                  <w:r>
                    <w:rPr>
                      <w:rFonts w:hint="eastAsia" w:ascii="宋体" w:hAnsi="宋体" w:eastAsia="宋体" w:cs="宋体"/>
                      <w:color w:val="auto"/>
                      <w:sz w:val="21"/>
                      <w:szCs w:val="21"/>
                    </w:rPr>
                    <w:t>。</w:t>
                  </w:r>
                </w:p>
              </w:tc>
              <w:tc>
                <w:tcPr>
                  <w:tcW w:w="399" w:type="pct"/>
                  <w:tcBorders>
                    <w:tl2br w:val="nil"/>
                    <w:tr2bl w:val="nil"/>
                  </w:tcBorders>
                  <w:noWrap w:val="0"/>
                  <w:vAlign w:val="center"/>
                </w:tcPr>
                <w:p w14:paraId="6FCC4A4D">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6A50CCA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jc w:val="center"/>
              </w:trPr>
              <w:tc>
                <w:tcPr>
                  <w:tcW w:w="314" w:type="pct"/>
                  <w:vMerge w:val="continue"/>
                  <w:tcBorders>
                    <w:tl2br w:val="nil"/>
                    <w:tr2bl w:val="nil"/>
                  </w:tcBorders>
                  <w:noWrap w:val="0"/>
                  <w:vAlign w:val="center"/>
                </w:tcPr>
                <w:p w14:paraId="4296BFE9">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306" w:type="pct"/>
                  <w:vMerge w:val="continue"/>
                  <w:tcBorders>
                    <w:tl2br w:val="nil"/>
                    <w:tr2bl w:val="nil"/>
                  </w:tcBorders>
                  <w:noWrap w:val="0"/>
                  <w:vAlign w:val="center"/>
                </w:tcPr>
                <w:p w14:paraId="5AC2E57F">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410" w:type="pct"/>
                  <w:vMerge w:val="restart"/>
                  <w:tcBorders>
                    <w:tl2br w:val="nil"/>
                    <w:tr2bl w:val="nil"/>
                  </w:tcBorders>
                  <w:noWrap w:val="0"/>
                  <w:vAlign w:val="center"/>
                </w:tcPr>
                <w:p w14:paraId="2546EEF9">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声环境保护</w:t>
                  </w:r>
                </w:p>
              </w:tc>
              <w:tc>
                <w:tcPr>
                  <w:tcW w:w="1826" w:type="pct"/>
                  <w:tcBorders>
                    <w:tl2br w:val="nil"/>
                    <w:tr2bl w:val="nil"/>
                  </w:tcBorders>
                  <w:noWrap w:val="0"/>
                  <w:vAlign w:val="center"/>
                </w:tcPr>
                <w:p w14:paraId="78FD9771">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变电工程噪声控制设计应首先从噪声源强上进行控制，选择低噪声设备；对于声源上无法根治的噪声，应采用隔声、吸声、消声、防振、减振等降噪措施，确保厂界排放噪声和周围声环境敏感目标分别满足GB12348和GB3096要求。</w:t>
                  </w:r>
                </w:p>
              </w:tc>
              <w:tc>
                <w:tcPr>
                  <w:tcW w:w="1744" w:type="pct"/>
                  <w:tcBorders>
                    <w:tl2br w:val="nil"/>
                    <w:tr2bl w:val="nil"/>
                  </w:tcBorders>
                  <w:noWrap w:val="0"/>
                  <w:vAlign w:val="center"/>
                </w:tcPr>
                <w:p w14:paraId="5CFE6481">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本项目选择低噪声主变，并从源头上采取隔声、减震、防振的降噪措施，经预测站界可满足GB12348的限值要求。</w:t>
                  </w:r>
                </w:p>
              </w:tc>
              <w:tc>
                <w:tcPr>
                  <w:tcW w:w="399" w:type="pct"/>
                  <w:tcBorders>
                    <w:tl2br w:val="nil"/>
                    <w:tr2bl w:val="nil"/>
                  </w:tcBorders>
                  <w:noWrap w:val="0"/>
                  <w:vAlign w:val="center"/>
                </w:tcPr>
                <w:p w14:paraId="658C3133">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符合</w:t>
                  </w:r>
                </w:p>
              </w:tc>
            </w:tr>
            <w:tr w14:paraId="07261B2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jc w:val="center"/>
              </w:trPr>
              <w:tc>
                <w:tcPr>
                  <w:tcW w:w="314" w:type="pct"/>
                  <w:vMerge w:val="continue"/>
                  <w:tcBorders>
                    <w:tl2br w:val="nil"/>
                    <w:tr2bl w:val="nil"/>
                  </w:tcBorders>
                  <w:noWrap w:val="0"/>
                  <w:vAlign w:val="center"/>
                </w:tcPr>
                <w:p w14:paraId="565CE586">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306" w:type="pct"/>
                  <w:vMerge w:val="continue"/>
                  <w:tcBorders>
                    <w:tl2br w:val="nil"/>
                    <w:tr2bl w:val="nil"/>
                  </w:tcBorders>
                  <w:noWrap w:val="0"/>
                  <w:vAlign w:val="center"/>
                </w:tcPr>
                <w:p w14:paraId="4F81562A">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410" w:type="pct"/>
                  <w:vMerge w:val="continue"/>
                  <w:tcBorders>
                    <w:tl2br w:val="nil"/>
                    <w:tr2bl w:val="nil"/>
                  </w:tcBorders>
                  <w:noWrap w:val="0"/>
                  <w:vAlign w:val="center"/>
                </w:tcPr>
                <w:p w14:paraId="52FC29BE">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p>
              </w:tc>
              <w:tc>
                <w:tcPr>
                  <w:tcW w:w="1826" w:type="pct"/>
                  <w:tcBorders>
                    <w:tl2br w:val="nil"/>
                    <w:tr2bl w:val="nil"/>
                  </w:tcBorders>
                  <w:noWrap w:val="0"/>
                  <w:vAlign w:val="center"/>
                </w:tcPr>
                <w:p w14:paraId="3D471570">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户外变电工程在设计过程中应进行平面布置优化，将主变压器、换流变压器、高压电抗器等主要声源设备布置在站址中央区域或远离站外声环境敏感目标侧的区域。</w:t>
                  </w:r>
                </w:p>
              </w:tc>
              <w:tc>
                <w:tcPr>
                  <w:tcW w:w="1744" w:type="pct"/>
                  <w:tcBorders>
                    <w:tl2br w:val="nil"/>
                    <w:tr2bl w:val="nil"/>
                  </w:tcBorders>
                  <w:noWrap w:val="0"/>
                  <w:vAlign w:val="center"/>
                </w:tcPr>
                <w:p w14:paraId="3A8B5B2F">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本项目在设计阶段进行了总平面优化，经预测，站界可满足GB12348的限值要求。</w:t>
                  </w:r>
                </w:p>
              </w:tc>
              <w:tc>
                <w:tcPr>
                  <w:tcW w:w="399" w:type="pct"/>
                  <w:tcBorders>
                    <w:tl2br w:val="nil"/>
                    <w:tr2bl w:val="nil"/>
                  </w:tcBorders>
                  <w:noWrap w:val="0"/>
                  <w:vAlign w:val="center"/>
                </w:tcPr>
                <w:p w14:paraId="000068BC">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符合</w:t>
                  </w:r>
                </w:p>
              </w:tc>
            </w:tr>
            <w:tr w14:paraId="163114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jc w:val="center"/>
              </w:trPr>
              <w:tc>
                <w:tcPr>
                  <w:tcW w:w="314" w:type="pct"/>
                  <w:vMerge w:val="continue"/>
                  <w:tcBorders>
                    <w:tl2br w:val="nil"/>
                    <w:tr2bl w:val="nil"/>
                  </w:tcBorders>
                  <w:noWrap w:val="0"/>
                  <w:vAlign w:val="center"/>
                </w:tcPr>
                <w:p w14:paraId="677279ED">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306" w:type="pct"/>
                  <w:vMerge w:val="continue"/>
                  <w:tcBorders>
                    <w:tl2br w:val="nil"/>
                    <w:tr2bl w:val="nil"/>
                  </w:tcBorders>
                  <w:noWrap w:val="0"/>
                  <w:vAlign w:val="center"/>
                </w:tcPr>
                <w:p w14:paraId="2A812B26">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410" w:type="pct"/>
                  <w:vMerge w:val="continue"/>
                  <w:tcBorders>
                    <w:tl2br w:val="nil"/>
                    <w:tr2bl w:val="nil"/>
                  </w:tcBorders>
                  <w:noWrap w:val="0"/>
                  <w:vAlign w:val="center"/>
                </w:tcPr>
                <w:p w14:paraId="6882D6EF">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p>
              </w:tc>
              <w:tc>
                <w:tcPr>
                  <w:tcW w:w="1826" w:type="pct"/>
                  <w:tcBorders>
                    <w:tl2br w:val="nil"/>
                    <w:tr2bl w:val="nil"/>
                  </w:tcBorders>
                  <w:noWrap w:val="0"/>
                  <w:vAlign w:val="center"/>
                </w:tcPr>
                <w:p w14:paraId="677F6975">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变电工程位于1类或周围噪声敏感建筑物较多的2类声环境功能区时，建设单位应严格控制主变压器、换流变压器、高压电抗器等主要噪声源的噪声水平，并在满足GB12348的基础上保留适当裕度。</w:t>
                  </w:r>
                </w:p>
              </w:tc>
              <w:tc>
                <w:tcPr>
                  <w:tcW w:w="1744" w:type="pct"/>
                  <w:tcBorders>
                    <w:tl2br w:val="nil"/>
                    <w:tr2bl w:val="nil"/>
                  </w:tcBorders>
                  <w:noWrap w:val="0"/>
                  <w:vAlign w:val="center"/>
                </w:tcPr>
                <w:p w14:paraId="33DDA80A">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highlight w:val="none"/>
                      <w:lang w:val="en-US" w:eastAsia="zh-CN"/>
                    </w:rPr>
                    <w:t>本项目拟建升压站</w:t>
                  </w:r>
                  <w:r>
                    <w:rPr>
                      <w:rFonts w:hint="eastAsia" w:ascii="宋体" w:hAnsi="宋体" w:eastAsia="宋体" w:cs="宋体"/>
                      <w:color w:val="auto"/>
                      <w:lang w:val="en-US" w:eastAsia="zh-CN"/>
                    </w:rPr>
                    <w:t>位于2类声环境功能区，周边无噪声敏感建筑物。本项目设计阶段即采取降低主变声源的措施，经预测站界可满足GB12348的限值要求。</w:t>
                  </w:r>
                </w:p>
              </w:tc>
              <w:tc>
                <w:tcPr>
                  <w:tcW w:w="399" w:type="pct"/>
                  <w:tcBorders>
                    <w:tl2br w:val="nil"/>
                    <w:tr2bl w:val="nil"/>
                  </w:tcBorders>
                  <w:noWrap w:val="0"/>
                  <w:vAlign w:val="center"/>
                </w:tcPr>
                <w:p w14:paraId="0FA769D8">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符合</w:t>
                  </w:r>
                </w:p>
              </w:tc>
            </w:tr>
            <w:tr w14:paraId="74A9B66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460" w:hRule="atLeast"/>
                <w:jc w:val="center"/>
              </w:trPr>
              <w:tc>
                <w:tcPr>
                  <w:tcW w:w="314" w:type="pct"/>
                  <w:vMerge w:val="continue"/>
                  <w:tcBorders>
                    <w:tl2br w:val="nil"/>
                    <w:tr2bl w:val="nil"/>
                  </w:tcBorders>
                  <w:noWrap w:val="0"/>
                  <w:vAlign w:val="center"/>
                </w:tcPr>
                <w:p w14:paraId="50CC81FA">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306" w:type="pct"/>
                  <w:vMerge w:val="continue"/>
                  <w:tcBorders>
                    <w:tl2br w:val="nil"/>
                    <w:tr2bl w:val="nil"/>
                  </w:tcBorders>
                  <w:noWrap w:val="0"/>
                  <w:vAlign w:val="center"/>
                </w:tcPr>
                <w:p w14:paraId="384F6C6D">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410" w:type="pct"/>
                  <w:vMerge w:val="restart"/>
                  <w:tcBorders>
                    <w:tl2br w:val="nil"/>
                    <w:tr2bl w:val="nil"/>
                  </w:tcBorders>
                  <w:noWrap w:val="0"/>
                  <w:vAlign w:val="center"/>
                </w:tcPr>
                <w:p w14:paraId="699F5E65">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生态环境保护</w:t>
                  </w:r>
                </w:p>
              </w:tc>
              <w:tc>
                <w:tcPr>
                  <w:tcW w:w="1826" w:type="pct"/>
                  <w:tcBorders>
                    <w:tl2br w:val="nil"/>
                    <w:tr2bl w:val="nil"/>
                  </w:tcBorders>
                  <w:noWrap w:val="0"/>
                  <w:vAlign w:val="center"/>
                </w:tcPr>
                <w:p w14:paraId="76D8C781">
                  <w:pPr>
                    <w:keepNext w:val="0"/>
                    <w:keepLines w:val="0"/>
                    <w:suppressLineNumbers w:val="0"/>
                    <w:autoSpaceDE w:val="0"/>
                    <w:autoSpaceDN w:val="0"/>
                    <w:snapToGrid w:val="0"/>
                    <w:spacing w:before="0" w:beforeAutospacing="0" w:after="0" w:afterAutospacing="0"/>
                    <w:ind w:left="0" w:right="0"/>
                    <w:rPr>
                      <w:rFonts w:hint="eastAsia" w:ascii="宋体" w:hAnsi="宋体" w:eastAsia="宋体" w:cs="宋体"/>
                      <w:color w:val="auto"/>
                      <w:lang w:val="en-US" w:eastAsia="zh-CN"/>
                    </w:rPr>
                  </w:pPr>
                  <w:r>
                    <w:rPr>
                      <w:rFonts w:hint="eastAsia" w:ascii="宋体" w:hAnsi="宋体" w:eastAsia="宋体" w:cs="宋体"/>
                      <w:color w:val="auto"/>
                      <w:sz w:val="21"/>
                      <w:szCs w:val="21"/>
                    </w:rPr>
                    <w:t>输变电建设项目在设计过程中应按照避让、减缓、恢复的次序提出生态影响防护与恢复的措施。</w:t>
                  </w:r>
                </w:p>
              </w:tc>
              <w:tc>
                <w:tcPr>
                  <w:tcW w:w="1744" w:type="pct"/>
                  <w:tcBorders>
                    <w:tl2br w:val="nil"/>
                    <w:tr2bl w:val="nil"/>
                  </w:tcBorders>
                  <w:noWrap w:val="0"/>
                  <w:vAlign w:val="center"/>
                </w:tcPr>
                <w:p w14:paraId="790465AD">
                  <w:pPr>
                    <w:keepNext w:val="0"/>
                    <w:keepLines w:val="0"/>
                    <w:suppressLineNumbers w:val="0"/>
                    <w:adjustRightInd w:val="0"/>
                    <w:snapToGrid w:val="0"/>
                    <w:spacing w:before="0" w:beforeAutospacing="0" w:after="0" w:afterAutospacing="0"/>
                    <w:ind w:left="0" w:right="0"/>
                    <w:rPr>
                      <w:rFonts w:hint="eastAsia" w:ascii="宋体" w:hAnsi="宋体" w:eastAsia="宋体" w:cs="宋体"/>
                      <w:color w:val="auto"/>
                      <w:lang w:val="en-US" w:eastAsia="zh-CN"/>
                    </w:rPr>
                  </w:pPr>
                  <w:r>
                    <w:rPr>
                      <w:rFonts w:hint="eastAsia" w:ascii="宋体" w:hAnsi="宋体" w:eastAsia="宋体" w:cs="宋体"/>
                      <w:color w:val="auto"/>
                      <w:sz w:val="21"/>
                      <w:szCs w:val="21"/>
                    </w:rPr>
                    <w:t>已按照避让、减缓、恢复的次序提出生态影响防护与恢复的措施。</w:t>
                  </w:r>
                </w:p>
              </w:tc>
              <w:tc>
                <w:tcPr>
                  <w:tcW w:w="399" w:type="pct"/>
                  <w:tcBorders>
                    <w:tl2br w:val="nil"/>
                    <w:tr2bl w:val="nil"/>
                  </w:tcBorders>
                  <w:noWrap w:val="0"/>
                  <w:vAlign w:val="center"/>
                </w:tcPr>
                <w:p w14:paraId="3994FA53">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eastAsia" w:ascii="宋体" w:hAnsi="宋体" w:eastAsia="宋体" w:cs="宋体"/>
                      <w:color w:val="auto"/>
                      <w:lang w:val="en-US" w:eastAsia="zh-CN"/>
                    </w:rPr>
                  </w:pPr>
                  <w:r>
                    <w:rPr>
                      <w:rFonts w:hint="eastAsia" w:ascii="宋体" w:hAnsi="宋体" w:eastAsia="宋体" w:cs="宋体"/>
                      <w:color w:val="auto"/>
                      <w:sz w:val="21"/>
                      <w:szCs w:val="21"/>
                    </w:rPr>
                    <w:t>符合</w:t>
                  </w:r>
                </w:p>
              </w:tc>
            </w:tr>
            <w:tr w14:paraId="30725C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460" w:hRule="atLeast"/>
                <w:jc w:val="center"/>
              </w:trPr>
              <w:tc>
                <w:tcPr>
                  <w:tcW w:w="314" w:type="pct"/>
                  <w:vMerge w:val="continue"/>
                  <w:tcBorders>
                    <w:tl2br w:val="nil"/>
                    <w:tr2bl w:val="nil"/>
                  </w:tcBorders>
                  <w:noWrap w:val="0"/>
                  <w:vAlign w:val="center"/>
                </w:tcPr>
                <w:p w14:paraId="5AA55801">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306" w:type="pct"/>
                  <w:vMerge w:val="continue"/>
                  <w:tcBorders>
                    <w:tl2br w:val="nil"/>
                    <w:tr2bl w:val="nil"/>
                  </w:tcBorders>
                  <w:noWrap w:val="0"/>
                  <w:vAlign w:val="center"/>
                </w:tcPr>
                <w:p w14:paraId="257C7463">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410" w:type="pct"/>
                  <w:vMerge w:val="continue"/>
                  <w:tcBorders>
                    <w:tl2br w:val="nil"/>
                    <w:tr2bl w:val="nil"/>
                  </w:tcBorders>
                  <w:noWrap w:val="0"/>
                  <w:vAlign w:val="center"/>
                </w:tcPr>
                <w:p w14:paraId="4A53E5F4">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p>
              </w:tc>
              <w:tc>
                <w:tcPr>
                  <w:tcW w:w="1826" w:type="pct"/>
                  <w:tcBorders>
                    <w:tl2br w:val="nil"/>
                    <w:tr2bl w:val="nil"/>
                  </w:tcBorders>
                  <w:noWrap w:val="0"/>
                  <w:vAlign w:val="center"/>
                </w:tcPr>
                <w:p w14:paraId="507FE17E">
                  <w:pPr>
                    <w:keepNext w:val="0"/>
                    <w:keepLines w:val="0"/>
                    <w:suppressLineNumbers w:val="0"/>
                    <w:autoSpaceDE w:val="0"/>
                    <w:autoSpaceDN w:val="0"/>
                    <w:snapToGrid w:val="0"/>
                    <w:spacing w:before="0" w:beforeAutospacing="0" w:after="0" w:afterAutospacing="0"/>
                    <w:ind w:left="0" w:right="0"/>
                    <w:rPr>
                      <w:rFonts w:hint="eastAsia" w:ascii="宋体" w:hAnsi="宋体" w:eastAsia="宋体" w:cs="宋体"/>
                      <w:color w:val="auto"/>
                      <w:lang w:val="en-US" w:eastAsia="zh-CN"/>
                    </w:rPr>
                  </w:pPr>
                  <w:r>
                    <w:rPr>
                      <w:rFonts w:hint="eastAsia" w:ascii="宋体" w:hAnsi="宋体" w:eastAsia="宋体" w:cs="宋体"/>
                      <w:color w:val="auto"/>
                      <w:sz w:val="21"/>
                      <w:szCs w:val="21"/>
                      <w:lang w:val="en-US" w:eastAsia="zh-CN"/>
                    </w:rPr>
                    <w:t>输电线路应因地制宜合理选择塔基基础，在山丘区应采用全方位长短腿与不等高基础设计，以减少土石方开挖。输电线路无法避让集中林区时，应采取控制导线高度设计，以减少林木砍伐，保护生态环境。</w:t>
                  </w:r>
                </w:p>
              </w:tc>
              <w:tc>
                <w:tcPr>
                  <w:tcW w:w="1744" w:type="pct"/>
                  <w:tcBorders>
                    <w:tl2br w:val="nil"/>
                    <w:tr2bl w:val="nil"/>
                  </w:tcBorders>
                  <w:noWrap w:val="0"/>
                  <w:vAlign w:val="center"/>
                </w:tcPr>
                <w:p w14:paraId="078F0C56">
                  <w:pPr>
                    <w:keepNext w:val="0"/>
                    <w:keepLines w:val="0"/>
                    <w:suppressLineNumbers w:val="0"/>
                    <w:adjustRightInd w:val="0"/>
                    <w:snapToGrid w:val="0"/>
                    <w:spacing w:before="0" w:beforeAutospacing="0" w:after="0" w:afterAutospacing="0"/>
                    <w:ind w:left="0" w:right="0"/>
                    <w:rPr>
                      <w:rFonts w:hint="eastAsia" w:ascii="宋体" w:hAnsi="宋体" w:eastAsia="宋体" w:cs="宋体"/>
                      <w:color w:val="auto"/>
                      <w:lang w:val="en-US" w:eastAsia="zh-CN"/>
                    </w:rPr>
                  </w:pPr>
                  <w:r>
                    <w:rPr>
                      <w:rFonts w:hint="eastAsia" w:ascii="宋体" w:hAnsi="宋体" w:eastAsia="宋体" w:cs="宋体"/>
                      <w:color w:val="auto"/>
                      <w:sz w:val="21"/>
                      <w:szCs w:val="21"/>
                      <w:lang w:val="en-US" w:eastAsia="zh-CN"/>
                    </w:rPr>
                    <w:t>本项目设计阶段时因地制宜</w:t>
                  </w:r>
                  <w:r>
                    <w:rPr>
                      <w:rFonts w:hint="eastAsia" w:ascii="宋体" w:hAnsi="宋体" w:eastAsia="宋体" w:cs="宋体"/>
                      <w:color w:val="auto"/>
                      <w:sz w:val="21"/>
                      <w:szCs w:val="21"/>
                    </w:rPr>
                    <w:t>合理</w:t>
                  </w:r>
                  <w:r>
                    <w:rPr>
                      <w:rFonts w:hint="eastAsia" w:ascii="宋体" w:hAnsi="宋体" w:eastAsia="宋体" w:cs="宋体"/>
                      <w:color w:val="auto"/>
                      <w:sz w:val="21"/>
                      <w:szCs w:val="21"/>
                      <w:lang w:val="en-US" w:eastAsia="zh-CN"/>
                    </w:rPr>
                    <w:t>选择</w:t>
                  </w:r>
                  <w:r>
                    <w:rPr>
                      <w:rFonts w:hint="eastAsia" w:ascii="宋体" w:hAnsi="宋体" w:eastAsia="宋体" w:cs="宋体"/>
                      <w:color w:val="auto"/>
                      <w:sz w:val="21"/>
                      <w:szCs w:val="21"/>
                    </w:rPr>
                    <w:t>塔基基础</w:t>
                  </w:r>
                  <w:r>
                    <w:rPr>
                      <w:rFonts w:hint="eastAsia" w:ascii="宋体" w:hAnsi="宋体" w:eastAsia="宋体" w:cs="宋体"/>
                      <w:color w:val="auto"/>
                      <w:sz w:val="21"/>
                      <w:szCs w:val="21"/>
                      <w:lang w:eastAsia="zh-CN"/>
                    </w:rPr>
                    <w:t>，采取控制导线高度设计，以减少林木砍伐，保护生态环境，</w:t>
                  </w:r>
                  <w:r>
                    <w:rPr>
                      <w:rFonts w:hint="eastAsia" w:ascii="宋体" w:hAnsi="宋体" w:eastAsia="宋体" w:cs="宋体"/>
                      <w:color w:val="auto"/>
                      <w:sz w:val="21"/>
                      <w:szCs w:val="21"/>
                    </w:rPr>
                    <w:t>以减少土石方开挖。</w:t>
                  </w:r>
                </w:p>
              </w:tc>
              <w:tc>
                <w:tcPr>
                  <w:tcW w:w="399" w:type="pct"/>
                  <w:tcBorders>
                    <w:tl2br w:val="nil"/>
                    <w:tr2bl w:val="nil"/>
                  </w:tcBorders>
                  <w:noWrap w:val="0"/>
                  <w:vAlign w:val="center"/>
                </w:tcPr>
                <w:p w14:paraId="47A7DCF7">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eastAsia" w:ascii="宋体" w:hAnsi="宋体" w:eastAsia="宋体" w:cs="宋体"/>
                      <w:color w:val="auto"/>
                      <w:lang w:val="en-US" w:eastAsia="zh-CN"/>
                    </w:rPr>
                  </w:pPr>
                  <w:r>
                    <w:rPr>
                      <w:rFonts w:hint="eastAsia" w:ascii="宋体" w:hAnsi="宋体" w:eastAsia="宋体" w:cs="宋体"/>
                      <w:color w:val="auto"/>
                      <w:sz w:val="21"/>
                      <w:szCs w:val="21"/>
                    </w:rPr>
                    <w:t>符合</w:t>
                  </w:r>
                </w:p>
              </w:tc>
            </w:tr>
            <w:tr w14:paraId="5B0D10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460" w:hRule="atLeast"/>
                <w:jc w:val="center"/>
              </w:trPr>
              <w:tc>
                <w:tcPr>
                  <w:tcW w:w="314" w:type="pct"/>
                  <w:vMerge w:val="continue"/>
                  <w:tcBorders>
                    <w:tl2br w:val="nil"/>
                    <w:tr2bl w:val="nil"/>
                  </w:tcBorders>
                  <w:noWrap w:val="0"/>
                  <w:vAlign w:val="center"/>
                </w:tcPr>
                <w:p w14:paraId="19F3134C">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306" w:type="pct"/>
                  <w:vMerge w:val="continue"/>
                  <w:tcBorders>
                    <w:tl2br w:val="nil"/>
                    <w:tr2bl w:val="nil"/>
                  </w:tcBorders>
                  <w:noWrap w:val="0"/>
                  <w:vAlign w:val="center"/>
                </w:tcPr>
                <w:p w14:paraId="0CD89EAD">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410" w:type="pct"/>
                  <w:vMerge w:val="continue"/>
                  <w:tcBorders>
                    <w:tl2br w:val="nil"/>
                    <w:tr2bl w:val="nil"/>
                  </w:tcBorders>
                  <w:noWrap w:val="0"/>
                  <w:vAlign w:val="center"/>
                </w:tcPr>
                <w:p w14:paraId="6FA8BBB4">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p>
              </w:tc>
              <w:tc>
                <w:tcPr>
                  <w:tcW w:w="1826" w:type="pct"/>
                  <w:tcBorders>
                    <w:tl2br w:val="nil"/>
                    <w:tr2bl w:val="nil"/>
                  </w:tcBorders>
                  <w:noWrap w:val="0"/>
                  <w:vAlign w:val="center"/>
                </w:tcPr>
                <w:p w14:paraId="318AB84F">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outlineLvl w:val="9"/>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lang w:val="en-US" w:eastAsia="zh-CN"/>
                    </w:rPr>
                    <w:t>输变电建设项目临时占地，应因地制宜进行土地功能恢复设计。</w:t>
                  </w:r>
                </w:p>
              </w:tc>
              <w:tc>
                <w:tcPr>
                  <w:tcW w:w="1744" w:type="pct"/>
                  <w:tcBorders>
                    <w:tl2br w:val="nil"/>
                    <w:tr2bl w:val="nil"/>
                  </w:tcBorders>
                  <w:noWrap w:val="0"/>
                  <w:vAlign w:val="center"/>
                </w:tcPr>
                <w:p w14:paraId="49C35A03">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outlineLvl w:val="9"/>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lang w:val="en-US" w:eastAsia="zh-CN"/>
                    </w:rPr>
                    <w:t>本项目施工结束后，对施工营地、塔基施工场地、牵张场、跨越场等临时占地进行生态恢复，</w:t>
                  </w:r>
                  <w:r>
                    <w:rPr>
                      <w:rFonts w:hint="eastAsia" w:ascii="宋体" w:hAnsi="宋体" w:cs="宋体"/>
                      <w:color w:val="auto"/>
                      <w:lang w:val="en-US" w:eastAsia="zh-CN"/>
                    </w:rPr>
                    <w:t>涉及天然牧草地进行植被恢复，</w:t>
                  </w:r>
                  <w:r>
                    <w:rPr>
                      <w:rFonts w:hint="eastAsia" w:ascii="宋体" w:hAnsi="宋体" w:eastAsia="宋体" w:cs="宋体"/>
                      <w:color w:val="auto"/>
                      <w:lang w:val="en-US" w:eastAsia="zh-CN"/>
                    </w:rPr>
                    <w:t>恢复至原生态、土地功能。</w:t>
                  </w:r>
                </w:p>
              </w:tc>
              <w:tc>
                <w:tcPr>
                  <w:tcW w:w="399" w:type="pct"/>
                  <w:tcBorders>
                    <w:tl2br w:val="nil"/>
                    <w:tr2bl w:val="nil"/>
                  </w:tcBorders>
                  <w:noWrap w:val="0"/>
                  <w:vAlign w:val="center"/>
                </w:tcPr>
                <w:p w14:paraId="3CE36098">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符合</w:t>
                  </w:r>
                </w:p>
                <w:p w14:paraId="3C55CFC0">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2"/>
                      <w:sz w:val="21"/>
                      <w:szCs w:val="24"/>
                      <w:lang w:val="en-US" w:eastAsia="zh-CN" w:bidi="ar-SA"/>
                    </w:rPr>
                  </w:pPr>
                </w:p>
              </w:tc>
            </w:tr>
            <w:tr w14:paraId="5E3306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jc w:val="center"/>
              </w:trPr>
              <w:tc>
                <w:tcPr>
                  <w:tcW w:w="314" w:type="pct"/>
                  <w:vMerge w:val="continue"/>
                  <w:tcBorders>
                    <w:tl2br w:val="nil"/>
                    <w:tr2bl w:val="nil"/>
                  </w:tcBorders>
                  <w:noWrap w:val="0"/>
                  <w:vAlign w:val="center"/>
                </w:tcPr>
                <w:p w14:paraId="56D2C7D7">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306" w:type="pct"/>
                  <w:vMerge w:val="continue"/>
                  <w:tcBorders>
                    <w:tl2br w:val="nil"/>
                    <w:tr2bl w:val="nil"/>
                  </w:tcBorders>
                  <w:noWrap w:val="0"/>
                  <w:vAlign w:val="center"/>
                </w:tcPr>
                <w:p w14:paraId="63601830">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410" w:type="pct"/>
                  <w:tcBorders>
                    <w:tl2br w:val="nil"/>
                    <w:tr2bl w:val="nil"/>
                  </w:tcBorders>
                  <w:noWrap w:val="0"/>
                  <w:vAlign w:val="center"/>
                </w:tcPr>
                <w:p w14:paraId="7A132B26">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水环境保护</w:t>
                  </w:r>
                </w:p>
              </w:tc>
              <w:tc>
                <w:tcPr>
                  <w:tcW w:w="1826" w:type="pct"/>
                  <w:tcBorders>
                    <w:tl2br w:val="nil"/>
                    <w:tr2bl w:val="nil"/>
                  </w:tcBorders>
                  <w:noWrap w:val="0"/>
                  <w:vAlign w:val="center"/>
                </w:tcPr>
                <w:p w14:paraId="0B9CF98A">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变电工程应采取节水措施，加强水的重复利用，减少废</w:t>
                  </w:r>
                  <w:r>
                    <w:rPr>
                      <w:rFonts w:hint="eastAsia" w:ascii="宋体" w:hAnsi="宋体" w:cs="宋体"/>
                      <w:color w:val="auto"/>
                      <w:lang w:val="en-US" w:eastAsia="zh-CN"/>
                    </w:rPr>
                    <w:t>（</w:t>
                  </w:r>
                  <w:r>
                    <w:rPr>
                      <w:rFonts w:hint="eastAsia" w:ascii="宋体" w:hAnsi="宋体" w:eastAsia="宋体" w:cs="宋体"/>
                      <w:color w:val="auto"/>
                      <w:lang w:val="en-US" w:eastAsia="zh-CN"/>
                    </w:rPr>
                    <w:t>污</w:t>
                  </w:r>
                  <w:r>
                    <w:rPr>
                      <w:rFonts w:hint="eastAsia" w:ascii="宋体" w:hAnsi="宋体" w:cs="宋体"/>
                      <w:color w:val="auto"/>
                      <w:lang w:val="en-US" w:eastAsia="zh-CN"/>
                    </w:rPr>
                    <w:t>）</w:t>
                  </w:r>
                  <w:r>
                    <w:rPr>
                      <w:rFonts w:hint="eastAsia" w:ascii="宋体" w:hAnsi="宋体" w:eastAsia="宋体" w:cs="宋体"/>
                      <w:color w:val="auto"/>
                      <w:lang w:val="en-US" w:eastAsia="zh-CN"/>
                    </w:rPr>
                    <w:t>水排放。雨水和生活污水应采取分流制。</w:t>
                  </w:r>
                </w:p>
              </w:tc>
              <w:tc>
                <w:tcPr>
                  <w:tcW w:w="1744" w:type="pct"/>
                  <w:tcBorders>
                    <w:tl2br w:val="nil"/>
                    <w:tr2bl w:val="nil"/>
                  </w:tcBorders>
                  <w:noWrap w:val="0"/>
                  <w:vAlign w:val="center"/>
                </w:tcPr>
                <w:p w14:paraId="564E572F">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outlineLvl w:val="9"/>
                    <w:rPr>
                      <w:rFonts w:hint="eastAsia" w:ascii="宋体" w:hAnsi="宋体" w:eastAsia="宋体" w:cs="宋体"/>
                      <w:color w:val="auto"/>
                      <w:lang w:val="en-US" w:eastAsia="zh-CN"/>
                    </w:rPr>
                  </w:pPr>
                  <w:r>
                    <w:rPr>
                      <w:rFonts w:hint="eastAsia" w:ascii="宋体" w:hAnsi="宋体" w:eastAsia="宋体" w:cs="宋体"/>
                      <w:color w:val="auto"/>
                      <w:highlight w:val="none"/>
                      <w:lang w:val="en-US" w:eastAsia="zh-CN"/>
                    </w:rPr>
                    <w:t>升压站雨污分流，生活污水经地埋式一体化污水处理装置处理后达到《农村生活污水处理排放标准》</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DB65/4275-2019</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表2的</w:t>
                  </w:r>
                  <w:r>
                    <w:rPr>
                      <w:rFonts w:hint="eastAsia" w:ascii="宋体" w:hAnsi="宋体" w:cs="宋体"/>
                      <w:color w:val="auto"/>
                      <w:highlight w:val="none"/>
                      <w:lang w:val="en-US" w:eastAsia="zh-CN"/>
                    </w:rPr>
                    <w:t>B</w:t>
                  </w:r>
                  <w:r>
                    <w:rPr>
                      <w:rFonts w:hint="eastAsia" w:ascii="宋体" w:hAnsi="宋体" w:eastAsia="宋体" w:cs="宋体"/>
                      <w:color w:val="auto"/>
                      <w:highlight w:val="none"/>
                      <w:lang w:val="en-US" w:eastAsia="zh-CN"/>
                    </w:rPr>
                    <w:t>级标准后</w:t>
                  </w:r>
                  <w:r>
                    <w:rPr>
                      <w:rFonts w:hint="eastAsia" w:ascii="宋体" w:hAnsi="宋体" w:cs="宋体"/>
                      <w:color w:val="auto"/>
                      <w:highlight w:val="none"/>
                      <w:lang w:val="en-US" w:eastAsia="zh-CN"/>
                    </w:rPr>
                    <w:t>回用于场区绿化，不外排</w:t>
                  </w:r>
                  <w:r>
                    <w:rPr>
                      <w:rFonts w:hint="eastAsia" w:ascii="宋体" w:hAnsi="宋体" w:eastAsia="宋体" w:cs="宋体"/>
                      <w:color w:val="auto"/>
                      <w:highlight w:val="none"/>
                      <w:lang w:val="en-US" w:eastAsia="zh-CN"/>
                    </w:rPr>
                    <w:t>。</w:t>
                  </w:r>
                </w:p>
              </w:tc>
              <w:tc>
                <w:tcPr>
                  <w:tcW w:w="399" w:type="pct"/>
                  <w:tcBorders>
                    <w:tl2br w:val="nil"/>
                    <w:tr2bl w:val="nil"/>
                  </w:tcBorders>
                  <w:noWrap w:val="0"/>
                  <w:vAlign w:val="center"/>
                </w:tcPr>
                <w:p w14:paraId="76B48BE3">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符合</w:t>
                  </w:r>
                </w:p>
              </w:tc>
            </w:tr>
            <w:tr w14:paraId="432493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jc w:val="center"/>
              </w:trPr>
              <w:tc>
                <w:tcPr>
                  <w:tcW w:w="314" w:type="pct"/>
                  <w:vMerge w:val="restart"/>
                  <w:tcBorders>
                    <w:tl2br w:val="nil"/>
                    <w:tr2bl w:val="nil"/>
                  </w:tcBorders>
                  <w:noWrap w:val="0"/>
                  <w:vAlign w:val="center"/>
                </w:tcPr>
                <w:p w14:paraId="1EE7521A">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3</w:t>
                  </w:r>
                </w:p>
              </w:tc>
              <w:tc>
                <w:tcPr>
                  <w:tcW w:w="306" w:type="pct"/>
                  <w:vMerge w:val="restart"/>
                  <w:tcBorders>
                    <w:tl2br w:val="nil"/>
                    <w:tr2bl w:val="nil"/>
                  </w:tcBorders>
                  <w:noWrap w:val="0"/>
                  <w:vAlign w:val="center"/>
                </w:tcPr>
                <w:p w14:paraId="7C794952">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施工</w:t>
                  </w:r>
                </w:p>
              </w:tc>
              <w:tc>
                <w:tcPr>
                  <w:tcW w:w="410" w:type="pct"/>
                  <w:tcBorders>
                    <w:tl2br w:val="nil"/>
                    <w:tr2bl w:val="nil"/>
                  </w:tcBorders>
                  <w:noWrap w:val="0"/>
                  <w:vAlign w:val="center"/>
                </w:tcPr>
                <w:p w14:paraId="37BE43EE">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rPr>
                  </w:pPr>
                  <w:r>
                    <w:rPr>
                      <w:rFonts w:hint="eastAsia" w:ascii="宋体" w:hAnsi="宋体" w:eastAsia="宋体" w:cs="宋体"/>
                      <w:color w:val="auto"/>
                    </w:rPr>
                    <w:t>总体</w:t>
                  </w:r>
                </w:p>
                <w:p w14:paraId="5FC77F25">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rPr>
                    <w:t>要求</w:t>
                  </w:r>
                </w:p>
              </w:tc>
              <w:tc>
                <w:tcPr>
                  <w:tcW w:w="1826" w:type="pct"/>
                  <w:tcBorders>
                    <w:tl2br w:val="nil"/>
                    <w:tr2bl w:val="nil"/>
                  </w:tcBorders>
                  <w:noWrap w:val="0"/>
                  <w:vAlign w:val="center"/>
                </w:tcPr>
                <w:p w14:paraId="6D49D2AE">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rPr>
                    <w:t>进入自然保护区和饮用水水源保护区等环境敏感区的输电线路，建设单位应加强施工过程的管理，开展环境保护培训，明确保护对象和保护要求，严格控制施工影响范围，确定适宜的施工季节和施工方式，减少对环境保护对象的不利影响。</w:t>
                  </w:r>
                </w:p>
              </w:tc>
              <w:tc>
                <w:tcPr>
                  <w:tcW w:w="1744" w:type="pct"/>
                  <w:tcBorders>
                    <w:tl2br w:val="nil"/>
                    <w:tr2bl w:val="nil"/>
                  </w:tcBorders>
                  <w:noWrap w:val="0"/>
                  <w:vAlign w:val="center"/>
                </w:tcPr>
                <w:p w14:paraId="1FC1B72B">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本项目不涉及</w:t>
                  </w:r>
                  <w:r>
                    <w:rPr>
                      <w:rFonts w:hint="eastAsia" w:ascii="宋体" w:hAnsi="宋体" w:eastAsia="宋体" w:cs="宋体"/>
                      <w:color w:val="auto"/>
                    </w:rPr>
                    <w:t>环境敏感区</w:t>
                  </w:r>
                  <w:r>
                    <w:rPr>
                      <w:rFonts w:hint="eastAsia" w:ascii="宋体" w:hAnsi="宋体" w:eastAsia="宋体" w:cs="宋体"/>
                      <w:color w:val="auto"/>
                      <w:lang w:eastAsia="zh-CN"/>
                    </w:rPr>
                    <w:t>。</w:t>
                  </w:r>
                </w:p>
              </w:tc>
              <w:tc>
                <w:tcPr>
                  <w:tcW w:w="399" w:type="pct"/>
                  <w:tcBorders>
                    <w:tl2br w:val="nil"/>
                    <w:tr2bl w:val="nil"/>
                  </w:tcBorders>
                  <w:noWrap w:val="0"/>
                  <w:vAlign w:val="center"/>
                </w:tcPr>
                <w:p w14:paraId="253ED474">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rPr>
                    <w:t>符合</w:t>
                  </w:r>
                </w:p>
              </w:tc>
            </w:tr>
            <w:tr w14:paraId="053DAF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jc w:val="center"/>
              </w:trPr>
              <w:tc>
                <w:tcPr>
                  <w:tcW w:w="314" w:type="pct"/>
                  <w:vMerge w:val="continue"/>
                  <w:tcBorders>
                    <w:tl2br w:val="nil"/>
                    <w:tr2bl w:val="nil"/>
                  </w:tcBorders>
                  <w:noWrap w:val="0"/>
                  <w:vAlign w:val="center"/>
                </w:tcPr>
                <w:p w14:paraId="32A8BF60">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306" w:type="pct"/>
                  <w:vMerge w:val="continue"/>
                  <w:tcBorders>
                    <w:tl2br w:val="nil"/>
                    <w:tr2bl w:val="nil"/>
                  </w:tcBorders>
                  <w:noWrap w:val="0"/>
                  <w:vAlign w:val="center"/>
                </w:tcPr>
                <w:p w14:paraId="0A46E4CB">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410" w:type="pct"/>
                  <w:tcBorders>
                    <w:tl2br w:val="nil"/>
                    <w:tr2bl w:val="nil"/>
                  </w:tcBorders>
                  <w:noWrap w:val="0"/>
                  <w:vAlign w:val="center"/>
                </w:tcPr>
                <w:p w14:paraId="729800A8">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生态环境保护</w:t>
                  </w:r>
                </w:p>
              </w:tc>
              <w:tc>
                <w:tcPr>
                  <w:tcW w:w="1826" w:type="pct"/>
                  <w:tcBorders>
                    <w:tl2br w:val="nil"/>
                    <w:tr2bl w:val="nil"/>
                  </w:tcBorders>
                  <w:noWrap w:val="0"/>
                  <w:vAlign w:val="center"/>
                </w:tcPr>
                <w:p w14:paraId="66E22CD3">
                  <w:pPr>
                    <w:keepNext w:val="0"/>
                    <w:keepLines w:val="0"/>
                    <w:suppressLineNumbers w:val="0"/>
                    <w:autoSpaceDE w:val="0"/>
                    <w:autoSpaceDN w:val="0"/>
                    <w:snapToGrid w:val="0"/>
                    <w:spacing w:before="0" w:beforeAutospacing="0" w:after="0" w:afterAutospacing="0" w:line="240" w:lineRule="atLeast"/>
                    <w:ind w:left="0" w:right="0"/>
                    <w:rPr>
                      <w:rFonts w:hint="eastAsia" w:ascii="宋体" w:hAnsi="宋体" w:eastAsia="宋体" w:cs="宋体"/>
                      <w:color w:val="auto"/>
                    </w:rPr>
                  </w:pPr>
                  <w:r>
                    <w:rPr>
                      <w:rFonts w:hint="eastAsia" w:ascii="宋体" w:hAnsi="宋体" w:eastAsia="宋体" w:cs="宋体"/>
                      <w:color w:val="auto"/>
                      <w:sz w:val="21"/>
                      <w:szCs w:val="21"/>
                    </w:rPr>
                    <w:t>施工现场使用带油料的机械器具，应采取措施防止油料跑、冒、滴、漏，防止对土壤和水 体造成污染。施工结束后，应及时清理施工现场，因地制宜进行土地功能恢复。</w:t>
                  </w:r>
                </w:p>
              </w:tc>
              <w:tc>
                <w:tcPr>
                  <w:tcW w:w="1744" w:type="pct"/>
                  <w:tcBorders>
                    <w:tl2br w:val="nil"/>
                    <w:tr2bl w:val="nil"/>
                  </w:tcBorders>
                  <w:noWrap w:val="0"/>
                  <w:vAlign w:val="center"/>
                </w:tcPr>
                <w:p w14:paraId="0AAEAA81">
                  <w:pPr>
                    <w:keepNext w:val="0"/>
                    <w:keepLines w:val="0"/>
                    <w:suppressLineNumbers w:val="0"/>
                    <w:spacing w:before="0" w:beforeAutospacing="0" w:after="0" w:afterAutospacing="0" w:line="240" w:lineRule="atLeast"/>
                    <w:ind w:left="0" w:right="0"/>
                    <w:rPr>
                      <w:rFonts w:hint="eastAsia" w:ascii="宋体" w:hAnsi="宋体" w:eastAsia="宋体" w:cs="宋体"/>
                      <w:color w:val="auto"/>
                      <w:lang w:val="en-US" w:eastAsia="zh-CN"/>
                    </w:rPr>
                  </w:pPr>
                  <w:r>
                    <w:rPr>
                      <w:rFonts w:hint="eastAsia" w:ascii="宋体" w:hAnsi="宋体" w:eastAsia="宋体" w:cs="宋体"/>
                      <w:color w:val="auto"/>
                      <w:sz w:val="21"/>
                      <w:szCs w:val="21"/>
                    </w:rPr>
                    <w:t>本项目施工期应做好施工机械合理摆放，定期对施工机械进行保养，禁止出现油料跑、冒、滴、漏。施工结束后，及时恢复施工迹地。</w:t>
                  </w:r>
                </w:p>
              </w:tc>
              <w:tc>
                <w:tcPr>
                  <w:tcW w:w="399" w:type="pct"/>
                  <w:tcBorders>
                    <w:tl2br w:val="nil"/>
                    <w:tr2bl w:val="nil"/>
                  </w:tcBorders>
                  <w:noWrap w:val="0"/>
                  <w:vAlign w:val="center"/>
                </w:tcPr>
                <w:p w14:paraId="7D2417AA">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hint="eastAsia" w:ascii="宋体" w:hAnsi="宋体" w:eastAsia="宋体" w:cs="宋体"/>
                      <w:color w:val="auto"/>
                    </w:rPr>
                  </w:pPr>
                  <w:r>
                    <w:rPr>
                      <w:rFonts w:hint="eastAsia" w:ascii="宋体" w:hAnsi="宋体" w:eastAsia="宋体" w:cs="宋体"/>
                      <w:color w:val="auto"/>
                      <w:sz w:val="21"/>
                      <w:szCs w:val="21"/>
                    </w:rPr>
                    <w:t>符合</w:t>
                  </w:r>
                </w:p>
              </w:tc>
            </w:tr>
            <w:tr w14:paraId="04CCB38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jc w:val="center"/>
              </w:trPr>
              <w:tc>
                <w:tcPr>
                  <w:tcW w:w="314" w:type="pct"/>
                  <w:vMerge w:val="continue"/>
                  <w:tcBorders>
                    <w:tl2br w:val="nil"/>
                    <w:tr2bl w:val="nil"/>
                  </w:tcBorders>
                  <w:noWrap w:val="0"/>
                  <w:vAlign w:val="center"/>
                </w:tcPr>
                <w:p w14:paraId="7F675241">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306" w:type="pct"/>
                  <w:vMerge w:val="continue"/>
                  <w:tcBorders>
                    <w:tl2br w:val="nil"/>
                    <w:tr2bl w:val="nil"/>
                  </w:tcBorders>
                  <w:noWrap w:val="0"/>
                  <w:vAlign w:val="center"/>
                </w:tcPr>
                <w:p w14:paraId="360FE002">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410" w:type="pct"/>
                  <w:tcBorders>
                    <w:tl2br w:val="nil"/>
                    <w:tr2bl w:val="nil"/>
                  </w:tcBorders>
                  <w:noWrap w:val="0"/>
                  <w:vAlign w:val="center"/>
                </w:tcPr>
                <w:p w14:paraId="48ED239A">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lang w:val="en-US" w:eastAsia="zh-CN"/>
                    </w:rPr>
                  </w:pPr>
                  <w:r>
                    <w:rPr>
                      <w:rFonts w:hint="eastAsia" w:ascii="宋体" w:hAnsi="宋体" w:eastAsia="宋体" w:cs="宋体"/>
                      <w:color w:val="auto"/>
                      <w:sz w:val="21"/>
                      <w:szCs w:val="21"/>
                    </w:rPr>
                    <w:t>大气环境保护</w:t>
                  </w:r>
                </w:p>
              </w:tc>
              <w:tc>
                <w:tcPr>
                  <w:tcW w:w="1826" w:type="pct"/>
                  <w:tcBorders>
                    <w:tl2br w:val="nil"/>
                    <w:tr2bl w:val="nil"/>
                  </w:tcBorders>
                  <w:noWrap w:val="0"/>
                  <w:vAlign w:val="center"/>
                </w:tcPr>
                <w:p w14:paraId="475941B2">
                  <w:pPr>
                    <w:keepNext w:val="0"/>
                    <w:keepLines w:val="0"/>
                    <w:suppressLineNumbers w:val="0"/>
                    <w:autoSpaceDE w:val="0"/>
                    <w:autoSpaceDN w:val="0"/>
                    <w:snapToGrid w:val="0"/>
                    <w:spacing w:before="0" w:beforeAutospacing="0" w:after="0" w:afterAutospacing="0" w:line="240" w:lineRule="atLeast"/>
                    <w:ind w:left="0" w:right="0"/>
                    <w:rPr>
                      <w:rFonts w:hint="eastAsia" w:ascii="宋体" w:hAnsi="宋体" w:eastAsia="宋体" w:cs="宋体"/>
                      <w:color w:val="auto"/>
                      <w:sz w:val="21"/>
                      <w:szCs w:val="21"/>
                    </w:rPr>
                  </w:pPr>
                  <w:r>
                    <w:rPr>
                      <w:rFonts w:hint="eastAsia" w:ascii="宋体" w:hAnsi="宋体" w:eastAsia="宋体" w:cs="宋体"/>
                      <w:color w:val="auto"/>
                      <w:sz w:val="21"/>
                      <w:szCs w:val="21"/>
                    </w:rPr>
                    <w:t>施工过程中，对易起尘的临时堆土、运输过程中的土石方等应采用防尘网进行苫盖，施工面集中且有条件的地方宜采取洒水降尘等有效措施，减少易造成大气污染的施工作业。</w:t>
                  </w:r>
                </w:p>
              </w:tc>
              <w:tc>
                <w:tcPr>
                  <w:tcW w:w="1744" w:type="pct"/>
                  <w:tcBorders>
                    <w:tl2br w:val="nil"/>
                    <w:tr2bl w:val="nil"/>
                  </w:tcBorders>
                  <w:noWrap w:val="0"/>
                  <w:vAlign w:val="center"/>
                </w:tcPr>
                <w:p w14:paraId="357E0840">
                  <w:pPr>
                    <w:keepNext w:val="0"/>
                    <w:keepLines w:val="0"/>
                    <w:suppressLineNumbers w:val="0"/>
                    <w:spacing w:before="0" w:beforeAutospacing="0" w:after="0" w:afterAutospacing="0" w:line="240" w:lineRule="atLeast"/>
                    <w:ind w:left="0" w:right="0"/>
                    <w:rPr>
                      <w:rFonts w:hint="eastAsia" w:ascii="宋体" w:hAnsi="宋体" w:eastAsia="宋体" w:cs="宋体"/>
                      <w:color w:val="auto"/>
                      <w:sz w:val="21"/>
                      <w:szCs w:val="21"/>
                    </w:rPr>
                  </w:pPr>
                  <w:r>
                    <w:rPr>
                      <w:rFonts w:hint="eastAsia" w:ascii="宋体" w:hAnsi="宋体" w:eastAsia="宋体" w:cs="宋体"/>
                      <w:color w:val="auto"/>
                      <w:sz w:val="21"/>
                      <w:szCs w:val="21"/>
                    </w:rPr>
                    <w:t>本项目加强对施工现场和物料运输的管理，保持道路清洁，管控料堆和渣土堆放，洒水降尘防止扬尘污染；施工单位应当对施工开挖后的裸露地面进行覆盖</w:t>
                  </w:r>
                  <w:r>
                    <w:rPr>
                      <w:rFonts w:hint="eastAsia" w:ascii="宋体" w:hAnsi="宋体" w:eastAsia="宋体" w:cs="宋体"/>
                      <w:color w:val="auto"/>
                      <w:sz w:val="21"/>
                      <w:szCs w:val="21"/>
                      <w:highlight w:val="none"/>
                    </w:rPr>
                    <w:t>。</w:t>
                  </w:r>
                </w:p>
              </w:tc>
              <w:tc>
                <w:tcPr>
                  <w:tcW w:w="399" w:type="pct"/>
                  <w:tcBorders>
                    <w:tl2br w:val="nil"/>
                    <w:tr2bl w:val="nil"/>
                  </w:tcBorders>
                  <w:noWrap w:val="0"/>
                  <w:vAlign w:val="center"/>
                </w:tcPr>
                <w:p w14:paraId="1A173537">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5743C40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jc w:val="center"/>
              </w:trPr>
              <w:tc>
                <w:tcPr>
                  <w:tcW w:w="314" w:type="pct"/>
                  <w:vMerge w:val="continue"/>
                  <w:tcBorders>
                    <w:tl2br w:val="nil"/>
                    <w:tr2bl w:val="nil"/>
                  </w:tcBorders>
                  <w:noWrap w:val="0"/>
                  <w:vAlign w:val="center"/>
                </w:tcPr>
                <w:p w14:paraId="1A68BAD1">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306" w:type="pct"/>
                  <w:vMerge w:val="continue"/>
                  <w:tcBorders>
                    <w:tl2br w:val="nil"/>
                    <w:tr2bl w:val="nil"/>
                  </w:tcBorders>
                  <w:noWrap w:val="0"/>
                  <w:vAlign w:val="center"/>
                </w:tcPr>
                <w:p w14:paraId="40E43C73">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410" w:type="pct"/>
                  <w:tcBorders>
                    <w:tl2br w:val="nil"/>
                    <w:tr2bl w:val="nil"/>
                  </w:tcBorders>
                  <w:noWrap w:val="0"/>
                  <w:vAlign w:val="center"/>
                </w:tcPr>
                <w:p w14:paraId="248F80DD">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rPr>
                    <w:t>声环境保护</w:t>
                  </w:r>
                </w:p>
              </w:tc>
              <w:tc>
                <w:tcPr>
                  <w:tcW w:w="1826" w:type="pct"/>
                  <w:tcBorders>
                    <w:tl2br w:val="nil"/>
                    <w:tr2bl w:val="nil"/>
                  </w:tcBorders>
                  <w:noWrap w:val="0"/>
                  <w:vAlign w:val="center"/>
                </w:tcPr>
                <w:p w14:paraId="1D84E782">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rPr>
                    <w:t>变电工程施工过程中场界环境噪声排放应满足GB12523中的要求</w:t>
                  </w:r>
                  <w:r>
                    <w:rPr>
                      <w:rFonts w:hint="eastAsia" w:ascii="宋体" w:hAnsi="宋体" w:eastAsia="宋体" w:cs="宋体"/>
                      <w:color w:val="auto"/>
                      <w:lang w:eastAsia="zh-CN"/>
                    </w:rPr>
                    <w:t>。</w:t>
                  </w:r>
                </w:p>
              </w:tc>
              <w:tc>
                <w:tcPr>
                  <w:tcW w:w="1744" w:type="pct"/>
                  <w:tcBorders>
                    <w:tl2br w:val="nil"/>
                    <w:tr2bl w:val="nil"/>
                  </w:tcBorders>
                  <w:noWrap w:val="0"/>
                  <w:vAlign w:val="center"/>
                </w:tcPr>
                <w:p w14:paraId="7440A108">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highlight w:val="none"/>
                    </w:rPr>
                    <w:t>本</w:t>
                  </w: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拟建升压站</w:t>
                  </w:r>
                  <w:r>
                    <w:rPr>
                      <w:rFonts w:hint="eastAsia" w:ascii="宋体" w:hAnsi="宋体" w:eastAsia="宋体" w:cs="宋体"/>
                      <w:color w:val="auto"/>
                      <w:highlight w:val="none"/>
                    </w:rPr>
                    <w:t>位于</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类声环境功能区</w:t>
                  </w:r>
                  <w:r>
                    <w:rPr>
                      <w:rFonts w:hint="eastAsia" w:ascii="宋体" w:hAnsi="宋体" w:eastAsia="宋体" w:cs="宋体"/>
                      <w:color w:val="auto"/>
                    </w:rPr>
                    <w:t>，设计阶段即采取降低主变声源的措施，经预测站界可满足GB12348的限值要</w:t>
                  </w:r>
                  <w:r>
                    <w:rPr>
                      <w:rFonts w:hint="eastAsia" w:ascii="宋体" w:hAnsi="宋体" w:eastAsia="宋体" w:cs="宋体"/>
                      <w:color w:val="auto"/>
                      <w:lang w:val="en-US" w:eastAsia="zh-CN"/>
                    </w:rPr>
                    <w:t>求。</w:t>
                  </w:r>
                </w:p>
              </w:tc>
              <w:tc>
                <w:tcPr>
                  <w:tcW w:w="399" w:type="pct"/>
                  <w:tcBorders>
                    <w:tl2br w:val="nil"/>
                    <w:tr2bl w:val="nil"/>
                  </w:tcBorders>
                  <w:noWrap w:val="0"/>
                  <w:vAlign w:val="center"/>
                </w:tcPr>
                <w:p w14:paraId="6BA34500">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rPr>
                    <w:t>符合</w:t>
                  </w:r>
                </w:p>
              </w:tc>
            </w:tr>
            <w:tr w14:paraId="2ABFAE5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jc w:val="center"/>
              </w:trPr>
              <w:tc>
                <w:tcPr>
                  <w:tcW w:w="314" w:type="pct"/>
                  <w:vMerge w:val="continue"/>
                  <w:tcBorders>
                    <w:tl2br w:val="nil"/>
                    <w:tr2bl w:val="nil"/>
                  </w:tcBorders>
                  <w:noWrap w:val="0"/>
                  <w:vAlign w:val="center"/>
                </w:tcPr>
                <w:p w14:paraId="421A7696">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306" w:type="pct"/>
                  <w:vMerge w:val="continue"/>
                  <w:tcBorders>
                    <w:tl2br w:val="nil"/>
                    <w:tr2bl w:val="nil"/>
                  </w:tcBorders>
                  <w:noWrap w:val="0"/>
                  <w:vAlign w:val="center"/>
                </w:tcPr>
                <w:p w14:paraId="1ECF12CD">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410" w:type="pct"/>
                  <w:tcBorders>
                    <w:tl2br w:val="nil"/>
                    <w:tr2bl w:val="nil"/>
                  </w:tcBorders>
                  <w:noWrap w:val="0"/>
                  <w:vAlign w:val="center"/>
                </w:tcPr>
                <w:p w14:paraId="20DDD858">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outlineLvl w:val="9"/>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lang w:val="en-US" w:eastAsia="zh-CN"/>
                    </w:rPr>
                    <w:t>水环境保护</w:t>
                  </w:r>
                </w:p>
              </w:tc>
              <w:tc>
                <w:tcPr>
                  <w:tcW w:w="1826" w:type="pct"/>
                  <w:tcBorders>
                    <w:tl2br w:val="nil"/>
                    <w:tr2bl w:val="nil"/>
                  </w:tcBorders>
                  <w:noWrap w:val="0"/>
                  <w:vAlign w:val="center"/>
                </w:tcPr>
                <w:p w14:paraId="3EBF9848">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outlineLvl w:val="9"/>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rPr>
                    <w:t>在饮用水水源保护区和其他水体保护区内或附近施工时，应加强管理，做好污水防治措施，确保水环境不受影响。</w:t>
                  </w:r>
                </w:p>
              </w:tc>
              <w:tc>
                <w:tcPr>
                  <w:tcW w:w="1744" w:type="pct"/>
                  <w:tcBorders>
                    <w:tl2br w:val="nil"/>
                    <w:tr2bl w:val="nil"/>
                  </w:tcBorders>
                  <w:noWrap w:val="0"/>
                  <w:vAlign w:val="center"/>
                </w:tcPr>
                <w:p w14:paraId="3F22FBFC">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outlineLvl w:val="9"/>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lang w:val="en-US" w:eastAsia="zh-CN"/>
                    </w:rPr>
                    <w:t>本项目不涉及饮用水水源保护区和其他水体保护区</w:t>
                  </w:r>
                </w:p>
              </w:tc>
              <w:tc>
                <w:tcPr>
                  <w:tcW w:w="399" w:type="pct"/>
                  <w:tcBorders>
                    <w:tl2br w:val="nil"/>
                    <w:tr2bl w:val="nil"/>
                  </w:tcBorders>
                  <w:noWrap w:val="0"/>
                  <w:vAlign w:val="center"/>
                </w:tcPr>
                <w:p w14:paraId="1C5CC156">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rPr>
                    <w:t>符合</w:t>
                  </w:r>
                </w:p>
              </w:tc>
            </w:tr>
            <w:tr w14:paraId="7D43D59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jc w:val="center"/>
              </w:trPr>
              <w:tc>
                <w:tcPr>
                  <w:tcW w:w="314" w:type="pct"/>
                  <w:vMerge w:val="continue"/>
                  <w:tcBorders>
                    <w:tl2br w:val="nil"/>
                    <w:tr2bl w:val="nil"/>
                  </w:tcBorders>
                  <w:noWrap w:val="0"/>
                  <w:vAlign w:val="center"/>
                </w:tcPr>
                <w:p w14:paraId="4D54376D">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306" w:type="pct"/>
                  <w:vMerge w:val="continue"/>
                  <w:tcBorders>
                    <w:tl2br w:val="nil"/>
                    <w:tr2bl w:val="nil"/>
                  </w:tcBorders>
                  <w:noWrap w:val="0"/>
                  <w:vAlign w:val="center"/>
                </w:tcPr>
                <w:p w14:paraId="037F36AD">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p>
              </w:tc>
              <w:tc>
                <w:tcPr>
                  <w:tcW w:w="410" w:type="pct"/>
                  <w:tcBorders>
                    <w:tl2br w:val="nil"/>
                    <w:tr2bl w:val="nil"/>
                  </w:tcBorders>
                  <w:noWrap w:val="0"/>
                  <w:vAlign w:val="center"/>
                </w:tcPr>
                <w:p w14:paraId="4E965F31">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lang w:val="en-US" w:eastAsia="zh-CN"/>
                    </w:rPr>
                  </w:pPr>
                  <w:r>
                    <w:rPr>
                      <w:rFonts w:hint="eastAsia" w:ascii="宋体" w:hAnsi="宋体" w:eastAsia="宋体" w:cs="宋体"/>
                      <w:color w:val="auto"/>
                      <w:sz w:val="21"/>
                      <w:szCs w:val="21"/>
                    </w:rPr>
                    <w:t>固体废物处置</w:t>
                  </w:r>
                </w:p>
              </w:tc>
              <w:tc>
                <w:tcPr>
                  <w:tcW w:w="1826" w:type="pct"/>
                  <w:tcBorders>
                    <w:tl2br w:val="nil"/>
                    <w:tr2bl w:val="nil"/>
                  </w:tcBorders>
                  <w:noWrap w:val="0"/>
                  <w:vAlign w:val="center"/>
                </w:tcPr>
                <w:p w14:paraId="7615284C">
                  <w:pPr>
                    <w:keepNext w:val="0"/>
                    <w:keepLines w:val="0"/>
                    <w:suppressLineNumbers w:val="0"/>
                    <w:autoSpaceDE w:val="0"/>
                    <w:autoSpaceDN w:val="0"/>
                    <w:snapToGrid w:val="0"/>
                    <w:spacing w:before="0" w:beforeAutospacing="0" w:after="0" w:afterAutospacing="0" w:line="240" w:lineRule="atLeast"/>
                    <w:ind w:left="0" w:right="0"/>
                    <w:rPr>
                      <w:rFonts w:hint="eastAsia" w:ascii="宋体" w:hAnsi="宋体" w:eastAsia="宋体" w:cs="宋体"/>
                      <w:color w:val="auto"/>
                      <w:lang w:val="en-US" w:eastAsia="zh-CN"/>
                    </w:rPr>
                  </w:pPr>
                  <w:r>
                    <w:rPr>
                      <w:rFonts w:hint="eastAsia" w:ascii="宋体" w:hAnsi="宋体" w:eastAsia="宋体" w:cs="宋体"/>
                      <w:color w:val="auto"/>
                      <w:sz w:val="21"/>
                      <w:szCs w:val="21"/>
                    </w:rPr>
                    <w:t>施工过程中产生的土石方、建筑垃圾、生活垃圾应分类集中收集，并按国家和地方有关规定定期进行清运处置，施工完成后及时做好迹地清理工作。</w:t>
                  </w:r>
                </w:p>
              </w:tc>
              <w:tc>
                <w:tcPr>
                  <w:tcW w:w="1744" w:type="pct"/>
                  <w:tcBorders>
                    <w:tl2br w:val="nil"/>
                    <w:tr2bl w:val="nil"/>
                  </w:tcBorders>
                  <w:noWrap w:val="0"/>
                  <w:vAlign w:val="center"/>
                </w:tcPr>
                <w:p w14:paraId="57545627">
                  <w:pPr>
                    <w:keepNext w:val="0"/>
                    <w:keepLines w:val="0"/>
                    <w:suppressLineNumbers w:val="0"/>
                    <w:spacing w:before="0" w:beforeAutospacing="0" w:after="0" w:afterAutospacing="0" w:line="240" w:lineRule="atLeast"/>
                    <w:ind w:left="0" w:right="0"/>
                    <w:rPr>
                      <w:rFonts w:hint="eastAsia" w:ascii="宋体" w:hAnsi="宋体" w:eastAsia="宋体" w:cs="宋体"/>
                      <w:color w:val="auto"/>
                      <w:lang w:val="en-US" w:eastAsia="zh-CN"/>
                    </w:rPr>
                  </w:pPr>
                  <w:r>
                    <w:rPr>
                      <w:rFonts w:hint="eastAsia" w:ascii="宋体" w:hAnsi="宋体" w:eastAsia="宋体" w:cs="宋体"/>
                      <w:color w:val="auto"/>
                      <w:sz w:val="21"/>
                      <w:szCs w:val="21"/>
                    </w:rPr>
                    <w:t>本项</w:t>
                  </w:r>
                  <w:r>
                    <w:rPr>
                      <w:rFonts w:hint="eastAsia" w:ascii="宋体" w:hAnsi="宋体" w:eastAsia="宋体" w:cs="宋体"/>
                      <w:color w:val="auto"/>
                      <w:sz w:val="21"/>
                      <w:szCs w:val="21"/>
                      <w:highlight w:val="none"/>
                    </w:rPr>
                    <w:t>目施工中生活垃圾及建筑垃圾分别集中收集后，委托当地环卫部门清运，</w:t>
                  </w:r>
                  <w:r>
                    <w:rPr>
                      <w:rFonts w:hint="eastAsia" w:ascii="宋体" w:hAnsi="宋体" w:eastAsia="宋体" w:cs="宋体"/>
                      <w:color w:val="auto"/>
                      <w:sz w:val="21"/>
                      <w:szCs w:val="21"/>
                      <w:lang w:eastAsia="zh-CN"/>
                    </w:rPr>
                    <w:t>弃方</w:t>
                  </w:r>
                  <w:r>
                    <w:rPr>
                      <w:rFonts w:hint="eastAsia" w:ascii="宋体" w:hAnsi="宋体" w:eastAsia="宋体" w:cs="宋体"/>
                      <w:color w:val="auto"/>
                      <w:sz w:val="21"/>
                      <w:szCs w:val="21"/>
                    </w:rPr>
                    <w:t>部分用于塔基护坡，剩余部分就近平整；包装袋由施工单位统一回收，综合利用。</w:t>
                  </w:r>
                </w:p>
              </w:tc>
              <w:tc>
                <w:tcPr>
                  <w:tcW w:w="399" w:type="pct"/>
                  <w:tcBorders>
                    <w:tl2br w:val="nil"/>
                    <w:tr2bl w:val="nil"/>
                  </w:tcBorders>
                  <w:noWrap w:val="0"/>
                  <w:vAlign w:val="center"/>
                </w:tcPr>
                <w:p w14:paraId="590679E9">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hint="eastAsia" w:ascii="宋体" w:hAnsi="宋体" w:eastAsia="宋体" w:cs="宋体"/>
                      <w:color w:val="auto"/>
                      <w:lang w:val="en-US" w:eastAsia="zh-CN"/>
                    </w:rPr>
                  </w:pPr>
                  <w:r>
                    <w:rPr>
                      <w:rFonts w:hint="eastAsia" w:ascii="宋体" w:hAnsi="宋体" w:eastAsia="宋体" w:cs="宋体"/>
                      <w:color w:val="auto"/>
                      <w:sz w:val="21"/>
                      <w:szCs w:val="21"/>
                    </w:rPr>
                    <w:t>符合</w:t>
                  </w:r>
                </w:p>
              </w:tc>
            </w:tr>
            <w:tr w14:paraId="2018475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jc w:val="center"/>
              </w:trPr>
              <w:tc>
                <w:tcPr>
                  <w:tcW w:w="314" w:type="pct"/>
                  <w:tcBorders>
                    <w:tl2br w:val="nil"/>
                    <w:tr2bl w:val="nil"/>
                  </w:tcBorders>
                  <w:noWrap w:val="0"/>
                  <w:vAlign w:val="center"/>
                </w:tcPr>
                <w:p w14:paraId="79C3C992">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4</w:t>
                  </w:r>
                </w:p>
              </w:tc>
              <w:tc>
                <w:tcPr>
                  <w:tcW w:w="306" w:type="pct"/>
                  <w:tcBorders>
                    <w:tl2br w:val="nil"/>
                    <w:tr2bl w:val="nil"/>
                  </w:tcBorders>
                  <w:noWrap w:val="0"/>
                  <w:vAlign w:val="center"/>
                </w:tcPr>
                <w:p w14:paraId="1F01420C">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运营期</w:t>
                  </w:r>
                </w:p>
              </w:tc>
              <w:tc>
                <w:tcPr>
                  <w:tcW w:w="2236" w:type="pct"/>
                  <w:gridSpan w:val="2"/>
                  <w:tcBorders>
                    <w:tl2br w:val="nil"/>
                    <w:tr2bl w:val="nil"/>
                  </w:tcBorders>
                  <w:noWrap w:val="0"/>
                  <w:vAlign w:val="center"/>
                </w:tcPr>
                <w:p w14:paraId="4EE4F05E">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kern w:val="0"/>
                      <w:sz w:val="21"/>
                      <w:szCs w:val="21"/>
                      <w:lang w:eastAsia="zh-CN" w:bidi="ar"/>
                    </w:rPr>
                    <w:t>运营期</w:t>
                  </w:r>
                  <w:r>
                    <w:rPr>
                      <w:rFonts w:hint="eastAsia" w:ascii="宋体" w:hAnsi="宋体" w:eastAsia="宋体" w:cs="宋体"/>
                      <w:color w:val="auto"/>
                      <w:kern w:val="0"/>
                      <w:sz w:val="21"/>
                      <w:szCs w:val="21"/>
                      <w:lang w:bidi="ar"/>
                    </w:rPr>
                    <w:t>做好环境保护设施的维护和运行管理，加强巡查和检查，保障发挥环境保护作用。定期开展环境监测，确保电磁、噪声、废水排放符合GB 8702、GB 12348、GB 8978 等国家标准要求，并及时解决公众合理的环境保护诉求。</w:t>
                  </w:r>
                </w:p>
              </w:tc>
              <w:tc>
                <w:tcPr>
                  <w:tcW w:w="1744" w:type="pct"/>
                  <w:tcBorders>
                    <w:tl2br w:val="nil"/>
                    <w:tr2bl w:val="nil"/>
                  </w:tcBorders>
                  <w:noWrap w:val="0"/>
                  <w:vAlign w:val="center"/>
                </w:tcPr>
                <w:p w14:paraId="5F690162">
                  <w:pPr>
                    <w:keepNext w:val="0"/>
                    <w:keepLines w:val="0"/>
                    <w:suppressLineNumbers w:val="0"/>
                    <w:spacing w:before="0" w:beforeAutospacing="0" w:after="0" w:afterAutospacing="0" w:line="240" w:lineRule="atLeast"/>
                    <w:ind w:left="0" w:right="0"/>
                    <w:rPr>
                      <w:rFonts w:hint="eastAsia" w:ascii="宋体" w:hAnsi="宋体" w:eastAsia="宋体" w:cs="宋体"/>
                      <w:color w:val="auto"/>
                      <w:sz w:val="21"/>
                      <w:szCs w:val="21"/>
                    </w:rPr>
                  </w:pPr>
                  <w:r>
                    <w:rPr>
                      <w:rFonts w:hint="eastAsia" w:ascii="宋体" w:hAnsi="宋体" w:eastAsia="宋体" w:cs="宋体"/>
                      <w:color w:val="auto"/>
                      <w:sz w:val="21"/>
                      <w:szCs w:val="21"/>
                    </w:rPr>
                    <w:t>本环评要求项目建成后，建设单位应按照环评批复及本环评做好运营期环境监测，定期巡检等工作。</w:t>
                  </w:r>
                </w:p>
              </w:tc>
              <w:tc>
                <w:tcPr>
                  <w:tcW w:w="399" w:type="pct"/>
                  <w:tcBorders>
                    <w:tl2br w:val="nil"/>
                    <w:tr2bl w:val="nil"/>
                  </w:tcBorders>
                  <w:noWrap w:val="0"/>
                  <w:vAlign w:val="center"/>
                </w:tcPr>
                <w:p w14:paraId="660AE54E">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符合</w:t>
                  </w:r>
                </w:p>
              </w:tc>
            </w:tr>
          </w:tbl>
          <w:p w14:paraId="7A61F0A5">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0" w:afterAutospacing="0" w:line="360" w:lineRule="auto"/>
              <w:ind w:left="0" w:right="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根据表1-</w:t>
            </w: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val="en-US" w:eastAsia="zh-CN"/>
              </w:rPr>
              <w:t>分析可知：建设项目符合《输变电建设项目环境保护技术要求》</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HJ1113-2020</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中选址、设计等相关技术要求。</w:t>
            </w:r>
          </w:p>
          <w:p w14:paraId="5A6F65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outlineLvl w:val="9"/>
              <w:rPr>
                <w:rFonts w:hint="eastAsia" w:ascii="宋体" w:hAnsi="宋体" w:eastAsia="宋体" w:cs="宋体"/>
                <w:b/>
                <w:bCs/>
                <w:color w:val="auto"/>
                <w:sz w:val="24"/>
                <w:szCs w:val="24"/>
                <w:lang w:val="zh-CN"/>
              </w:rPr>
            </w:pP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lang w:val="zh-CN"/>
              </w:rPr>
              <w:t>与《新疆生态环境保护“十四五”规划》的符合性</w:t>
            </w:r>
          </w:p>
          <w:p w14:paraId="6CB522B3">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auto"/>
              <w:ind w:left="0" w:right="122" w:rightChars="58" w:firstLine="480" w:firstLineChars="200"/>
              <w:jc w:val="both"/>
              <w:textAlignment w:val="auto"/>
              <w:outlineLvl w:val="9"/>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2021年12月，自治区党委、自治区人民政府印发了《新疆生态环境保护“十四五”规划》，规划提出：大力发展清洁能源。进一步壮大清洁能源产业，着力转变能源生产和消费模式，推动化石能源转型升级。加快非化石能源发展，推进风电和太阳能发电基地建设，积极开发分布式太阳能发电和分散式风电，支持可再生能源与工业、建筑、交通、农业、生态等产业和设施协同发展，配套发展储能产业，推进抽水蓄能电站建设，加快新型储能示范推广应用。积极发展可再生能源微电网、局域网，提高可再生能源的推广和消纳能力。</w:t>
            </w:r>
          </w:p>
          <w:p w14:paraId="315D841A">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本项目为</w:t>
            </w:r>
            <w:r>
              <w:rPr>
                <w:rFonts w:hint="eastAsia" w:ascii="宋体" w:hAnsi="宋体" w:eastAsia="宋体" w:cs="宋体"/>
                <w:color w:val="auto"/>
                <w:sz w:val="24"/>
                <w:szCs w:val="24"/>
                <w:highlight w:val="none"/>
                <w:lang w:val="en-US" w:eastAsia="zh-CN"/>
              </w:rPr>
              <w:t>华电鄯善煤电灵活性改造配套风电项目</w:t>
            </w:r>
            <w:r>
              <w:rPr>
                <w:rFonts w:hint="eastAsia" w:ascii="宋体" w:hAnsi="宋体" w:eastAsia="宋体" w:cs="宋体"/>
                <w:color w:val="auto"/>
                <w:sz w:val="24"/>
                <w:szCs w:val="24"/>
                <w:lang w:val="en-US" w:eastAsia="zh-CN"/>
              </w:rPr>
              <w:t>配套220kV输变电工程，项目建设可提高清洁能源利用水平，符合相关要求。</w:t>
            </w:r>
          </w:p>
          <w:p w14:paraId="7129736F">
            <w:pPr>
              <w:keepNext w:val="0"/>
              <w:keepLines w:val="0"/>
              <w:suppressLineNumbers w:val="0"/>
              <w:snapToGrid w:val="0"/>
              <w:spacing w:before="0" w:beforeAutospacing="0" w:after="0" w:afterAutospacing="0" w:line="360" w:lineRule="auto"/>
              <w:ind w:left="0" w:right="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5</w:t>
            </w:r>
            <w:r>
              <w:rPr>
                <w:rFonts w:hint="eastAsia" w:ascii="宋体" w:hAnsi="宋体" w:eastAsia="宋体" w:cs="宋体"/>
                <w:b/>
                <w:bCs/>
                <w:color w:val="0000FF"/>
                <w:sz w:val="24"/>
                <w:highlight w:val="none"/>
              </w:rPr>
              <w:t xml:space="preserve"> </w:t>
            </w:r>
            <w:r>
              <w:rPr>
                <w:rFonts w:hint="eastAsia" w:ascii="宋体" w:hAnsi="宋体" w:eastAsia="宋体" w:cs="宋体"/>
                <w:b/>
                <w:bCs/>
                <w:color w:val="auto"/>
                <w:sz w:val="24"/>
                <w:highlight w:val="none"/>
              </w:rPr>
              <w:t>与《</w:t>
            </w:r>
            <w:r>
              <w:rPr>
                <w:rFonts w:hint="eastAsia" w:ascii="宋体" w:hAnsi="宋体" w:eastAsia="宋体" w:cs="宋体"/>
                <w:b/>
                <w:bCs/>
                <w:color w:val="auto"/>
                <w:sz w:val="24"/>
                <w:highlight w:val="none"/>
                <w:lang w:val="en-US" w:eastAsia="zh-CN"/>
              </w:rPr>
              <w:t>吐鲁番市国土空间总体规划（2021-2035年）</w:t>
            </w:r>
            <w:r>
              <w:rPr>
                <w:rFonts w:hint="eastAsia" w:ascii="宋体" w:hAnsi="宋体" w:eastAsia="宋体" w:cs="宋体"/>
                <w:b/>
                <w:bCs/>
                <w:color w:val="auto"/>
                <w:sz w:val="24"/>
                <w:highlight w:val="none"/>
              </w:rPr>
              <w:t>》的符合性</w:t>
            </w:r>
          </w:p>
          <w:p w14:paraId="3AD4633F">
            <w:pPr>
              <w:pStyle w:val="39"/>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val="0"/>
                <w:bCs/>
                <w:color w:val="auto"/>
                <w:sz w:val="24"/>
                <w:highlight w:val="yellow"/>
                <w:lang w:val="en-US" w:eastAsia="zh-CN"/>
              </w:rPr>
            </w:pPr>
            <w:r>
              <w:rPr>
                <w:rFonts w:hint="eastAsia" w:ascii="宋体" w:hAnsi="宋体" w:eastAsia="宋体" w:cs="宋体"/>
                <w:b w:val="0"/>
                <w:bCs/>
                <w:color w:val="auto"/>
                <w:sz w:val="24"/>
                <w:highlight w:val="none"/>
              </w:rPr>
              <w:t>202</w:t>
            </w:r>
            <w:r>
              <w:rPr>
                <w:rFonts w:hint="eastAsia" w:ascii="宋体" w:hAnsi="宋体" w:eastAsia="宋体" w:cs="宋体"/>
                <w:b w:val="0"/>
                <w:bCs/>
                <w:color w:val="auto"/>
                <w:sz w:val="24"/>
                <w:highlight w:val="none"/>
                <w:lang w:val="en-US" w:eastAsia="zh-CN"/>
              </w:rPr>
              <w:t>4</w:t>
            </w:r>
            <w:r>
              <w:rPr>
                <w:rFonts w:hint="eastAsia" w:ascii="宋体" w:hAnsi="宋体" w:eastAsia="宋体" w:cs="宋体"/>
                <w:b w:val="0"/>
                <w:bCs/>
                <w:color w:val="auto"/>
                <w:sz w:val="24"/>
                <w:highlight w:val="none"/>
              </w:rPr>
              <w:t>年6月10日，</w:t>
            </w:r>
            <w:r>
              <w:rPr>
                <w:rFonts w:hint="eastAsia" w:ascii="宋体" w:hAnsi="宋体" w:eastAsia="宋体" w:cs="宋体"/>
                <w:b w:val="0"/>
                <w:bCs/>
                <w:color w:val="auto"/>
                <w:sz w:val="24"/>
                <w:highlight w:val="none"/>
                <w:lang w:val="en-US" w:eastAsia="zh-CN"/>
              </w:rPr>
              <w:t>新疆维吾尔</w:t>
            </w:r>
            <w:r>
              <w:rPr>
                <w:rFonts w:hint="eastAsia" w:ascii="宋体" w:hAnsi="宋体" w:eastAsia="宋体" w:cs="宋体"/>
                <w:b w:val="0"/>
                <w:bCs/>
                <w:color w:val="auto"/>
                <w:sz w:val="24"/>
                <w:highlight w:val="none"/>
              </w:rPr>
              <w:t>自治区人民政府正式批复伊犁州直、塔城地区、阿勒泰地区、克拉玛依市、博尔塔拉蒙古自治州、昌吉回族自治州、哈密市、吐鲁番市、巴音郭楞蒙古自治州、阿克苏地区、克孜勒苏柯尔克孜自治州、喀什地区、和田地区13个地（州、市）国土空间总体规划。</w:t>
            </w:r>
            <w:r>
              <w:rPr>
                <w:rFonts w:hint="eastAsia" w:ascii="宋体" w:hAnsi="宋体" w:eastAsia="宋体" w:cs="宋体"/>
                <w:b w:val="0"/>
                <w:bCs/>
                <w:color w:val="auto"/>
                <w:sz w:val="24"/>
                <w:highlight w:val="none"/>
                <w:lang w:val="en-US" w:eastAsia="zh-CN"/>
              </w:rPr>
              <w:t>根据《吐鲁番市国土空间总体规划（2021-2035年）》，吐鲁番市发展格局为“四区、两轴、一圈、两核的国土空间总体格局”，其中：四区：绿洲核心区、生态缓冲区、天山生态功能区、南部生态功能区；两轴：乌吐哈城镇发展轴和吐和城镇发展轴；一圈：高昌城镇圈；两核：鄯善城镇发展核和托克逊城镇发展核。</w:t>
            </w:r>
          </w:p>
          <w:p w14:paraId="637DDDCD">
            <w:pPr>
              <w:pStyle w:val="39"/>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val="0"/>
                <w:bCs/>
                <w:color w:val="auto"/>
                <w:sz w:val="24"/>
                <w:highlight w:val="yellow"/>
                <w:lang w:val="en-US" w:eastAsia="zh-CN"/>
              </w:rPr>
            </w:pPr>
            <w:r>
              <w:rPr>
                <w:rFonts w:hint="eastAsia" w:ascii="宋体" w:hAnsi="宋体" w:eastAsia="宋体" w:cs="宋体"/>
                <w:b w:val="0"/>
                <w:bCs/>
                <w:color w:val="auto"/>
                <w:sz w:val="24"/>
                <w:highlight w:val="none"/>
                <w:lang w:val="en-US" w:eastAsia="zh-CN"/>
              </w:rPr>
              <w:t>本项目位于鄯善城镇发展核外围的生态缓冲区，位于城镇开发边界以外。项目占地为天然牧草地和裸地，本项目不涉及生态环境敏感区、生态保护红线、耕地和永久基本农田保护红线，不占用城镇发展空间、农业空间和生态空间对应的城镇开发边界、永久基本农田保护红线和生态保护红线三条控制线；结合2025年4月1日吐鲁番市自然资源局出具的《用地预审与选址意见书》（用字第6504002025000005号，详见附件4），本项目占地类型主要为天然牧草地和裸地，符合用地要求。</w:t>
            </w:r>
          </w:p>
          <w:p w14:paraId="5B8DEBFF">
            <w:pPr>
              <w:pStyle w:val="39"/>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综上，本项目建设符合《吐鲁番市国土空间总体规划（2021-2035年）》中规划的“三区三线”管控要求。</w:t>
            </w:r>
          </w:p>
          <w:p w14:paraId="6C1B1C63">
            <w:pPr>
              <w:pStyle w:val="39"/>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val="0"/>
                <w:bCs/>
                <w:color w:val="auto"/>
                <w:sz w:val="24"/>
                <w:lang w:val="en-US" w:eastAsia="zh-CN"/>
              </w:rPr>
            </w:pPr>
          </w:p>
          <w:p w14:paraId="7DA027FC">
            <w:pPr>
              <w:pStyle w:val="39"/>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val="0"/>
                <w:bCs/>
                <w:color w:val="auto"/>
                <w:sz w:val="24"/>
                <w:lang w:val="en-US" w:eastAsia="zh-CN"/>
              </w:rPr>
            </w:pPr>
          </w:p>
          <w:p w14:paraId="7E94630A">
            <w:pPr>
              <w:pStyle w:val="39"/>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val="0"/>
                <w:bCs/>
                <w:color w:val="auto"/>
                <w:sz w:val="24"/>
                <w:lang w:val="en-US" w:eastAsia="zh-CN"/>
              </w:rPr>
            </w:pPr>
          </w:p>
          <w:p w14:paraId="27C20E0F">
            <w:pPr>
              <w:pStyle w:val="39"/>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val="0"/>
                <w:bCs/>
                <w:color w:val="auto"/>
                <w:sz w:val="24"/>
                <w:lang w:val="en-US" w:eastAsia="zh-CN"/>
              </w:rPr>
            </w:pPr>
          </w:p>
          <w:p w14:paraId="5B154440">
            <w:pPr>
              <w:pStyle w:val="39"/>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val="0"/>
                <w:bCs/>
                <w:color w:val="auto"/>
                <w:sz w:val="24"/>
                <w:lang w:val="en-US" w:eastAsia="zh-CN"/>
              </w:rPr>
            </w:pPr>
          </w:p>
          <w:p w14:paraId="6F3FC035">
            <w:pPr>
              <w:pStyle w:val="39"/>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val="0"/>
                <w:bCs/>
                <w:color w:val="auto"/>
                <w:sz w:val="24"/>
                <w:lang w:val="en-US" w:eastAsia="zh-CN"/>
              </w:rPr>
            </w:pPr>
          </w:p>
          <w:p w14:paraId="029957B2">
            <w:pPr>
              <w:pStyle w:val="39"/>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val="0"/>
                <w:bCs/>
                <w:color w:val="auto"/>
                <w:sz w:val="24"/>
                <w:lang w:val="en-US" w:eastAsia="zh-CN"/>
              </w:rPr>
            </w:pPr>
          </w:p>
          <w:p w14:paraId="1336E612">
            <w:pPr>
              <w:pStyle w:val="39"/>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val="0"/>
                <w:bCs/>
                <w:color w:val="auto"/>
                <w:sz w:val="24"/>
                <w:lang w:val="en-US" w:eastAsia="zh-CN"/>
              </w:rPr>
            </w:pPr>
          </w:p>
          <w:p w14:paraId="556CAF39">
            <w:pPr>
              <w:pStyle w:val="39"/>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val="0"/>
                <w:bCs/>
                <w:color w:val="auto"/>
                <w:sz w:val="24"/>
                <w:lang w:val="en-US" w:eastAsia="zh-CN"/>
              </w:rPr>
            </w:pPr>
          </w:p>
          <w:p w14:paraId="2FA19106">
            <w:pPr>
              <w:pStyle w:val="39"/>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val="0"/>
                <w:bCs/>
                <w:color w:val="auto"/>
                <w:sz w:val="24"/>
                <w:lang w:val="en-US" w:eastAsia="zh-CN"/>
              </w:rPr>
            </w:pPr>
          </w:p>
          <w:p w14:paraId="4AD7975E">
            <w:pPr>
              <w:pStyle w:val="39"/>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val="0"/>
                <w:bCs/>
                <w:color w:val="auto"/>
                <w:sz w:val="24"/>
                <w:lang w:val="en-US" w:eastAsia="zh-CN"/>
              </w:rPr>
            </w:pPr>
          </w:p>
          <w:p w14:paraId="4FC7D333">
            <w:pPr>
              <w:pStyle w:val="39"/>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val="0"/>
                <w:bCs/>
                <w:color w:val="auto"/>
                <w:sz w:val="24"/>
                <w:lang w:val="en-US" w:eastAsia="zh-CN"/>
              </w:rPr>
            </w:pPr>
          </w:p>
          <w:p w14:paraId="2CAEA339">
            <w:pPr>
              <w:pStyle w:val="39"/>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val="0"/>
                <w:bCs/>
                <w:color w:val="auto"/>
                <w:sz w:val="24"/>
                <w:lang w:val="en-US" w:eastAsia="zh-CN"/>
              </w:rPr>
            </w:pPr>
          </w:p>
          <w:p w14:paraId="43E18D50">
            <w:pPr>
              <w:pStyle w:val="39"/>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val="0"/>
                <w:bCs/>
                <w:color w:val="auto"/>
                <w:sz w:val="24"/>
                <w:lang w:val="en-US" w:eastAsia="zh-CN"/>
              </w:rPr>
            </w:pPr>
          </w:p>
          <w:p w14:paraId="2E1D712E">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360" w:firstLineChars="200"/>
              <w:textAlignment w:val="auto"/>
              <w:outlineLvl w:val="9"/>
              <w:rPr>
                <w:rFonts w:hint="eastAsia" w:ascii="宋体" w:hAnsi="宋体" w:eastAsia="宋体" w:cs="宋体"/>
                <w:color w:val="0000FF"/>
                <w:lang w:val="en-US" w:eastAsia="zh-CN"/>
              </w:rPr>
            </w:pPr>
          </w:p>
        </w:tc>
      </w:tr>
    </w:tbl>
    <w:p w14:paraId="48776F34">
      <w:pPr>
        <w:rPr>
          <w:rFonts w:hint="eastAsia" w:ascii="宋体" w:hAnsi="宋体" w:eastAsia="宋体" w:cs="宋体"/>
          <w:b/>
          <w:bCs/>
          <w:snapToGrid w:val="0"/>
          <w:color w:val="0000FF"/>
          <w:sz w:val="30"/>
          <w:szCs w:val="30"/>
          <w:highlight w:val="none"/>
        </w:rPr>
      </w:pPr>
      <w:bookmarkStart w:id="16" w:name="_Toc8990"/>
      <w:bookmarkStart w:id="17" w:name="_Toc23604"/>
      <w:bookmarkStart w:id="18" w:name="_Toc20376"/>
      <w:bookmarkStart w:id="19" w:name="_Toc21519"/>
      <w:bookmarkStart w:id="20" w:name="_Toc495"/>
      <w:bookmarkStart w:id="21" w:name="_Toc27719"/>
      <w:bookmarkStart w:id="22" w:name="_Toc22857"/>
      <w:bookmarkStart w:id="23" w:name="_Toc129"/>
      <w:r>
        <w:rPr>
          <w:rFonts w:hint="eastAsia" w:ascii="宋体" w:hAnsi="宋体" w:eastAsia="宋体" w:cs="宋体"/>
          <w:b/>
          <w:bCs/>
          <w:snapToGrid w:val="0"/>
          <w:color w:val="0000FF"/>
          <w:sz w:val="30"/>
          <w:szCs w:val="30"/>
          <w:highlight w:val="none"/>
        </w:rPr>
        <w:br w:type="page"/>
      </w:r>
    </w:p>
    <w:p w14:paraId="2753367F">
      <w:pPr>
        <w:pStyle w:val="29"/>
        <w:keepNext w:val="0"/>
        <w:keepLines w:val="0"/>
        <w:pageBreakBefore w:val="0"/>
        <w:widowControl/>
        <w:kinsoku/>
        <w:wordWrap/>
        <w:overflowPunct/>
        <w:topLinePunct w:val="0"/>
        <w:autoSpaceDE/>
        <w:autoSpaceDN/>
        <w:bidi w:val="0"/>
        <w:adjustRightInd/>
        <w:snapToGrid/>
        <w:jc w:val="center"/>
        <w:textAlignment w:val="auto"/>
        <w:outlineLvl w:val="0"/>
        <w:rPr>
          <w:rFonts w:hint="eastAsia" w:ascii="宋体" w:hAnsi="宋体" w:eastAsia="宋体" w:cs="宋体"/>
          <w:b/>
          <w:bCs/>
          <w:snapToGrid w:val="0"/>
          <w:color w:val="auto"/>
          <w:sz w:val="30"/>
          <w:szCs w:val="30"/>
          <w:highlight w:val="none"/>
        </w:rPr>
      </w:pPr>
      <w:bookmarkStart w:id="24" w:name="_Toc853"/>
      <w:r>
        <w:rPr>
          <w:rFonts w:hint="eastAsia" w:ascii="宋体" w:hAnsi="宋体" w:eastAsia="宋体" w:cs="宋体"/>
          <w:b/>
          <w:bCs/>
          <w:snapToGrid w:val="0"/>
          <w:color w:val="auto"/>
          <w:sz w:val="30"/>
          <w:szCs w:val="30"/>
          <w:highlight w:val="none"/>
        </w:rPr>
        <w:t>二、建设内容</w:t>
      </w:r>
      <w:bookmarkEnd w:id="16"/>
      <w:bookmarkEnd w:id="17"/>
      <w:bookmarkEnd w:id="18"/>
      <w:bookmarkEnd w:id="19"/>
      <w:bookmarkEnd w:id="20"/>
      <w:bookmarkEnd w:id="21"/>
      <w:bookmarkEnd w:id="22"/>
      <w:bookmarkEnd w:id="23"/>
      <w:bookmarkEnd w:id="24"/>
    </w:p>
    <w:tbl>
      <w:tblPr>
        <w:tblStyle w:val="32"/>
        <w:tblW w:w="87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1"/>
        <w:gridCol w:w="8218"/>
      </w:tblGrid>
      <w:tr w14:paraId="21875C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1" w:type="dxa"/>
            <w:noWrap w:val="0"/>
            <w:vAlign w:val="center"/>
          </w:tcPr>
          <w:p w14:paraId="08CFD563">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0000FF"/>
                <w:kern w:val="0"/>
                <w:sz w:val="24"/>
                <w:szCs w:val="24"/>
                <w:highlight w:val="none"/>
              </w:rPr>
            </w:pPr>
            <w:r>
              <w:rPr>
                <w:rFonts w:hint="eastAsia" w:ascii="宋体" w:hAnsi="宋体" w:eastAsia="宋体" w:cs="宋体"/>
                <w:color w:val="auto"/>
                <w:kern w:val="0"/>
                <w:sz w:val="24"/>
                <w:szCs w:val="24"/>
                <w:highlight w:val="none"/>
              </w:rPr>
              <w:t>地理位置</w:t>
            </w:r>
          </w:p>
        </w:tc>
        <w:tc>
          <w:tcPr>
            <w:tcW w:w="8218" w:type="dxa"/>
            <w:noWrap w:val="0"/>
            <w:vAlign w:val="center"/>
          </w:tcPr>
          <w:p w14:paraId="1D76563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0000FF"/>
                <w:kern w:val="0"/>
                <w:sz w:val="24"/>
                <w:szCs w:val="24"/>
                <w:highlight w:val="none"/>
                <w:lang w:val="en-US" w:eastAsia="zh-CN"/>
              </w:rPr>
            </w:pPr>
            <w:r>
              <w:rPr>
                <w:rFonts w:hint="eastAsia" w:ascii="宋体" w:hAnsi="宋体" w:eastAsia="宋体" w:cs="宋体"/>
                <w:color w:val="auto"/>
                <w:kern w:val="2"/>
                <w:sz w:val="24"/>
                <w:szCs w:val="24"/>
                <w:highlight w:val="none"/>
                <w:shd w:val="clear" w:color="auto" w:fill="auto"/>
                <w:lang w:val="en-US" w:eastAsia="zh-CN" w:bidi="ar-SA"/>
              </w:rPr>
              <w:t>本项目220kV升压站位于新疆维吾尔自治区吐鲁番市鄯善县东北93km处，直线距鄯善县七克台镇东北58km。G30连霍高速在升压站南侧约7km处呈东西向通过，交通便利。220kV输电线路起于本项目拟建220kV升压站，止于大唐鄯善东220kV升压站。大唐鄯善东220kV升压站位于新疆维吾尔自治区吐鲁番市鄯善县东北90km、本项目拟建220kV升压站东南5.3km处。</w:t>
            </w:r>
          </w:p>
        </w:tc>
      </w:tr>
      <w:tr w14:paraId="7B3ACE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4" w:hRule="atLeast"/>
          <w:jc w:val="center"/>
        </w:trPr>
        <w:tc>
          <w:tcPr>
            <w:tcW w:w="521" w:type="dxa"/>
            <w:noWrap w:val="0"/>
            <w:vAlign w:val="center"/>
          </w:tcPr>
          <w:p w14:paraId="7C19BAC6">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0000FF"/>
                <w:kern w:val="0"/>
                <w:szCs w:val="21"/>
                <w:highlight w:val="none"/>
              </w:rPr>
            </w:pPr>
            <w:r>
              <w:rPr>
                <w:rFonts w:hint="eastAsia" w:ascii="宋体" w:hAnsi="宋体" w:eastAsia="宋体" w:cs="宋体"/>
                <w:color w:val="auto"/>
                <w:kern w:val="0"/>
                <w:sz w:val="24"/>
                <w:szCs w:val="24"/>
                <w:highlight w:val="none"/>
              </w:rPr>
              <w:t>项目组成及规模</w:t>
            </w:r>
          </w:p>
        </w:tc>
        <w:tc>
          <w:tcPr>
            <w:tcW w:w="8218" w:type="dxa"/>
            <w:noWrap w:val="0"/>
            <w:vAlign w:val="center"/>
          </w:tcPr>
          <w:p w14:paraId="5C5D35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eastAsia" w:ascii="宋体" w:hAnsi="宋体" w:eastAsia="宋体" w:cs="宋体"/>
                <w:color w:val="0000FF"/>
                <w:kern w:val="0"/>
                <w:sz w:val="24"/>
                <w:szCs w:val="24"/>
                <w:lang w:val="en-US" w:eastAsia="zh-CN" w:bidi="ar"/>
              </w:rPr>
            </w:pPr>
            <w:r>
              <w:rPr>
                <w:rFonts w:hint="eastAsia" w:ascii="宋体" w:hAnsi="宋体" w:eastAsia="宋体" w:cs="宋体"/>
                <w:color w:val="auto"/>
                <w:kern w:val="0"/>
                <w:sz w:val="24"/>
                <w:szCs w:val="24"/>
                <w:lang w:val="en-US" w:eastAsia="zh-CN" w:bidi="ar"/>
              </w:rPr>
              <w:t>本项目是</w:t>
            </w:r>
            <w:r>
              <w:rPr>
                <w:rFonts w:hint="eastAsia" w:ascii="宋体" w:hAnsi="宋体" w:eastAsia="宋体" w:cs="宋体"/>
                <w:color w:val="auto"/>
                <w:sz w:val="24"/>
                <w:szCs w:val="24"/>
                <w:highlight w:val="none"/>
                <w:lang w:val="en-US" w:eastAsia="zh-CN"/>
              </w:rPr>
              <w:t>华电鄯善煤电灵活性改造配套风电项目</w:t>
            </w:r>
            <w:r>
              <w:rPr>
                <w:rFonts w:hint="eastAsia" w:ascii="宋体" w:hAnsi="宋体" w:eastAsia="宋体" w:cs="宋体"/>
                <w:color w:val="auto"/>
                <w:kern w:val="0"/>
                <w:sz w:val="24"/>
                <w:szCs w:val="24"/>
                <w:lang w:val="en-US" w:eastAsia="zh-CN" w:bidi="ar"/>
              </w:rPr>
              <w:t>配套的220kV输变电工程。本次环评主要评价该风电场配套建设的220kV升压站和220kV送出线路。</w:t>
            </w:r>
          </w:p>
          <w:p w14:paraId="1EB1DA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1项目概况</w:t>
            </w:r>
          </w:p>
          <w:p w14:paraId="353B44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lang w:val="en-US" w:eastAsia="zh-CN" w:bidi="ar"/>
              </w:rPr>
              <w:t>项目名称：</w:t>
            </w:r>
            <w:r>
              <w:rPr>
                <w:rFonts w:hint="eastAsia" w:ascii="宋体" w:hAnsi="宋体" w:eastAsia="宋体" w:cs="宋体"/>
                <w:color w:val="auto"/>
                <w:sz w:val="24"/>
                <w:szCs w:val="24"/>
                <w:highlight w:val="none"/>
                <w:lang w:val="en-US" w:eastAsia="zh-CN"/>
              </w:rPr>
              <w:t>华电鄯善煤电灵活性改造配套风电项目220千伏输变电工程</w:t>
            </w:r>
          </w:p>
          <w:p w14:paraId="087552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建设单位：华电瀚海吐鲁番能源开发有限公司</w:t>
            </w:r>
          </w:p>
          <w:p w14:paraId="15E035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地理位置：</w:t>
            </w:r>
            <w:r>
              <w:rPr>
                <w:rFonts w:hint="eastAsia" w:ascii="宋体" w:hAnsi="宋体" w:eastAsia="宋体" w:cs="宋体"/>
                <w:color w:val="auto"/>
                <w:sz w:val="24"/>
                <w:szCs w:val="24"/>
                <w:lang w:val="en-US" w:eastAsia="zh-CN"/>
              </w:rPr>
              <w:t>新疆吐鲁番市鄯善县</w:t>
            </w:r>
          </w:p>
          <w:p w14:paraId="21CD20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建设性质：新建</w:t>
            </w:r>
          </w:p>
          <w:p w14:paraId="7B6E44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项目投资：</w:t>
            </w:r>
            <w:r>
              <w:rPr>
                <w:rFonts w:hint="eastAsia" w:ascii="宋体" w:hAnsi="宋体" w:eastAsia="宋体" w:cs="宋体"/>
                <w:color w:val="auto"/>
                <w:kern w:val="0"/>
                <w:sz w:val="24"/>
                <w:szCs w:val="24"/>
                <w:highlight w:val="none"/>
                <w:lang w:val="en-US" w:eastAsia="zh-CN" w:bidi="ar"/>
              </w:rPr>
              <w:t>12618.12万元</w:t>
            </w:r>
          </w:p>
          <w:p w14:paraId="7A956E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0000FF"/>
                <w:kern w:val="0"/>
                <w:sz w:val="24"/>
                <w:szCs w:val="24"/>
                <w:lang w:val="en-US" w:eastAsia="zh-CN" w:bidi="ar"/>
              </w:rPr>
            </w:pPr>
            <w:r>
              <w:rPr>
                <w:rFonts w:hint="eastAsia" w:ascii="宋体" w:hAnsi="宋体" w:eastAsia="宋体" w:cs="宋体"/>
                <w:color w:val="auto"/>
                <w:kern w:val="0"/>
                <w:sz w:val="24"/>
                <w:szCs w:val="24"/>
                <w:lang w:val="en-US" w:eastAsia="zh-CN" w:bidi="ar"/>
              </w:rPr>
              <w:t>建设规模：</w:t>
            </w:r>
            <w:r>
              <w:rPr>
                <w:rFonts w:hint="eastAsia" w:ascii="宋体" w:hAnsi="宋体" w:cs="宋体"/>
                <w:color w:val="auto"/>
                <w:kern w:val="0"/>
                <w:sz w:val="24"/>
                <w:szCs w:val="24"/>
                <w:lang w:val="en-US" w:eastAsia="zh-CN" w:bidi="ar"/>
              </w:rPr>
              <w:t>①</w:t>
            </w:r>
            <w:r>
              <w:rPr>
                <w:rFonts w:hint="eastAsia" w:ascii="宋体" w:hAnsi="宋体" w:eastAsia="宋体" w:cs="宋体"/>
                <w:color w:val="auto"/>
                <w:kern w:val="0"/>
                <w:sz w:val="24"/>
                <w:szCs w:val="24"/>
                <w:lang w:val="en-US" w:eastAsia="zh-CN" w:bidi="ar"/>
              </w:rPr>
              <w:t>新建1座220kV升压站，安装1台240MVA变压器，配套建设相关附属设施；</w:t>
            </w:r>
            <w:r>
              <w:rPr>
                <w:rFonts w:hint="eastAsia" w:ascii="宋体" w:hAnsi="宋体" w:cs="宋体"/>
                <w:color w:val="auto"/>
                <w:kern w:val="0"/>
                <w:sz w:val="24"/>
                <w:szCs w:val="24"/>
                <w:lang w:val="en-US" w:eastAsia="zh-CN" w:bidi="ar"/>
              </w:rPr>
              <w:t>②</w:t>
            </w:r>
            <w:r>
              <w:rPr>
                <w:rFonts w:hint="eastAsia" w:ascii="宋体" w:hAnsi="宋体" w:eastAsia="宋体" w:cs="宋体"/>
                <w:color w:val="auto"/>
                <w:kern w:val="0"/>
                <w:sz w:val="24"/>
                <w:szCs w:val="24"/>
                <w:lang w:val="en-US" w:eastAsia="zh-CN" w:bidi="ar"/>
              </w:rPr>
              <w:t>新建1回自本项目拟建220kV升压站至大唐鄯善东220kV升压站220kV输电线路，路径长约9.7km；</w:t>
            </w:r>
            <w:r>
              <w:rPr>
                <w:rFonts w:hint="eastAsia" w:ascii="宋体" w:hAnsi="宋体" w:cs="宋体"/>
                <w:color w:val="auto"/>
                <w:kern w:val="0"/>
                <w:sz w:val="24"/>
                <w:szCs w:val="24"/>
                <w:lang w:val="en-US" w:eastAsia="zh-CN" w:bidi="ar"/>
              </w:rPr>
              <w:t>③</w:t>
            </w:r>
            <w:r>
              <w:rPr>
                <w:rFonts w:hint="eastAsia" w:ascii="宋体" w:hAnsi="宋体" w:eastAsia="宋体" w:cs="宋体"/>
                <w:color w:val="auto"/>
                <w:kern w:val="0"/>
                <w:sz w:val="24"/>
                <w:szCs w:val="24"/>
                <w:lang w:val="en-US" w:eastAsia="zh-CN" w:bidi="ar"/>
              </w:rPr>
              <w:t>大唐鄯善东220kV升压站220kV出线侧扩建一个220kV出线间隔。</w:t>
            </w:r>
          </w:p>
          <w:p w14:paraId="7EA89FD9">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eastAsia" w:ascii="宋体" w:hAnsi="宋体" w:eastAsia="宋体" w:cs="宋体"/>
                <w:b/>
                <w:bCs/>
                <w:color w:val="auto"/>
                <w:lang w:val="en-US" w:eastAsia="zh-CN"/>
              </w:rPr>
            </w:pPr>
            <w:r>
              <w:rPr>
                <w:rFonts w:hint="eastAsia" w:ascii="宋体" w:hAnsi="宋体" w:eastAsia="宋体" w:cs="宋体"/>
                <w:b/>
                <w:bCs/>
                <w:color w:val="auto"/>
                <w:kern w:val="0"/>
                <w:sz w:val="24"/>
                <w:szCs w:val="24"/>
                <w:lang w:val="en-US" w:eastAsia="zh-CN" w:bidi="ar"/>
              </w:rPr>
              <w:t>2项目建设内容及规模</w:t>
            </w:r>
          </w:p>
          <w:p w14:paraId="57B52392">
            <w:pPr>
              <w:keepNext w:val="0"/>
              <w:keepLines w:val="0"/>
              <w:suppressLineNumbers w:val="0"/>
              <w:snapToGrid w:val="0"/>
              <w:spacing w:before="0" w:beforeAutospacing="0" w:after="0" w:afterAutospacing="0" w:line="360" w:lineRule="auto"/>
              <w:ind w:left="0" w:right="0" w:firstLine="480" w:firstLineChars="200"/>
              <w:outlineLvl w:val="9"/>
              <w:rPr>
                <w:rFonts w:hint="eastAsia" w:ascii="宋体" w:hAnsi="宋体" w:eastAsia="宋体" w:cs="宋体"/>
                <w:color w:val="auto"/>
                <w:lang w:val="en-US" w:eastAsia="zh-CN"/>
              </w:rPr>
            </w:pPr>
            <w:r>
              <w:rPr>
                <w:rFonts w:hint="eastAsia" w:ascii="宋体" w:hAnsi="宋体" w:eastAsia="宋体" w:cs="宋体"/>
                <w:color w:val="auto"/>
                <w:sz w:val="24"/>
                <w:szCs w:val="24"/>
                <w:highlight w:val="none"/>
                <w:lang w:val="en-US" w:eastAsia="zh-CN"/>
              </w:rPr>
              <w:t>项目建设内容详见表2-1。</w:t>
            </w:r>
          </w:p>
          <w:p w14:paraId="601E056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00" w:lineRule="exact"/>
              <w:ind w:left="0" w:leftChars="0" w:right="0" w:rightChars="0" w:firstLine="482" w:firstLineChars="200"/>
              <w:jc w:val="center"/>
              <w:textAlignment w:val="auto"/>
              <w:outlineLvl w:val="9"/>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表</w:t>
            </w:r>
            <w:r>
              <w:rPr>
                <w:rFonts w:hint="eastAsia" w:ascii="宋体" w:hAnsi="宋体" w:eastAsia="宋体" w:cs="宋体"/>
                <w:b/>
                <w:color w:val="auto"/>
                <w:sz w:val="24"/>
                <w:szCs w:val="24"/>
                <w:highlight w:val="none"/>
                <w:lang w:val="en-US" w:eastAsia="zh-CN"/>
              </w:rPr>
              <w:t>2-1    本项目工程组成一览表</w:t>
            </w:r>
          </w:p>
          <w:tbl>
            <w:tblPr>
              <w:tblStyle w:val="32"/>
              <w:tblW w:w="4993" w:type="pct"/>
              <w:tblInd w:w="-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565"/>
              <w:gridCol w:w="1421"/>
              <w:gridCol w:w="5975"/>
            </w:tblGrid>
            <w:tr w14:paraId="314701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76" w:hRule="atLeast"/>
              </w:trPr>
              <w:tc>
                <w:tcPr>
                  <w:tcW w:w="354" w:type="pct"/>
                  <w:tcBorders>
                    <w:tl2br w:val="nil"/>
                    <w:tr2bl w:val="nil"/>
                  </w:tcBorders>
                  <w:noWrap w:val="0"/>
                  <w:vAlign w:val="center"/>
                </w:tcPr>
                <w:p w14:paraId="26698676">
                  <w:pPr>
                    <w:pStyle w:val="51"/>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rPr>
                    <w:t>工程</w:t>
                  </w:r>
                  <w:r>
                    <w:rPr>
                      <w:rFonts w:hint="eastAsia" w:ascii="宋体" w:hAnsi="宋体" w:eastAsia="宋体" w:cs="宋体"/>
                      <w:b/>
                      <w:bCs/>
                      <w:color w:val="auto"/>
                      <w:sz w:val="21"/>
                      <w:szCs w:val="21"/>
                      <w:lang w:val="en-US" w:eastAsia="zh-CN"/>
                    </w:rPr>
                    <w:t>组成</w:t>
                  </w:r>
                </w:p>
              </w:tc>
              <w:tc>
                <w:tcPr>
                  <w:tcW w:w="892" w:type="pct"/>
                  <w:tcBorders>
                    <w:tl2br w:val="nil"/>
                    <w:tr2bl w:val="nil"/>
                  </w:tcBorders>
                  <w:noWrap w:val="0"/>
                  <w:vAlign w:val="center"/>
                </w:tcPr>
                <w:p w14:paraId="1887E8B3">
                  <w:pPr>
                    <w:pStyle w:val="51"/>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项目</w:t>
                  </w:r>
                </w:p>
              </w:tc>
              <w:tc>
                <w:tcPr>
                  <w:tcW w:w="3752" w:type="pct"/>
                  <w:tcBorders>
                    <w:tl2br w:val="nil"/>
                    <w:tr2bl w:val="nil"/>
                  </w:tcBorders>
                  <w:noWrap w:val="0"/>
                  <w:vAlign w:val="center"/>
                </w:tcPr>
                <w:p w14:paraId="274FFF82">
                  <w:pPr>
                    <w:pStyle w:val="51"/>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内容</w:t>
                  </w:r>
                </w:p>
              </w:tc>
            </w:tr>
            <w:tr w14:paraId="6C04E1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0" w:hRule="atLeast"/>
              </w:trPr>
              <w:tc>
                <w:tcPr>
                  <w:tcW w:w="354" w:type="pct"/>
                  <w:vMerge w:val="restart"/>
                  <w:tcBorders>
                    <w:tl2br w:val="nil"/>
                    <w:tr2bl w:val="nil"/>
                  </w:tcBorders>
                  <w:noWrap w:val="0"/>
                  <w:vAlign w:val="center"/>
                </w:tcPr>
                <w:p w14:paraId="5CE9A74A">
                  <w:pPr>
                    <w:pStyle w:val="51"/>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主体工程</w:t>
                  </w:r>
                </w:p>
              </w:tc>
              <w:tc>
                <w:tcPr>
                  <w:tcW w:w="892" w:type="pct"/>
                  <w:tcBorders>
                    <w:tl2br w:val="nil"/>
                    <w:tr2bl w:val="nil"/>
                  </w:tcBorders>
                  <w:noWrap w:val="0"/>
                  <w:vAlign w:val="center"/>
                </w:tcPr>
                <w:p w14:paraId="6F848555">
                  <w:pPr>
                    <w:keepNext w:val="0"/>
                    <w:keepLines w:val="0"/>
                    <w:pageBreakBefore w:val="0"/>
                    <w:widowControl/>
                    <w:suppressLineNumbers w:val="0"/>
                    <w:kinsoku/>
                    <w:wordWrap/>
                    <w:overflowPunct/>
                    <w:topLinePunct w:val="0"/>
                    <w:bidi w:val="0"/>
                    <w:adjustRightInd/>
                    <w:snapToGrid/>
                    <w:spacing w:before="5" w:beforeAutospacing="0" w:after="79" w:afterLines="25" w:afterAutospacing="0" w:line="240" w:lineRule="auto"/>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新建</w:t>
                  </w:r>
                  <w:r>
                    <w:rPr>
                      <w:rFonts w:hint="eastAsia" w:ascii="宋体" w:hAnsi="宋体" w:eastAsia="宋体" w:cs="宋体"/>
                      <w:color w:val="auto"/>
                      <w:szCs w:val="21"/>
                      <w:lang w:val="en-US" w:eastAsia="zh-CN"/>
                    </w:rPr>
                    <w:t>220kV升压站</w:t>
                  </w:r>
                </w:p>
              </w:tc>
              <w:tc>
                <w:tcPr>
                  <w:tcW w:w="3752" w:type="pct"/>
                  <w:tcBorders>
                    <w:tl2br w:val="nil"/>
                    <w:tr2bl w:val="nil"/>
                  </w:tcBorders>
                  <w:noWrap w:val="0"/>
                  <w:vAlign w:val="center"/>
                </w:tcPr>
                <w:p w14:paraId="7E2D8B68">
                  <w:pPr>
                    <w:pStyle w:val="12"/>
                    <w:keepNext w:val="0"/>
                    <w:keepLines w:val="0"/>
                    <w:pageBreakBefore w:val="0"/>
                    <w:widowControl/>
                    <w:suppressLineNumbers w:val="0"/>
                    <w:kinsoku/>
                    <w:wordWrap/>
                    <w:overflowPunct/>
                    <w:topLinePunct w:val="0"/>
                    <w:autoSpaceDE w:val="0"/>
                    <w:autoSpaceDN w:val="0"/>
                    <w:bidi w:val="0"/>
                    <w:adjustRightInd/>
                    <w:snapToGrid/>
                    <w:spacing w:before="5" w:beforeAutospacing="0" w:after="79" w:afterLines="25" w:afterAutospacing="0" w:line="240" w:lineRule="auto"/>
                    <w:ind w:left="0" w:right="113"/>
                    <w:jc w:val="both"/>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主变规模：</w:t>
                  </w:r>
                  <w:r>
                    <w:rPr>
                      <w:rFonts w:hint="eastAsia" w:ascii="宋体" w:hAnsi="宋体" w:eastAsia="宋体" w:cs="宋体"/>
                      <w:b/>
                      <w:bCs/>
                      <w:color w:val="auto"/>
                      <w:sz w:val="21"/>
                      <w:szCs w:val="21"/>
                      <w:highlight w:val="none"/>
                      <w:lang w:val="en-US" w:eastAsia="zh-CN"/>
                    </w:rPr>
                    <w:t>规划建设</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台容量</w:t>
                  </w:r>
                  <w:r>
                    <w:rPr>
                      <w:rFonts w:hint="eastAsia" w:ascii="宋体" w:hAnsi="宋体" w:eastAsia="宋体" w:cs="宋体"/>
                      <w:b w:val="0"/>
                      <w:bCs w:val="0"/>
                      <w:color w:val="auto"/>
                      <w:sz w:val="21"/>
                      <w:szCs w:val="21"/>
                      <w:highlight w:val="none"/>
                      <w:lang w:val="en-US" w:eastAsia="zh-CN"/>
                    </w:rPr>
                    <w:t>24</w:t>
                  </w:r>
                  <w:r>
                    <w:rPr>
                      <w:rFonts w:hint="eastAsia" w:ascii="宋体" w:hAnsi="宋体" w:eastAsia="宋体" w:cs="宋体"/>
                      <w:b w:val="0"/>
                      <w:bCs w:val="0"/>
                      <w:color w:val="auto"/>
                      <w:sz w:val="21"/>
                      <w:szCs w:val="21"/>
                      <w:highlight w:val="none"/>
                    </w:rPr>
                    <w:t>0MVA</w:t>
                  </w:r>
                  <w:r>
                    <w:rPr>
                      <w:rFonts w:hint="eastAsia" w:ascii="宋体" w:hAnsi="宋体" w:eastAsia="宋体" w:cs="宋体"/>
                      <w:b w:val="0"/>
                      <w:bCs w:val="0"/>
                      <w:color w:val="auto"/>
                      <w:sz w:val="21"/>
                      <w:szCs w:val="21"/>
                      <w:highlight w:val="none"/>
                      <w:lang w:val="en-US" w:eastAsia="zh-CN"/>
                    </w:rPr>
                    <w:t>主变，本期建成1台24</w:t>
                  </w:r>
                  <w:r>
                    <w:rPr>
                      <w:rFonts w:hint="eastAsia" w:ascii="宋体" w:hAnsi="宋体" w:eastAsia="宋体" w:cs="宋体"/>
                      <w:b w:val="0"/>
                      <w:bCs w:val="0"/>
                      <w:color w:val="auto"/>
                      <w:sz w:val="21"/>
                      <w:szCs w:val="21"/>
                      <w:highlight w:val="none"/>
                    </w:rPr>
                    <w:t>0MVA</w:t>
                  </w:r>
                  <w:r>
                    <w:rPr>
                      <w:rFonts w:hint="eastAsia" w:ascii="宋体" w:hAnsi="宋体" w:eastAsia="宋体" w:cs="宋体"/>
                      <w:b w:val="0"/>
                      <w:bCs w:val="0"/>
                      <w:color w:val="auto"/>
                      <w:sz w:val="21"/>
                      <w:szCs w:val="21"/>
                      <w:highlight w:val="none"/>
                      <w:lang w:val="en-US" w:eastAsia="zh-CN"/>
                    </w:rPr>
                    <w:t>主变。</w:t>
                  </w:r>
                  <w:r>
                    <w:rPr>
                      <w:rFonts w:hint="eastAsia" w:ascii="宋体" w:hAnsi="宋体" w:eastAsia="宋体" w:cs="宋体"/>
                      <w:b w:val="0"/>
                      <w:bCs w:val="0"/>
                      <w:color w:val="auto"/>
                      <w:sz w:val="21"/>
                      <w:szCs w:val="21"/>
                      <w:highlight w:val="none"/>
                    </w:rPr>
                    <w:t>主变采用三相三绕组有载调压油浸式变压器</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户外布置。</w:t>
                  </w:r>
                </w:p>
                <w:p w14:paraId="79C93CEA">
                  <w:pPr>
                    <w:pStyle w:val="12"/>
                    <w:keepNext w:val="0"/>
                    <w:keepLines w:val="0"/>
                    <w:pageBreakBefore w:val="0"/>
                    <w:widowControl/>
                    <w:suppressLineNumbers w:val="0"/>
                    <w:kinsoku/>
                    <w:wordWrap/>
                    <w:overflowPunct/>
                    <w:topLinePunct w:val="0"/>
                    <w:autoSpaceDE w:val="0"/>
                    <w:autoSpaceDN w:val="0"/>
                    <w:bidi w:val="0"/>
                    <w:adjustRightInd/>
                    <w:snapToGrid/>
                    <w:spacing w:before="5" w:beforeAutospacing="0" w:after="0" w:afterAutospacing="0" w:line="240" w:lineRule="auto"/>
                    <w:ind w:left="0" w:right="113"/>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rPr>
                    <w:t>电气原则主接线</w:t>
                  </w:r>
                  <w:r>
                    <w:rPr>
                      <w:rFonts w:hint="eastAsia" w:ascii="宋体" w:hAnsi="宋体" w:eastAsia="宋体" w:cs="宋体"/>
                      <w:b/>
                      <w:bCs/>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220kV侧主接线采用双母线接线，规划建设4回，本期建设1回；35kV为单母线接线，规划建设42回，本期建设8回。</w:t>
                  </w:r>
                </w:p>
                <w:p w14:paraId="30697233">
                  <w:pPr>
                    <w:pStyle w:val="12"/>
                    <w:keepNext w:val="0"/>
                    <w:keepLines w:val="0"/>
                    <w:pageBreakBefore w:val="0"/>
                    <w:widowControl/>
                    <w:suppressLineNumbers w:val="0"/>
                    <w:kinsoku/>
                    <w:wordWrap/>
                    <w:overflowPunct/>
                    <w:topLinePunct w:val="0"/>
                    <w:autoSpaceDE w:val="0"/>
                    <w:autoSpaceDN w:val="0"/>
                    <w:bidi w:val="0"/>
                    <w:adjustRightInd/>
                    <w:snapToGrid/>
                    <w:spacing w:before="5" w:beforeAutospacing="0" w:after="79" w:afterLines="25" w:afterAutospacing="0" w:line="240" w:lineRule="auto"/>
                    <w:ind w:left="0"/>
                    <w:jc w:val="both"/>
                    <w:textAlignment w:val="auto"/>
                    <w:outlineLvl w:val="9"/>
                    <w:rPr>
                      <w:rFonts w:hint="eastAsia" w:ascii="宋体" w:hAnsi="宋体" w:eastAsia="宋体" w:cs="宋体"/>
                      <w:b/>
                      <w:bCs/>
                      <w:color w:val="0000FF"/>
                      <w:sz w:val="21"/>
                      <w:szCs w:val="21"/>
                      <w:highlight w:val="none"/>
                      <w:lang w:eastAsia="zh-CN"/>
                    </w:rPr>
                  </w:pPr>
                  <w:r>
                    <w:rPr>
                      <w:rFonts w:hint="eastAsia" w:ascii="宋体" w:hAnsi="宋体" w:eastAsia="宋体" w:cs="宋体"/>
                      <w:b/>
                      <w:bCs/>
                      <w:color w:val="auto"/>
                      <w:sz w:val="21"/>
                      <w:szCs w:val="21"/>
                      <w:highlight w:val="none"/>
                      <w:lang w:eastAsia="zh-CN"/>
                    </w:rPr>
                    <w:t>配电装置：</w:t>
                  </w:r>
                  <w:r>
                    <w:rPr>
                      <w:rFonts w:hint="eastAsia" w:ascii="宋体" w:hAnsi="宋体" w:eastAsia="宋体" w:cs="宋体"/>
                      <w:b w:val="0"/>
                      <w:bCs w:val="0"/>
                      <w:color w:val="auto"/>
                      <w:sz w:val="21"/>
                      <w:szCs w:val="21"/>
                      <w:highlight w:val="none"/>
                      <w:lang w:val="en-US" w:eastAsia="zh-CN"/>
                    </w:rPr>
                    <w:t>220kV配电装置采用户内GIS布置，向南出线，35kV配电装置室布置于主变北侧，二次设备室布置于主变东侧，功能性房间等布置于综合楼内。220kV主变采用架空进线，220kV线路采用架空出线，35kV线路、接地变、站变采用电缆出线。</w:t>
                  </w:r>
                </w:p>
                <w:p w14:paraId="428F37CA">
                  <w:pPr>
                    <w:pStyle w:val="12"/>
                    <w:keepNext w:val="0"/>
                    <w:keepLines w:val="0"/>
                    <w:pageBreakBefore w:val="0"/>
                    <w:widowControl/>
                    <w:suppressLineNumbers w:val="0"/>
                    <w:kinsoku/>
                    <w:wordWrap/>
                    <w:overflowPunct/>
                    <w:topLinePunct w:val="0"/>
                    <w:autoSpaceDE w:val="0"/>
                    <w:autoSpaceDN w:val="0"/>
                    <w:bidi w:val="0"/>
                    <w:adjustRightInd/>
                    <w:snapToGrid/>
                    <w:spacing w:before="5" w:beforeAutospacing="0" w:after="79" w:afterLines="25" w:afterAutospacing="0" w:line="240" w:lineRule="auto"/>
                    <w:ind w:left="0"/>
                    <w:jc w:val="both"/>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无功补偿装置</w:t>
                  </w:r>
                  <w:r>
                    <w:rPr>
                      <w:rFonts w:hint="eastAsia" w:ascii="宋体" w:hAnsi="宋体" w:eastAsia="宋体" w:cs="宋体"/>
                      <w:b/>
                      <w:bCs/>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建设2×±48Mvar的SVG型动态无功补偿装置。</w:t>
                  </w:r>
                </w:p>
                <w:p w14:paraId="23257509">
                  <w:pPr>
                    <w:pStyle w:val="12"/>
                    <w:keepNext w:val="0"/>
                    <w:keepLines w:val="0"/>
                    <w:pageBreakBefore w:val="0"/>
                    <w:widowControl/>
                    <w:suppressLineNumbers w:val="0"/>
                    <w:kinsoku/>
                    <w:wordWrap/>
                    <w:overflowPunct/>
                    <w:topLinePunct w:val="0"/>
                    <w:autoSpaceDE w:val="0"/>
                    <w:autoSpaceDN w:val="0"/>
                    <w:bidi w:val="0"/>
                    <w:adjustRightInd/>
                    <w:snapToGrid/>
                    <w:spacing w:before="5" w:beforeAutospacing="0" w:after="79" w:afterLines="25" w:afterAutospacing="0" w:line="240" w:lineRule="auto"/>
                    <w:ind w:left="0"/>
                    <w:jc w:val="both"/>
                    <w:textAlignment w:val="auto"/>
                    <w:outlineLvl w:val="9"/>
                    <w:rPr>
                      <w:rFonts w:hint="eastAsia" w:ascii="宋体" w:hAnsi="宋体" w:eastAsia="宋体" w:cs="宋体"/>
                      <w:b/>
                      <w:bCs/>
                      <w:color w:val="0000FF"/>
                      <w:sz w:val="21"/>
                      <w:szCs w:val="21"/>
                      <w:highlight w:val="none"/>
                      <w:lang w:val="en-US"/>
                    </w:rPr>
                  </w:pPr>
                  <w:r>
                    <w:rPr>
                      <w:rFonts w:hint="eastAsia" w:ascii="宋体" w:hAnsi="宋体" w:eastAsia="宋体" w:cs="宋体"/>
                      <w:b/>
                      <w:bCs/>
                      <w:color w:val="auto"/>
                      <w:sz w:val="21"/>
                      <w:szCs w:val="21"/>
                      <w:highlight w:val="none"/>
                      <w:lang w:eastAsia="zh-CN"/>
                    </w:rPr>
                    <w:t>占地面积：</w:t>
                  </w:r>
                  <w:r>
                    <w:rPr>
                      <w:rFonts w:hint="eastAsia" w:ascii="宋体" w:hAnsi="宋体" w:eastAsia="宋体" w:cs="宋体"/>
                      <w:b w:val="0"/>
                      <w:bCs w:val="0"/>
                      <w:color w:val="auto"/>
                      <w:sz w:val="21"/>
                      <w:szCs w:val="21"/>
                      <w:highlight w:val="none"/>
                      <w:lang w:val="en-US" w:eastAsia="zh-CN"/>
                    </w:rPr>
                    <w:t>升压站总用地面积约23400m</w:t>
                  </w:r>
                  <w:r>
                    <w:rPr>
                      <w:rFonts w:hint="eastAsia" w:ascii="宋体" w:hAnsi="宋体" w:eastAsia="宋体" w:cs="宋体"/>
                      <w:b w:val="0"/>
                      <w:bCs w:val="0"/>
                      <w:color w:val="auto"/>
                      <w:sz w:val="21"/>
                      <w:szCs w:val="21"/>
                      <w:highlight w:val="none"/>
                      <w:vertAlign w:val="superscript"/>
                      <w:lang w:val="en-US" w:eastAsia="zh-CN"/>
                    </w:rPr>
                    <w:t>2</w:t>
                  </w:r>
                  <w:r>
                    <w:rPr>
                      <w:rFonts w:hint="eastAsia" w:ascii="宋体" w:hAnsi="宋体" w:eastAsia="宋体" w:cs="宋体"/>
                      <w:b w:val="0"/>
                      <w:bCs w:val="0"/>
                      <w:color w:val="auto"/>
                      <w:sz w:val="21"/>
                      <w:szCs w:val="21"/>
                      <w:highlight w:val="none"/>
                      <w:vertAlign w:val="baseline"/>
                      <w:lang w:val="en-US" w:eastAsia="zh-CN"/>
                    </w:rPr>
                    <w:t>，为永久占地。</w:t>
                  </w:r>
                </w:p>
              </w:tc>
            </w:tr>
            <w:tr w14:paraId="615833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20" w:hRule="atLeast"/>
              </w:trPr>
              <w:tc>
                <w:tcPr>
                  <w:tcW w:w="354" w:type="pct"/>
                  <w:vMerge w:val="continue"/>
                  <w:tcBorders>
                    <w:tl2br w:val="nil"/>
                    <w:tr2bl w:val="nil"/>
                  </w:tcBorders>
                  <w:noWrap w:val="0"/>
                  <w:vAlign w:val="center"/>
                </w:tcPr>
                <w:p w14:paraId="2B8D8821">
                  <w:pPr>
                    <w:pStyle w:val="51"/>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color w:val="auto"/>
                      <w:sz w:val="21"/>
                      <w:szCs w:val="21"/>
                    </w:rPr>
                  </w:pPr>
                </w:p>
              </w:tc>
              <w:tc>
                <w:tcPr>
                  <w:tcW w:w="892" w:type="pct"/>
                  <w:tcBorders>
                    <w:tl2br w:val="nil"/>
                    <w:tr2bl w:val="nil"/>
                  </w:tcBorders>
                  <w:noWrap w:val="0"/>
                  <w:vAlign w:val="center"/>
                </w:tcPr>
                <w:p w14:paraId="4205E0FC">
                  <w:pPr>
                    <w:keepNext w:val="0"/>
                    <w:keepLines w:val="0"/>
                    <w:pageBreakBefore w:val="0"/>
                    <w:widowControl/>
                    <w:suppressLineNumbers w:val="0"/>
                    <w:kinsoku/>
                    <w:wordWrap/>
                    <w:overflowPunct/>
                    <w:topLinePunct w:val="0"/>
                    <w:bidi w:val="0"/>
                    <w:adjustRightInd/>
                    <w:snapToGrid/>
                    <w:spacing w:before="5" w:beforeAutospacing="0" w:after="79" w:afterLines="25" w:afterAutospacing="0" w:line="240" w:lineRule="auto"/>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220kV输电线路</w:t>
                  </w:r>
                </w:p>
              </w:tc>
              <w:tc>
                <w:tcPr>
                  <w:tcW w:w="3752" w:type="pct"/>
                  <w:tcBorders>
                    <w:tl2br w:val="nil"/>
                    <w:tr2bl w:val="nil"/>
                  </w:tcBorders>
                  <w:noWrap w:val="0"/>
                  <w:vAlign w:val="center"/>
                </w:tcPr>
                <w:p w14:paraId="4A0FA6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78" w:rightChars="37"/>
                    <w:textAlignment w:val="auto"/>
                    <w:outlineLvl w:val="9"/>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输电线路自风电场区新建220kV升压站220kV侧间隔起至大唐鄯善东220kV升压站220kV侧间隔止，全线路径长约9.7km，电压等级220kV，单回路架设</w:t>
                  </w:r>
                  <w:r>
                    <w:rPr>
                      <w:rFonts w:hint="eastAsia" w:ascii="宋体" w:hAnsi="宋体" w:cs="宋体"/>
                      <w:b w:val="0"/>
                      <w:bCs w:val="0"/>
                      <w:color w:val="auto"/>
                      <w:szCs w:val="21"/>
                      <w:highlight w:val="none"/>
                      <w:lang w:val="en-US" w:eastAsia="zh-CN"/>
                    </w:rPr>
                    <w:t>，终端塔进出线采用同塔双回架设</w:t>
                  </w:r>
                  <w:r>
                    <w:rPr>
                      <w:rFonts w:hint="eastAsia" w:ascii="宋体" w:hAnsi="宋体" w:eastAsia="宋体" w:cs="宋体"/>
                      <w:b w:val="0"/>
                      <w:bCs w:val="0"/>
                      <w:color w:val="auto"/>
                      <w:szCs w:val="21"/>
                      <w:highlight w:val="none"/>
                      <w:lang w:val="en-US" w:eastAsia="zh-CN"/>
                    </w:rPr>
                    <w:t>。</w:t>
                  </w:r>
                </w:p>
                <w:p w14:paraId="410988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78" w:rightChars="37"/>
                    <w:textAlignment w:val="auto"/>
                    <w:outlineLvl w:val="9"/>
                    <w:rPr>
                      <w:rFonts w:hint="eastAsia" w:ascii="宋体" w:hAnsi="宋体" w:eastAsia="宋体" w:cs="宋体"/>
                      <w:color w:val="0000FF"/>
                      <w:szCs w:val="21"/>
                      <w:highlight w:val="none"/>
                      <w:lang w:val="en-US" w:eastAsia="zh-CN"/>
                    </w:rPr>
                  </w:pPr>
                  <w:r>
                    <w:rPr>
                      <w:rFonts w:hint="eastAsia" w:ascii="宋体" w:hAnsi="宋体" w:eastAsia="宋体" w:cs="宋体"/>
                      <w:b w:val="0"/>
                      <w:bCs w:val="0"/>
                      <w:color w:val="auto"/>
                      <w:szCs w:val="21"/>
                      <w:highlight w:val="none"/>
                      <w:lang w:val="en-US" w:eastAsia="zh-CN"/>
                    </w:rPr>
                    <w:t>①导线技术参数：采用2×JL/G1A-630/45型钢芯铝绞线</w:t>
                  </w:r>
                  <w:r>
                    <w:rPr>
                      <w:rFonts w:hint="eastAsia" w:ascii="宋体" w:hAnsi="宋体" w:eastAsia="宋体" w:cs="宋体"/>
                      <w:color w:val="auto"/>
                      <w:szCs w:val="21"/>
                      <w:highlight w:val="none"/>
                      <w:lang w:val="en-US" w:eastAsia="zh-CN"/>
                    </w:rPr>
                    <w:t>；</w:t>
                  </w:r>
                  <w:r>
                    <w:rPr>
                      <w:rFonts w:hint="eastAsia" w:ascii="宋体" w:hAnsi="宋体" w:eastAsia="宋体" w:cs="宋体"/>
                      <w:color w:val="auto"/>
                      <w:kern w:val="0"/>
                      <w:szCs w:val="21"/>
                      <w:highlight w:val="none"/>
                      <w:lang w:val="en-US" w:eastAsia="zh-CN"/>
                    </w:rPr>
                    <w:t>总</w:t>
                  </w:r>
                  <w:r>
                    <w:rPr>
                      <w:rFonts w:hint="eastAsia" w:ascii="宋体" w:hAnsi="宋体" w:eastAsia="宋体" w:cs="宋体"/>
                      <w:color w:val="auto"/>
                      <w:kern w:val="0"/>
                      <w:szCs w:val="21"/>
                      <w:highlight w:val="none"/>
                    </w:rPr>
                    <w:t>截面</w:t>
                  </w:r>
                  <w:r>
                    <w:rPr>
                      <w:rFonts w:hint="eastAsia" w:ascii="宋体" w:hAnsi="宋体" w:eastAsia="宋体" w:cs="宋体"/>
                      <w:color w:val="auto"/>
                      <w:spacing w:val="-6"/>
                      <w:szCs w:val="21"/>
                      <w:highlight w:val="none"/>
                      <w:lang w:val="en-US" w:eastAsia="zh-CN"/>
                    </w:rPr>
                    <w:t>673</w:t>
                  </w:r>
                  <w:r>
                    <w:rPr>
                      <w:rFonts w:hint="eastAsia" w:ascii="宋体" w:hAnsi="宋体" w:eastAsia="宋体" w:cs="宋体"/>
                      <w:color w:val="auto"/>
                      <w:szCs w:val="21"/>
                      <w:highlight w:val="none"/>
                    </w:rPr>
                    <w:t>mm</w:t>
                  </w:r>
                  <w:r>
                    <w:rPr>
                      <w:rFonts w:hint="eastAsia" w:ascii="宋体" w:hAnsi="宋体" w:eastAsia="宋体" w:cs="宋体"/>
                      <w:color w:val="auto"/>
                      <w:szCs w:val="21"/>
                      <w:highlight w:val="none"/>
                      <w:vertAlign w:val="superscript"/>
                    </w:rPr>
                    <w:t>2</w:t>
                  </w:r>
                  <w:r>
                    <w:rPr>
                      <w:rFonts w:hint="eastAsia" w:ascii="宋体" w:hAnsi="宋体" w:eastAsia="宋体" w:cs="宋体"/>
                      <w:color w:val="auto"/>
                      <w:szCs w:val="21"/>
                      <w:highlight w:val="none"/>
                    </w:rPr>
                    <w:t>；</w:t>
                  </w:r>
                  <w:r>
                    <w:rPr>
                      <w:rFonts w:hint="eastAsia" w:ascii="宋体" w:hAnsi="宋体" w:eastAsia="宋体" w:cs="宋体"/>
                      <w:color w:val="auto"/>
                      <w:kern w:val="0"/>
                      <w:szCs w:val="21"/>
                      <w:highlight w:val="none"/>
                    </w:rPr>
                    <w:t>导线</w:t>
                  </w:r>
                  <w:r>
                    <w:rPr>
                      <w:rFonts w:hint="eastAsia" w:ascii="宋体" w:hAnsi="宋体" w:eastAsia="宋体" w:cs="宋体"/>
                      <w:color w:val="auto"/>
                      <w:kern w:val="0"/>
                      <w:szCs w:val="21"/>
                      <w:highlight w:val="none"/>
                      <w:lang w:val="en-US" w:eastAsia="zh-CN"/>
                    </w:rPr>
                    <w:t>直</w:t>
                  </w:r>
                  <w:r>
                    <w:rPr>
                      <w:rFonts w:hint="eastAsia" w:ascii="宋体" w:hAnsi="宋体" w:eastAsia="宋体" w:cs="宋体"/>
                      <w:color w:val="auto"/>
                      <w:kern w:val="0"/>
                      <w:szCs w:val="21"/>
                      <w:highlight w:val="none"/>
                    </w:rPr>
                    <w:t>径</w:t>
                  </w:r>
                  <w:r>
                    <w:rPr>
                      <w:rFonts w:hint="eastAsia" w:ascii="宋体" w:hAnsi="宋体" w:eastAsia="宋体" w:cs="宋体"/>
                      <w:color w:val="auto"/>
                      <w:szCs w:val="21"/>
                      <w:highlight w:val="none"/>
                      <w:lang w:val="en-US" w:eastAsia="zh-CN"/>
                    </w:rPr>
                    <w:t>33.8</w:t>
                  </w:r>
                  <w:r>
                    <w:rPr>
                      <w:rFonts w:hint="eastAsia" w:ascii="宋体" w:hAnsi="宋体" w:eastAsia="宋体" w:cs="宋体"/>
                      <w:color w:val="auto"/>
                      <w:szCs w:val="21"/>
                      <w:highlight w:val="none"/>
                    </w:rPr>
                    <w:t>mm</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分裂间距500mm，2根子导线水平排列，极限输送容量733MVA。</w:t>
                  </w:r>
                </w:p>
                <w:p w14:paraId="789EEA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78" w:rightChars="37"/>
                    <w:textAlignment w:val="auto"/>
                    <w:outlineLvl w:val="9"/>
                    <w:rPr>
                      <w:rFonts w:hint="eastAsia" w:ascii="宋体" w:hAnsi="宋体" w:eastAsia="宋体" w:cs="宋体"/>
                      <w:color w:val="auto"/>
                      <w:sz w:val="21"/>
                      <w:szCs w:val="21"/>
                      <w:highlight w:val="yellow"/>
                      <w:lang w:val="en-US" w:eastAsia="zh-CN"/>
                    </w:rPr>
                  </w:pPr>
                  <w:r>
                    <w:rPr>
                      <w:rFonts w:hint="eastAsia" w:ascii="宋体" w:hAnsi="宋体" w:eastAsia="宋体" w:cs="宋体"/>
                      <w:b w:val="0"/>
                      <w:bCs w:val="0"/>
                      <w:color w:val="auto"/>
                      <w:sz w:val="21"/>
                      <w:szCs w:val="21"/>
                      <w:highlight w:val="none"/>
                      <w:lang w:val="en-US" w:eastAsia="zh-CN"/>
                    </w:rPr>
                    <w:t>②地线：全线架设双地线，采用2根OPGW（24芯）复合光缆。</w:t>
                  </w:r>
                </w:p>
                <w:p w14:paraId="6CEFC1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③杆塔：新建杆塔29基，其中单回路直线塔22基，单回路耐张塔5基，双回路耐张塔2基。</w:t>
                  </w:r>
                </w:p>
                <w:p w14:paraId="4A53CACB">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78" w:rightChars="37"/>
                    <w:textAlignment w:val="auto"/>
                    <w:outlineLvl w:val="9"/>
                    <w:rPr>
                      <w:rFonts w:hint="eastAsia" w:ascii="宋体" w:hAnsi="宋体" w:eastAsia="宋体" w:cs="宋体"/>
                      <w:color w:val="0000FF"/>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④杆塔塔基施工</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color w:val="auto"/>
                      <w:sz w:val="21"/>
                      <w:szCs w:val="21"/>
                      <w:highlight w:val="none"/>
                    </w:rPr>
                    <w:t>永久占地：</w:t>
                  </w:r>
                  <w:r>
                    <w:rPr>
                      <w:rFonts w:hint="eastAsia" w:ascii="宋体" w:hAnsi="宋体" w:eastAsia="宋体" w:cs="宋体"/>
                      <w:color w:val="auto"/>
                      <w:sz w:val="21"/>
                      <w:szCs w:val="21"/>
                      <w:highlight w:val="none"/>
                      <w:lang w:val="en-US" w:eastAsia="zh-CN"/>
                    </w:rPr>
                    <w:t>2900</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塔基施工</w:t>
                  </w:r>
                  <w:r>
                    <w:rPr>
                      <w:rFonts w:hint="eastAsia" w:ascii="宋体" w:hAnsi="宋体" w:eastAsia="宋体" w:cs="宋体"/>
                      <w:color w:val="auto"/>
                      <w:sz w:val="21"/>
                      <w:szCs w:val="21"/>
                      <w:highlight w:val="none"/>
                    </w:rPr>
                    <w:t>占地：</w:t>
                  </w:r>
                  <w:r>
                    <w:rPr>
                      <w:rFonts w:hint="eastAsia" w:ascii="宋体" w:hAnsi="宋体" w:eastAsia="宋体" w:cs="宋体"/>
                      <w:color w:val="auto"/>
                      <w:sz w:val="21"/>
                      <w:szCs w:val="21"/>
                      <w:highlight w:val="none"/>
                      <w:lang w:val="en-US" w:eastAsia="zh-CN"/>
                    </w:rPr>
                    <w:t>17400</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r>
                    <w:rPr>
                      <w:rFonts w:hint="eastAsia" w:ascii="宋体" w:hAnsi="宋体" w:eastAsia="宋体" w:cs="宋体"/>
                      <w:color w:val="auto"/>
                      <w:sz w:val="21"/>
                      <w:szCs w:val="21"/>
                      <w:highlight w:val="none"/>
                    </w:rPr>
                    <w:t>；</w:t>
                  </w:r>
                  <w:r>
                    <w:rPr>
                      <w:rFonts w:hint="eastAsia" w:ascii="宋体" w:hAnsi="宋体" w:eastAsia="宋体" w:cs="宋体"/>
                      <w:bCs/>
                      <w:color w:val="auto"/>
                      <w:sz w:val="21"/>
                      <w:szCs w:val="21"/>
                      <w:highlight w:val="none"/>
                    </w:rPr>
                    <w:t>牵张场临时占地：</w:t>
                  </w:r>
                  <w:r>
                    <w:rPr>
                      <w:rFonts w:hint="eastAsia" w:ascii="宋体" w:hAnsi="宋体" w:eastAsia="宋体" w:cs="宋体"/>
                      <w:color w:val="auto"/>
                      <w:sz w:val="21"/>
                      <w:szCs w:val="21"/>
                      <w:highlight w:val="none"/>
                      <w:lang w:val="en-US" w:eastAsia="zh-CN"/>
                    </w:rPr>
                    <w:t>6000</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跨越场临时占地300</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施工临时道路占地：18000m</w:t>
                  </w:r>
                  <w:r>
                    <w:rPr>
                      <w:rFonts w:hint="eastAsia" w:ascii="宋体" w:hAnsi="宋体" w:eastAsia="宋体" w:cs="宋体"/>
                      <w:color w:val="auto"/>
                      <w:sz w:val="21"/>
                      <w:szCs w:val="21"/>
                      <w:highlight w:val="none"/>
                      <w:vertAlign w:val="superscript"/>
                      <w:lang w:val="en-US" w:eastAsia="zh-CN"/>
                    </w:rPr>
                    <w:t>2</w:t>
                  </w:r>
                  <w:r>
                    <w:rPr>
                      <w:rFonts w:hint="eastAsia" w:ascii="宋体" w:hAnsi="宋体" w:eastAsia="宋体" w:cs="宋体"/>
                      <w:color w:val="auto"/>
                      <w:sz w:val="21"/>
                      <w:szCs w:val="21"/>
                      <w:highlight w:val="none"/>
                      <w:vertAlign w:val="baseline"/>
                      <w:lang w:eastAsia="zh-CN"/>
                    </w:rPr>
                    <w:t>。</w:t>
                  </w:r>
                </w:p>
                <w:p w14:paraId="0B5D4989">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textAlignment w:val="auto"/>
                    <w:rPr>
                      <w:rFonts w:hint="eastAsia" w:ascii="宋体" w:hAnsi="宋体" w:eastAsia="宋体" w:cs="宋体"/>
                      <w:b/>
                      <w:bCs/>
                      <w:color w:val="0000FF"/>
                      <w:sz w:val="21"/>
                      <w:szCs w:val="21"/>
                      <w:highlight w:val="none"/>
                      <w:lang w:eastAsia="zh-CN"/>
                    </w:rPr>
                  </w:pPr>
                  <w:r>
                    <w:rPr>
                      <w:rFonts w:hint="eastAsia" w:ascii="宋体" w:hAnsi="宋体" w:eastAsia="宋体" w:cs="宋体"/>
                      <w:b w:val="0"/>
                      <w:bCs w:val="0"/>
                      <w:color w:val="auto"/>
                      <w:sz w:val="21"/>
                      <w:szCs w:val="21"/>
                      <w:highlight w:val="none"/>
                      <w:lang w:val="en-US" w:eastAsia="zh-CN"/>
                    </w:rPr>
                    <w:t>⑤跨越情况：</w:t>
                  </w:r>
                  <w:r>
                    <w:rPr>
                      <w:rFonts w:hint="eastAsia" w:ascii="宋体" w:hAnsi="宋体" w:eastAsia="宋体" w:cs="宋体"/>
                      <w:color w:val="auto"/>
                      <w:sz w:val="21"/>
                      <w:szCs w:val="21"/>
                      <w:highlight w:val="none"/>
                      <w:lang w:val="en-US" w:eastAsia="zh-CN"/>
                    </w:rPr>
                    <w:t>跨越110kV电力线1次，跨越35kV电力线3次。</w:t>
                  </w:r>
                </w:p>
              </w:tc>
            </w:tr>
            <w:tr w14:paraId="4894D7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20" w:hRule="atLeast"/>
              </w:trPr>
              <w:tc>
                <w:tcPr>
                  <w:tcW w:w="354" w:type="pct"/>
                  <w:vMerge w:val="continue"/>
                  <w:tcBorders>
                    <w:tl2br w:val="nil"/>
                    <w:tr2bl w:val="nil"/>
                  </w:tcBorders>
                  <w:noWrap w:val="0"/>
                  <w:vAlign w:val="center"/>
                </w:tcPr>
                <w:p w14:paraId="3CA08942">
                  <w:pPr>
                    <w:pStyle w:val="51"/>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color w:val="auto"/>
                      <w:sz w:val="21"/>
                      <w:szCs w:val="21"/>
                    </w:rPr>
                  </w:pPr>
                </w:p>
              </w:tc>
              <w:tc>
                <w:tcPr>
                  <w:tcW w:w="892" w:type="pct"/>
                  <w:tcBorders>
                    <w:tl2br w:val="nil"/>
                    <w:tr2bl w:val="nil"/>
                  </w:tcBorders>
                  <w:noWrap w:val="0"/>
                  <w:vAlign w:val="center"/>
                </w:tcPr>
                <w:p w14:paraId="5BC1E658">
                  <w:pPr>
                    <w:keepNext w:val="0"/>
                    <w:keepLines w:val="0"/>
                    <w:pageBreakBefore w:val="0"/>
                    <w:widowControl/>
                    <w:suppressLineNumbers w:val="0"/>
                    <w:kinsoku/>
                    <w:wordWrap/>
                    <w:overflowPunct/>
                    <w:topLinePunct w:val="0"/>
                    <w:bidi w:val="0"/>
                    <w:adjustRightInd/>
                    <w:snapToGrid/>
                    <w:spacing w:before="5" w:beforeAutospacing="0" w:after="79" w:afterLines="25" w:afterAutospacing="0" w:line="240" w:lineRule="auto"/>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大唐鄯善东220kV升压站</w:t>
                  </w:r>
                </w:p>
              </w:tc>
              <w:tc>
                <w:tcPr>
                  <w:tcW w:w="3752" w:type="pct"/>
                  <w:tcBorders>
                    <w:tl2br w:val="nil"/>
                    <w:tr2bl w:val="nil"/>
                  </w:tcBorders>
                  <w:noWrap w:val="0"/>
                  <w:vAlign w:val="center"/>
                </w:tcPr>
                <w:p w14:paraId="498EFF85">
                  <w:pPr>
                    <w:pStyle w:val="12"/>
                    <w:keepNext w:val="0"/>
                    <w:keepLines w:val="0"/>
                    <w:pageBreakBefore w:val="0"/>
                    <w:widowControl/>
                    <w:suppressLineNumbers w:val="0"/>
                    <w:kinsoku/>
                    <w:wordWrap/>
                    <w:overflowPunct/>
                    <w:topLinePunct w:val="0"/>
                    <w:autoSpaceDE w:val="0"/>
                    <w:autoSpaceDN w:val="0"/>
                    <w:bidi w:val="0"/>
                    <w:adjustRightInd/>
                    <w:snapToGrid/>
                    <w:spacing w:before="5" w:beforeAutospacing="0" w:after="79" w:afterLines="25" w:afterAutospacing="0" w:line="240" w:lineRule="auto"/>
                    <w:ind w:left="0"/>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本期扩建大唐鄯善东220kV升压站出线间隔1回，利用自东向西第1出线间隔。</w:t>
                  </w:r>
                </w:p>
              </w:tc>
            </w:tr>
            <w:tr w14:paraId="39722B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4" w:hRule="atLeast"/>
              </w:trPr>
              <w:tc>
                <w:tcPr>
                  <w:tcW w:w="354" w:type="pct"/>
                  <w:vMerge w:val="restart"/>
                  <w:tcBorders>
                    <w:tl2br w:val="nil"/>
                    <w:tr2bl w:val="nil"/>
                  </w:tcBorders>
                  <w:noWrap w:val="0"/>
                  <w:vAlign w:val="center"/>
                </w:tcPr>
                <w:p w14:paraId="66D4864E">
                  <w:pPr>
                    <w:pStyle w:val="51"/>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辅助工程</w:t>
                  </w:r>
                </w:p>
              </w:tc>
              <w:tc>
                <w:tcPr>
                  <w:tcW w:w="892" w:type="pct"/>
                  <w:tcBorders>
                    <w:tl2br w:val="nil"/>
                    <w:tr2bl w:val="nil"/>
                  </w:tcBorders>
                  <w:noWrap w:val="0"/>
                  <w:vAlign w:val="center"/>
                </w:tcPr>
                <w:p w14:paraId="1633919C">
                  <w:pPr>
                    <w:keepNext w:val="0"/>
                    <w:keepLines w:val="0"/>
                    <w:pageBreakBefore w:val="0"/>
                    <w:widowControl/>
                    <w:suppressLineNumbers w:val="0"/>
                    <w:kinsoku/>
                    <w:wordWrap/>
                    <w:overflowPunct/>
                    <w:topLinePunct w:val="0"/>
                    <w:bidi w:val="0"/>
                    <w:adjustRightInd/>
                    <w:snapToGrid/>
                    <w:spacing w:before="5" w:beforeAutospacing="0" w:after="79" w:afterLines="25" w:afterAutospacing="0" w:line="240" w:lineRule="auto"/>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进站道路</w:t>
                  </w:r>
                </w:p>
              </w:tc>
              <w:tc>
                <w:tcPr>
                  <w:tcW w:w="3752" w:type="pct"/>
                  <w:tcBorders>
                    <w:tl2br w:val="nil"/>
                    <w:tr2bl w:val="nil"/>
                  </w:tcBorders>
                  <w:noWrap w:val="0"/>
                  <w:vAlign w:val="center"/>
                </w:tcPr>
                <w:p w14:paraId="50949FDB">
                  <w:pPr>
                    <w:pStyle w:val="12"/>
                    <w:keepNext w:val="0"/>
                    <w:keepLines w:val="0"/>
                    <w:pageBreakBefore w:val="0"/>
                    <w:widowControl/>
                    <w:suppressLineNumbers w:val="0"/>
                    <w:kinsoku/>
                    <w:wordWrap/>
                    <w:overflowPunct/>
                    <w:topLinePunct w:val="0"/>
                    <w:autoSpaceDE w:val="0"/>
                    <w:autoSpaceDN w:val="0"/>
                    <w:bidi w:val="0"/>
                    <w:adjustRightInd/>
                    <w:snapToGrid/>
                    <w:spacing w:before="5" w:beforeAutospacing="0" w:after="79" w:afterLines="25" w:afterAutospacing="0" w:line="240" w:lineRule="auto"/>
                    <w:ind w:left="0"/>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升压站进站道路由南侧风电场道路接引进站，进站道路长度约0.8km，其中围墙外20m范围的进站道路采用C35混凝土路面，其余采用碎石路面，占地面积在升压站永久占地范围内。</w:t>
                  </w:r>
                </w:p>
              </w:tc>
            </w:tr>
            <w:tr w14:paraId="050BDF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80" w:hRule="atLeast"/>
              </w:trPr>
              <w:tc>
                <w:tcPr>
                  <w:tcW w:w="354" w:type="pct"/>
                  <w:vMerge w:val="continue"/>
                  <w:tcBorders>
                    <w:tl2br w:val="nil"/>
                    <w:tr2bl w:val="nil"/>
                  </w:tcBorders>
                  <w:noWrap w:val="0"/>
                  <w:vAlign w:val="center"/>
                </w:tcPr>
                <w:p w14:paraId="7CD9A362">
                  <w:pPr>
                    <w:pStyle w:val="51"/>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color w:val="auto"/>
                      <w:sz w:val="21"/>
                      <w:szCs w:val="21"/>
                    </w:rPr>
                  </w:pPr>
                </w:p>
              </w:tc>
              <w:tc>
                <w:tcPr>
                  <w:tcW w:w="892" w:type="pct"/>
                  <w:tcBorders>
                    <w:tl2br w:val="nil"/>
                    <w:tr2bl w:val="nil"/>
                  </w:tcBorders>
                  <w:noWrap w:val="0"/>
                  <w:vAlign w:val="center"/>
                </w:tcPr>
                <w:p w14:paraId="3C4FB4ED">
                  <w:pPr>
                    <w:keepNext w:val="0"/>
                    <w:keepLines w:val="0"/>
                    <w:pageBreakBefore w:val="0"/>
                    <w:widowControl/>
                    <w:suppressLineNumbers w:val="0"/>
                    <w:kinsoku/>
                    <w:wordWrap/>
                    <w:overflowPunct/>
                    <w:topLinePunct w:val="0"/>
                    <w:bidi w:val="0"/>
                    <w:adjustRightInd/>
                    <w:snapToGrid/>
                    <w:spacing w:before="5" w:beforeAutospacing="0" w:after="79" w:afterLines="25" w:afterAutospacing="0" w:line="240" w:lineRule="auto"/>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站内道路</w:t>
                  </w:r>
                </w:p>
              </w:tc>
              <w:tc>
                <w:tcPr>
                  <w:tcW w:w="3752" w:type="pct"/>
                  <w:tcBorders>
                    <w:tl2br w:val="nil"/>
                    <w:tr2bl w:val="nil"/>
                  </w:tcBorders>
                  <w:noWrap w:val="0"/>
                  <w:vAlign w:val="center"/>
                </w:tcPr>
                <w:p w14:paraId="3380480B">
                  <w:pPr>
                    <w:pStyle w:val="12"/>
                    <w:keepNext w:val="0"/>
                    <w:keepLines w:val="0"/>
                    <w:pageBreakBefore w:val="0"/>
                    <w:widowControl/>
                    <w:suppressLineNumbers w:val="0"/>
                    <w:kinsoku/>
                    <w:wordWrap/>
                    <w:overflowPunct/>
                    <w:topLinePunct w:val="0"/>
                    <w:autoSpaceDE w:val="0"/>
                    <w:autoSpaceDN w:val="0"/>
                    <w:bidi w:val="0"/>
                    <w:adjustRightInd/>
                    <w:snapToGrid/>
                    <w:spacing w:before="5" w:beforeAutospacing="0" w:after="79" w:afterLines="25" w:afterAutospacing="0" w:line="240" w:lineRule="auto"/>
                    <w:ind w:left="0"/>
                    <w:jc w:val="both"/>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lang w:val="en-US" w:eastAsia="zh-CN"/>
                    </w:rPr>
                    <w:t>站内道路采用环形混凝土道路，占地面积在升压站永久占地范围内。</w:t>
                  </w:r>
                </w:p>
              </w:tc>
            </w:tr>
            <w:tr w14:paraId="5A5BA1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55" w:hRule="atLeast"/>
              </w:trPr>
              <w:tc>
                <w:tcPr>
                  <w:tcW w:w="354" w:type="pct"/>
                  <w:vMerge w:val="restart"/>
                  <w:tcBorders>
                    <w:tl2br w:val="nil"/>
                    <w:tr2bl w:val="nil"/>
                  </w:tcBorders>
                  <w:noWrap w:val="0"/>
                  <w:vAlign w:val="center"/>
                </w:tcPr>
                <w:p w14:paraId="734380B4">
                  <w:pPr>
                    <w:pStyle w:val="51"/>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color w:val="auto"/>
                      <w:sz w:val="21"/>
                      <w:szCs w:val="21"/>
                    </w:rPr>
                  </w:pPr>
                  <w:r>
                    <w:rPr>
                      <w:rFonts w:hint="eastAsia" w:ascii="宋体" w:hAnsi="宋体" w:eastAsia="宋体" w:cs="宋体"/>
                      <w:b/>
                      <w:color w:val="auto"/>
                      <w:sz w:val="21"/>
                      <w:szCs w:val="21"/>
                      <w:lang w:val="en-US" w:eastAsia="zh-CN"/>
                    </w:rPr>
                    <w:t>公用</w:t>
                  </w:r>
                  <w:r>
                    <w:rPr>
                      <w:rFonts w:hint="eastAsia" w:ascii="宋体" w:hAnsi="宋体" w:eastAsia="宋体" w:cs="宋体"/>
                      <w:b/>
                      <w:color w:val="auto"/>
                      <w:sz w:val="21"/>
                      <w:szCs w:val="21"/>
                    </w:rPr>
                    <w:t>工程</w:t>
                  </w:r>
                </w:p>
              </w:tc>
              <w:tc>
                <w:tcPr>
                  <w:tcW w:w="892" w:type="pct"/>
                  <w:tcBorders>
                    <w:tl2br w:val="nil"/>
                    <w:tr2bl w:val="nil"/>
                  </w:tcBorders>
                  <w:noWrap w:val="0"/>
                  <w:vAlign w:val="center"/>
                </w:tcPr>
                <w:p w14:paraId="00FBC235">
                  <w:pPr>
                    <w:keepNext w:val="0"/>
                    <w:keepLines w:val="0"/>
                    <w:pageBreakBefore w:val="0"/>
                    <w:widowControl/>
                    <w:suppressLineNumbers w:val="0"/>
                    <w:kinsoku/>
                    <w:wordWrap/>
                    <w:overflowPunct/>
                    <w:topLinePunct w:val="0"/>
                    <w:bidi w:val="0"/>
                    <w:adjustRightInd/>
                    <w:snapToGrid/>
                    <w:spacing w:before="5" w:beforeAutospacing="0" w:after="79" w:afterLines="25" w:afterAutospacing="0" w:line="240" w:lineRule="auto"/>
                    <w:ind w:left="0" w:right="0"/>
                    <w:jc w:val="center"/>
                    <w:textAlignment w:val="auto"/>
                    <w:outlineLvl w:val="9"/>
                    <w:rPr>
                      <w:rFonts w:hint="eastAsia" w:ascii="宋体" w:hAnsi="宋体" w:eastAsia="宋体" w:cs="宋体"/>
                      <w:color w:val="auto"/>
                      <w:sz w:val="21"/>
                      <w:szCs w:val="21"/>
                      <w:highlight w:val="yellow"/>
                      <w:lang w:eastAsia="zh-CN"/>
                    </w:rPr>
                  </w:pPr>
                  <w:r>
                    <w:rPr>
                      <w:rFonts w:hint="eastAsia" w:ascii="宋体" w:hAnsi="宋体" w:eastAsia="宋体" w:cs="宋体"/>
                      <w:snapToGrid w:val="0"/>
                      <w:color w:val="auto"/>
                      <w:sz w:val="21"/>
                      <w:szCs w:val="21"/>
                      <w:lang w:val="en-US" w:eastAsia="zh-CN"/>
                    </w:rPr>
                    <w:t>供电</w:t>
                  </w:r>
                </w:p>
              </w:tc>
              <w:tc>
                <w:tcPr>
                  <w:tcW w:w="3752" w:type="pct"/>
                  <w:tcBorders>
                    <w:tl2br w:val="nil"/>
                    <w:tr2bl w:val="nil"/>
                  </w:tcBorders>
                  <w:noWrap w:val="0"/>
                  <w:vAlign w:val="center"/>
                </w:tcPr>
                <w:p w14:paraId="0BE16826">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113"/>
                    <w:jc w:val="both"/>
                    <w:textAlignment w:val="auto"/>
                    <w:outlineLvl w:val="9"/>
                    <w:rPr>
                      <w:rFonts w:hint="eastAsia" w:ascii="宋体" w:hAnsi="宋体" w:eastAsia="宋体" w:cs="宋体"/>
                      <w:color w:val="auto"/>
                      <w:sz w:val="21"/>
                      <w:szCs w:val="21"/>
                      <w:highlight w:val="yellow"/>
                      <w:lang w:val="en-US" w:eastAsia="zh-CN"/>
                    </w:rPr>
                  </w:pPr>
                  <w:r>
                    <w:rPr>
                      <w:rFonts w:hint="eastAsia" w:ascii="宋体" w:hAnsi="宋体" w:eastAsia="宋体" w:cs="宋体"/>
                      <w:color w:val="auto"/>
                      <w:sz w:val="21"/>
                      <w:szCs w:val="21"/>
                      <w:highlight w:val="none"/>
                      <w:lang w:val="en-US" w:eastAsia="zh-CN"/>
                    </w:rPr>
                    <w:t>施工用电可从附近10kV线路，通过动力控制箱、照明箱和施工电缆送到施工现场的用电设备上。</w:t>
                  </w:r>
                </w:p>
              </w:tc>
            </w:tr>
            <w:tr w14:paraId="22A997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61" w:hRule="atLeast"/>
              </w:trPr>
              <w:tc>
                <w:tcPr>
                  <w:tcW w:w="354" w:type="pct"/>
                  <w:vMerge w:val="continue"/>
                  <w:tcBorders>
                    <w:tl2br w:val="nil"/>
                    <w:tr2bl w:val="nil"/>
                  </w:tcBorders>
                  <w:noWrap w:val="0"/>
                  <w:vAlign w:val="center"/>
                </w:tcPr>
                <w:p w14:paraId="77190A28">
                  <w:pPr>
                    <w:pStyle w:val="51"/>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color w:val="auto"/>
                      <w:sz w:val="21"/>
                      <w:szCs w:val="21"/>
                    </w:rPr>
                  </w:pPr>
                </w:p>
              </w:tc>
              <w:tc>
                <w:tcPr>
                  <w:tcW w:w="892" w:type="pct"/>
                  <w:tcBorders>
                    <w:tl2br w:val="nil"/>
                    <w:tr2bl w:val="nil"/>
                  </w:tcBorders>
                  <w:noWrap w:val="0"/>
                  <w:vAlign w:val="center"/>
                </w:tcPr>
                <w:p w14:paraId="63865D5F">
                  <w:pPr>
                    <w:keepNext w:val="0"/>
                    <w:keepLines w:val="0"/>
                    <w:pageBreakBefore w:val="0"/>
                    <w:widowControl/>
                    <w:suppressLineNumbers w:val="0"/>
                    <w:kinsoku/>
                    <w:wordWrap/>
                    <w:overflowPunct/>
                    <w:topLinePunct w:val="0"/>
                    <w:bidi w:val="0"/>
                    <w:adjustRightInd/>
                    <w:snapToGrid/>
                    <w:spacing w:before="5" w:beforeAutospacing="0" w:after="79" w:afterLines="25" w:afterAutospacing="0" w:line="240" w:lineRule="auto"/>
                    <w:ind w:left="0" w:right="0"/>
                    <w:jc w:val="center"/>
                    <w:textAlignment w:val="auto"/>
                    <w:outlineLvl w:val="9"/>
                    <w:rPr>
                      <w:rFonts w:hint="eastAsia" w:ascii="宋体" w:hAnsi="宋体" w:eastAsia="宋体" w:cs="宋体"/>
                      <w:color w:val="auto"/>
                      <w:sz w:val="21"/>
                      <w:szCs w:val="21"/>
                      <w:highlight w:val="yellow"/>
                      <w:lang w:eastAsia="zh-CN"/>
                    </w:rPr>
                  </w:pPr>
                  <w:r>
                    <w:rPr>
                      <w:rFonts w:hint="eastAsia" w:ascii="宋体" w:hAnsi="宋体" w:eastAsia="宋体" w:cs="宋体"/>
                      <w:color w:val="auto"/>
                      <w:sz w:val="21"/>
                      <w:szCs w:val="21"/>
                      <w:lang w:val="en-US" w:eastAsia="zh-CN"/>
                    </w:rPr>
                    <w:t>供水</w:t>
                  </w:r>
                </w:p>
              </w:tc>
              <w:tc>
                <w:tcPr>
                  <w:tcW w:w="3752" w:type="pct"/>
                  <w:tcBorders>
                    <w:tl2br w:val="nil"/>
                    <w:tr2bl w:val="nil"/>
                  </w:tcBorders>
                  <w:noWrap w:val="0"/>
                  <w:vAlign w:val="top"/>
                </w:tcPr>
                <w:p w14:paraId="67E82E4A">
                  <w:pPr>
                    <w:pStyle w:val="12"/>
                    <w:keepNext w:val="0"/>
                    <w:keepLines w:val="0"/>
                    <w:pageBreakBefore w:val="0"/>
                    <w:widowControl/>
                    <w:suppressLineNumbers w:val="0"/>
                    <w:kinsoku/>
                    <w:wordWrap/>
                    <w:overflowPunct/>
                    <w:topLinePunct w:val="0"/>
                    <w:autoSpaceDE w:val="0"/>
                    <w:autoSpaceDN w:val="0"/>
                    <w:bidi w:val="0"/>
                    <w:adjustRightInd/>
                    <w:snapToGrid/>
                    <w:spacing w:before="5" w:beforeAutospacing="0" w:after="79" w:afterLines="25" w:afterAutospacing="0" w:line="240" w:lineRule="auto"/>
                    <w:ind w:left="0"/>
                    <w:textAlignment w:val="auto"/>
                    <w:outlineLvl w:val="9"/>
                    <w:rPr>
                      <w:rFonts w:hint="eastAsia" w:ascii="宋体" w:hAnsi="宋体" w:eastAsia="宋体" w:cs="宋体"/>
                      <w:color w:val="auto"/>
                      <w:lang w:val="en-US"/>
                    </w:rPr>
                  </w:pPr>
                  <w:r>
                    <w:rPr>
                      <w:rFonts w:hint="eastAsia" w:ascii="宋体" w:hAnsi="宋体" w:eastAsia="宋体" w:cs="宋体"/>
                      <w:color w:val="auto"/>
                      <w:sz w:val="21"/>
                      <w:szCs w:val="21"/>
                      <w:lang w:val="en-US" w:eastAsia="zh-CN"/>
                    </w:rPr>
                    <w:t>本项目施工用水考虑水罐车由周边乡镇拉运</w:t>
                  </w:r>
                  <w:r>
                    <w:rPr>
                      <w:rFonts w:hint="eastAsia" w:ascii="宋体" w:hAnsi="宋体" w:eastAsia="宋体" w:cs="宋体"/>
                      <w:color w:val="auto"/>
                      <w:sz w:val="21"/>
                      <w:szCs w:val="21"/>
                      <w:highlight w:val="none"/>
                      <w:lang w:val="en-US" w:eastAsia="zh-CN"/>
                    </w:rPr>
                    <w:t>。运距按8km考虑。</w:t>
                  </w:r>
                </w:p>
              </w:tc>
            </w:tr>
            <w:tr w14:paraId="71919E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97" w:hRule="atLeast"/>
              </w:trPr>
              <w:tc>
                <w:tcPr>
                  <w:tcW w:w="354" w:type="pct"/>
                  <w:vMerge w:val="continue"/>
                  <w:tcBorders>
                    <w:tl2br w:val="nil"/>
                    <w:tr2bl w:val="nil"/>
                  </w:tcBorders>
                  <w:noWrap w:val="0"/>
                  <w:vAlign w:val="center"/>
                </w:tcPr>
                <w:p w14:paraId="25712791">
                  <w:pPr>
                    <w:pStyle w:val="51"/>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color w:val="auto"/>
                      <w:sz w:val="21"/>
                      <w:szCs w:val="21"/>
                    </w:rPr>
                  </w:pPr>
                </w:p>
              </w:tc>
              <w:tc>
                <w:tcPr>
                  <w:tcW w:w="892" w:type="pct"/>
                  <w:tcBorders>
                    <w:tl2br w:val="nil"/>
                    <w:tr2bl w:val="nil"/>
                  </w:tcBorders>
                  <w:noWrap w:val="0"/>
                  <w:vAlign w:val="center"/>
                </w:tcPr>
                <w:p w14:paraId="3B476E2A">
                  <w:pPr>
                    <w:keepNext w:val="0"/>
                    <w:keepLines w:val="0"/>
                    <w:pageBreakBefore w:val="0"/>
                    <w:widowControl/>
                    <w:suppressLineNumbers w:val="0"/>
                    <w:kinsoku/>
                    <w:wordWrap/>
                    <w:overflowPunct/>
                    <w:topLinePunct w:val="0"/>
                    <w:bidi w:val="0"/>
                    <w:adjustRightInd/>
                    <w:snapToGrid/>
                    <w:spacing w:before="5" w:beforeAutospacing="0" w:after="79" w:afterLines="25" w:afterAutospacing="0" w:line="240" w:lineRule="auto"/>
                    <w:ind w:left="0" w:right="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snapToGrid w:val="0"/>
                      <w:color w:val="auto"/>
                      <w:sz w:val="21"/>
                      <w:szCs w:val="21"/>
                      <w:lang w:val="en-US" w:eastAsia="zh-CN"/>
                    </w:rPr>
                    <w:t>供暖</w:t>
                  </w:r>
                </w:p>
              </w:tc>
              <w:tc>
                <w:tcPr>
                  <w:tcW w:w="3752" w:type="pct"/>
                  <w:tcBorders>
                    <w:tl2br w:val="nil"/>
                    <w:tr2bl w:val="nil"/>
                  </w:tcBorders>
                  <w:noWrap w:val="0"/>
                  <w:vAlign w:val="top"/>
                </w:tcPr>
                <w:p w14:paraId="39D6AA38">
                  <w:pPr>
                    <w:pStyle w:val="12"/>
                    <w:keepNext w:val="0"/>
                    <w:keepLines w:val="0"/>
                    <w:pageBreakBefore w:val="0"/>
                    <w:widowControl/>
                    <w:suppressLineNumbers w:val="0"/>
                    <w:kinsoku/>
                    <w:wordWrap/>
                    <w:overflowPunct/>
                    <w:topLinePunct w:val="0"/>
                    <w:autoSpaceDE w:val="0"/>
                    <w:autoSpaceDN w:val="0"/>
                    <w:bidi w:val="0"/>
                    <w:adjustRightInd/>
                    <w:snapToGrid/>
                    <w:spacing w:before="5" w:beforeAutospacing="0" w:after="79" w:afterLines="25" w:afterAutospacing="0" w:line="240" w:lineRule="auto"/>
                    <w:ind w:left="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冬季有温度要求的房间均设置分体空调。</w:t>
                  </w:r>
                </w:p>
              </w:tc>
            </w:tr>
            <w:tr w14:paraId="341734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92" w:hRule="atLeast"/>
              </w:trPr>
              <w:tc>
                <w:tcPr>
                  <w:tcW w:w="354" w:type="pct"/>
                  <w:vMerge w:val="continue"/>
                  <w:tcBorders>
                    <w:tl2br w:val="nil"/>
                    <w:tr2bl w:val="nil"/>
                  </w:tcBorders>
                  <w:noWrap w:val="0"/>
                  <w:vAlign w:val="center"/>
                </w:tcPr>
                <w:p w14:paraId="40C76647">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jc w:val="left"/>
                    <w:textAlignment w:val="auto"/>
                    <w:outlineLvl w:val="9"/>
                    <w:rPr>
                      <w:rFonts w:hint="eastAsia" w:ascii="宋体" w:hAnsi="宋体" w:eastAsia="宋体" w:cs="宋体"/>
                      <w:b/>
                      <w:color w:val="auto"/>
                      <w:szCs w:val="21"/>
                    </w:rPr>
                  </w:pPr>
                </w:p>
              </w:tc>
              <w:tc>
                <w:tcPr>
                  <w:tcW w:w="892" w:type="pct"/>
                  <w:tcBorders>
                    <w:tl2br w:val="nil"/>
                    <w:tr2bl w:val="nil"/>
                  </w:tcBorders>
                  <w:noWrap w:val="0"/>
                  <w:vAlign w:val="center"/>
                </w:tcPr>
                <w:p w14:paraId="549897B9">
                  <w:pPr>
                    <w:keepNext w:val="0"/>
                    <w:keepLines w:val="0"/>
                    <w:pageBreakBefore w:val="0"/>
                    <w:widowControl/>
                    <w:suppressLineNumbers w:val="0"/>
                    <w:kinsoku/>
                    <w:wordWrap/>
                    <w:overflowPunct/>
                    <w:topLinePunct w:val="0"/>
                    <w:bidi w:val="0"/>
                    <w:adjustRightInd/>
                    <w:snapToGrid/>
                    <w:spacing w:before="5" w:beforeAutospacing="0" w:after="79" w:afterLines="25" w:afterAutospacing="0" w:line="240" w:lineRule="auto"/>
                    <w:ind w:left="0" w:right="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排水</w:t>
                  </w:r>
                </w:p>
              </w:tc>
              <w:tc>
                <w:tcPr>
                  <w:tcW w:w="3752" w:type="pct"/>
                  <w:tcBorders>
                    <w:tl2br w:val="nil"/>
                    <w:tr2bl w:val="nil"/>
                  </w:tcBorders>
                  <w:noWrap w:val="0"/>
                  <w:vAlign w:val="center"/>
                </w:tcPr>
                <w:p w14:paraId="43B3C836">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highlight w:val="none"/>
                      <w:lang w:val="en-US" w:eastAsia="zh-CN"/>
                    </w:rPr>
                    <w:t>生活污水通过污水管道收集后排入一体化污水处理装置进行处理，处理达标后用于荒漠生态恢复的灌溉。</w:t>
                  </w:r>
                </w:p>
              </w:tc>
            </w:tr>
            <w:tr w14:paraId="3CBCAE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0" w:hRule="atLeast"/>
              </w:trPr>
              <w:tc>
                <w:tcPr>
                  <w:tcW w:w="354" w:type="pct"/>
                  <w:vMerge w:val="restart"/>
                  <w:tcBorders>
                    <w:tl2br w:val="nil"/>
                    <w:tr2bl w:val="nil"/>
                  </w:tcBorders>
                  <w:noWrap w:val="0"/>
                  <w:vAlign w:val="center"/>
                </w:tcPr>
                <w:p w14:paraId="30057C8F">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jc w:val="left"/>
                    <w:textAlignment w:val="auto"/>
                    <w:outlineLvl w:val="9"/>
                    <w:rPr>
                      <w:rFonts w:hint="eastAsia" w:ascii="宋体" w:hAnsi="宋体" w:eastAsia="宋体" w:cs="宋体"/>
                      <w:b/>
                      <w:color w:val="auto"/>
                      <w:szCs w:val="21"/>
                      <w:lang w:val="en-US" w:eastAsia="zh-CN"/>
                    </w:rPr>
                  </w:pPr>
                  <w:r>
                    <w:rPr>
                      <w:rFonts w:hint="eastAsia" w:ascii="宋体" w:hAnsi="宋体" w:eastAsia="宋体" w:cs="宋体"/>
                      <w:b/>
                      <w:color w:val="auto"/>
                      <w:szCs w:val="21"/>
                      <w:lang w:val="en-US" w:eastAsia="zh-CN"/>
                    </w:rPr>
                    <w:t>环保工程</w:t>
                  </w:r>
                </w:p>
              </w:tc>
              <w:tc>
                <w:tcPr>
                  <w:tcW w:w="892" w:type="pct"/>
                  <w:tcBorders>
                    <w:tl2br w:val="nil"/>
                    <w:tr2bl w:val="nil"/>
                  </w:tcBorders>
                  <w:noWrap w:val="0"/>
                  <w:vAlign w:val="center"/>
                </w:tcPr>
                <w:p w14:paraId="2EC26E1C">
                  <w:pPr>
                    <w:keepNext w:val="0"/>
                    <w:keepLines w:val="0"/>
                    <w:pageBreakBefore w:val="0"/>
                    <w:widowControl/>
                    <w:suppressLineNumbers w:val="0"/>
                    <w:kinsoku/>
                    <w:wordWrap/>
                    <w:overflowPunct/>
                    <w:topLinePunct w:val="0"/>
                    <w:bidi w:val="0"/>
                    <w:adjustRightInd/>
                    <w:snapToGrid/>
                    <w:spacing w:before="5" w:beforeAutospacing="0" w:after="79" w:afterLines="25" w:afterAutospacing="0" w:line="240" w:lineRule="auto"/>
                    <w:ind w:left="0" w:right="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废气</w:t>
                  </w:r>
                </w:p>
              </w:tc>
              <w:tc>
                <w:tcPr>
                  <w:tcW w:w="3752" w:type="pct"/>
                  <w:tcBorders>
                    <w:tl2br w:val="nil"/>
                    <w:tr2bl w:val="nil"/>
                  </w:tcBorders>
                  <w:noWrap w:val="0"/>
                  <w:vAlign w:val="center"/>
                </w:tcPr>
                <w:p w14:paraId="2C3AD4E0">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jc w:val="both"/>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升压站食堂安装油烟机用于餐饮油烟处理。</w:t>
                  </w:r>
                </w:p>
              </w:tc>
            </w:tr>
            <w:tr w14:paraId="2E2D8D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71" w:hRule="atLeast"/>
              </w:trPr>
              <w:tc>
                <w:tcPr>
                  <w:tcW w:w="354" w:type="pct"/>
                  <w:vMerge w:val="continue"/>
                  <w:tcBorders>
                    <w:tl2br w:val="nil"/>
                    <w:tr2bl w:val="nil"/>
                  </w:tcBorders>
                  <w:noWrap w:val="0"/>
                  <w:vAlign w:val="center"/>
                </w:tcPr>
                <w:p w14:paraId="4961A19E">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jc w:val="left"/>
                    <w:textAlignment w:val="auto"/>
                    <w:outlineLvl w:val="9"/>
                    <w:rPr>
                      <w:rFonts w:hint="eastAsia" w:ascii="宋体" w:hAnsi="宋体" w:eastAsia="宋体" w:cs="宋体"/>
                      <w:b/>
                      <w:color w:val="auto"/>
                      <w:szCs w:val="21"/>
                      <w:lang w:val="en-US" w:eastAsia="zh-CN"/>
                    </w:rPr>
                  </w:pPr>
                </w:p>
              </w:tc>
              <w:tc>
                <w:tcPr>
                  <w:tcW w:w="892" w:type="pct"/>
                  <w:tcBorders>
                    <w:tl2br w:val="nil"/>
                    <w:tr2bl w:val="nil"/>
                  </w:tcBorders>
                  <w:noWrap w:val="0"/>
                  <w:vAlign w:val="center"/>
                </w:tcPr>
                <w:p w14:paraId="5CFD3E26">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Cs w:val="21"/>
                    </w:rPr>
                  </w:pPr>
                  <w:r>
                    <w:rPr>
                      <w:rFonts w:hint="eastAsia" w:ascii="宋体" w:hAnsi="宋体" w:eastAsia="宋体" w:cs="宋体"/>
                      <w:color w:val="auto"/>
                      <w:szCs w:val="21"/>
                      <w:lang w:val="en-US" w:eastAsia="zh-CN"/>
                    </w:rPr>
                    <w:t>废水</w:t>
                  </w:r>
                </w:p>
              </w:tc>
              <w:tc>
                <w:tcPr>
                  <w:tcW w:w="3752" w:type="pct"/>
                  <w:tcBorders>
                    <w:tl2br w:val="nil"/>
                    <w:tr2bl w:val="nil"/>
                  </w:tcBorders>
                  <w:noWrap w:val="0"/>
                  <w:vAlign w:val="center"/>
                </w:tcPr>
                <w:p w14:paraId="54A9C0F2">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jc w:val="both"/>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设置处理量为</w:t>
                  </w:r>
                  <w:r>
                    <w:rPr>
                      <w:rFonts w:hint="eastAsia" w:ascii="宋体" w:hAnsi="宋体" w:cs="宋体"/>
                      <w:color w:val="auto"/>
                      <w:szCs w:val="21"/>
                      <w:highlight w:val="none"/>
                      <w:lang w:val="en-US" w:eastAsia="zh-CN"/>
                    </w:rPr>
                    <w:t>24</w:t>
                  </w:r>
                  <w:r>
                    <w:rPr>
                      <w:rFonts w:hint="eastAsia" w:ascii="宋体" w:hAnsi="宋体" w:eastAsia="宋体" w:cs="宋体"/>
                      <w:color w:val="auto"/>
                      <w:szCs w:val="21"/>
                      <w:highlight w:val="none"/>
                      <w:lang w:val="en-US" w:eastAsia="zh-CN"/>
                    </w:rPr>
                    <w:t>m</w:t>
                  </w:r>
                  <w:r>
                    <w:rPr>
                      <w:rFonts w:hint="eastAsia" w:ascii="宋体" w:hAnsi="宋体" w:eastAsia="宋体" w:cs="宋体"/>
                      <w:color w:val="auto"/>
                      <w:szCs w:val="21"/>
                      <w:highlight w:val="none"/>
                      <w:vertAlign w:val="superscript"/>
                      <w:lang w:val="en-US" w:eastAsia="zh-CN"/>
                    </w:rPr>
                    <w:t>3</w:t>
                  </w: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d</w:t>
                  </w:r>
                  <w:r>
                    <w:rPr>
                      <w:rFonts w:hint="eastAsia" w:ascii="宋体" w:hAnsi="宋体" w:eastAsia="宋体" w:cs="宋体"/>
                      <w:color w:val="auto"/>
                      <w:szCs w:val="21"/>
                      <w:highlight w:val="none"/>
                      <w:lang w:val="en-US" w:eastAsia="zh-CN"/>
                    </w:rPr>
                    <w:t>地埋式一体化生活污水处理装置及</w:t>
                  </w:r>
                  <w:r>
                    <w:rPr>
                      <w:rFonts w:hint="eastAsia" w:ascii="宋体" w:hAnsi="宋体" w:eastAsia="宋体" w:cs="宋体"/>
                      <w:color w:val="auto"/>
                      <w:sz w:val="21"/>
                      <w:szCs w:val="21"/>
                      <w:highlight w:val="none"/>
                      <w:lang w:val="en-US" w:eastAsia="zh-CN"/>
                    </w:rPr>
                    <w:t>150</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Cs w:val="21"/>
                      <w:highlight w:val="none"/>
                      <w:lang w:val="en-US" w:eastAsia="zh-CN"/>
                    </w:rPr>
                    <w:t>防渗集水池一座。生活</w:t>
                  </w:r>
                  <w:r>
                    <w:rPr>
                      <w:rFonts w:hint="eastAsia" w:ascii="宋体" w:hAnsi="宋体" w:eastAsia="宋体" w:cs="宋体"/>
                      <w:color w:val="auto"/>
                      <w:sz w:val="21"/>
                      <w:szCs w:val="21"/>
                      <w:lang w:val="en-US" w:eastAsia="zh-CN"/>
                    </w:rPr>
                    <w:t>污水处理达标后排入集水池内冬贮夏灌，最终用于荒漠生态恢复的灌溉。</w:t>
                  </w:r>
                </w:p>
              </w:tc>
            </w:tr>
            <w:tr w14:paraId="2CE0F3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15" w:hRule="atLeast"/>
              </w:trPr>
              <w:tc>
                <w:tcPr>
                  <w:tcW w:w="354" w:type="pct"/>
                  <w:vMerge w:val="continue"/>
                  <w:tcBorders>
                    <w:tl2br w:val="nil"/>
                    <w:tr2bl w:val="nil"/>
                  </w:tcBorders>
                  <w:noWrap w:val="0"/>
                  <w:vAlign w:val="center"/>
                </w:tcPr>
                <w:p w14:paraId="51D5C1C0">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jc w:val="left"/>
                    <w:textAlignment w:val="auto"/>
                    <w:outlineLvl w:val="9"/>
                    <w:rPr>
                      <w:rFonts w:hint="eastAsia" w:ascii="宋体" w:hAnsi="宋体" w:eastAsia="宋体" w:cs="宋体"/>
                      <w:b/>
                      <w:color w:val="auto"/>
                      <w:szCs w:val="21"/>
                    </w:rPr>
                  </w:pPr>
                </w:p>
              </w:tc>
              <w:tc>
                <w:tcPr>
                  <w:tcW w:w="892" w:type="pct"/>
                  <w:tcBorders>
                    <w:tl2br w:val="nil"/>
                    <w:tr2bl w:val="nil"/>
                  </w:tcBorders>
                  <w:noWrap w:val="0"/>
                  <w:vAlign w:val="center"/>
                </w:tcPr>
                <w:p w14:paraId="33C750B2">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噪声</w:t>
                  </w:r>
                </w:p>
              </w:tc>
              <w:tc>
                <w:tcPr>
                  <w:tcW w:w="3752" w:type="pct"/>
                  <w:tcBorders>
                    <w:tl2br w:val="nil"/>
                    <w:tr2bl w:val="nil"/>
                  </w:tcBorders>
                  <w:noWrap w:val="0"/>
                  <w:vAlign w:val="center"/>
                </w:tcPr>
                <w:p w14:paraId="2C1FA7E8">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jc w:val="left"/>
                    <w:textAlignment w:val="auto"/>
                    <w:outlineLvl w:val="9"/>
                    <w:rPr>
                      <w:rFonts w:hint="eastAsia" w:ascii="宋体" w:hAnsi="宋体" w:eastAsia="宋体" w:cs="宋体"/>
                      <w:color w:val="0000FF"/>
                      <w:kern w:val="2"/>
                      <w:sz w:val="21"/>
                      <w:szCs w:val="21"/>
                      <w:lang w:val="en-US" w:eastAsia="zh-CN" w:bidi="ar-SA"/>
                    </w:rPr>
                  </w:pPr>
                  <w:r>
                    <w:rPr>
                      <w:rFonts w:hint="eastAsia" w:ascii="宋体" w:hAnsi="宋体" w:eastAsia="宋体" w:cs="宋体"/>
                      <w:color w:val="auto"/>
                      <w:sz w:val="21"/>
                      <w:szCs w:val="21"/>
                      <w:lang w:val="en-US" w:eastAsia="zh-CN"/>
                    </w:rPr>
                    <w:t>设备基础减震，选用低噪声设备，加强车辆运行管理。</w:t>
                  </w:r>
                </w:p>
              </w:tc>
            </w:tr>
            <w:tr w14:paraId="62FC91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374" w:hRule="atLeast"/>
              </w:trPr>
              <w:tc>
                <w:tcPr>
                  <w:tcW w:w="354" w:type="pct"/>
                  <w:vMerge w:val="continue"/>
                  <w:tcBorders>
                    <w:tl2br w:val="nil"/>
                    <w:tr2bl w:val="nil"/>
                  </w:tcBorders>
                  <w:noWrap w:val="0"/>
                  <w:vAlign w:val="center"/>
                </w:tcPr>
                <w:p w14:paraId="1B1591A6">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jc w:val="left"/>
                    <w:textAlignment w:val="auto"/>
                    <w:outlineLvl w:val="9"/>
                    <w:rPr>
                      <w:rFonts w:hint="eastAsia" w:ascii="宋体" w:hAnsi="宋体" w:eastAsia="宋体" w:cs="宋体"/>
                      <w:b/>
                      <w:color w:val="auto"/>
                      <w:szCs w:val="21"/>
                    </w:rPr>
                  </w:pPr>
                </w:p>
              </w:tc>
              <w:tc>
                <w:tcPr>
                  <w:tcW w:w="892" w:type="pct"/>
                  <w:tcBorders>
                    <w:tl2br w:val="nil"/>
                    <w:tr2bl w:val="nil"/>
                  </w:tcBorders>
                  <w:noWrap w:val="0"/>
                  <w:vAlign w:val="center"/>
                </w:tcPr>
                <w:p w14:paraId="23DBC4BB">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固废</w:t>
                  </w:r>
                </w:p>
              </w:tc>
              <w:tc>
                <w:tcPr>
                  <w:tcW w:w="3752" w:type="pct"/>
                  <w:tcBorders>
                    <w:tl2br w:val="nil"/>
                    <w:tr2bl w:val="nil"/>
                  </w:tcBorders>
                  <w:noWrap w:val="0"/>
                  <w:vAlign w:val="center"/>
                </w:tcPr>
                <w:p w14:paraId="705FBD6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left"/>
                    <w:textAlignment w:val="auto"/>
                    <w:rPr>
                      <w:rStyle w:val="88"/>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lang w:val="en-US" w:eastAsia="zh-CN"/>
                    </w:rPr>
                    <w:t>按照《危险废物贮存污染控制标准》（GB18597-2023），在升压站内设置1个危废</w:t>
                  </w:r>
                  <w:r>
                    <w:rPr>
                      <w:rFonts w:hint="eastAsia" w:ascii="宋体" w:hAnsi="宋体" w:eastAsia="宋体" w:cs="宋体"/>
                      <w:color w:val="auto"/>
                      <w:sz w:val="21"/>
                      <w:szCs w:val="21"/>
                      <w:u w:val="none"/>
                      <w:lang w:val="en-US" w:eastAsia="zh-CN"/>
                    </w:rPr>
                    <w:t>贮存点</w:t>
                  </w:r>
                  <w:r>
                    <w:rPr>
                      <w:rFonts w:hint="eastAsia" w:ascii="宋体" w:hAnsi="宋体" w:eastAsia="宋体" w:cs="宋体"/>
                      <w:color w:val="auto"/>
                      <w:sz w:val="21"/>
                      <w:szCs w:val="21"/>
                      <w:lang w:val="en-US" w:eastAsia="zh-CN"/>
                    </w:rPr>
                    <w:t>，占地面</w:t>
                  </w:r>
                  <w:r>
                    <w:rPr>
                      <w:rFonts w:hint="eastAsia" w:ascii="宋体" w:hAnsi="宋体" w:eastAsia="宋体" w:cs="宋体"/>
                      <w:color w:val="auto"/>
                      <w:sz w:val="21"/>
                      <w:szCs w:val="21"/>
                      <w:highlight w:val="none"/>
                      <w:lang w:val="en-US" w:eastAsia="zh-CN"/>
                    </w:rPr>
                    <w:t>积约30</w:t>
                  </w:r>
                  <w:r>
                    <w:rPr>
                      <w:rStyle w:val="88"/>
                      <w:rFonts w:hint="eastAsia" w:ascii="宋体" w:hAnsi="宋体" w:eastAsia="宋体" w:cs="宋体"/>
                      <w:bCs/>
                      <w:color w:val="auto"/>
                      <w:sz w:val="21"/>
                      <w:szCs w:val="21"/>
                      <w:highlight w:val="none"/>
                    </w:rPr>
                    <w:t>m</w:t>
                  </w:r>
                  <w:r>
                    <w:rPr>
                      <w:rStyle w:val="88"/>
                      <w:rFonts w:hint="eastAsia" w:ascii="宋体" w:hAnsi="宋体" w:eastAsia="宋体" w:cs="宋体"/>
                      <w:bCs/>
                      <w:color w:val="auto"/>
                      <w:sz w:val="21"/>
                      <w:szCs w:val="21"/>
                      <w:highlight w:val="none"/>
                      <w:vertAlign w:val="superscript"/>
                    </w:rPr>
                    <w:t>2</w:t>
                  </w:r>
                  <w:r>
                    <w:rPr>
                      <w:rStyle w:val="88"/>
                      <w:rFonts w:hint="eastAsia" w:ascii="宋体" w:hAnsi="宋体" w:eastAsia="宋体" w:cs="宋体"/>
                      <w:bCs/>
                      <w:color w:val="auto"/>
                      <w:sz w:val="21"/>
                      <w:szCs w:val="21"/>
                      <w:highlight w:val="none"/>
                      <w:lang w:eastAsia="zh-CN"/>
                    </w:rPr>
                    <w:t>，</w:t>
                  </w:r>
                  <w:r>
                    <w:rPr>
                      <w:rStyle w:val="88"/>
                      <w:rFonts w:hint="eastAsia" w:ascii="宋体" w:hAnsi="宋体" w:eastAsia="宋体" w:cs="宋体"/>
                      <w:bCs/>
                      <w:color w:val="auto"/>
                      <w:sz w:val="21"/>
                      <w:szCs w:val="21"/>
                      <w:highlight w:val="none"/>
                      <w:lang w:val="en-US" w:eastAsia="zh-CN"/>
                    </w:rPr>
                    <w:t>用于贮存项目产生的危险废物，并采取相应防渗措施，</w:t>
                  </w:r>
                  <w:r>
                    <w:rPr>
                      <w:rFonts w:hint="eastAsia" w:ascii="宋体" w:hAnsi="宋体" w:eastAsia="宋体" w:cs="宋体"/>
                      <w:color w:val="auto"/>
                      <w:sz w:val="21"/>
                      <w:szCs w:val="21"/>
                      <w:highlight w:val="none"/>
                    </w:rPr>
                    <w:t>渗透系数≤10</w:t>
                  </w:r>
                  <w:r>
                    <w:rPr>
                      <w:rFonts w:hint="eastAsia" w:ascii="宋体" w:hAnsi="宋体" w:eastAsia="宋体" w:cs="宋体"/>
                      <w:color w:val="auto"/>
                      <w:sz w:val="21"/>
                      <w:szCs w:val="21"/>
                      <w:highlight w:val="none"/>
                      <w:vertAlign w:val="superscript"/>
                    </w:rPr>
                    <w:t>-10</w:t>
                  </w:r>
                  <w:r>
                    <w:rPr>
                      <w:rFonts w:hint="eastAsia" w:ascii="宋体" w:hAnsi="宋体" w:eastAsia="宋体" w:cs="宋体"/>
                      <w:color w:val="auto"/>
                      <w:sz w:val="21"/>
                      <w:szCs w:val="21"/>
                      <w:highlight w:val="none"/>
                    </w:rPr>
                    <w:t>cm/s。</w:t>
                  </w:r>
                </w:p>
                <w:p w14:paraId="759F6E18">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jc w:val="left"/>
                    <w:textAlignment w:val="auto"/>
                    <w:outlineLvl w:val="9"/>
                    <w:rPr>
                      <w:rFonts w:hint="eastAsia" w:ascii="宋体" w:hAnsi="宋体" w:eastAsia="宋体" w:cs="宋体"/>
                      <w:color w:val="auto"/>
                      <w:lang w:val="en-US" w:eastAsia="zh-CN"/>
                    </w:rPr>
                  </w:pPr>
                  <w:r>
                    <w:rPr>
                      <w:rFonts w:hint="eastAsia" w:ascii="宋体" w:hAnsi="宋体" w:cs="宋体"/>
                      <w:color w:val="auto"/>
                      <w:sz w:val="21"/>
                      <w:szCs w:val="21"/>
                      <w:lang w:val="en-US" w:eastAsia="zh-CN"/>
                    </w:rPr>
                    <w:t>事故废油、</w:t>
                  </w:r>
                  <w:r>
                    <w:rPr>
                      <w:rFonts w:hint="eastAsia" w:ascii="宋体" w:hAnsi="宋体" w:eastAsia="宋体" w:cs="宋体"/>
                      <w:color w:val="auto"/>
                      <w:sz w:val="21"/>
                      <w:szCs w:val="21"/>
                    </w:rPr>
                    <w:t>废铅蓄</w:t>
                  </w:r>
                  <w:r>
                    <w:rPr>
                      <w:rFonts w:hint="eastAsia" w:ascii="宋体" w:hAnsi="宋体" w:eastAsia="宋体" w:cs="宋体"/>
                      <w:color w:val="auto"/>
                      <w:sz w:val="21"/>
                      <w:szCs w:val="21"/>
                      <w:highlight w:val="none"/>
                    </w:rPr>
                    <w:t>电池暂存于</w:t>
                  </w:r>
                  <w:r>
                    <w:rPr>
                      <w:rFonts w:hint="eastAsia" w:ascii="宋体" w:hAnsi="宋体" w:eastAsia="宋体" w:cs="宋体"/>
                      <w:color w:val="auto"/>
                      <w:sz w:val="21"/>
                      <w:szCs w:val="21"/>
                      <w:highlight w:val="none"/>
                      <w:lang w:val="en-US" w:eastAsia="zh-CN"/>
                    </w:rPr>
                    <w:t>危废贮存点</w:t>
                  </w:r>
                  <w:r>
                    <w:rPr>
                      <w:rFonts w:hint="eastAsia" w:ascii="宋体" w:hAnsi="宋体" w:eastAsia="宋体" w:cs="宋体"/>
                      <w:color w:val="auto"/>
                      <w:sz w:val="21"/>
                      <w:szCs w:val="21"/>
                      <w:highlight w:val="none"/>
                    </w:rPr>
                    <w:t>，委托有资质单位处理；</w:t>
                  </w:r>
                  <w:r>
                    <w:rPr>
                      <w:rFonts w:hint="eastAsia" w:ascii="宋体" w:hAnsi="宋体" w:eastAsia="宋体" w:cs="宋体"/>
                      <w:color w:val="auto"/>
                      <w:sz w:val="21"/>
                      <w:szCs w:val="21"/>
                      <w:lang w:val="en-US" w:eastAsia="zh-CN"/>
                    </w:rPr>
                    <w:t>主变压器</w:t>
                  </w:r>
                  <w:r>
                    <w:rPr>
                      <w:rFonts w:hint="eastAsia" w:ascii="宋体" w:hAnsi="宋体" w:eastAsia="宋体" w:cs="宋体"/>
                      <w:color w:val="auto"/>
                      <w:sz w:val="21"/>
                      <w:szCs w:val="21"/>
                    </w:rPr>
                    <w:t>事故状态下的废变压器油暂存于事故油池，及时委托有资质的单位进行处理。</w:t>
                  </w:r>
                  <w:r>
                    <w:rPr>
                      <w:rFonts w:hint="eastAsia" w:ascii="宋体" w:hAnsi="宋体" w:eastAsia="宋体" w:cs="宋体"/>
                      <w:color w:val="auto"/>
                      <w:sz w:val="21"/>
                      <w:szCs w:val="21"/>
                      <w:highlight w:val="none"/>
                      <w:lang w:val="en-US" w:eastAsia="zh-CN"/>
                    </w:rPr>
                    <w:t>升压站及输电线路检修过程中产生的报废零部件更换后由维修单位回收，集中处理，不在厂区内贮存。</w:t>
                  </w:r>
                  <w:r>
                    <w:rPr>
                      <w:rFonts w:hint="eastAsia" w:ascii="宋体" w:hAnsi="宋体" w:eastAsia="宋体" w:cs="宋体"/>
                      <w:color w:val="auto"/>
                      <w:lang w:val="en-US" w:eastAsia="zh-CN"/>
                    </w:rPr>
                    <w:t>生活区设垃圾桶，</w:t>
                  </w:r>
                  <w:r>
                    <w:rPr>
                      <w:rFonts w:hint="eastAsia" w:ascii="宋体" w:hAnsi="宋体" w:cs="宋体"/>
                      <w:color w:val="auto"/>
                      <w:lang w:val="en-US" w:eastAsia="zh-CN"/>
                    </w:rPr>
                    <w:t>未分类收集的含油抹布和废手套与生活垃圾一同</w:t>
                  </w:r>
                  <w:r>
                    <w:rPr>
                      <w:rFonts w:hint="eastAsia" w:ascii="宋体" w:hAnsi="宋体" w:eastAsia="宋体" w:cs="宋体"/>
                      <w:color w:val="auto"/>
                      <w:lang w:val="en-US" w:eastAsia="zh-CN"/>
                    </w:rPr>
                    <w:t>定期委托环卫部门集中清运至鄯善县生活垃圾填埋场填埋处置。</w:t>
                  </w:r>
                </w:p>
              </w:tc>
            </w:tr>
            <w:tr w14:paraId="60DA64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79" w:hRule="atLeast"/>
              </w:trPr>
              <w:tc>
                <w:tcPr>
                  <w:tcW w:w="354" w:type="pct"/>
                  <w:vMerge w:val="continue"/>
                  <w:tcBorders>
                    <w:tl2br w:val="nil"/>
                    <w:tr2bl w:val="nil"/>
                  </w:tcBorders>
                  <w:noWrap w:val="0"/>
                  <w:vAlign w:val="center"/>
                </w:tcPr>
                <w:p w14:paraId="78530E7D">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jc w:val="left"/>
                    <w:textAlignment w:val="auto"/>
                    <w:outlineLvl w:val="9"/>
                    <w:rPr>
                      <w:rFonts w:hint="eastAsia" w:ascii="宋体" w:hAnsi="宋体" w:eastAsia="宋体" w:cs="宋体"/>
                      <w:b/>
                      <w:color w:val="auto"/>
                      <w:szCs w:val="21"/>
                    </w:rPr>
                  </w:pPr>
                </w:p>
              </w:tc>
              <w:tc>
                <w:tcPr>
                  <w:tcW w:w="892" w:type="pct"/>
                  <w:tcBorders>
                    <w:tl2br w:val="nil"/>
                    <w:tr2bl w:val="nil"/>
                  </w:tcBorders>
                  <w:noWrap w:val="0"/>
                  <w:vAlign w:val="center"/>
                </w:tcPr>
                <w:p w14:paraId="40599CBA">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环境风险</w:t>
                  </w:r>
                </w:p>
              </w:tc>
              <w:tc>
                <w:tcPr>
                  <w:tcW w:w="3752" w:type="pct"/>
                  <w:tcBorders>
                    <w:tl2br w:val="nil"/>
                    <w:tr2bl w:val="nil"/>
                  </w:tcBorders>
                  <w:noWrap w:val="0"/>
                  <w:vAlign w:val="center"/>
                </w:tcPr>
                <w:p w14:paraId="030FA7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color w:val="auto"/>
                      <w:lang w:val="en-US" w:eastAsia="zh-CN"/>
                    </w:rPr>
                  </w:pPr>
                  <w:r>
                    <w:rPr>
                      <w:rFonts w:hint="eastAsia" w:ascii="宋体" w:hAnsi="宋体" w:eastAsia="宋体" w:cs="宋体"/>
                      <w:color w:val="auto"/>
                      <w:sz w:val="21"/>
                      <w:szCs w:val="21"/>
                      <w:lang w:val="en-US" w:eastAsia="zh-CN"/>
                    </w:rPr>
                    <w:t>升压站主变附近新建</w:t>
                  </w:r>
                  <w:r>
                    <w:rPr>
                      <w:rFonts w:hint="eastAsia" w:ascii="宋体" w:hAnsi="宋体" w:eastAsia="宋体" w:cs="宋体"/>
                      <w:color w:val="auto"/>
                      <w:sz w:val="21"/>
                      <w:szCs w:val="21"/>
                    </w:rPr>
                    <w:t>一座事故</w:t>
                  </w:r>
                  <w:r>
                    <w:rPr>
                      <w:rFonts w:hint="eastAsia" w:ascii="宋体" w:hAnsi="宋体" w:eastAsia="宋体" w:cs="宋体"/>
                      <w:color w:val="auto"/>
                      <w:sz w:val="21"/>
                      <w:szCs w:val="21"/>
                      <w:highlight w:val="none"/>
                    </w:rPr>
                    <w:t>油池</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容积80</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3</w:t>
                  </w:r>
                  <w:r>
                    <w:rPr>
                      <w:rFonts w:hint="eastAsia" w:ascii="宋体" w:hAnsi="宋体" w:cs="宋体"/>
                      <w:color w:val="auto"/>
                      <w:sz w:val="21"/>
                      <w:szCs w:val="21"/>
                      <w:highlight w:val="none"/>
                      <w:vertAlign w:val="superscript"/>
                      <w:lang w:eastAsia="zh-CN"/>
                    </w:rPr>
                    <w:t>）</w:t>
                  </w:r>
                  <w:r>
                    <w:rPr>
                      <w:rFonts w:hint="eastAsia" w:ascii="宋体" w:hAnsi="宋体" w:eastAsia="宋体" w:cs="宋体"/>
                      <w:color w:val="auto"/>
                      <w:sz w:val="21"/>
                      <w:szCs w:val="21"/>
                    </w:rPr>
                    <w:t>，满足最大单台变压器100%排油量要求</w:t>
                  </w:r>
                  <w:r>
                    <w:rPr>
                      <w:rFonts w:hint="eastAsia" w:ascii="宋体" w:hAnsi="宋体" w:eastAsia="宋体" w:cs="宋体"/>
                      <w:color w:val="auto"/>
                      <w:sz w:val="21"/>
                      <w:szCs w:val="21"/>
                      <w:highlight w:val="none"/>
                    </w:rPr>
                    <w:t>，防渗符合《危险废物贮存污染控制标准》</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GB18597-20</w:t>
                  </w:r>
                  <w:r>
                    <w:rPr>
                      <w:rFonts w:hint="eastAsia" w:ascii="宋体" w:hAnsi="宋体" w:eastAsia="宋体" w:cs="宋体"/>
                      <w:color w:val="auto"/>
                      <w:sz w:val="21"/>
                      <w:szCs w:val="21"/>
                      <w:highlight w:val="none"/>
                      <w:lang w:val="en-US" w:eastAsia="zh-CN"/>
                    </w:rPr>
                    <w:t>23</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要求。</w:t>
                  </w:r>
                </w:p>
              </w:tc>
            </w:tr>
            <w:tr w14:paraId="3879EA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0" w:hRule="atLeast"/>
              </w:trPr>
              <w:tc>
                <w:tcPr>
                  <w:tcW w:w="354" w:type="pct"/>
                  <w:vMerge w:val="continue"/>
                  <w:tcBorders>
                    <w:tl2br w:val="nil"/>
                    <w:tr2bl w:val="nil"/>
                  </w:tcBorders>
                  <w:noWrap w:val="0"/>
                  <w:vAlign w:val="center"/>
                </w:tcPr>
                <w:p w14:paraId="6FA6EC68">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jc w:val="left"/>
                    <w:textAlignment w:val="auto"/>
                    <w:outlineLvl w:val="9"/>
                    <w:rPr>
                      <w:rFonts w:hint="eastAsia" w:ascii="宋体" w:hAnsi="宋体" w:eastAsia="宋体" w:cs="宋体"/>
                      <w:b/>
                      <w:color w:val="auto"/>
                      <w:szCs w:val="21"/>
                    </w:rPr>
                  </w:pPr>
                </w:p>
              </w:tc>
              <w:tc>
                <w:tcPr>
                  <w:tcW w:w="892" w:type="pct"/>
                  <w:tcBorders>
                    <w:tl2br w:val="nil"/>
                    <w:tr2bl w:val="nil"/>
                  </w:tcBorders>
                  <w:noWrap w:val="0"/>
                  <w:vAlign w:val="center"/>
                </w:tcPr>
                <w:p w14:paraId="5CCB0966">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电磁环境</w:t>
                  </w:r>
                </w:p>
              </w:tc>
              <w:tc>
                <w:tcPr>
                  <w:tcW w:w="3752" w:type="pct"/>
                  <w:tcBorders>
                    <w:tl2br w:val="nil"/>
                    <w:tr2bl w:val="nil"/>
                  </w:tcBorders>
                  <w:noWrap w:val="0"/>
                  <w:vAlign w:val="center"/>
                </w:tcPr>
                <w:p w14:paraId="6D21FD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color w:val="auto"/>
                      <w:lang w:val="en-US" w:eastAsia="zh-CN"/>
                    </w:rPr>
                  </w:pPr>
                  <w:r>
                    <w:rPr>
                      <w:rFonts w:hint="eastAsia" w:ascii="宋体" w:hAnsi="宋体" w:eastAsia="宋体" w:cs="宋体"/>
                      <w:color w:val="auto"/>
                      <w:sz w:val="21"/>
                      <w:szCs w:val="21"/>
                      <w:lang w:val="en-US" w:eastAsia="zh-CN"/>
                    </w:rPr>
                    <w:t>升压站首选优良设备，在总平面布置上，按功能分区布置。设立警示标志，禁止无关人员进入升压站或靠近带电架构。</w:t>
                  </w:r>
                </w:p>
              </w:tc>
            </w:tr>
          </w:tbl>
          <w:p w14:paraId="0C7F77EF">
            <w:pPr>
              <w:keepNext w:val="0"/>
              <w:keepLines w:val="0"/>
              <w:pageBreakBefore w:val="0"/>
              <w:widowControl w:val="0"/>
              <w:suppressLineNumbers w:val="0"/>
              <w:kinsoku/>
              <w:wordWrap/>
              <w:overflowPunct/>
              <w:topLinePunct w:val="0"/>
              <w:autoSpaceDE/>
              <w:autoSpaceDN/>
              <w:bidi w:val="0"/>
              <w:adjustRightInd/>
              <w:snapToGrid w:val="0"/>
              <w:spacing w:before="313" w:beforeLines="100" w:beforeAutospacing="0" w:after="0" w:afterAutospacing="0" w:line="360" w:lineRule="auto"/>
              <w:ind w:left="0" w:right="0"/>
              <w:textAlignment w:val="auto"/>
              <w:rPr>
                <w:rFonts w:hint="eastAsia" w:ascii="宋体" w:hAnsi="宋体" w:eastAsia="宋体" w:cs="宋体"/>
                <w:b/>
                <w:color w:val="auto"/>
                <w:sz w:val="24"/>
                <w:szCs w:val="21"/>
                <w:highlight w:val="none"/>
                <w:lang w:val="en-US" w:eastAsia="zh-CN"/>
              </w:rPr>
            </w:pPr>
          </w:p>
          <w:p w14:paraId="5AC8CA06">
            <w:pPr>
              <w:keepNext w:val="0"/>
              <w:keepLines w:val="0"/>
              <w:pageBreakBefore w:val="0"/>
              <w:widowControl w:val="0"/>
              <w:suppressLineNumbers w:val="0"/>
              <w:kinsoku/>
              <w:wordWrap/>
              <w:overflowPunct/>
              <w:topLinePunct w:val="0"/>
              <w:autoSpaceDE/>
              <w:autoSpaceDN/>
              <w:bidi w:val="0"/>
              <w:adjustRightInd/>
              <w:snapToGrid w:val="0"/>
              <w:spacing w:before="313" w:beforeLines="100" w:beforeAutospacing="0" w:after="0" w:afterAutospacing="0" w:line="360" w:lineRule="auto"/>
              <w:ind w:left="0" w:right="0"/>
              <w:textAlignment w:val="auto"/>
              <w:rPr>
                <w:rFonts w:hint="eastAsia" w:ascii="宋体" w:hAnsi="宋体" w:eastAsia="宋体" w:cs="宋体"/>
                <w:b/>
                <w:color w:val="auto"/>
                <w:sz w:val="24"/>
                <w:szCs w:val="21"/>
                <w:highlight w:val="none"/>
                <w:lang w:val="en-US" w:eastAsia="zh-CN"/>
              </w:rPr>
            </w:pPr>
            <w:r>
              <w:rPr>
                <w:rFonts w:hint="eastAsia" w:ascii="宋体" w:hAnsi="宋体" w:eastAsia="宋体" w:cs="宋体"/>
                <w:b/>
                <w:color w:val="auto"/>
                <w:sz w:val="24"/>
                <w:szCs w:val="21"/>
                <w:highlight w:val="none"/>
                <w:lang w:val="en-US" w:eastAsia="zh-CN"/>
              </w:rPr>
              <w:t>3</w:t>
            </w:r>
            <w:r>
              <w:rPr>
                <w:rFonts w:hint="eastAsia" w:ascii="宋体" w:hAnsi="宋体" w:eastAsia="宋体" w:cs="宋体"/>
                <w:b/>
                <w:color w:val="auto"/>
                <w:sz w:val="24"/>
                <w:szCs w:val="21"/>
                <w:highlight w:val="none"/>
              </w:rPr>
              <w:t>主要经济技术指标</w:t>
            </w:r>
          </w:p>
          <w:p w14:paraId="2AF603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本项目主要经济指标，见表2-2。</w:t>
            </w:r>
          </w:p>
          <w:p w14:paraId="1E05DA93">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color w:val="auto"/>
                <w:sz w:val="24"/>
                <w:szCs w:val="20"/>
              </w:rPr>
            </w:pPr>
            <w:r>
              <w:rPr>
                <w:rFonts w:hint="eastAsia" w:ascii="宋体" w:hAnsi="宋体" w:eastAsia="宋体" w:cs="宋体"/>
                <w:b/>
                <w:color w:val="auto"/>
                <w:sz w:val="24"/>
              </w:rPr>
              <w:t>表2-2</w:t>
            </w:r>
            <w:r>
              <w:rPr>
                <w:rFonts w:hint="eastAsia" w:ascii="宋体" w:hAnsi="宋体" w:eastAsia="宋体" w:cs="宋体"/>
                <w:b/>
                <w:color w:val="auto"/>
                <w:sz w:val="24"/>
                <w:lang w:val="en-US" w:eastAsia="zh-CN"/>
              </w:rPr>
              <w:t xml:space="preserve">    </w:t>
            </w:r>
            <w:r>
              <w:rPr>
                <w:rFonts w:hint="eastAsia" w:ascii="宋体" w:hAnsi="宋体" w:eastAsia="宋体" w:cs="宋体"/>
                <w:b/>
                <w:color w:val="auto"/>
                <w:sz w:val="24"/>
              </w:rPr>
              <w:t>建设项目主要经济指标</w:t>
            </w:r>
          </w:p>
          <w:tbl>
            <w:tblPr>
              <w:tblStyle w:val="32"/>
              <w:tblpPr w:leftFromText="180" w:rightFromText="180" w:vertAnchor="text" w:horzAnchor="margin" w:tblpXSpec="center" w:tblpYSpec="outside"/>
              <w:tblOverlap w:val="never"/>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5"/>
              <w:gridCol w:w="5954"/>
              <w:gridCol w:w="1300"/>
            </w:tblGrid>
            <w:tr w14:paraId="22334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48" w:type="pct"/>
                  <w:tcBorders>
                    <w:top w:val="single" w:color="auto" w:sz="12" w:space="0"/>
                    <w:left w:val="single" w:color="auto" w:sz="12" w:space="0"/>
                    <w:bottom w:val="single" w:color="auto" w:sz="6" w:space="0"/>
                    <w:right w:val="single" w:color="auto" w:sz="6" w:space="0"/>
                  </w:tcBorders>
                  <w:noWrap w:val="0"/>
                  <w:vAlign w:val="center"/>
                </w:tcPr>
                <w:p w14:paraId="2B924398">
                  <w:pPr>
                    <w:keepNext w:val="0"/>
                    <w:keepLines w:val="0"/>
                    <w:suppressLineNumbers w:val="0"/>
                    <w:spacing w:before="0" w:beforeAutospacing="0" w:after="0" w:afterAutospacing="0"/>
                    <w:ind w:left="0" w:right="0"/>
                    <w:jc w:val="center"/>
                    <w:rPr>
                      <w:rFonts w:hint="eastAsia" w:ascii="宋体" w:hAnsi="宋体" w:eastAsia="宋体" w:cs="宋体"/>
                      <w:b/>
                      <w:color w:val="auto"/>
                      <w:szCs w:val="21"/>
                    </w:rPr>
                  </w:pPr>
                  <w:r>
                    <w:rPr>
                      <w:rFonts w:hint="eastAsia" w:ascii="宋体" w:hAnsi="宋体" w:eastAsia="宋体" w:cs="宋体"/>
                      <w:b/>
                      <w:color w:val="auto"/>
                      <w:szCs w:val="21"/>
                    </w:rPr>
                    <w:t>序号</w:t>
                  </w:r>
                </w:p>
              </w:tc>
              <w:tc>
                <w:tcPr>
                  <w:tcW w:w="3735" w:type="pct"/>
                  <w:tcBorders>
                    <w:top w:val="single" w:color="auto" w:sz="12" w:space="0"/>
                    <w:left w:val="single" w:color="auto" w:sz="6" w:space="0"/>
                    <w:bottom w:val="single" w:color="auto" w:sz="6" w:space="0"/>
                    <w:right w:val="single" w:color="auto" w:sz="6" w:space="0"/>
                  </w:tcBorders>
                  <w:noWrap w:val="0"/>
                  <w:vAlign w:val="center"/>
                </w:tcPr>
                <w:p w14:paraId="5BD47F8C">
                  <w:pPr>
                    <w:keepNext w:val="0"/>
                    <w:keepLines w:val="0"/>
                    <w:suppressLineNumbers w:val="0"/>
                    <w:spacing w:before="0" w:beforeAutospacing="0" w:after="0" w:afterAutospacing="0"/>
                    <w:ind w:left="0" w:right="0"/>
                    <w:jc w:val="center"/>
                    <w:rPr>
                      <w:rFonts w:hint="eastAsia" w:ascii="宋体" w:hAnsi="宋体" w:eastAsia="宋体" w:cs="宋体"/>
                      <w:b/>
                      <w:color w:val="auto"/>
                      <w:szCs w:val="21"/>
                    </w:rPr>
                  </w:pPr>
                  <w:r>
                    <w:rPr>
                      <w:rFonts w:hint="eastAsia" w:ascii="宋体" w:hAnsi="宋体" w:eastAsia="宋体" w:cs="宋体"/>
                      <w:b/>
                      <w:color w:val="auto"/>
                      <w:szCs w:val="21"/>
                    </w:rPr>
                    <w:t>项目</w:t>
                  </w:r>
                </w:p>
              </w:tc>
              <w:tc>
                <w:tcPr>
                  <w:tcW w:w="815" w:type="pct"/>
                  <w:tcBorders>
                    <w:top w:val="single" w:color="auto" w:sz="12" w:space="0"/>
                    <w:left w:val="single" w:color="auto" w:sz="6" w:space="0"/>
                    <w:bottom w:val="single" w:color="auto" w:sz="6" w:space="0"/>
                    <w:right w:val="single" w:color="auto" w:sz="12" w:space="0"/>
                  </w:tcBorders>
                  <w:noWrap w:val="0"/>
                  <w:vAlign w:val="center"/>
                </w:tcPr>
                <w:p w14:paraId="45C7E5AA">
                  <w:pPr>
                    <w:keepNext w:val="0"/>
                    <w:keepLines w:val="0"/>
                    <w:suppressLineNumbers w:val="0"/>
                    <w:spacing w:before="0" w:beforeAutospacing="0" w:after="0" w:afterAutospacing="0"/>
                    <w:ind w:left="0" w:right="0"/>
                    <w:jc w:val="center"/>
                    <w:rPr>
                      <w:rFonts w:hint="eastAsia" w:ascii="宋体" w:hAnsi="宋体" w:eastAsia="宋体" w:cs="宋体"/>
                      <w:b/>
                      <w:color w:val="auto"/>
                      <w:szCs w:val="21"/>
                    </w:rPr>
                  </w:pPr>
                  <w:r>
                    <w:rPr>
                      <w:rFonts w:hint="eastAsia" w:ascii="宋体" w:hAnsi="宋体" w:eastAsia="宋体" w:cs="宋体"/>
                      <w:b/>
                      <w:color w:val="auto"/>
                      <w:szCs w:val="21"/>
                    </w:rPr>
                    <w:t>金额</w:t>
                  </w:r>
                  <w:r>
                    <w:rPr>
                      <w:rFonts w:hint="eastAsia" w:ascii="宋体" w:hAnsi="宋体" w:eastAsia="宋体" w:cs="宋体"/>
                      <w:b/>
                      <w:color w:val="auto"/>
                      <w:szCs w:val="21"/>
                      <w:lang w:eastAsia="zh-CN"/>
                    </w:rPr>
                    <w:t>（</w:t>
                  </w:r>
                  <w:r>
                    <w:rPr>
                      <w:rFonts w:hint="eastAsia" w:ascii="宋体" w:hAnsi="宋体" w:eastAsia="宋体" w:cs="宋体"/>
                      <w:b/>
                      <w:color w:val="auto"/>
                      <w:szCs w:val="21"/>
                    </w:rPr>
                    <w:t>万元</w:t>
                  </w:r>
                  <w:r>
                    <w:rPr>
                      <w:rFonts w:hint="eastAsia" w:ascii="宋体" w:hAnsi="宋体" w:cs="宋体"/>
                      <w:b/>
                      <w:color w:val="auto"/>
                      <w:szCs w:val="21"/>
                      <w:lang w:eastAsia="zh-CN"/>
                    </w:rPr>
                    <w:t>）</w:t>
                  </w:r>
                </w:p>
              </w:tc>
            </w:tr>
            <w:tr w14:paraId="1BA35B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48" w:type="pct"/>
                  <w:tcBorders>
                    <w:top w:val="single" w:color="auto" w:sz="6" w:space="0"/>
                    <w:left w:val="single" w:color="auto" w:sz="12" w:space="0"/>
                    <w:bottom w:val="single" w:color="auto" w:sz="6" w:space="0"/>
                    <w:right w:val="single" w:color="auto" w:sz="6" w:space="0"/>
                  </w:tcBorders>
                  <w:noWrap w:val="0"/>
                  <w:vAlign w:val="center"/>
                </w:tcPr>
                <w:p w14:paraId="7726A527">
                  <w:pPr>
                    <w:keepNext w:val="0"/>
                    <w:keepLines w:val="0"/>
                    <w:suppressLineNumbers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3735" w:type="pct"/>
                  <w:tcBorders>
                    <w:top w:val="single" w:color="auto" w:sz="6" w:space="0"/>
                    <w:left w:val="single" w:color="auto" w:sz="6" w:space="0"/>
                    <w:bottom w:val="single" w:color="auto" w:sz="6" w:space="0"/>
                    <w:right w:val="single" w:color="auto" w:sz="6" w:space="0"/>
                  </w:tcBorders>
                  <w:noWrap w:val="0"/>
                  <w:vAlign w:val="center"/>
                </w:tcPr>
                <w:p w14:paraId="49A47AD2">
                  <w:pPr>
                    <w:keepNext w:val="0"/>
                    <w:keepLines w:val="0"/>
                    <w:suppressLineNumbers w:val="0"/>
                    <w:spacing w:before="0" w:beforeAutospacing="0" w:after="0" w:afterAutospacing="0"/>
                    <w:ind w:left="0" w:right="0"/>
                    <w:jc w:val="center"/>
                    <w:rPr>
                      <w:rFonts w:hint="eastAsia" w:ascii="宋体" w:hAnsi="宋体" w:eastAsia="宋体" w:cs="宋体"/>
                      <w:color w:val="auto"/>
                      <w:spacing w:val="-6"/>
                      <w:szCs w:val="21"/>
                      <w:lang w:val="en-US" w:eastAsia="zh-CN"/>
                    </w:rPr>
                  </w:pPr>
                  <w:r>
                    <w:rPr>
                      <w:rFonts w:hint="eastAsia" w:ascii="宋体" w:hAnsi="宋体" w:eastAsia="宋体" w:cs="宋体"/>
                      <w:color w:val="auto"/>
                      <w:spacing w:val="-6"/>
                      <w:szCs w:val="21"/>
                    </w:rPr>
                    <w:t></w:t>
                  </w:r>
                  <w:r>
                    <w:rPr>
                      <w:rFonts w:hint="eastAsia" w:ascii="宋体" w:hAnsi="宋体" w:eastAsia="宋体" w:cs="宋体"/>
                      <w:color w:val="auto"/>
                      <w:sz w:val="21"/>
                      <w:szCs w:val="21"/>
                      <w:lang w:val="en-US" w:eastAsia="zh-CN"/>
                    </w:rPr>
                    <w:t>本项目220千伏升压站</w:t>
                  </w:r>
                </w:p>
              </w:tc>
              <w:tc>
                <w:tcPr>
                  <w:tcW w:w="815" w:type="pct"/>
                  <w:tcBorders>
                    <w:top w:val="single" w:color="auto" w:sz="6" w:space="0"/>
                    <w:left w:val="single" w:color="auto" w:sz="6" w:space="0"/>
                    <w:bottom w:val="single" w:color="auto" w:sz="6" w:space="0"/>
                    <w:right w:val="single" w:color="auto" w:sz="12" w:space="0"/>
                  </w:tcBorders>
                  <w:noWrap w:val="0"/>
                  <w:vAlign w:val="center"/>
                </w:tcPr>
                <w:p w14:paraId="74E505B2">
                  <w:pPr>
                    <w:keepNext w:val="0"/>
                    <w:keepLines w:val="0"/>
                    <w:suppressLineNumbers w:val="0"/>
                    <w:spacing w:before="0" w:beforeAutospacing="0" w:after="0" w:afterAutospacing="0"/>
                    <w:ind w:left="0" w:right="0"/>
                    <w:jc w:val="center"/>
                    <w:rPr>
                      <w:rFonts w:hint="eastAsia" w:ascii="宋体" w:hAnsi="宋体" w:eastAsia="宋体" w:cs="宋体"/>
                      <w:color w:val="auto"/>
                      <w:spacing w:val="-6"/>
                      <w:szCs w:val="21"/>
                      <w:highlight w:val="yellow"/>
                      <w:lang w:val="en-US" w:eastAsia="zh-CN"/>
                    </w:rPr>
                  </w:pPr>
                  <w:r>
                    <w:rPr>
                      <w:rFonts w:hint="eastAsia" w:ascii="宋体" w:hAnsi="宋体" w:eastAsia="宋体" w:cs="宋体"/>
                      <w:color w:val="auto"/>
                      <w:spacing w:val="-6"/>
                      <w:szCs w:val="21"/>
                      <w:highlight w:val="none"/>
                      <w:lang w:val="en-US" w:eastAsia="zh-CN"/>
                    </w:rPr>
                    <w:t>10700</w:t>
                  </w:r>
                </w:p>
              </w:tc>
            </w:tr>
            <w:tr w14:paraId="5B575F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48" w:type="pct"/>
                  <w:tcBorders>
                    <w:top w:val="single" w:color="auto" w:sz="6" w:space="0"/>
                    <w:left w:val="single" w:color="auto" w:sz="12" w:space="0"/>
                    <w:bottom w:val="single" w:color="auto" w:sz="6" w:space="0"/>
                    <w:right w:val="single" w:color="auto" w:sz="6" w:space="0"/>
                  </w:tcBorders>
                  <w:noWrap w:val="0"/>
                  <w:vAlign w:val="center"/>
                </w:tcPr>
                <w:p w14:paraId="39C2D840">
                  <w:pPr>
                    <w:keepNext w:val="0"/>
                    <w:keepLines w:val="0"/>
                    <w:suppressLineNumbers w:val="0"/>
                    <w:spacing w:before="0" w:beforeAutospacing="0" w:after="0" w:afterAutospacing="0"/>
                    <w:ind w:left="0" w:right="0"/>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w:t>
                  </w:r>
                </w:p>
              </w:tc>
              <w:tc>
                <w:tcPr>
                  <w:tcW w:w="3735" w:type="pct"/>
                  <w:tcBorders>
                    <w:top w:val="single" w:color="auto" w:sz="6" w:space="0"/>
                    <w:left w:val="single" w:color="auto" w:sz="6" w:space="0"/>
                    <w:bottom w:val="single" w:color="auto" w:sz="6" w:space="0"/>
                    <w:right w:val="single" w:color="auto" w:sz="6" w:space="0"/>
                  </w:tcBorders>
                  <w:noWrap w:val="0"/>
                  <w:vAlign w:val="center"/>
                </w:tcPr>
                <w:p w14:paraId="1C14463B">
                  <w:pPr>
                    <w:keepNext w:val="0"/>
                    <w:keepLines w:val="0"/>
                    <w:suppressLineNumbers w:val="0"/>
                    <w:spacing w:before="0" w:beforeAutospacing="0" w:after="0" w:afterAutospacing="0"/>
                    <w:ind w:left="0" w:right="0"/>
                    <w:jc w:val="center"/>
                    <w:rPr>
                      <w:rFonts w:hint="eastAsia" w:ascii="宋体" w:hAnsi="宋体" w:eastAsia="宋体" w:cs="宋体"/>
                      <w:color w:val="auto"/>
                      <w:spacing w:val="-6"/>
                      <w:szCs w:val="21"/>
                      <w:lang w:val="en-US" w:eastAsia="zh-CN"/>
                    </w:rPr>
                  </w:pPr>
                  <w:r>
                    <w:rPr>
                      <w:rFonts w:hint="eastAsia" w:ascii="宋体" w:hAnsi="宋体" w:eastAsia="宋体" w:cs="宋体"/>
                      <w:color w:val="auto"/>
                      <w:spacing w:val="-6"/>
                      <w:szCs w:val="21"/>
                      <w:lang w:val="en-US" w:eastAsia="zh-CN"/>
                    </w:rPr>
                    <w:t>本项目220千伏升压站至</w:t>
                  </w:r>
                  <w:r>
                    <w:rPr>
                      <w:rFonts w:hint="eastAsia" w:ascii="宋体" w:hAnsi="宋体" w:eastAsia="宋体" w:cs="宋体"/>
                      <w:color w:val="auto"/>
                      <w:kern w:val="0"/>
                      <w:sz w:val="21"/>
                      <w:szCs w:val="21"/>
                      <w:lang w:val="en-US" w:eastAsia="zh-CN" w:bidi="ar"/>
                    </w:rPr>
                    <w:t>大唐鄯善东220kV升压站输电线路工程</w:t>
                  </w:r>
                </w:p>
              </w:tc>
              <w:tc>
                <w:tcPr>
                  <w:tcW w:w="815" w:type="pct"/>
                  <w:tcBorders>
                    <w:top w:val="single" w:color="auto" w:sz="6" w:space="0"/>
                    <w:left w:val="single" w:color="auto" w:sz="6" w:space="0"/>
                    <w:bottom w:val="single" w:color="auto" w:sz="6" w:space="0"/>
                    <w:right w:val="single" w:color="auto" w:sz="12" w:space="0"/>
                  </w:tcBorders>
                  <w:noWrap w:val="0"/>
                  <w:vAlign w:val="center"/>
                </w:tcPr>
                <w:p w14:paraId="56EA25F3">
                  <w:pPr>
                    <w:keepNext w:val="0"/>
                    <w:keepLines w:val="0"/>
                    <w:suppressLineNumbers w:val="0"/>
                    <w:spacing w:before="0" w:beforeAutospacing="0" w:after="0" w:afterAutospacing="0"/>
                    <w:ind w:left="0" w:right="0"/>
                    <w:jc w:val="center"/>
                    <w:rPr>
                      <w:rFonts w:hint="eastAsia" w:ascii="宋体" w:hAnsi="宋体" w:eastAsia="宋体" w:cs="宋体"/>
                      <w:color w:val="auto"/>
                      <w:spacing w:val="-6"/>
                      <w:szCs w:val="21"/>
                      <w:highlight w:val="yellow"/>
                      <w:lang w:val="en-US" w:eastAsia="zh-CN"/>
                    </w:rPr>
                  </w:pPr>
                  <w:r>
                    <w:rPr>
                      <w:rFonts w:hint="eastAsia" w:ascii="宋体" w:hAnsi="宋体" w:eastAsia="宋体" w:cs="宋体"/>
                      <w:color w:val="auto"/>
                      <w:spacing w:val="-6"/>
                      <w:szCs w:val="21"/>
                      <w:highlight w:val="none"/>
                      <w:lang w:val="en-US" w:eastAsia="zh-CN"/>
                    </w:rPr>
                    <w:t>1591</w:t>
                  </w:r>
                </w:p>
              </w:tc>
            </w:tr>
            <w:tr w14:paraId="202A0E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2" w:hRule="atLeast"/>
              </w:trPr>
              <w:tc>
                <w:tcPr>
                  <w:tcW w:w="448" w:type="pct"/>
                  <w:tcBorders>
                    <w:top w:val="single" w:color="auto" w:sz="6" w:space="0"/>
                    <w:left w:val="single" w:color="auto" w:sz="12" w:space="0"/>
                    <w:bottom w:val="single" w:color="auto" w:sz="6" w:space="0"/>
                    <w:right w:val="single" w:color="auto" w:sz="6" w:space="0"/>
                  </w:tcBorders>
                  <w:noWrap w:val="0"/>
                  <w:vAlign w:val="center"/>
                </w:tcPr>
                <w:p w14:paraId="18E36FF4">
                  <w:pPr>
                    <w:keepNext w:val="0"/>
                    <w:keepLines w:val="0"/>
                    <w:suppressLineNumbers w:val="0"/>
                    <w:spacing w:before="0" w:beforeAutospacing="0" w:after="0" w:afterAutospacing="0"/>
                    <w:ind w:left="0" w:right="0"/>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3</w:t>
                  </w:r>
                </w:p>
              </w:tc>
              <w:tc>
                <w:tcPr>
                  <w:tcW w:w="3735" w:type="pct"/>
                  <w:tcBorders>
                    <w:top w:val="single" w:color="auto" w:sz="6" w:space="0"/>
                    <w:left w:val="single" w:color="auto" w:sz="6" w:space="0"/>
                    <w:bottom w:val="single" w:color="auto" w:sz="6" w:space="0"/>
                    <w:right w:val="single" w:color="auto" w:sz="6" w:space="0"/>
                  </w:tcBorders>
                  <w:noWrap w:val="0"/>
                  <w:vAlign w:val="center"/>
                </w:tcPr>
                <w:p w14:paraId="65767DF0">
                  <w:pPr>
                    <w:keepNext w:val="0"/>
                    <w:keepLines w:val="0"/>
                    <w:widowControl/>
                    <w:suppressLineNumbers w:val="0"/>
                    <w:spacing w:before="0" w:beforeAutospacing="0" w:after="0" w:afterAutospacing="0"/>
                    <w:ind w:left="0" w:right="0"/>
                    <w:jc w:val="center"/>
                    <w:rPr>
                      <w:rFonts w:hint="eastAsia" w:ascii="宋体" w:hAnsi="宋体" w:eastAsia="宋体" w:cs="宋体"/>
                      <w:color w:val="auto"/>
                      <w:spacing w:val="-6"/>
                      <w:szCs w:val="21"/>
                      <w:lang w:eastAsia="zh-CN"/>
                    </w:rPr>
                  </w:pPr>
                  <w:r>
                    <w:rPr>
                      <w:rFonts w:hint="eastAsia" w:ascii="宋体" w:hAnsi="宋体" w:eastAsia="宋体" w:cs="宋体"/>
                      <w:color w:val="auto"/>
                      <w:kern w:val="0"/>
                      <w:sz w:val="21"/>
                      <w:szCs w:val="21"/>
                      <w:lang w:val="en-US" w:eastAsia="zh-CN" w:bidi="ar"/>
                    </w:rPr>
                    <w:t>大唐鄯善东220kV升压站出线间隔扩建工程</w:t>
                  </w:r>
                </w:p>
              </w:tc>
              <w:tc>
                <w:tcPr>
                  <w:tcW w:w="815" w:type="pct"/>
                  <w:tcBorders>
                    <w:top w:val="single" w:color="auto" w:sz="6" w:space="0"/>
                    <w:left w:val="single" w:color="auto" w:sz="6" w:space="0"/>
                    <w:bottom w:val="single" w:color="auto" w:sz="6" w:space="0"/>
                    <w:right w:val="single" w:color="auto" w:sz="12" w:space="0"/>
                  </w:tcBorders>
                  <w:noWrap w:val="0"/>
                  <w:vAlign w:val="center"/>
                </w:tcPr>
                <w:p w14:paraId="5A1BE113">
                  <w:pPr>
                    <w:keepNext w:val="0"/>
                    <w:keepLines w:val="0"/>
                    <w:suppressLineNumbers w:val="0"/>
                    <w:spacing w:before="0" w:beforeAutospacing="0" w:after="0" w:afterAutospacing="0"/>
                    <w:ind w:left="0" w:right="0"/>
                    <w:jc w:val="center"/>
                    <w:rPr>
                      <w:rFonts w:hint="eastAsia" w:ascii="宋体" w:hAnsi="宋体" w:eastAsia="宋体" w:cs="宋体"/>
                      <w:color w:val="auto"/>
                      <w:spacing w:val="-6"/>
                      <w:szCs w:val="21"/>
                      <w:highlight w:val="yellow"/>
                      <w:lang w:val="en-US" w:eastAsia="zh-CN"/>
                    </w:rPr>
                  </w:pPr>
                  <w:r>
                    <w:rPr>
                      <w:rFonts w:hint="eastAsia" w:ascii="宋体" w:hAnsi="宋体" w:eastAsia="宋体" w:cs="宋体"/>
                      <w:color w:val="auto"/>
                      <w:spacing w:val="-6"/>
                      <w:szCs w:val="21"/>
                      <w:highlight w:val="none"/>
                      <w:lang w:val="en-US" w:eastAsia="zh-CN"/>
                    </w:rPr>
                    <w:t>327.12</w:t>
                  </w:r>
                </w:p>
              </w:tc>
            </w:tr>
            <w:tr w14:paraId="508D37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 w:hRule="atLeast"/>
              </w:trPr>
              <w:tc>
                <w:tcPr>
                  <w:tcW w:w="4184" w:type="pct"/>
                  <w:gridSpan w:val="2"/>
                  <w:tcBorders>
                    <w:top w:val="single" w:color="auto" w:sz="6" w:space="0"/>
                    <w:left w:val="single" w:color="auto" w:sz="12" w:space="0"/>
                    <w:bottom w:val="single" w:color="auto" w:sz="12" w:space="0"/>
                    <w:right w:val="single" w:color="auto" w:sz="6" w:space="0"/>
                  </w:tcBorders>
                  <w:noWrap w:val="0"/>
                  <w:vAlign w:val="center"/>
                </w:tcPr>
                <w:p w14:paraId="3E4E653F">
                  <w:pPr>
                    <w:keepNext w:val="0"/>
                    <w:keepLines w:val="0"/>
                    <w:suppressLineNumbers w:val="0"/>
                    <w:spacing w:before="0" w:beforeAutospacing="0" w:after="0" w:afterAutospacing="0"/>
                    <w:ind w:left="0" w:right="0"/>
                    <w:jc w:val="center"/>
                    <w:rPr>
                      <w:rFonts w:hint="eastAsia" w:ascii="宋体" w:hAnsi="宋体" w:eastAsia="宋体" w:cs="宋体"/>
                      <w:color w:val="auto"/>
                      <w:spacing w:val="-6"/>
                      <w:szCs w:val="21"/>
                    </w:rPr>
                  </w:pPr>
                  <w:r>
                    <w:rPr>
                      <w:rFonts w:hint="eastAsia" w:ascii="宋体" w:hAnsi="宋体" w:eastAsia="宋体" w:cs="宋体"/>
                      <w:color w:val="auto"/>
                      <w:spacing w:val="-6"/>
                      <w:szCs w:val="21"/>
                    </w:rPr>
                    <w:t>合计</w:t>
                  </w:r>
                </w:p>
              </w:tc>
              <w:tc>
                <w:tcPr>
                  <w:tcW w:w="815" w:type="pct"/>
                  <w:tcBorders>
                    <w:top w:val="single" w:color="auto" w:sz="6" w:space="0"/>
                    <w:left w:val="single" w:color="auto" w:sz="6" w:space="0"/>
                    <w:bottom w:val="single" w:color="auto" w:sz="12" w:space="0"/>
                    <w:right w:val="single" w:color="auto" w:sz="12" w:space="0"/>
                  </w:tcBorders>
                  <w:noWrap w:val="0"/>
                  <w:vAlign w:val="center"/>
                </w:tcPr>
                <w:p w14:paraId="4F0F35F5">
                  <w:pPr>
                    <w:keepNext w:val="0"/>
                    <w:keepLines w:val="0"/>
                    <w:suppressLineNumbers w:val="0"/>
                    <w:spacing w:before="0" w:beforeAutospacing="0" w:after="0" w:afterAutospacing="0"/>
                    <w:ind w:left="0" w:right="0"/>
                    <w:jc w:val="center"/>
                    <w:rPr>
                      <w:rFonts w:hint="eastAsia" w:ascii="宋体" w:hAnsi="宋体" w:eastAsia="宋体" w:cs="宋体"/>
                      <w:color w:val="auto"/>
                      <w:spacing w:val="-6"/>
                      <w:szCs w:val="21"/>
                      <w:highlight w:val="yellow"/>
                      <w:lang w:val="en-US" w:eastAsia="zh-CN"/>
                    </w:rPr>
                  </w:pPr>
                  <w:r>
                    <w:rPr>
                      <w:rFonts w:hint="eastAsia" w:ascii="宋体" w:hAnsi="宋体" w:eastAsia="宋体" w:cs="宋体"/>
                      <w:color w:val="auto"/>
                      <w:spacing w:val="-6"/>
                      <w:szCs w:val="21"/>
                      <w:highlight w:val="none"/>
                      <w:lang w:val="en-US" w:eastAsia="zh-CN"/>
                    </w:rPr>
                    <w:t>12618.12</w:t>
                  </w:r>
                </w:p>
              </w:tc>
            </w:tr>
          </w:tbl>
          <w:p w14:paraId="485B9C84">
            <w:pPr>
              <w:keepNext w:val="0"/>
              <w:keepLines w:val="0"/>
              <w:suppressLineNumbers w:val="0"/>
              <w:autoSpaceDE w:val="0"/>
              <w:autoSpaceDN w:val="0"/>
              <w:adjustRightInd w:val="0"/>
              <w:snapToGrid w:val="0"/>
              <w:spacing w:before="0" w:beforeAutospacing="0" w:after="0" w:afterAutospacing="0" w:line="360" w:lineRule="auto"/>
              <w:ind w:left="0" w:right="0" w:firstLine="420" w:firstLineChars="200"/>
              <w:rPr>
                <w:rFonts w:hint="eastAsia" w:ascii="宋体" w:hAnsi="宋体" w:eastAsia="宋体" w:cs="宋体"/>
                <w:color w:val="0000FF"/>
                <w:kern w:val="0"/>
                <w:szCs w:val="21"/>
                <w:highlight w:val="none"/>
                <w:lang w:val="en-US" w:eastAsia="zh-CN"/>
              </w:rPr>
            </w:pPr>
          </w:p>
        </w:tc>
      </w:tr>
      <w:tr w14:paraId="05EC6B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521" w:type="dxa"/>
            <w:noWrap w:val="0"/>
            <w:vAlign w:val="center"/>
          </w:tcPr>
          <w:p w14:paraId="077FC662">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0000FF"/>
                <w:kern w:val="0"/>
                <w:szCs w:val="21"/>
                <w:highlight w:val="none"/>
              </w:rPr>
            </w:pPr>
            <w:r>
              <w:rPr>
                <w:rFonts w:hint="eastAsia" w:ascii="宋体" w:hAnsi="宋体" w:eastAsia="宋体" w:cs="宋体"/>
                <w:color w:val="auto"/>
                <w:kern w:val="0"/>
                <w:sz w:val="24"/>
                <w:szCs w:val="24"/>
                <w:highlight w:val="none"/>
              </w:rPr>
              <w:t>总平面及现场布置</w:t>
            </w:r>
          </w:p>
        </w:tc>
        <w:tc>
          <w:tcPr>
            <w:tcW w:w="8218" w:type="dxa"/>
            <w:noWrap w:val="0"/>
            <w:vAlign w:val="top"/>
          </w:tcPr>
          <w:p w14:paraId="1BB3FDE0">
            <w:pPr>
              <w:keepNext w:val="0"/>
              <w:keepLines w:val="0"/>
              <w:suppressLineNumbers w:val="0"/>
              <w:snapToGrid w:val="0"/>
              <w:spacing w:before="0" w:beforeAutospacing="0" w:after="0" w:afterAutospacing="0" w:line="360" w:lineRule="auto"/>
              <w:ind w:left="0" w:right="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1本项目220kV</w:t>
            </w:r>
            <w:r>
              <w:rPr>
                <w:rFonts w:hint="eastAsia" w:ascii="宋体" w:hAnsi="宋体" w:eastAsia="宋体" w:cs="宋体"/>
                <w:b/>
                <w:bCs/>
                <w:color w:val="auto"/>
                <w:sz w:val="24"/>
                <w:szCs w:val="24"/>
                <w:highlight w:val="none"/>
              </w:rPr>
              <w:t>升压站总平面布置</w:t>
            </w:r>
          </w:p>
          <w:p w14:paraId="5D0F00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220kV升压站总用地面积23400m</w:t>
            </w:r>
            <w:r>
              <w:rPr>
                <w:rFonts w:hint="eastAsia" w:ascii="宋体" w:hAnsi="宋体" w:eastAsia="宋体" w:cs="宋体"/>
                <w:color w:val="auto"/>
                <w:kern w:val="2"/>
                <w:sz w:val="24"/>
                <w:szCs w:val="24"/>
                <w:highlight w:val="none"/>
                <w:vertAlign w:val="superscript"/>
                <w:lang w:val="en-US" w:eastAsia="zh-CN" w:bidi="ar-SA"/>
              </w:rPr>
              <w:t>2</w:t>
            </w:r>
            <w:r>
              <w:rPr>
                <w:rFonts w:hint="eastAsia" w:ascii="宋体" w:hAnsi="宋体" w:eastAsia="宋体" w:cs="宋体"/>
                <w:color w:val="auto"/>
                <w:kern w:val="2"/>
                <w:sz w:val="24"/>
                <w:szCs w:val="24"/>
                <w:highlight w:val="none"/>
                <w:lang w:val="en-US" w:eastAsia="zh-CN" w:bidi="ar-SA"/>
              </w:rPr>
              <w:t>，围墙内总占地面积21060m</w:t>
            </w:r>
            <w:r>
              <w:rPr>
                <w:rFonts w:hint="eastAsia" w:ascii="宋体" w:hAnsi="宋体" w:eastAsia="宋体" w:cs="宋体"/>
                <w:color w:val="auto"/>
                <w:kern w:val="2"/>
                <w:sz w:val="24"/>
                <w:szCs w:val="24"/>
                <w:highlight w:val="none"/>
                <w:vertAlign w:val="superscript"/>
                <w:lang w:val="en-US" w:eastAsia="zh-CN" w:bidi="ar-SA"/>
              </w:rPr>
              <w:t>2</w:t>
            </w:r>
            <w:r>
              <w:rPr>
                <w:rFonts w:hint="eastAsia" w:ascii="宋体" w:hAnsi="宋体" w:eastAsia="宋体" w:cs="宋体"/>
                <w:color w:val="auto"/>
                <w:kern w:val="2"/>
                <w:sz w:val="24"/>
                <w:szCs w:val="24"/>
                <w:highlight w:val="none"/>
                <w:lang w:val="en-US" w:eastAsia="zh-CN" w:bidi="ar-SA"/>
              </w:rPr>
              <w:t>。总平面布置方案根据工艺布置，结合站址地形、地质、送出线路走廊、日照、交通以及环境保护、绿化，遵循通用设计模块化的基本思路要求布置建（构）筑物。站区呈矩形规则布置，四周设置2.5m高实体围墙，站内生活区和生产区通过1.8m高铁艺围栏隔开。生产区布置在站区西部，综合楼布置在站区东部，通过道路分区。</w:t>
            </w:r>
          </w:p>
          <w:p w14:paraId="25F8BC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生产区主变压器采用户外布置，配电装置采用户内布置，主要布置有35kV一次设备预制舱、二次设备预制舱、220kV户内GIS预制舱、SVG预制舱及户外设备、主变压器、户外配电装置及事故油池等建（构）筑物。生产区设置双入口，周边设置有环形道路。</w:t>
            </w:r>
          </w:p>
          <w:p w14:paraId="28C5C4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生活区主要布置有综合楼、附属用房、门卫室、危废贮存点。综合楼坐北朝南，附属用房设置在综合楼的北侧，门卫室设置在综合楼的南侧。生活区主路与外界路网相连，满足消防要求。</w:t>
            </w:r>
          </w:p>
          <w:p w14:paraId="0B66710E">
            <w:pPr>
              <w:keepNext w:val="0"/>
              <w:keepLines w:val="0"/>
              <w:suppressLineNumbers w:val="0"/>
              <w:snapToGrid w:val="0"/>
              <w:spacing w:before="0" w:beforeAutospacing="0" w:after="0" w:afterAutospacing="0" w:line="360" w:lineRule="auto"/>
              <w:ind w:left="0" w:right="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2大唐鄯善东220kV升压站</w:t>
            </w:r>
          </w:p>
          <w:p w14:paraId="2F51FE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根据系统接入方案，本项目220kV升压站通过1回220kV线路接入大唐鄯善东220kV升压站，占用大唐鄯善东升压站220kV侧自东向西第1回出线间隔。相序为：从站外面对围墙从左到右A、B、C，本期扩建该220kV间隔配套的电气一、二次设备，设备选型与前期保持一致。</w:t>
            </w:r>
          </w:p>
          <w:p w14:paraId="15EBB86B">
            <w:pPr>
              <w:keepNext w:val="0"/>
              <w:keepLines w:val="0"/>
              <w:suppressLineNumbers w:val="0"/>
              <w:snapToGrid w:val="0"/>
              <w:spacing w:before="0" w:beforeAutospacing="0" w:after="0" w:afterAutospacing="0" w:line="360" w:lineRule="auto"/>
              <w:ind w:left="0" w:right="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 送出线路路径</w:t>
            </w:r>
          </w:p>
          <w:p w14:paraId="174464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本项目220kV送出线路自本项目新建220kV升压站220kV侧自东向西第一间隔起，向南出线至J1（新建双回路终端塔），随后向东南行进至J2处后转向南，行进至已建3回35kV线路及1回110kV线路北侧，采用架空方式跨越3回35kV线路及1回110kV线路后，转向西南，伴行已建亚欧光缆继续向西南行径至J5后，转向西北至J6，最终转向北经本期新建双回路终端塔，接入大唐鄯善东220kV升压站220kV侧自东向西第一间隔，线路全长约9.7km。</w:t>
            </w:r>
          </w:p>
          <w:p w14:paraId="355319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9"/>
              <w:rPr>
                <w:rFonts w:hint="eastAsia" w:ascii="宋体" w:hAnsi="宋体" w:eastAsia="宋体" w:cs="宋体"/>
                <w:b/>
                <w:color w:val="auto"/>
                <w:sz w:val="24"/>
                <w:szCs w:val="21"/>
                <w:highlight w:val="none"/>
              </w:rPr>
            </w:pPr>
            <w:bookmarkStart w:id="25" w:name="OLE_LINK29"/>
            <w:r>
              <w:rPr>
                <w:rFonts w:hint="eastAsia" w:ascii="宋体" w:hAnsi="宋体" w:eastAsia="宋体" w:cs="宋体"/>
                <w:b/>
                <w:color w:val="auto"/>
                <w:sz w:val="24"/>
                <w:szCs w:val="21"/>
                <w:highlight w:val="none"/>
                <w:lang w:val="en-US" w:eastAsia="zh-CN"/>
              </w:rPr>
              <w:t>3</w:t>
            </w:r>
            <w:r>
              <w:rPr>
                <w:rFonts w:hint="eastAsia" w:ascii="宋体" w:hAnsi="宋体" w:eastAsia="宋体" w:cs="宋体"/>
                <w:b/>
                <w:color w:val="auto"/>
                <w:sz w:val="24"/>
                <w:szCs w:val="21"/>
                <w:highlight w:val="none"/>
              </w:rPr>
              <w:t>施工现场布置</w:t>
            </w:r>
          </w:p>
          <w:p w14:paraId="23B4C8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9"/>
              <w:rPr>
                <w:rFonts w:hint="eastAsia" w:ascii="宋体" w:hAnsi="宋体" w:eastAsia="宋体" w:cs="宋体"/>
                <w:b/>
                <w:color w:val="auto"/>
                <w:sz w:val="24"/>
                <w:szCs w:val="21"/>
                <w:highlight w:val="none"/>
                <w:lang w:val="en-US" w:eastAsia="zh-CN"/>
              </w:rPr>
            </w:pPr>
            <w:r>
              <w:rPr>
                <w:rFonts w:hint="eastAsia" w:ascii="宋体" w:hAnsi="宋体" w:eastAsia="宋体" w:cs="宋体"/>
                <w:b/>
                <w:color w:val="auto"/>
                <w:sz w:val="24"/>
                <w:szCs w:val="21"/>
                <w:highlight w:val="none"/>
                <w:lang w:val="en-US" w:eastAsia="zh-CN"/>
              </w:rPr>
              <w:t>（1）施工临建场地</w:t>
            </w:r>
          </w:p>
          <w:p w14:paraId="6DA42B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bidi="ar"/>
              </w:rPr>
              <w:t>为满足本</w:t>
            </w:r>
            <w:r>
              <w:rPr>
                <w:rFonts w:hint="eastAsia" w:ascii="宋体" w:hAnsi="宋体" w:eastAsia="宋体" w:cs="宋体"/>
                <w:color w:val="auto"/>
                <w:kern w:val="0"/>
                <w:sz w:val="24"/>
                <w:szCs w:val="24"/>
                <w:highlight w:val="none"/>
                <w:lang w:val="en-US" w:eastAsia="zh-CN" w:bidi="ar"/>
              </w:rPr>
              <w:t>项目</w:t>
            </w:r>
            <w:r>
              <w:rPr>
                <w:rFonts w:hint="eastAsia" w:ascii="宋体" w:hAnsi="宋体" w:eastAsia="宋体" w:cs="宋体"/>
                <w:color w:val="auto"/>
                <w:kern w:val="0"/>
                <w:sz w:val="24"/>
                <w:szCs w:val="24"/>
                <w:highlight w:val="none"/>
                <w:lang w:bidi="ar"/>
              </w:rPr>
              <w:t>施工期要求，计划</w:t>
            </w:r>
            <w:r>
              <w:rPr>
                <w:rFonts w:hint="eastAsia" w:ascii="宋体" w:hAnsi="宋体" w:eastAsia="宋体" w:cs="宋体"/>
                <w:color w:val="auto"/>
                <w:kern w:val="0"/>
                <w:sz w:val="24"/>
                <w:szCs w:val="24"/>
                <w:highlight w:val="none"/>
                <w:lang w:val="en-US" w:eastAsia="zh-CN" w:bidi="ar"/>
              </w:rPr>
              <w:t>在升压站西侧</w:t>
            </w:r>
            <w:r>
              <w:rPr>
                <w:rFonts w:hint="eastAsia" w:ascii="宋体" w:hAnsi="宋体" w:eastAsia="宋体" w:cs="宋体"/>
                <w:color w:val="auto"/>
                <w:kern w:val="0"/>
                <w:sz w:val="24"/>
                <w:szCs w:val="24"/>
                <w:highlight w:val="none"/>
                <w:lang w:bidi="ar"/>
              </w:rPr>
              <w:t>设置</w:t>
            </w:r>
            <w:r>
              <w:rPr>
                <w:rFonts w:hint="eastAsia" w:ascii="宋体" w:hAnsi="宋体" w:eastAsia="宋体" w:cs="宋体"/>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bidi="ar"/>
              </w:rPr>
              <w:t>个施工临建场地，临时场地包括生产、生活两部分，其中生产场地包括：材料加工厂、设备及材料仓库和辅助加工厂；生活场地包括：生产用办公室，生活用临时住房等。临时设施占地约</w:t>
            </w:r>
            <w:r>
              <w:rPr>
                <w:rFonts w:hint="eastAsia" w:ascii="宋体" w:hAnsi="宋体" w:eastAsia="宋体" w:cs="宋体"/>
                <w:color w:val="auto"/>
                <w:kern w:val="0"/>
                <w:sz w:val="24"/>
                <w:szCs w:val="24"/>
                <w:highlight w:val="none"/>
                <w:lang w:val="en-US" w:eastAsia="zh-CN" w:bidi="ar"/>
              </w:rPr>
              <w:t>9600m</w:t>
            </w:r>
            <w:r>
              <w:rPr>
                <w:rFonts w:hint="eastAsia" w:ascii="宋体" w:hAnsi="宋体" w:eastAsia="宋体" w:cs="宋体"/>
                <w:color w:val="auto"/>
                <w:kern w:val="0"/>
                <w:sz w:val="24"/>
                <w:szCs w:val="24"/>
                <w:highlight w:val="none"/>
                <w:vertAlign w:val="superscript"/>
                <w:lang w:bidi="ar"/>
              </w:rPr>
              <w:t>2</w:t>
            </w:r>
            <w:r>
              <w:rPr>
                <w:rFonts w:hint="eastAsia" w:ascii="宋体" w:hAnsi="宋体" w:eastAsia="宋体" w:cs="宋体"/>
                <w:color w:val="auto"/>
                <w:kern w:val="0"/>
                <w:sz w:val="24"/>
                <w:szCs w:val="24"/>
                <w:highlight w:val="none"/>
                <w:lang w:bidi="ar"/>
              </w:rPr>
              <w:t>。</w:t>
            </w:r>
            <w:r>
              <w:rPr>
                <w:rFonts w:hint="eastAsia" w:ascii="宋体" w:hAnsi="宋体" w:eastAsia="宋体" w:cs="宋体"/>
                <w:color w:val="auto"/>
                <w:kern w:val="0"/>
                <w:sz w:val="24"/>
                <w:szCs w:val="24"/>
                <w:highlight w:val="none"/>
                <w:lang w:val="en-US" w:eastAsia="zh-CN" w:bidi="ar"/>
              </w:rPr>
              <w:t>施工临建总平面布置示意图，见图2-1。</w:t>
            </w:r>
          </w:p>
          <w:p w14:paraId="4551E557">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宋体" w:hAnsi="宋体" w:eastAsia="宋体" w:cs="宋体"/>
                <w:color w:val="0000FF"/>
                <w:highlight w:val="none"/>
              </w:rPr>
            </w:pPr>
            <w:r>
              <w:rPr>
                <w:rFonts w:hint="eastAsia" w:ascii="宋体" w:hAnsi="宋体" w:eastAsia="宋体" w:cs="宋体"/>
                <w:color w:val="0000FF"/>
                <w:highlight w:val="none"/>
              </w:rPr>
              <w:drawing>
                <wp:inline distT="0" distB="0" distL="114300" distR="114300">
                  <wp:extent cx="4254500" cy="3256915"/>
                  <wp:effectExtent l="9525" t="9525" r="22225" b="10160"/>
                  <wp:docPr id="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9"/>
                          <pic:cNvPicPr>
                            <a:picLocks noChangeAspect="1"/>
                          </pic:cNvPicPr>
                        </pic:nvPicPr>
                        <pic:blipFill>
                          <a:blip r:embed="rId9"/>
                          <a:stretch>
                            <a:fillRect/>
                          </a:stretch>
                        </pic:blipFill>
                        <pic:spPr>
                          <a:xfrm>
                            <a:off x="0" y="0"/>
                            <a:ext cx="4254500" cy="325691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74089648">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图</w:t>
            </w:r>
            <w:r>
              <w:rPr>
                <w:rFonts w:hint="eastAsia" w:ascii="宋体" w:hAnsi="宋体" w:eastAsia="宋体" w:cs="宋体"/>
                <w:b/>
                <w:color w:val="auto"/>
                <w:sz w:val="24"/>
                <w:szCs w:val="24"/>
                <w:highlight w:val="none"/>
                <w:lang w:val="en-US" w:eastAsia="zh-CN"/>
              </w:rPr>
              <w:t xml:space="preserve">2-1    </w:t>
            </w:r>
            <w:r>
              <w:rPr>
                <w:rFonts w:hint="eastAsia" w:ascii="宋体" w:hAnsi="宋体" w:eastAsia="宋体" w:cs="宋体"/>
                <w:b/>
                <w:color w:val="auto"/>
                <w:sz w:val="24"/>
                <w:szCs w:val="24"/>
                <w:highlight w:val="none"/>
              </w:rPr>
              <w:t>施工临建总平面布置</w:t>
            </w:r>
            <w:r>
              <w:rPr>
                <w:rFonts w:hint="eastAsia" w:ascii="宋体" w:hAnsi="宋体" w:eastAsia="宋体" w:cs="宋体"/>
                <w:b/>
                <w:color w:val="auto"/>
                <w:sz w:val="24"/>
                <w:szCs w:val="24"/>
                <w:highlight w:val="none"/>
                <w:lang w:val="en-US" w:eastAsia="zh-CN"/>
              </w:rPr>
              <w:t>示意</w:t>
            </w:r>
            <w:r>
              <w:rPr>
                <w:rFonts w:hint="eastAsia" w:ascii="宋体" w:hAnsi="宋体" w:eastAsia="宋体" w:cs="宋体"/>
                <w:b/>
                <w:color w:val="auto"/>
                <w:sz w:val="24"/>
                <w:szCs w:val="24"/>
                <w:highlight w:val="none"/>
              </w:rPr>
              <w:t>图</w:t>
            </w:r>
          </w:p>
          <w:p w14:paraId="3298EA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9"/>
              <w:rPr>
                <w:rFonts w:hint="eastAsia" w:ascii="宋体" w:hAnsi="宋体" w:eastAsia="宋体" w:cs="宋体"/>
                <w:b/>
                <w:color w:val="auto"/>
                <w:sz w:val="24"/>
                <w:szCs w:val="21"/>
                <w:highlight w:val="none"/>
                <w:lang w:val="en-US" w:eastAsia="zh-CN"/>
              </w:rPr>
            </w:pPr>
            <w:r>
              <w:rPr>
                <w:rFonts w:hint="eastAsia" w:ascii="宋体" w:hAnsi="宋体" w:eastAsia="宋体" w:cs="宋体"/>
                <w:b/>
                <w:color w:val="auto"/>
                <w:sz w:val="24"/>
                <w:szCs w:val="21"/>
                <w:highlight w:val="none"/>
                <w:lang w:val="en-US" w:eastAsia="zh-CN"/>
              </w:rPr>
              <w:t>（2）输电线路</w:t>
            </w:r>
          </w:p>
          <w:p w14:paraId="08C2BAE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outlineLvl w:val="9"/>
              <w:rPr>
                <w:rFonts w:hint="eastAsia" w:ascii="宋体" w:hAnsi="宋体" w:eastAsia="宋体" w:cs="宋体"/>
                <w:snapToGrid w:val="0"/>
                <w:color w:val="auto"/>
                <w:kern w:val="0"/>
                <w:sz w:val="24"/>
                <w:szCs w:val="21"/>
                <w:highlight w:val="none"/>
                <w:lang w:val="en-US" w:eastAsia="zh-CN"/>
              </w:rPr>
            </w:pPr>
            <w:r>
              <w:rPr>
                <w:rFonts w:hint="eastAsia" w:ascii="宋体" w:hAnsi="宋体" w:eastAsia="宋体" w:cs="宋体"/>
                <w:snapToGrid w:val="0"/>
                <w:color w:val="auto"/>
                <w:kern w:val="0"/>
                <w:sz w:val="24"/>
                <w:szCs w:val="21"/>
                <w:highlight w:val="none"/>
                <w:lang w:val="en-US" w:eastAsia="zh-CN"/>
              </w:rPr>
              <w:t>本项目总占地面积77600m</w:t>
            </w:r>
            <w:r>
              <w:rPr>
                <w:rFonts w:hint="eastAsia" w:ascii="宋体" w:hAnsi="宋体" w:eastAsia="宋体" w:cs="宋体"/>
                <w:snapToGrid w:val="0"/>
                <w:color w:val="auto"/>
                <w:kern w:val="0"/>
                <w:sz w:val="24"/>
                <w:szCs w:val="21"/>
                <w:highlight w:val="none"/>
                <w:vertAlign w:val="superscript"/>
                <w:lang w:val="en-US" w:eastAsia="zh-CN"/>
              </w:rPr>
              <w:t>2</w:t>
            </w:r>
            <w:r>
              <w:rPr>
                <w:rFonts w:hint="eastAsia" w:ascii="宋体" w:hAnsi="宋体" w:eastAsia="宋体" w:cs="宋体"/>
                <w:snapToGrid w:val="0"/>
                <w:color w:val="auto"/>
                <w:kern w:val="0"/>
                <w:sz w:val="24"/>
                <w:szCs w:val="21"/>
                <w:highlight w:val="none"/>
                <w:lang w:val="en-US" w:eastAsia="zh-CN"/>
              </w:rPr>
              <w:t>，主要占地类型为天然牧草地和裸地。其中永久占地26300m</w:t>
            </w:r>
            <w:r>
              <w:rPr>
                <w:rFonts w:hint="eastAsia" w:ascii="宋体" w:hAnsi="宋体" w:eastAsia="宋体" w:cs="宋体"/>
                <w:snapToGrid w:val="0"/>
                <w:color w:val="auto"/>
                <w:kern w:val="0"/>
                <w:sz w:val="24"/>
                <w:szCs w:val="21"/>
                <w:highlight w:val="none"/>
                <w:vertAlign w:val="superscript"/>
                <w:lang w:val="en-US" w:eastAsia="zh-CN"/>
              </w:rPr>
              <w:t>2</w:t>
            </w:r>
            <w:r>
              <w:rPr>
                <w:rFonts w:hint="eastAsia" w:ascii="宋体" w:hAnsi="宋体" w:eastAsia="宋体" w:cs="宋体"/>
                <w:snapToGrid w:val="0"/>
                <w:color w:val="auto"/>
                <w:kern w:val="0"/>
                <w:sz w:val="24"/>
                <w:szCs w:val="21"/>
                <w:highlight w:val="none"/>
                <w:lang w:val="en-US" w:eastAsia="zh-CN"/>
              </w:rPr>
              <w:t>，永久占地占用天然牧草地25400m</w:t>
            </w:r>
            <w:r>
              <w:rPr>
                <w:rFonts w:hint="eastAsia" w:ascii="宋体" w:hAnsi="宋体" w:eastAsia="宋体" w:cs="宋体"/>
                <w:snapToGrid w:val="0"/>
                <w:color w:val="auto"/>
                <w:kern w:val="0"/>
                <w:sz w:val="24"/>
                <w:szCs w:val="21"/>
                <w:highlight w:val="none"/>
                <w:vertAlign w:val="superscript"/>
                <w:lang w:val="en-US" w:eastAsia="zh-CN"/>
              </w:rPr>
              <w:t>2</w:t>
            </w:r>
            <w:r>
              <w:rPr>
                <w:rFonts w:hint="eastAsia" w:ascii="宋体" w:hAnsi="宋体" w:eastAsia="宋体" w:cs="宋体"/>
                <w:snapToGrid w:val="0"/>
                <w:color w:val="auto"/>
                <w:kern w:val="0"/>
                <w:sz w:val="24"/>
                <w:szCs w:val="21"/>
                <w:highlight w:val="none"/>
                <w:lang w:val="en-US" w:eastAsia="zh-CN"/>
              </w:rPr>
              <w:t>，占用裸地900m</w:t>
            </w:r>
            <w:r>
              <w:rPr>
                <w:rFonts w:hint="eastAsia" w:ascii="宋体" w:hAnsi="宋体" w:eastAsia="宋体" w:cs="宋体"/>
                <w:snapToGrid w:val="0"/>
                <w:color w:val="auto"/>
                <w:kern w:val="0"/>
                <w:sz w:val="24"/>
                <w:szCs w:val="21"/>
                <w:highlight w:val="none"/>
                <w:vertAlign w:val="superscript"/>
                <w:lang w:val="en-US" w:eastAsia="zh-CN"/>
              </w:rPr>
              <w:t>2</w:t>
            </w:r>
            <w:r>
              <w:rPr>
                <w:rFonts w:hint="eastAsia" w:ascii="宋体" w:hAnsi="宋体" w:eastAsia="宋体" w:cs="宋体"/>
                <w:snapToGrid w:val="0"/>
                <w:color w:val="auto"/>
                <w:kern w:val="0"/>
                <w:sz w:val="24"/>
                <w:szCs w:val="21"/>
                <w:highlight w:val="none"/>
                <w:lang w:val="en-US" w:eastAsia="zh-CN"/>
              </w:rPr>
              <w:t>；临时占地51300m</w:t>
            </w:r>
            <w:r>
              <w:rPr>
                <w:rFonts w:hint="eastAsia" w:ascii="宋体" w:hAnsi="宋体" w:eastAsia="宋体" w:cs="宋体"/>
                <w:snapToGrid w:val="0"/>
                <w:color w:val="auto"/>
                <w:kern w:val="0"/>
                <w:sz w:val="24"/>
                <w:szCs w:val="21"/>
                <w:highlight w:val="none"/>
                <w:vertAlign w:val="superscript"/>
                <w:lang w:val="en-US" w:eastAsia="zh-CN"/>
              </w:rPr>
              <w:t>2</w:t>
            </w:r>
            <w:r>
              <w:rPr>
                <w:rFonts w:hint="eastAsia" w:ascii="宋体" w:hAnsi="宋体" w:eastAsia="宋体" w:cs="宋体"/>
                <w:snapToGrid w:val="0"/>
                <w:color w:val="auto"/>
                <w:kern w:val="0"/>
                <w:sz w:val="24"/>
                <w:szCs w:val="21"/>
                <w:highlight w:val="none"/>
                <w:lang w:val="en-US" w:eastAsia="zh-CN"/>
              </w:rPr>
              <w:t>，临时占地占用天然牧草地34000m</w:t>
            </w:r>
            <w:r>
              <w:rPr>
                <w:rFonts w:hint="eastAsia" w:ascii="宋体" w:hAnsi="宋体" w:eastAsia="宋体" w:cs="宋体"/>
                <w:snapToGrid w:val="0"/>
                <w:color w:val="auto"/>
                <w:kern w:val="0"/>
                <w:sz w:val="24"/>
                <w:szCs w:val="21"/>
                <w:highlight w:val="none"/>
                <w:vertAlign w:val="superscript"/>
                <w:lang w:val="en-US" w:eastAsia="zh-CN"/>
              </w:rPr>
              <w:t>2</w:t>
            </w:r>
            <w:r>
              <w:rPr>
                <w:rFonts w:hint="eastAsia" w:ascii="宋体" w:hAnsi="宋体" w:eastAsia="宋体" w:cs="宋体"/>
                <w:snapToGrid w:val="0"/>
                <w:color w:val="auto"/>
                <w:kern w:val="0"/>
                <w:sz w:val="24"/>
                <w:szCs w:val="21"/>
                <w:highlight w:val="none"/>
                <w:lang w:val="en-US" w:eastAsia="zh-CN"/>
              </w:rPr>
              <w:t>，占用裸地17300m</w:t>
            </w:r>
            <w:r>
              <w:rPr>
                <w:rFonts w:hint="eastAsia" w:ascii="宋体" w:hAnsi="宋体" w:eastAsia="宋体" w:cs="宋体"/>
                <w:snapToGrid w:val="0"/>
                <w:color w:val="auto"/>
                <w:kern w:val="0"/>
                <w:sz w:val="24"/>
                <w:szCs w:val="21"/>
                <w:highlight w:val="none"/>
                <w:vertAlign w:val="superscript"/>
                <w:lang w:val="en-US" w:eastAsia="zh-CN"/>
              </w:rPr>
              <w:t>2</w:t>
            </w:r>
            <w:r>
              <w:rPr>
                <w:rFonts w:hint="eastAsia" w:ascii="宋体" w:hAnsi="宋体" w:eastAsia="宋体" w:cs="宋体"/>
                <w:snapToGrid w:val="0"/>
                <w:color w:val="auto"/>
                <w:kern w:val="0"/>
                <w:sz w:val="24"/>
                <w:szCs w:val="21"/>
                <w:highlight w:val="none"/>
                <w:lang w:val="en-US" w:eastAsia="zh-CN"/>
              </w:rPr>
              <w:t>。项目占地面积汇总详见表2-3。</w:t>
            </w:r>
          </w:p>
          <w:p w14:paraId="284D4EC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outlineLvl w:val="9"/>
              <w:rPr>
                <w:rFonts w:hint="eastAsia" w:ascii="宋体" w:hAnsi="宋体" w:eastAsia="宋体" w:cs="宋体"/>
                <w:snapToGrid w:val="0"/>
                <w:color w:val="auto"/>
                <w:kern w:val="0"/>
                <w:sz w:val="24"/>
                <w:szCs w:val="21"/>
                <w:highlight w:val="none"/>
                <w:lang w:val="en-US" w:eastAsia="zh-CN"/>
              </w:rPr>
            </w:pPr>
            <w:r>
              <w:rPr>
                <w:rFonts w:hint="eastAsia" w:ascii="宋体" w:hAnsi="宋体" w:eastAsia="宋体" w:cs="宋体"/>
                <w:snapToGrid w:val="0"/>
                <w:color w:val="auto"/>
                <w:kern w:val="0"/>
                <w:sz w:val="24"/>
                <w:szCs w:val="21"/>
                <w:highlight w:val="none"/>
                <w:lang w:val="en-US" w:eastAsia="zh-CN"/>
              </w:rPr>
              <w:t>①塔基区：新建杆塔29基。平均单塔占地面积以100m</w:t>
            </w:r>
            <w:r>
              <w:rPr>
                <w:rFonts w:hint="eastAsia" w:ascii="宋体" w:hAnsi="宋体" w:eastAsia="宋体" w:cs="宋体"/>
                <w:snapToGrid w:val="0"/>
                <w:color w:val="auto"/>
                <w:kern w:val="0"/>
                <w:sz w:val="24"/>
                <w:szCs w:val="21"/>
                <w:highlight w:val="none"/>
                <w:vertAlign w:val="superscript"/>
                <w:lang w:val="en-US" w:eastAsia="zh-CN"/>
              </w:rPr>
              <w:t>2</w:t>
            </w:r>
            <w:r>
              <w:rPr>
                <w:rFonts w:hint="eastAsia" w:ascii="宋体" w:hAnsi="宋体" w:eastAsia="宋体" w:cs="宋体"/>
                <w:snapToGrid w:val="0"/>
                <w:color w:val="auto"/>
                <w:kern w:val="0"/>
                <w:sz w:val="24"/>
                <w:szCs w:val="21"/>
                <w:highlight w:val="none"/>
                <w:vertAlign w:val="baseline"/>
                <w:lang w:val="en-US" w:eastAsia="zh-CN"/>
              </w:rPr>
              <w:t>计</w:t>
            </w:r>
            <w:r>
              <w:rPr>
                <w:rFonts w:hint="eastAsia" w:ascii="宋体" w:hAnsi="宋体" w:eastAsia="宋体" w:cs="宋体"/>
                <w:snapToGrid w:val="0"/>
                <w:color w:val="auto"/>
                <w:kern w:val="0"/>
                <w:sz w:val="24"/>
                <w:szCs w:val="21"/>
                <w:highlight w:val="none"/>
                <w:lang w:val="en-US" w:eastAsia="zh-CN"/>
              </w:rPr>
              <w:t>，塔基区永久占地面积2900m</w:t>
            </w:r>
            <w:r>
              <w:rPr>
                <w:rFonts w:hint="eastAsia" w:ascii="宋体" w:hAnsi="宋体" w:eastAsia="宋体" w:cs="宋体"/>
                <w:snapToGrid w:val="0"/>
                <w:color w:val="auto"/>
                <w:kern w:val="0"/>
                <w:sz w:val="24"/>
                <w:szCs w:val="21"/>
                <w:highlight w:val="none"/>
                <w:vertAlign w:val="superscript"/>
                <w:lang w:val="en-US" w:eastAsia="zh-CN"/>
              </w:rPr>
              <w:t>2</w:t>
            </w:r>
            <w:r>
              <w:rPr>
                <w:rFonts w:hint="eastAsia" w:ascii="宋体" w:hAnsi="宋体" w:eastAsia="宋体" w:cs="宋体"/>
                <w:snapToGrid w:val="0"/>
                <w:color w:val="auto"/>
                <w:kern w:val="0"/>
                <w:sz w:val="24"/>
                <w:szCs w:val="21"/>
                <w:highlight w:val="none"/>
                <w:lang w:val="en-US" w:eastAsia="zh-CN"/>
              </w:rPr>
              <w:t>。</w:t>
            </w:r>
          </w:p>
          <w:p w14:paraId="424E326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64" w:firstLineChars="200"/>
              <w:textAlignment w:val="auto"/>
              <w:outlineLvl w:val="9"/>
              <w:rPr>
                <w:rFonts w:hint="eastAsia" w:ascii="宋体" w:hAnsi="宋体" w:eastAsia="宋体" w:cs="宋体"/>
                <w:snapToGrid w:val="0"/>
                <w:color w:val="auto"/>
                <w:kern w:val="0"/>
                <w:sz w:val="24"/>
                <w:szCs w:val="21"/>
                <w:highlight w:val="none"/>
                <w:lang w:val="en-US" w:eastAsia="zh-CN"/>
              </w:rPr>
            </w:pPr>
            <w:r>
              <w:rPr>
                <w:rFonts w:hint="eastAsia" w:ascii="宋体" w:hAnsi="宋体" w:eastAsia="宋体" w:cs="宋体"/>
                <w:color w:val="auto"/>
                <w:spacing w:val="-4"/>
                <w:sz w:val="24"/>
                <w:szCs w:val="21"/>
                <w:highlight w:val="none"/>
                <w:lang w:val="en-US" w:eastAsia="zh-CN"/>
              </w:rPr>
              <w:t>②</w:t>
            </w:r>
            <w:r>
              <w:rPr>
                <w:rFonts w:hint="eastAsia" w:ascii="宋体" w:hAnsi="宋体" w:eastAsia="宋体" w:cs="宋体"/>
                <w:snapToGrid w:val="0"/>
                <w:color w:val="auto"/>
                <w:kern w:val="0"/>
                <w:sz w:val="24"/>
                <w:szCs w:val="21"/>
                <w:highlight w:val="none"/>
                <w:lang w:val="en-US" w:eastAsia="zh-CN"/>
              </w:rPr>
              <w:t>塔基施工场地：塔基施工场地主要用于基础开挖临时堆土、施工临时堆料及立塔过程中的锚坑用地等。一般情况下，塔基施工场地在塔基两侧或一侧，平均塔基施工场地面积以600m</w:t>
            </w:r>
            <w:r>
              <w:rPr>
                <w:rFonts w:hint="eastAsia" w:ascii="宋体" w:hAnsi="宋体" w:eastAsia="宋体" w:cs="宋体"/>
                <w:snapToGrid w:val="0"/>
                <w:color w:val="auto"/>
                <w:kern w:val="0"/>
                <w:sz w:val="24"/>
                <w:szCs w:val="21"/>
                <w:highlight w:val="none"/>
                <w:vertAlign w:val="superscript"/>
                <w:lang w:val="en-US" w:eastAsia="zh-CN"/>
              </w:rPr>
              <w:t>2</w:t>
            </w:r>
            <w:r>
              <w:rPr>
                <w:rFonts w:hint="eastAsia" w:ascii="宋体" w:hAnsi="宋体" w:eastAsia="宋体" w:cs="宋体"/>
                <w:snapToGrid w:val="0"/>
                <w:color w:val="auto"/>
                <w:kern w:val="0"/>
                <w:sz w:val="24"/>
                <w:szCs w:val="21"/>
                <w:highlight w:val="none"/>
                <w:vertAlign w:val="baseline"/>
                <w:lang w:val="en-US" w:eastAsia="zh-CN"/>
              </w:rPr>
              <w:t>计</w:t>
            </w:r>
            <w:r>
              <w:rPr>
                <w:rFonts w:hint="eastAsia" w:ascii="宋体" w:hAnsi="宋体" w:eastAsia="宋体" w:cs="宋体"/>
                <w:snapToGrid w:val="0"/>
                <w:color w:val="auto"/>
                <w:kern w:val="0"/>
                <w:sz w:val="24"/>
                <w:szCs w:val="21"/>
                <w:highlight w:val="none"/>
                <w:lang w:val="en-US" w:eastAsia="zh-CN"/>
              </w:rPr>
              <w:t>，</w:t>
            </w:r>
            <w:r>
              <w:rPr>
                <w:rFonts w:hint="eastAsia" w:ascii="宋体" w:hAnsi="宋体" w:eastAsia="宋体" w:cs="宋体"/>
                <w:snapToGrid w:val="0"/>
                <w:color w:val="auto"/>
                <w:kern w:val="0"/>
                <w:sz w:val="24"/>
                <w:lang w:val="en-US" w:eastAsia="zh-CN"/>
              </w:rPr>
              <w:t>共计29基，则</w:t>
            </w:r>
            <w:r>
              <w:rPr>
                <w:rFonts w:hint="eastAsia" w:ascii="宋体" w:hAnsi="宋体" w:eastAsia="宋体" w:cs="宋体"/>
                <w:snapToGrid w:val="0"/>
                <w:color w:val="auto"/>
                <w:kern w:val="0"/>
                <w:sz w:val="24"/>
                <w:szCs w:val="21"/>
                <w:highlight w:val="none"/>
                <w:lang w:val="en-US" w:eastAsia="zh-CN"/>
              </w:rPr>
              <w:t>塔基施工场地占地面积为17400m</w:t>
            </w:r>
            <w:r>
              <w:rPr>
                <w:rFonts w:hint="eastAsia" w:ascii="宋体" w:hAnsi="宋体" w:eastAsia="宋体" w:cs="宋体"/>
                <w:snapToGrid w:val="0"/>
                <w:color w:val="auto"/>
                <w:kern w:val="0"/>
                <w:sz w:val="24"/>
                <w:szCs w:val="21"/>
                <w:highlight w:val="none"/>
                <w:vertAlign w:val="superscript"/>
                <w:lang w:val="en-US" w:eastAsia="zh-CN"/>
              </w:rPr>
              <w:t>2</w:t>
            </w:r>
            <w:r>
              <w:rPr>
                <w:rFonts w:hint="eastAsia" w:ascii="宋体" w:hAnsi="宋体" w:eastAsia="宋体" w:cs="宋体"/>
                <w:snapToGrid w:val="0"/>
                <w:color w:val="auto"/>
                <w:kern w:val="0"/>
                <w:sz w:val="24"/>
                <w:szCs w:val="21"/>
                <w:highlight w:val="none"/>
                <w:lang w:val="en-US" w:eastAsia="zh-CN"/>
              </w:rPr>
              <w:t>。</w:t>
            </w:r>
          </w:p>
          <w:p w14:paraId="46927AD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64" w:firstLineChars="200"/>
              <w:textAlignment w:val="auto"/>
              <w:outlineLvl w:val="9"/>
              <w:rPr>
                <w:rFonts w:hint="eastAsia" w:ascii="宋体" w:hAnsi="宋体" w:eastAsia="宋体" w:cs="宋体"/>
                <w:snapToGrid w:val="0"/>
                <w:color w:val="auto"/>
                <w:kern w:val="0"/>
                <w:sz w:val="24"/>
                <w:szCs w:val="21"/>
                <w:highlight w:val="none"/>
                <w:lang w:val="en-US" w:eastAsia="zh-CN"/>
              </w:rPr>
            </w:pPr>
            <w:r>
              <w:rPr>
                <w:rFonts w:hint="eastAsia" w:ascii="宋体" w:hAnsi="宋体" w:eastAsia="宋体" w:cs="宋体"/>
                <w:color w:val="auto"/>
                <w:spacing w:val="-4"/>
                <w:sz w:val="24"/>
                <w:szCs w:val="21"/>
                <w:highlight w:val="none"/>
                <w:lang w:val="en-US" w:eastAsia="zh-CN"/>
              </w:rPr>
              <w:t>③</w:t>
            </w:r>
            <w:r>
              <w:rPr>
                <w:rFonts w:hint="eastAsia" w:ascii="宋体" w:hAnsi="宋体" w:eastAsia="宋体" w:cs="宋体"/>
                <w:snapToGrid w:val="0"/>
                <w:color w:val="auto"/>
                <w:kern w:val="0"/>
                <w:sz w:val="24"/>
                <w:szCs w:val="21"/>
                <w:highlight w:val="none"/>
                <w:lang w:val="en-US" w:eastAsia="zh-CN"/>
              </w:rPr>
              <w:t>牵张场：</w:t>
            </w:r>
            <w:r>
              <w:rPr>
                <w:rFonts w:hint="eastAsia" w:ascii="宋体" w:hAnsi="宋体" w:eastAsia="宋体" w:cs="宋体"/>
                <w:snapToGrid w:val="0"/>
                <w:color w:val="auto"/>
                <w:kern w:val="0"/>
                <w:sz w:val="24"/>
                <w:highlight w:val="none"/>
              </w:rPr>
              <w:t>牵张场为临时施工料场及拉线场，每</w:t>
            </w:r>
            <w:r>
              <w:rPr>
                <w:rFonts w:hint="eastAsia" w:ascii="宋体" w:hAnsi="宋体" w:eastAsia="宋体" w:cs="宋体"/>
                <w:snapToGrid w:val="0"/>
                <w:color w:val="auto"/>
                <w:kern w:val="0"/>
                <w:sz w:val="24"/>
                <w:highlight w:val="none"/>
                <w:lang w:val="en-US" w:eastAsia="zh-CN"/>
              </w:rPr>
              <w:t>3</w:t>
            </w:r>
            <w:r>
              <w:rPr>
                <w:rFonts w:hint="eastAsia" w:ascii="宋体" w:hAnsi="宋体" w:eastAsia="宋体" w:cs="宋体"/>
                <w:snapToGrid w:val="0"/>
                <w:color w:val="auto"/>
                <w:kern w:val="0"/>
                <w:sz w:val="24"/>
                <w:highlight w:val="none"/>
              </w:rPr>
              <w:t>～</w:t>
            </w:r>
            <w:r>
              <w:rPr>
                <w:rFonts w:hint="eastAsia" w:ascii="宋体" w:hAnsi="宋体" w:eastAsia="宋体" w:cs="宋体"/>
                <w:snapToGrid w:val="0"/>
                <w:color w:val="auto"/>
                <w:kern w:val="0"/>
                <w:sz w:val="24"/>
                <w:highlight w:val="none"/>
                <w:lang w:val="en-US" w:eastAsia="zh-CN"/>
              </w:rPr>
              <w:t>4</w:t>
            </w:r>
            <w:r>
              <w:rPr>
                <w:rFonts w:hint="eastAsia" w:ascii="宋体" w:hAnsi="宋体" w:eastAsia="宋体" w:cs="宋体"/>
                <w:snapToGrid w:val="0"/>
                <w:color w:val="auto"/>
                <w:kern w:val="0"/>
                <w:sz w:val="24"/>
                <w:highlight w:val="none"/>
              </w:rPr>
              <w:t>km设置一处，</w:t>
            </w:r>
            <w:r>
              <w:rPr>
                <w:rFonts w:hint="eastAsia" w:ascii="宋体" w:hAnsi="宋体" w:eastAsia="宋体" w:cs="宋体"/>
                <w:snapToGrid w:val="0"/>
                <w:color w:val="auto"/>
                <w:kern w:val="0"/>
                <w:sz w:val="24"/>
                <w:highlight w:val="none"/>
                <w:lang w:val="en-US" w:eastAsia="zh-CN"/>
              </w:rPr>
              <w:t>平均每处占地约2000m</w:t>
            </w:r>
            <w:r>
              <w:rPr>
                <w:rFonts w:hint="eastAsia" w:ascii="宋体" w:hAnsi="宋体" w:eastAsia="宋体" w:cs="宋体"/>
                <w:snapToGrid w:val="0"/>
                <w:color w:val="auto"/>
                <w:kern w:val="0"/>
                <w:sz w:val="24"/>
                <w:highlight w:val="none"/>
                <w:vertAlign w:val="superscript"/>
                <w:lang w:val="en-US" w:eastAsia="zh-CN"/>
              </w:rPr>
              <w:t>2</w:t>
            </w:r>
            <w:r>
              <w:rPr>
                <w:rFonts w:hint="eastAsia" w:ascii="宋体" w:hAnsi="宋体" w:eastAsia="宋体" w:cs="宋体"/>
                <w:snapToGrid w:val="0"/>
                <w:color w:val="auto"/>
                <w:kern w:val="0"/>
                <w:sz w:val="24"/>
                <w:highlight w:val="none"/>
                <w:lang w:val="en-US" w:eastAsia="zh-CN"/>
              </w:rPr>
              <w:t>，</w:t>
            </w:r>
            <w:r>
              <w:rPr>
                <w:rFonts w:hint="eastAsia" w:ascii="宋体" w:hAnsi="宋体" w:eastAsia="宋体" w:cs="宋体"/>
                <w:snapToGrid w:val="0"/>
                <w:color w:val="auto"/>
                <w:kern w:val="0"/>
                <w:sz w:val="24"/>
                <w:highlight w:val="none"/>
              </w:rPr>
              <w:t>经估算</w:t>
            </w:r>
            <w:r>
              <w:rPr>
                <w:rFonts w:hint="eastAsia" w:ascii="宋体" w:hAnsi="宋体" w:eastAsia="宋体" w:cs="宋体"/>
                <w:snapToGrid w:val="0"/>
                <w:color w:val="auto"/>
                <w:kern w:val="0"/>
                <w:sz w:val="24"/>
                <w:highlight w:val="none"/>
                <w:lang w:eastAsia="zh-CN"/>
              </w:rPr>
              <w:t>本项目</w:t>
            </w:r>
            <w:r>
              <w:rPr>
                <w:rFonts w:hint="eastAsia" w:ascii="宋体" w:hAnsi="宋体" w:eastAsia="宋体" w:cs="宋体"/>
                <w:snapToGrid w:val="0"/>
                <w:color w:val="auto"/>
                <w:kern w:val="0"/>
                <w:sz w:val="24"/>
                <w:highlight w:val="none"/>
              </w:rPr>
              <w:t>需设牵张场地</w:t>
            </w:r>
            <w:r>
              <w:rPr>
                <w:rFonts w:hint="eastAsia" w:ascii="宋体" w:hAnsi="宋体" w:eastAsia="宋体" w:cs="宋体"/>
                <w:snapToGrid w:val="0"/>
                <w:color w:val="auto"/>
                <w:kern w:val="0"/>
                <w:sz w:val="24"/>
                <w:highlight w:val="none"/>
                <w:lang w:val="en-US" w:eastAsia="zh-CN"/>
              </w:rPr>
              <w:t>3</w:t>
            </w:r>
            <w:r>
              <w:rPr>
                <w:rFonts w:hint="eastAsia" w:ascii="宋体" w:hAnsi="宋体" w:eastAsia="宋体" w:cs="宋体"/>
                <w:snapToGrid w:val="0"/>
                <w:color w:val="auto"/>
                <w:kern w:val="0"/>
                <w:sz w:val="24"/>
                <w:highlight w:val="none"/>
              </w:rPr>
              <w:t>处，临时占地面积约</w:t>
            </w:r>
            <w:r>
              <w:rPr>
                <w:rFonts w:hint="eastAsia" w:ascii="宋体" w:hAnsi="宋体" w:eastAsia="宋体" w:cs="宋体"/>
                <w:snapToGrid w:val="0"/>
                <w:color w:val="auto"/>
                <w:kern w:val="0"/>
                <w:sz w:val="24"/>
                <w:highlight w:val="none"/>
                <w:lang w:val="en-US" w:eastAsia="zh-CN"/>
              </w:rPr>
              <w:t>6000</w:t>
            </w:r>
            <w:r>
              <w:rPr>
                <w:rFonts w:hint="eastAsia" w:ascii="宋体" w:hAnsi="宋体" w:eastAsia="宋体" w:cs="宋体"/>
                <w:snapToGrid w:val="0"/>
                <w:color w:val="auto"/>
                <w:kern w:val="0"/>
                <w:sz w:val="24"/>
                <w:highlight w:val="none"/>
              </w:rPr>
              <w:t>m</w:t>
            </w:r>
            <w:r>
              <w:rPr>
                <w:rFonts w:hint="eastAsia" w:ascii="宋体" w:hAnsi="宋体" w:eastAsia="宋体" w:cs="宋体"/>
                <w:snapToGrid w:val="0"/>
                <w:color w:val="auto"/>
                <w:kern w:val="0"/>
                <w:sz w:val="24"/>
                <w:highlight w:val="none"/>
                <w:vertAlign w:val="superscript"/>
              </w:rPr>
              <w:t>2</w:t>
            </w:r>
            <w:r>
              <w:rPr>
                <w:rFonts w:hint="eastAsia" w:ascii="宋体" w:hAnsi="宋体" w:eastAsia="宋体" w:cs="宋体"/>
                <w:snapToGrid w:val="0"/>
                <w:color w:val="auto"/>
                <w:kern w:val="0"/>
                <w:sz w:val="24"/>
                <w:highlight w:val="none"/>
              </w:rPr>
              <w:t>。牵张场地选择在地势平坦区域，尽可能利用现有道路或沿线空地，以减少对植被的影响</w:t>
            </w:r>
            <w:r>
              <w:rPr>
                <w:rFonts w:hint="eastAsia" w:ascii="宋体" w:hAnsi="宋体" w:eastAsia="宋体" w:cs="宋体"/>
                <w:snapToGrid w:val="0"/>
                <w:color w:val="auto"/>
                <w:kern w:val="0"/>
                <w:sz w:val="24"/>
                <w:highlight w:val="none"/>
                <w:lang w:eastAsia="zh-CN"/>
              </w:rPr>
              <w:t>。</w:t>
            </w:r>
          </w:p>
          <w:p w14:paraId="6296C97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64" w:firstLineChars="200"/>
              <w:textAlignment w:val="auto"/>
              <w:outlineLvl w:val="9"/>
              <w:rPr>
                <w:rFonts w:hint="eastAsia" w:ascii="宋体" w:hAnsi="宋体" w:eastAsia="宋体" w:cs="宋体"/>
                <w:snapToGrid w:val="0"/>
                <w:color w:val="auto"/>
                <w:kern w:val="0"/>
                <w:sz w:val="24"/>
                <w:szCs w:val="21"/>
                <w:highlight w:val="none"/>
                <w:lang w:val="en-US" w:eastAsia="zh-CN"/>
              </w:rPr>
            </w:pPr>
            <w:r>
              <w:rPr>
                <w:rFonts w:hint="eastAsia" w:ascii="宋体" w:hAnsi="宋体" w:eastAsia="宋体" w:cs="宋体"/>
                <w:color w:val="auto"/>
                <w:spacing w:val="-4"/>
                <w:sz w:val="24"/>
                <w:szCs w:val="21"/>
                <w:highlight w:val="none"/>
                <w:lang w:val="en-US" w:eastAsia="zh-CN"/>
              </w:rPr>
              <w:t>④</w:t>
            </w:r>
            <w:r>
              <w:rPr>
                <w:rFonts w:hint="eastAsia" w:ascii="宋体" w:hAnsi="宋体" w:eastAsia="宋体" w:cs="宋体"/>
                <w:snapToGrid w:val="0"/>
                <w:color w:val="auto"/>
                <w:kern w:val="0"/>
                <w:sz w:val="24"/>
                <w:szCs w:val="21"/>
                <w:highlight w:val="none"/>
                <w:lang w:val="en-US" w:eastAsia="zh-CN"/>
              </w:rPr>
              <w:t>施工道路：本项目线路施工全线需修建临时施工道路长约6</w:t>
            </w:r>
            <w:r>
              <w:rPr>
                <w:rFonts w:hint="eastAsia" w:ascii="宋体" w:hAnsi="宋体" w:eastAsia="宋体" w:cs="宋体"/>
                <w:snapToGrid w:val="0"/>
                <w:color w:val="auto"/>
                <w:kern w:val="0"/>
                <w:sz w:val="24"/>
                <w:szCs w:val="21"/>
                <w:highlight w:val="none"/>
                <w:lang w:eastAsia="zh-CN"/>
              </w:rPr>
              <w:t>km，</w:t>
            </w:r>
            <w:r>
              <w:rPr>
                <w:rFonts w:hint="eastAsia" w:ascii="宋体" w:hAnsi="宋体" w:eastAsia="宋体" w:cs="宋体"/>
                <w:snapToGrid w:val="0"/>
                <w:color w:val="auto"/>
                <w:kern w:val="0"/>
                <w:sz w:val="24"/>
                <w:szCs w:val="21"/>
                <w:highlight w:val="none"/>
                <w:lang w:val="en-US" w:eastAsia="zh-CN"/>
              </w:rPr>
              <w:t>宽度约3m，施工道路占地面积18000m</w:t>
            </w:r>
            <w:r>
              <w:rPr>
                <w:rFonts w:hint="eastAsia" w:ascii="宋体" w:hAnsi="宋体" w:eastAsia="宋体" w:cs="宋体"/>
                <w:snapToGrid w:val="0"/>
                <w:color w:val="auto"/>
                <w:kern w:val="0"/>
                <w:sz w:val="24"/>
                <w:szCs w:val="21"/>
                <w:highlight w:val="none"/>
                <w:vertAlign w:val="superscript"/>
                <w:lang w:val="en-US" w:eastAsia="zh-CN"/>
              </w:rPr>
              <w:t>2</w:t>
            </w:r>
            <w:r>
              <w:rPr>
                <w:rFonts w:hint="eastAsia" w:ascii="宋体" w:hAnsi="宋体" w:eastAsia="宋体" w:cs="宋体"/>
                <w:snapToGrid w:val="0"/>
                <w:color w:val="auto"/>
                <w:kern w:val="0"/>
                <w:sz w:val="24"/>
                <w:szCs w:val="21"/>
                <w:highlight w:val="none"/>
                <w:lang w:val="en-US" w:eastAsia="zh-CN"/>
              </w:rPr>
              <w:t>。本项目修筑施工道路主要方便施工期间物料运输，为简易临时道路，不得按永久道路或运维道路进行修建，施工结束后恢复原貌。</w:t>
            </w:r>
          </w:p>
          <w:p w14:paraId="57BDF38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outlineLvl w:val="9"/>
              <w:rPr>
                <w:rFonts w:hint="eastAsia" w:ascii="宋体" w:hAnsi="宋体" w:eastAsia="宋体" w:cs="宋体"/>
                <w:snapToGrid w:val="0"/>
                <w:color w:val="auto"/>
                <w:kern w:val="0"/>
                <w:sz w:val="24"/>
                <w:szCs w:val="21"/>
                <w:highlight w:val="none"/>
                <w:lang w:val="en-US" w:eastAsia="zh-CN"/>
              </w:rPr>
            </w:pPr>
            <w:r>
              <w:rPr>
                <w:rFonts w:hint="eastAsia" w:ascii="宋体" w:hAnsi="宋体" w:eastAsia="宋体" w:cs="宋体"/>
                <w:snapToGrid w:val="0"/>
                <w:color w:val="auto"/>
                <w:kern w:val="0"/>
                <w:sz w:val="24"/>
                <w:szCs w:val="21"/>
                <w:highlight w:val="none"/>
                <w:lang w:val="en-US" w:eastAsia="zh-CN"/>
              </w:rPr>
              <w:t>⑤跨越</w:t>
            </w:r>
            <w:r>
              <w:rPr>
                <w:rFonts w:hint="eastAsia" w:ascii="宋体" w:hAnsi="宋体" w:cs="宋体"/>
                <w:snapToGrid w:val="0"/>
                <w:color w:val="auto"/>
                <w:kern w:val="0"/>
                <w:sz w:val="24"/>
                <w:szCs w:val="21"/>
                <w:highlight w:val="none"/>
                <w:lang w:val="en-US" w:eastAsia="zh-CN"/>
              </w:rPr>
              <w:t>场地</w:t>
            </w:r>
            <w:r>
              <w:rPr>
                <w:rFonts w:hint="eastAsia" w:ascii="宋体" w:hAnsi="宋体" w:eastAsia="宋体" w:cs="宋体"/>
                <w:snapToGrid w:val="0"/>
                <w:color w:val="auto"/>
                <w:kern w:val="0"/>
                <w:sz w:val="24"/>
                <w:szCs w:val="21"/>
                <w:highlight w:val="none"/>
                <w:lang w:val="en-US" w:eastAsia="zh-CN"/>
              </w:rPr>
              <w:t>：输电线路跨越110kV电力线1次，</w:t>
            </w:r>
            <w:r>
              <w:rPr>
                <w:rFonts w:hint="eastAsia" w:ascii="宋体" w:hAnsi="宋体" w:eastAsia="宋体" w:cs="宋体"/>
                <w:color w:val="auto"/>
                <w:sz w:val="24"/>
                <w:szCs w:val="24"/>
                <w:highlight w:val="none"/>
              </w:rPr>
              <w:t>跨越施工场地每处面积约</w:t>
            </w:r>
            <w:r>
              <w:rPr>
                <w:rFonts w:hint="eastAsia" w:ascii="宋体" w:hAnsi="宋体" w:eastAsia="宋体" w:cs="宋体"/>
                <w:color w:val="auto"/>
                <w:sz w:val="24"/>
                <w:szCs w:val="24"/>
                <w:highlight w:val="none"/>
                <w:lang w:val="en-US" w:eastAsia="zh-CN"/>
              </w:rPr>
              <w:t>300</w:t>
            </w:r>
            <w:r>
              <w:rPr>
                <w:rFonts w:hint="eastAsia" w:ascii="宋体" w:hAnsi="宋体" w:eastAsia="宋体" w:cs="宋体"/>
                <w:color w:val="auto"/>
                <w:sz w:val="24"/>
                <w:szCs w:val="24"/>
                <w:highlight w:val="none"/>
              </w:rPr>
              <w:t>m</w:t>
            </w:r>
            <w:r>
              <w:rPr>
                <w:rFonts w:hint="eastAsia" w:ascii="宋体" w:hAnsi="宋体" w:eastAsia="宋体" w:cs="宋体"/>
                <w:color w:val="auto"/>
                <w:sz w:val="24"/>
                <w:szCs w:val="24"/>
                <w:highlight w:val="none"/>
                <w:vertAlign w:val="superscript"/>
              </w:rPr>
              <w:t>2</w:t>
            </w:r>
            <w:r>
              <w:rPr>
                <w:rFonts w:hint="eastAsia" w:ascii="宋体" w:hAnsi="宋体" w:eastAsia="宋体" w:cs="宋体"/>
                <w:snapToGrid w:val="0"/>
                <w:color w:val="auto"/>
                <w:kern w:val="0"/>
                <w:sz w:val="24"/>
                <w:szCs w:val="21"/>
                <w:highlight w:val="none"/>
                <w:lang w:val="en-US" w:eastAsia="zh-CN"/>
              </w:rPr>
              <w:t>，本项目仅需设置一处。</w:t>
            </w:r>
          </w:p>
          <w:p w14:paraId="1A44BAD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 w:val="24"/>
                <w:szCs w:val="21"/>
                <w:highlight w:val="none"/>
                <w:lang w:val="en-US" w:eastAsia="zh-CN"/>
              </w:rPr>
              <w:t>项目</w:t>
            </w:r>
            <w:r>
              <w:rPr>
                <w:rFonts w:hint="eastAsia" w:ascii="宋体" w:hAnsi="宋体" w:eastAsia="宋体" w:cs="宋体"/>
                <w:color w:val="auto"/>
                <w:sz w:val="24"/>
                <w:szCs w:val="21"/>
                <w:highlight w:val="none"/>
              </w:rPr>
              <w:t>占地面积汇总见表2-3。</w:t>
            </w:r>
          </w:p>
          <w:p w14:paraId="70FF22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2" w:firstLineChars="200"/>
              <w:jc w:val="center"/>
              <w:textAlignment w:val="auto"/>
              <w:outlineLvl w:val="9"/>
              <w:rPr>
                <w:rFonts w:hint="eastAsia" w:ascii="宋体" w:hAnsi="宋体" w:eastAsia="宋体" w:cs="宋体"/>
                <w:b/>
                <w:i w:val="0"/>
                <w:iCs w:val="0"/>
                <w:color w:val="auto"/>
                <w:sz w:val="24"/>
                <w:szCs w:val="21"/>
                <w:highlight w:val="none"/>
              </w:rPr>
            </w:pPr>
            <w:r>
              <w:rPr>
                <w:rFonts w:hint="eastAsia" w:ascii="宋体" w:hAnsi="宋体" w:eastAsia="宋体" w:cs="宋体"/>
                <w:b/>
                <w:i w:val="0"/>
                <w:iCs w:val="0"/>
                <w:color w:val="auto"/>
                <w:sz w:val="24"/>
                <w:szCs w:val="21"/>
                <w:highlight w:val="none"/>
              </w:rPr>
              <w:t>表2-3</w:t>
            </w:r>
            <w:r>
              <w:rPr>
                <w:rFonts w:hint="eastAsia" w:ascii="宋体" w:hAnsi="宋体" w:eastAsia="宋体" w:cs="宋体"/>
                <w:b/>
                <w:i w:val="0"/>
                <w:iCs w:val="0"/>
                <w:color w:val="auto"/>
                <w:sz w:val="24"/>
                <w:szCs w:val="21"/>
                <w:highlight w:val="none"/>
                <w:lang w:val="en-US" w:eastAsia="zh-CN"/>
              </w:rPr>
              <w:t xml:space="preserve">    </w:t>
            </w:r>
            <w:r>
              <w:rPr>
                <w:rFonts w:hint="eastAsia" w:ascii="宋体" w:hAnsi="宋体" w:eastAsia="宋体" w:cs="宋体"/>
                <w:b/>
                <w:i w:val="0"/>
                <w:iCs w:val="0"/>
                <w:color w:val="auto"/>
                <w:sz w:val="24"/>
                <w:szCs w:val="21"/>
                <w:highlight w:val="none"/>
                <w:lang w:eastAsia="zh-CN"/>
              </w:rPr>
              <w:t>本项目</w:t>
            </w:r>
            <w:r>
              <w:rPr>
                <w:rFonts w:hint="eastAsia" w:ascii="宋体" w:hAnsi="宋体" w:eastAsia="宋体" w:cs="宋体"/>
                <w:b/>
                <w:i w:val="0"/>
                <w:iCs w:val="0"/>
                <w:color w:val="auto"/>
                <w:sz w:val="24"/>
                <w:szCs w:val="21"/>
                <w:highlight w:val="none"/>
              </w:rPr>
              <w:t>占地面积汇总表单位：m</w:t>
            </w:r>
            <w:r>
              <w:rPr>
                <w:rFonts w:hint="eastAsia" w:ascii="宋体" w:hAnsi="宋体" w:eastAsia="宋体" w:cs="宋体"/>
                <w:b/>
                <w:i w:val="0"/>
                <w:iCs w:val="0"/>
                <w:color w:val="auto"/>
                <w:sz w:val="24"/>
                <w:szCs w:val="21"/>
                <w:highlight w:val="none"/>
                <w:vertAlign w:val="superscript"/>
              </w:rPr>
              <w:t>2</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683"/>
              <w:gridCol w:w="1035"/>
              <w:gridCol w:w="1575"/>
              <w:gridCol w:w="1785"/>
              <w:gridCol w:w="1932"/>
              <w:gridCol w:w="959"/>
            </w:tblGrid>
            <w:tr w14:paraId="6BBD10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07" w:hRule="atLeast"/>
                <w:jc w:val="center"/>
              </w:trPr>
              <w:tc>
                <w:tcPr>
                  <w:tcW w:w="2066" w:type="pct"/>
                  <w:gridSpan w:val="3"/>
                  <w:vMerge w:val="restart"/>
                  <w:tcBorders>
                    <w:tl2br w:val="nil"/>
                    <w:tr2bl w:val="nil"/>
                  </w:tcBorders>
                  <w:noWrap w:val="0"/>
                  <w:vAlign w:val="center"/>
                </w:tcPr>
                <w:p w14:paraId="5743F2BC">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项目</w:t>
                  </w:r>
                </w:p>
              </w:tc>
              <w:tc>
                <w:tcPr>
                  <w:tcW w:w="2332" w:type="pct"/>
                  <w:gridSpan w:val="2"/>
                  <w:tcBorders>
                    <w:tl2br w:val="nil"/>
                    <w:tr2bl w:val="nil"/>
                  </w:tcBorders>
                  <w:noWrap w:val="0"/>
                  <w:vAlign w:val="center"/>
                </w:tcPr>
                <w:p w14:paraId="0B93C617">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outlineLvl w:val="9"/>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rPr>
                    <w:t>占地类型</w:t>
                  </w:r>
                </w:p>
              </w:tc>
              <w:tc>
                <w:tcPr>
                  <w:tcW w:w="601" w:type="pct"/>
                  <w:vMerge w:val="restart"/>
                  <w:tcBorders>
                    <w:tl2br w:val="nil"/>
                    <w:tr2bl w:val="nil"/>
                  </w:tcBorders>
                  <w:noWrap w:val="0"/>
                  <w:vAlign w:val="center"/>
                </w:tcPr>
                <w:p w14:paraId="0863048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auto"/>
                    <w:outlineLvl w:val="9"/>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合计</w:t>
                  </w:r>
                </w:p>
              </w:tc>
            </w:tr>
            <w:tr w14:paraId="23A71B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28" w:hRule="atLeast"/>
                <w:jc w:val="center"/>
              </w:trPr>
              <w:tc>
                <w:tcPr>
                  <w:tcW w:w="2066" w:type="pct"/>
                  <w:gridSpan w:val="3"/>
                  <w:vMerge w:val="continue"/>
                  <w:tcBorders>
                    <w:tl2br w:val="nil"/>
                    <w:tr2bl w:val="nil"/>
                  </w:tcBorders>
                  <w:noWrap w:val="0"/>
                  <w:vAlign w:val="center"/>
                </w:tcPr>
                <w:p w14:paraId="565B95A2">
                  <w:pPr>
                    <w:keepNext w:val="0"/>
                    <w:keepLines w:val="0"/>
                    <w:pageBreakBefore w:val="0"/>
                    <w:widowControl/>
                    <w:suppressLineNumbers w:val="0"/>
                    <w:kinsoku/>
                    <w:wordWrap/>
                    <w:overflowPunct/>
                    <w:topLinePunct w:val="0"/>
                    <w:bidi w:val="0"/>
                    <w:spacing w:before="0" w:beforeAutospacing="0" w:after="0" w:afterAutospacing="0"/>
                    <w:ind w:left="0" w:right="0"/>
                    <w:jc w:val="left"/>
                    <w:textAlignment w:val="auto"/>
                    <w:outlineLvl w:val="9"/>
                    <w:rPr>
                      <w:rFonts w:hint="eastAsia" w:ascii="宋体" w:hAnsi="宋体" w:eastAsia="宋体" w:cs="宋体"/>
                      <w:b/>
                      <w:bCs/>
                      <w:color w:val="auto"/>
                      <w:szCs w:val="21"/>
                      <w:highlight w:val="none"/>
                    </w:rPr>
                  </w:pPr>
                </w:p>
              </w:tc>
              <w:tc>
                <w:tcPr>
                  <w:tcW w:w="1119" w:type="pct"/>
                  <w:tcBorders>
                    <w:tl2br w:val="nil"/>
                    <w:tr2bl w:val="nil"/>
                  </w:tcBorders>
                  <w:noWrap w:val="0"/>
                  <w:vAlign w:val="center"/>
                </w:tcPr>
                <w:p w14:paraId="36388A9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auto"/>
                    <w:outlineLvl w:val="9"/>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天然牧草地</w:t>
                  </w:r>
                </w:p>
              </w:tc>
              <w:tc>
                <w:tcPr>
                  <w:tcW w:w="1212" w:type="pct"/>
                  <w:tcBorders>
                    <w:tl2br w:val="nil"/>
                    <w:tr2bl w:val="nil"/>
                  </w:tcBorders>
                  <w:noWrap w:val="0"/>
                  <w:vAlign w:val="center"/>
                </w:tcPr>
                <w:p w14:paraId="385E438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auto"/>
                    <w:outlineLvl w:val="9"/>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裸地</w:t>
                  </w:r>
                </w:p>
              </w:tc>
              <w:tc>
                <w:tcPr>
                  <w:tcW w:w="601" w:type="pct"/>
                  <w:vMerge w:val="continue"/>
                  <w:tcBorders>
                    <w:tl2br w:val="nil"/>
                    <w:tr2bl w:val="nil"/>
                  </w:tcBorders>
                  <w:noWrap w:val="0"/>
                  <w:vAlign w:val="center"/>
                </w:tcPr>
                <w:p w14:paraId="1AA6875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auto"/>
                    <w:outlineLvl w:val="9"/>
                    <w:rPr>
                      <w:rFonts w:hint="eastAsia" w:ascii="宋体" w:hAnsi="宋体" w:eastAsia="宋体" w:cs="宋体"/>
                      <w:b/>
                      <w:bCs/>
                      <w:color w:val="auto"/>
                      <w:szCs w:val="21"/>
                      <w:highlight w:val="none"/>
                      <w:lang w:val="en-US" w:eastAsia="zh-CN"/>
                    </w:rPr>
                  </w:pPr>
                </w:p>
              </w:tc>
            </w:tr>
            <w:tr w14:paraId="5D0178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428" w:type="pct"/>
                  <w:vMerge w:val="restart"/>
                  <w:tcBorders>
                    <w:tl2br w:val="nil"/>
                    <w:tr2bl w:val="nil"/>
                  </w:tcBorders>
                  <w:noWrap w:val="0"/>
                  <w:vAlign w:val="center"/>
                </w:tcPr>
                <w:p w14:paraId="051A1A63">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outlineLvl w:val="9"/>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永久占地</w:t>
                  </w:r>
                </w:p>
              </w:tc>
              <w:tc>
                <w:tcPr>
                  <w:tcW w:w="1637" w:type="pct"/>
                  <w:gridSpan w:val="2"/>
                  <w:tcBorders>
                    <w:tl2br w:val="nil"/>
                    <w:tr2bl w:val="nil"/>
                  </w:tcBorders>
                  <w:noWrap w:val="0"/>
                  <w:vAlign w:val="center"/>
                </w:tcPr>
                <w:p w14:paraId="3B18E31A">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outlineLvl w:val="9"/>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1#升压站</w:t>
                  </w:r>
                </w:p>
              </w:tc>
              <w:tc>
                <w:tcPr>
                  <w:tcW w:w="1119" w:type="pct"/>
                  <w:tcBorders>
                    <w:tl2br w:val="nil"/>
                    <w:tr2bl w:val="nil"/>
                  </w:tcBorders>
                  <w:noWrap w:val="0"/>
                  <w:vAlign w:val="center"/>
                </w:tcPr>
                <w:p w14:paraId="7E2A07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i w:val="0"/>
                      <w:color w:val="000000"/>
                      <w:kern w:val="0"/>
                      <w:sz w:val="21"/>
                      <w:szCs w:val="21"/>
                      <w:u w:val="none"/>
                      <w:lang w:val="en-US" w:eastAsia="zh-CN" w:bidi="ar"/>
                    </w:rPr>
                    <w:t>23400</w:t>
                  </w:r>
                </w:p>
              </w:tc>
              <w:tc>
                <w:tcPr>
                  <w:tcW w:w="1212" w:type="pct"/>
                  <w:tcBorders>
                    <w:tl2br w:val="nil"/>
                    <w:tr2bl w:val="nil"/>
                  </w:tcBorders>
                  <w:shd w:val="clear" w:color="auto" w:fill="auto"/>
                  <w:noWrap w:val="0"/>
                  <w:vAlign w:val="center"/>
                </w:tcPr>
                <w:p w14:paraId="3CED72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i w:val="0"/>
                      <w:color w:val="000000"/>
                      <w:kern w:val="0"/>
                      <w:sz w:val="21"/>
                      <w:szCs w:val="21"/>
                      <w:u w:val="none"/>
                      <w:lang w:val="en-US" w:eastAsia="zh-CN" w:bidi="ar"/>
                    </w:rPr>
                    <w:t>0</w:t>
                  </w:r>
                </w:p>
              </w:tc>
              <w:tc>
                <w:tcPr>
                  <w:tcW w:w="601" w:type="pct"/>
                  <w:tcBorders>
                    <w:tl2br w:val="nil"/>
                    <w:tr2bl w:val="nil"/>
                  </w:tcBorders>
                  <w:shd w:val="clear" w:color="auto" w:fill="auto"/>
                  <w:noWrap w:val="0"/>
                  <w:vAlign w:val="center"/>
                </w:tcPr>
                <w:p w14:paraId="13CEE7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FF"/>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23400</w:t>
                  </w:r>
                </w:p>
              </w:tc>
            </w:tr>
            <w:tr w14:paraId="4462CD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 w:hRule="atLeast"/>
                <w:jc w:val="center"/>
              </w:trPr>
              <w:tc>
                <w:tcPr>
                  <w:tcW w:w="428" w:type="pct"/>
                  <w:vMerge w:val="continue"/>
                  <w:tcBorders>
                    <w:tl2br w:val="nil"/>
                    <w:tr2bl w:val="nil"/>
                  </w:tcBorders>
                  <w:noWrap w:val="0"/>
                  <w:vAlign w:val="center"/>
                </w:tcPr>
                <w:p w14:paraId="2AC8352D">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outlineLvl w:val="9"/>
                    <w:rPr>
                      <w:rFonts w:hint="eastAsia" w:ascii="宋体" w:hAnsi="宋体" w:eastAsia="宋体" w:cs="宋体"/>
                      <w:bCs/>
                      <w:color w:val="auto"/>
                      <w:szCs w:val="21"/>
                      <w:highlight w:val="none"/>
                      <w:lang w:val="en-US" w:eastAsia="zh-CN"/>
                    </w:rPr>
                  </w:pPr>
                </w:p>
              </w:tc>
              <w:tc>
                <w:tcPr>
                  <w:tcW w:w="649" w:type="pct"/>
                  <w:tcBorders>
                    <w:tl2br w:val="nil"/>
                    <w:tr2bl w:val="nil"/>
                  </w:tcBorders>
                  <w:noWrap w:val="0"/>
                  <w:vAlign w:val="center"/>
                </w:tcPr>
                <w:p w14:paraId="3877C7AB">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outlineLvl w:val="9"/>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输电线路</w:t>
                  </w:r>
                </w:p>
              </w:tc>
              <w:tc>
                <w:tcPr>
                  <w:tcW w:w="988" w:type="pct"/>
                  <w:tcBorders>
                    <w:tl2br w:val="nil"/>
                    <w:tr2bl w:val="nil"/>
                  </w:tcBorders>
                  <w:noWrap w:val="0"/>
                  <w:vAlign w:val="center"/>
                </w:tcPr>
                <w:p w14:paraId="2E574FA6">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outlineLvl w:val="9"/>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塔基区</w:t>
                  </w:r>
                </w:p>
              </w:tc>
              <w:tc>
                <w:tcPr>
                  <w:tcW w:w="1119" w:type="pct"/>
                  <w:tcBorders>
                    <w:tl2br w:val="nil"/>
                    <w:tr2bl w:val="nil"/>
                  </w:tcBorders>
                  <w:noWrap w:val="0"/>
                  <w:vAlign w:val="center"/>
                </w:tcPr>
                <w:p w14:paraId="44830B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i w:val="0"/>
                      <w:color w:val="000000"/>
                      <w:kern w:val="0"/>
                      <w:sz w:val="21"/>
                      <w:szCs w:val="21"/>
                      <w:u w:val="none"/>
                      <w:lang w:val="en-US" w:eastAsia="zh-CN" w:bidi="ar"/>
                    </w:rPr>
                    <w:t>2000</w:t>
                  </w:r>
                </w:p>
              </w:tc>
              <w:tc>
                <w:tcPr>
                  <w:tcW w:w="1212" w:type="pct"/>
                  <w:tcBorders>
                    <w:tl2br w:val="nil"/>
                    <w:tr2bl w:val="nil"/>
                  </w:tcBorders>
                  <w:noWrap w:val="0"/>
                  <w:vAlign w:val="center"/>
                </w:tcPr>
                <w:p w14:paraId="55C76A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i w:val="0"/>
                      <w:color w:val="000000"/>
                      <w:kern w:val="0"/>
                      <w:sz w:val="21"/>
                      <w:szCs w:val="21"/>
                      <w:u w:val="none"/>
                      <w:lang w:val="en-US" w:eastAsia="zh-CN" w:bidi="ar"/>
                    </w:rPr>
                    <w:t>900</w:t>
                  </w:r>
                </w:p>
              </w:tc>
              <w:tc>
                <w:tcPr>
                  <w:tcW w:w="601" w:type="pct"/>
                  <w:tcBorders>
                    <w:tl2br w:val="nil"/>
                    <w:tr2bl w:val="nil"/>
                  </w:tcBorders>
                  <w:noWrap w:val="0"/>
                  <w:vAlign w:val="center"/>
                </w:tcPr>
                <w:p w14:paraId="2A8DA4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FF"/>
                      <w:szCs w:val="21"/>
                      <w:highlight w:val="none"/>
                      <w:lang w:val="en-US" w:eastAsia="zh-CN"/>
                    </w:rPr>
                  </w:pPr>
                  <w:r>
                    <w:rPr>
                      <w:rFonts w:hint="eastAsia" w:ascii="宋体" w:hAnsi="宋体" w:eastAsia="宋体" w:cs="宋体"/>
                      <w:i w:val="0"/>
                      <w:color w:val="000000"/>
                      <w:kern w:val="0"/>
                      <w:sz w:val="21"/>
                      <w:szCs w:val="21"/>
                      <w:u w:val="none"/>
                      <w:lang w:val="en-US" w:eastAsia="zh-CN" w:bidi="ar"/>
                    </w:rPr>
                    <w:t>2900</w:t>
                  </w:r>
                </w:p>
              </w:tc>
            </w:tr>
            <w:tr w14:paraId="03EEF3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 w:hRule="atLeast"/>
                <w:jc w:val="center"/>
              </w:trPr>
              <w:tc>
                <w:tcPr>
                  <w:tcW w:w="428" w:type="pct"/>
                  <w:vMerge w:val="continue"/>
                  <w:tcBorders>
                    <w:tl2br w:val="nil"/>
                    <w:tr2bl w:val="nil"/>
                  </w:tcBorders>
                  <w:noWrap w:val="0"/>
                  <w:vAlign w:val="center"/>
                </w:tcPr>
                <w:p w14:paraId="49A9B181">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outlineLvl w:val="9"/>
                    <w:rPr>
                      <w:rFonts w:hint="eastAsia" w:ascii="宋体" w:hAnsi="宋体" w:eastAsia="宋体" w:cs="宋体"/>
                      <w:bCs/>
                      <w:color w:val="auto"/>
                      <w:szCs w:val="21"/>
                      <w:highlight w:val="none"/>
                      <w:lang w:val="en-US" w:eastAsia="zh-CN"/>
                    </w:rPr>
                  </w:pPr>
                </w:p>
              </w:tc>
              <w:tc>
                <w:tcPr>
                  <w:tcW w:w="1637" w:type="pct"/>
                  <w:gridSpan w:val="2"/>
                  <w:tcBorders>
                    <w:tl2br w:val="nil"/>
                    <w:tr2bl w:val="nil"/>
                  </w:tcBorders>
                  <w:noWrap w:val="0"/>
                  <w:vAlign w:val="center"/>
                </w:tcPr>
                <w:p w14:paraId="4FBF427C">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outlineLvl w:val="9"/>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合计</w:t>
                  </w:r>
                </w:p>
              </w:tc>
              <w:tc>
                <w:tcPr>
                  <w:tcW w:w="1119" w:type="pct"/>
                  <w:tcBorders>
                    <w:tl2br w:val="nil"/>
                    <w:tr2bl w:val="nil"/>
                  </w:tcBorders>
                  <w:noWrap w:val="0"/>
                  <w:vAlign w:val="center"/>
                </w:tcPr>
                <w:p w14:paraId="498C06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FF"/>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25400</w:t>
                  </w:r>
                </w:p>
              </w:tc>
              <w:tc>
                <w:tcPr>
                  <w:tcW w:w="1212" w:type="pct"/>
                  <w:tcBorders>
                    <w:tl2br w:val="nil"/>
                    <w:tr2bl w:val="nil"/>
                  </w:tcBorders>
                  <w:noWrap w:val="0"/>
                  <w:vAlign w:val="center"/>
                </w:tcPr>
                <w:p w14:paraId="292CFF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FF"/>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900</w:t>
                  </w:r>
                </w:p>
              </w:tc>
              <w:tc>
                <w:tcPr>
                  <w:tcW w:w="601" w:type="pct"/>
                  <w:tcBorders>
                    <w:tl2br w:val="nil"/>
                    <w:tr2bl w:val="nil"/>
                  </w:tcBorders>
                  <w:noWrap w:val="0"/>
                  <w:vAlign w:val="center"/>
                </w:tcPr>
                <w:p w14:paraId="0080B8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FF"/>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26300</w:t>
                  </w:r>
                </w:p>
              </w:tc>
            </w:tr>
            <w:tr w14:paraId="66E106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 w:hRule="atLeast"/>
                <w:jc w:val="center"/>
              </w:trPr>
              <w:tc>
                <w:tcPr>
                  <w:tcW w:w="428" w:type="pct"/>
                  <w:vMerge w:val="restart"/>
                  <w:tcBorders>
                    <w:tl2br w:val="nil"/>
                    <w:tr2bl w:val="nil"/>
                  </w:tcBorders>
                  <w:noWrap w:val="0"/>
                  <w:vAlign w:val="center"/>
                </w:tcPr>
                <w:p w14:paraId="4E5AB82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auto"/>
                    <w:outlineLvl w:val="9"/>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临时占地</w:t>
                  </w:r>
                </w:p>
              </w:tc>
              <w:tc>
                <w:tcPr>
                  <w:tcW w:w="1637" w:type="pct"/>
                  <w:gridSpan w:val="2"/>
                  <w:tcBorders>
                    <w:tl2br w:val="nil"/>
                    <w:tr2bl w:val="nil"/>
                  </w:tcBorders>
                  <w:noWrap w:val="0"/>
                  <w:vAlign w:val="center"/>
                </w:tcPr>
                <w:p w14:paraId="7ED465DB">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outlineLvl w:val="9"/>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施工临建区</w:t>
                  </w:r>
                </w:p>
              </w:tc>
              <w:tc>
                <w:tcPr>
                  <w:tcW w:w="1119" w:type="pct"/>
                  <w:tcBorders>
                    <w:tl2br w:val="nil"/>
                    <w:tr2bl w:val="nil"/>
                  </w:tcBorders>
                  <w:noWrap w:val="0"/>
                  <w:vAlign w:val="center"/>
                </w:tcPr>
                <w:p w14:paraId="4B7C13A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FF"/>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0</w:t>
                  </w:r>
                </w:p>
              </w:tc>
              <w:tc>
                <w:tcPr>
                  <w:tcW w:w="1212" w:type="pct"/>
                  <w:tcBorders>
                    <w:tl2br w:val="nil"/>
                    <w:tr2bl w:val="nil"/>
                  </w:tcBorders>
                  <w:noWrap w:val="0"/>
                  <w:vAlign w:val="center"/>
                </w:tcPr>
                <w:p w14:paraId="6D0B28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FF"/>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9600</w:t>
                  </w:r>
                </w:p>
              </w:tc>
              <w:tc>
                <w:tcPr>
                  <w:tcW w:w="601" w:type="pct"/>
                  <w:tcBorders>
                    <w:tl2br w:val="nil"/>
                    <w:tr2bl w:val="nil"/>
                  </w:tcBorders>
                  <w:noWrap w:val="0"/>
                  <w:vAlign w:val="center"/>
                </w:tcPr>
                <w:p w14:paraId="461CD4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FF"/>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9600</w:t>
                  </w:r>
                </w:p>
              </w:tc>
            </w:tr>
            <w:tr w14:paraId="42987C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72" w:hRule="atLeast"/>
                <w:jc w:val="center"/>
              </w:trPr>
              <w:tc>
                <w:tcPr>
                  <w:tcW w:w="428" w:type="pct"/>
                  <w:vMerge w:val="continue"/>
                  <w:tcBorders>
                    <w:tl2br w:val="nil"/>
                    <w:tr2bl w:val="nil"/>
                  </w:tcBorders>
                  <w:noWrap w:val="0"/>
                  <w:vAlign w:val="center"/>
                </w:tcPr>
                <w:p w14:paraId="435E19A9">
                  <w:pPr>
                    <w:keepNext w:val="0"/>
                    <w:keepLines w:val="0"/>
                    <w:pageBreakBefore w:val="0"/>
                    <w:widowControl/>
                    <w:suppressLineNumbers w:val="0"/>
                    <w:kinsoku/>
                    <w:wordWrap/>
                    <w:overflowPunct/>
                    <w:topLinePunct w:val="0"/>
                    <w:bidi w:val="0"/>
                    <w:spacing w:before="0" w:beforeAutospacing="0" w:after="0" w:afterAutospacing="0"/>
                    <w:ind w:left="0" w:right="0"/>
                    <w:jc w:val="left"/>
                    <w:textAlignment w:val="auto"/>
                    <w:outlineLvl w:val="9"/>
                    <w:rPr>
                      <w:rFonts w:hint="eastAsia" w:ascii="宋体" w:hAnsi="宋体" w:eastAsia="宋体" w:cs="宋体"/>
                      <w:bCs/>
                      <w:color w:val="auto"/>
                      <w:szCs w:val="21"/>
                      <w:highlight w:val="none"/>
                    </w:rPr>
                  </w:pPr>
                </w:p>
              </w:tc>
              <w:tc>
                <w:tcPr>
                  <w:tcW w:w="649" w:type="pct"/>
                  <w:vMerge w:val="restart"/>
                  <w:tcBorders>
                    <w:tl2br w:val="nil"/>
                    <w:tr2bl w:val="nil"/>
                  </w:tcBorders>
                  <w:noWrap w:val="0"/>
                  <w:vAlign w:val="center"/>
                </w:tcPr>
                <w:p w14:paraId="4CB6241D">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outlineLvl w:val="9"/>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输电线路</w:t>
                  </w:r>
                </w:p>
              </w:tc>
              <w:tc>
                <w:tcPr>
                  <w:tcW w:w="988" w:type="pct"/>
                  <w:tcBorders>
                    <w:tl2br w:val="nil"/>
                    <w:tr2bl w:val="nil"/>
                  </w:tcBorders>
                  <w:noWrap w:val="0"/>
                  <w:vAlign w:val="center"/>
                </w:tcPr>
                <w:p w14:paraId="63100E13">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outlineLvl w:val="9"/>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塔基施工场地</w:t>
                  </w:r>
                </w:p>
              </w:tc>
              <w:tc>
                <w:tcPr>
                  <w:tcW w:w="1119" w:type="pct"/>
                  <w:tcBorders>
                    <w:tl2br w:val="nil"/>
                    <w:tr2bl w:val="nil"/>
                  </w:tcBorders>
                  <w:noWrap w:val="0"/>
                  <w:vAlign w:val="center"/>
                </w:tcPr>
                <w:p w14:paraId="437228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Cs w:val="21"/>
                      <w:highlight w:val="none"/>
                      <w:lang w:val="en-US" w:eastAsia="zh-CN"/>
                    </w:rPr>
                  </w:pPr>
                  <w:r>
                    <w:rPr>
                      <w:rFonts w:hint="eastAsia" w:ascii="宋体" w:hAnsi="宋体" w:eastAsia="宋体" w:cs="宋体"/>
                      <w:i w:val="0"/>
                      <w:color w:val="000000"/>
                      <w:kern w:val="0"/>
                      <w:sz w:val="21"/>
                      <w:szCs w:val="21"/>
                      <w:u w:val="none"/>
                      <w:lang w:val="en-US" w:eastAsia="zh-CN" w:bidi="ar"/>
                    </w:rPr>
                    <w:t>12000</w:t>
                  </w:r>
                </w:p>
              </w:tc>
              <w:tc>
                <w:tcPr>
                  <w:tcW w:w="1212" w:type="pct"/>
                  <w:tcBorders>
                    <w:tl2br w:val="nil"/>
                    <w:tr2bl w:val="nil"/>
                  </w:tcBorders>
                  <w:noWrap w:val="0"/>
                  <w:vAlign w:val="center"/>
                </w:tcPr>
                <w:p w14:paraId="7AB997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Cs w:val="21"/>
                      <w:highlight w:val="none"/>
                      <w:lang w:val="en-US" w:eastAsia="zh-CN"/>
                    </w:rPr>
                  </w:pPr>
                  <w:r>
                    <w:rPr>
                      <w:rFonts w:hint="eastAsia" w:ascii="宋体" w:hAnsi="宋体" w:eastAsia="宋体" w:cs="宋体"/>
                      <w:i w:val="0"/>
                      <w:color w:val="000000"/>
                      <w:kern w:val="0"/>
                      <w:sz w:val="21"/>
                      <w:szCs w:val="21"/>
                      <w:u w:val="none"/>
                      <w:lang w:val="en-US" w:eastAsia="zh-CN" w:bidi="ar"/>
                    </w:rPr>
                    <w:t>5400</w:t>
                  </w:r>
                </w:p>
              </w:tc>
              <w:tc>
                <w:tcPr>
                  <w:tcW w:w="601" w:type="pct"/>
                  <w:tcBorders>
                    <w:tl2br w:val="nil"/>
                    <w:tr2bl w:val="nil"/>
                  </w:tcBorders>
                  <w:noWrap w:val="0"/>
                  <w:vAlign w:val="center"/>
                </w:tcPr>
                <w:p w14:paraId="6D9EAB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FF"/>
                      <w:szCs w:val="21"/>
                      <w:highlight w:val="none"/>
                      <w:lang w:val="en-US" w:eastAsia="zh-CN"/>
                    </w:rPr>
                  </w:pPr>
                  <w:r>
                    <w:rPr>
                      <w:rFonts w:hint="eastAsia" w:ascii="宋体" w:hAnsi="宋体" w:eastAsia="宋体" w:cs="宋体"/>
                      <w:i w:val="0"/>
                      <w:color w:val="000000"/>
                      <w:kern w:val="0"/>
                      <w:sz w:val="21"/>
                      <w:szCs w:val="21"/>
                      <w:u w:val="none"/>
                      <w:lang w:val="en-US" w:eastAsia="zh-CN" w:bidi="ar"/>
                    </w:rPr>
                    <w:t>17400</w:t>
                  </w:r>
                </w:p>
              </w:tc>
            </w:tr>
            <w:tr w14:paraId="0639A7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 w:hRule="atLeast"/>
                <w:jc w:val="center"/>
              </w:trPr>
              <w:tc>
                <w:tcPr>
                  <w:tcW w:w="428" w:type="pct"/>
                  <w:vMerge w:val="continue"/>
                  <w:tcBorders>
                    <w:tl2br w:val="nil"/>
                    <w:tr2bl w:val="nil"/>
                  </w:tcBorders>
                  <w:noWrap w:val="0"/>
                  <w:vAlign w:val="center"/>
                </w:tcPr>
                <w:p w14:paraId="2D8B3596">
                  <w:pPr>
                    <w:keepNext w:val="0"/>
                    <w:keepLines w:val="0"/>
                    <w:pageBreakBefore w:val="0"/>
                    <w:widowControl/>
                    <w:suppressLineNumbers w:val="0"/>
                    <w:kinsoku/>
                    <w:wordWrap/>
                    <w:overflowPunct/>
                    <w:topLinePunct w:val="0"/>
                    <w:bidi w:val="0"/>
                    <w:spacing w:before="0" w:beforeAutospacing="0" w:after="0" w:afterAutospacing="0"/>
                    <w:ind w:left="0" w:right="0"/>
                    <w:jc w:val="left"/>
                    <w:textAlignment w:val="auto"/>
                    <w:outlineLvl w:val="9"/>
                    <w:rPr>
                      <w:rFonts w:hint="eastAsia" w:ascii="宋体" w:hAnsi="宋体" w:eastAsia="宋体" w:cs="宋体"/>
                      <w:bCs/>
                      <w:color w:val="auto"/>
                      <w:szCs w:val="21"/>
                      <w:highlight w:val="none"/>
                    </w:rPr>
                  </w:pPr>
                </w:p>
              </w:tc>
              <w:tc>
                <w:tcPr>
                  <w:tcW w:w="649" w:type="pct"/>
                  <w:vMerge w:val="continue"/>
                  <w:tcBorders>
                    <w:tl2br w:val="nil"/>
                    <w:tr2bl w:val="nil"/>
                  </w:tcBorders>
                  <w:noWrap w:val="0"/>
                  <w:vAlign w:val="center"/>
                </w:tcPr>
                <w:p w14:paraId="29230B59">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outlineLvl w:val="9"/>
                    <w:rPr>
                      <w:rFonts w:hint="eastAsia" w:ascii="宋体" w:hAnsi="宋体" w:eastAsia="宋体" w:cs="宋体"/>
                      <w:bCs/>
                      <w:color w:val="auto"/>
                      <w:szCs w:val="21"/>
                      <w:highlight w:val="none"/>
                    </w:rPr>
                  </w:pPr>
                </w:p>
              </w:tc>
              <w:tc>
                <w:tcPr>
                  <w:tcW w:w="988" w:type="pct"/>
                  <w:tcBorders>
                    <w:tl2br w:val="nil"/>
                    <w:tr2bl w:val="nil"/>
                  </w:tcBorders>
                  <w:noWrap w:val="0"/>
                  <w:vAlign w:val="center"/>
                </w:tcPr>
                <w:p w14:paraId="1608E340">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outlineLvl w:val="9"/>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施工临时道路</w:t>
                  </w:r>
                </w:p>
              </w:tc>
              <w:tc>
                <w:tcPr>
                  <w:tcW w:w="1119" w:type="pct"/>
                  <w:tcBorders>
                    <w:tl2br w:val="nil"/>
                    <w:tr2bl w:val="nil"/>
                  </w:tcBorders>
                  <w:noWrap w:val="0"/>
                  <w:vAlign w:val="center"/>
                </w:tcPr>
                <w:p w14:paraId="18A34E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Cs w:val="21"/>
                      <w:highlight w:val="none"/>
                      <w:lang w:val="en-US" w:eastAsia="zh-CN"/>
                    </w:rPr>
                  </w:pPr>
                  <w:r>
                    <w:rPr>
                      <w:rFonts w:hint="eastAsia" w:ascii="宋体" w:hAnsi="宋体" w:eastAsia="宋体" w:cs="宋体"/>
                      <w:i w:val="0"/>
                      <w:color w:val="000000"/>
                      <w:kern w:val="0"/>
                      <w:sz w:val="21"/>
                      <w:szCs w:val="21"/>
                      <w:u w:val="none"/>
                      <w:lang w:val="en-US" w:eastAsia="zh-CN" w:bidi="ar"/>
                    </w:rPr>
                    <w:t>18000</w:t>
                  </w:r>
                </w:p>
              </w:tc>
              <w:tc>
                <w:tcPr>
                  <w:tcW w:w="1212" w:type="pct"/>
                  <w:tcBorders>
                    <w:tl2br w:val="nil"/>
                    <w:tr2bl w:val="nil"/>
                  </w:tcBorders>
                  <w:noWrap w:val="0"/>
                  <w:vAlign w:val="center"/>
                </w:tcPr>
                <w:p w14:paraId="08580C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Cs w:val="21"/>
                      <w:highlight w:val="yellow"/>
                      <w:lang w:val="en-US" w:eastAsia="zh-CN"/>
                    </w:rPr>
                  </w:pPr>
                  <w:r>
                    <w:rPr>
                      <w:rFonts w:hint="eastAsia" w:ascii="宋体" w:hAnsi="宋体" w:eastAsia="宋体" w:cs="宋体"/>
                      <w:i w:val="0"/>
                      <w:color w:val="000000"/>
                      <w:kern w:val="0"/>
                      <w:sz w:val="21"/>
                      <w:szCs w:val="21"/>
                      <w:u w:val="none"/>
                      <w:lang w:val="en-US" w:eastAsia="zh-CN" w:bidi="ar"/>
                    </w:rPr>
                    <w:t>0</w:t>
                  </w:r>
                </w:p>
              </w:tc>
              <w:tc>
                <w:tcPr>
                  <w:tcW w:w="601" w:type="pct"/>
                  <w:tcBorders>
                    <w:tl2br w:val="nil"/>
                    <w:tr2bl w:val="nil"/>
                  </w:tcBorders>
                  <w:noWrap w:val="0"/>
                  <w:vAlign w:val="center"/>
                </w:tcPr>
                <w:p w14:paraId="030777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FF"/>
                      <w:szCs w:val="21"/>
                      <w:highlight w:val="none"/>
                      <w:lang w:val="en-US" w:eastAsia="zh-CN"/>
                    </w:rPr>
                  </w:pPr>
                  <w:r>
                    <w:rPr>
                      <w:rFonts w:hint="eastAsia" w:ascii="宋体" w:hAnsi="宋体" w:eastAsia="宋体" w:cs="宋体"/>
                      <w:i w:val="0"/>
                      <w:color w:val="000000"/>
                      <w:kern w:val="0"/>
                      <w:sz w:val="21"/>
                      <w:szCs w:val="21"/>
                      <w:u w:val="none"/>
                      <w:lang w:val="en-US" w:eastAsia="zh-CN" w:bidi="ar"/>
                    </w:rPr>
                    <w:t>18000</w:t>
                  </w:r>
                </w:p>
              </w:tc>
            </w:tr>
            <w:tr w14:paraId="03EB5C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428" w:type="pct"/>
                  <w:vMerge w:val="continue"/>
                  <w:tcBorders>
                    <w:tl2br w:val="nil"/>
                    <w:tr2bl w:val="nil"/>
                  </w:tcBorders>
                  <w:noWrap w:val="0"/>
                  <w:vAlign w:val="center"/>
                </w:tcPr>
                <w:p w14:paraId="520DE0C7">
                  <w:pPr>
                    <w:keepNext w:val="0"/>
                    <w:keepLines w:val="0"/>
                    <w:pageBreakBefore w:val="0"/>
                    <w:widowControl/>
                    <w:suppressLineNumbers w:val="0"/>
                    <w:kinsoku/>
                    <w:wordWrap/>
                    <w:overflowPunct/>
                    <w:topLinePunct w:val="0"/>
                    <w:bidi w:val="0"/>
                    <w:spacing w:before="0" w:beforeAutospacing="0" w:after="0" w:afterAutospacing="0"/>
                    <w:ind w:left="0" w:right="0"/>
                    <w:jc w:val="left"/>
                    <w:textAlignment w:val="auto"/>
                    <w:outlineLvl w:val="9"/>
                    <w:rPr>
                      <w:rFonts w:hint="eastAsia" w:ascii="宋体" w:hAnsi="宋体" w:eastAsia="宋体" w:cs="宋体"/>
                      <w:bCs/>
                      <w:color w:val="auto"/>
                      <w:szCs w:val="21"/>
                      <w:highlight w:val="none"/>
                    </w:rPr>
                  </w:pPr>
                </w:p>
              </w:tc>
              <w:tc>
                <w:tcPr>
                  <w:tcW w:w="649" w:type="pct"/>
                  <w:vMerge w:val="continue"/>
                  <w:tcBorders>
                    <w:tl2br w:val="nil"/>
                    <w:tr2bl w:val="nil"/>
                  </w:tcBorders>
                  <w:noWrap w:val="0"/>
                  <w:vAlign w:val="center"/>
                </w:tcPr>
                <w:p w14:paraId="3F739C23">
                  <w:pPr>
                    <w:keepNext w:val="0"/>
                    <w:keepLines w:val="0"/>
                    <w:pageBreakBefore w:val="0"/>
                    <w:widowControl/>
                    <w:suppressLineNumbers w:val="0"/>
                    <w:kinsoku/>
                    <w:wordWrap/>
                    <w:overflowPunct/>
                    <w:topLinePunct w:val="0"/>
                    <w:bidi w:val="0"/>
                    <w:spacing w:before="0" w:beforeAutospacing="0" w:after="0" w:afterAutospacing="0"/>
                    <w:ind w:left="0" w:right="0"/>
                    <w:jc w:val="left"/>
                    <w:textAlignment w:val="auto"/>
                    <w:outlineLvl w:val="9"/>
                    <w:rPr>
                      <w:rFonts w:hint="eastAsia" w:ascii="宋体" w:hAnsi="宋体" w:eastAsia="宋体" w:cs="宋体"/>
                      <w:bCs/>
                      <w:color w:val="auto"/>
                      <w:szCs w:val="21"/>
                      <w:highlight w:val="none"/>
                    </w:rPr>
                  </w:pPr>
                </w:p>
              </w:tc>
              <w:tc>
                <w:tcPr>
                  <w:tcW w:w="988" w:type="pct"/>
                  <w:tcBorders>
                    <w:tl2br w:val="nil"/>
                    <w:tr2bl w:val="nil"/>
                  </w:tcBorders>
                  <w:noWrap w:val="0"/>
                  <w:vAlign w:val="center"/>
                </w:tcPr>
                <w:p w14:paraId="6D8E4E75">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outlineLvl w:val="9"/>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牵张场</w:t>
                  </w:r>
                </w:p>
              </w:tc>
              <w:tc>
                <w:tcPr>
                  <w:tcW w:w="1119" w:type="pct"/>
                  <w:tcBorders>
                    <w:tl2br w:val="nil"/>
                    <w:tr2bl w:val="nil"/>
                  </w:tcBorders>
                  <w:noWrap w:val="0"/>
                  <w:vAlign w:val="center"/>
                </w:tcPr>
                <w:p w14:paraId="0B5B8C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i w:val="0"/>
                      <w:color w:val="000000"/>
                      <w:kern w:val="0"/>
                      <w:sz w:val="21"/>
                      <w:szCs w:val="21"/>
                      <w:u w:val="none"/>
                      <w:lang w:val="en-US" w:eastAsia="zh-CN" w:bidi="ar"/>
                    </w:rPr>
                    <w:t>4000</w:t>
                  </w:r>
                </w:p>
              </w:tc>
              <w:tc>
                <w:tcPr>
                  <w:tcW w:w="1212" w:type="pct"/>
                  <w:tcBorders>
                    <w:tl2br w:val="nil"/>
                    <w:tr2bl w:val="nil"/>
                  </w:tcBorders>
                  <w:noWrap w:val="0"/>
                  <w:vAlign w:val="center"/>
                </w:tcPr>
                <w:p w14:paraId="583E35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i w:val="0"/>
                      <w:color w:val="000000"/>
                      <w:kern w:val="0"/>
                      <w:sz w:val="21"/>
                      <w:szCs w:val="21"/>
                      <w:u w:val="none"/>
                      <w:lang w:val="en-US" w:eastAsia="zh-CN" w:bidi="ar"/>
                    </w:rPr>
                    <w:t>2000</w:t>
                  </w:r>
                </w:p>
              </w:tc>
              <w:tc>
                <w:tcPr>
                  <w:tcW w:w="601" w:type="pct"/>
                  <w:tcBorders>
                    <w:tl2br w:val="nil"/>
                    <w:tr2bl w:val="nil"/>
                  </w:tcBorders>
                  <w:noWrap w:val="0"/>
                  <w:vAlign w:val="center"/>
                </w:tcPr>
                <w:p w14:paraId="4269E0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napToGrid w:val="0"/>
                      <w:color w:val="0000FF"/>
                      <w:kern w:val="0"/>
                      <w:szCs w:val="21"/>
                      <w:highlight w:val="none"/>
                      <w:lang w:val="en-US" w:eastAsia="zh-CN"/>
                    </w:rPr>
                  </w:pPr>
                  <w:r>
                    <w:rPr>
                      <w:rFonts w:hint="eastAsia" w:ascii="宋体" w:hAnsi="宋体" w:eastAsia="宋体" w:cs="宋体"/>
                      <w:i w:val="0"/>
                      <w:color w:val="000000"/>
                      <w:kern w:val="0"/>
                      <w:sz w:val="21"/>
                      <w:szCs w:val="21"/>
                      <w:u w:val="none"/>
                      <w:lang w:val="en-US" w:eastAsia="zh-CN" w:bidi="ar"/>
                    </w:rPr>
                    <w:t>6000</w:t>
                  </w:r>
                </w:p>
              </w:tc>
            </w:tr>
            <w:tr w14:paraId="0DA799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 w:hRule="atLeast"/>
                <w:jc w:val="center"/>
              </w:trPr>
              <w:tc>
                <w:tcPr>
                  <w:tcW w:w="428" w:type="pct"/>
                  <w:vMerge w:val="continue"/>
                  <w:tcBorders>
                    <w:tl2br w:val="nil"/>
                    <w:tr2bl w:val="nil"/>
                  </w:tcBorders>
                  <w:noWrap w:val="0"/>
                  <w:vAlign w:val="center"/>
                </w:tcPr>
                <w:p w14:paraId="4771113D">
                  <w:pPr>
                    <w:keepNext w:val="0"/>
                    <w:keepLines w:val="0"/>
                    <w:pageBreakBefore w:val="0"/>
                    <w:widowControl/>
                    <w:suppressLineNumbers w:val="0"/>
                    <w:kinsoku/>
                    <w:wordWrap/>
                    <w:overflowPunct/>
                    <w:topLinePunct w:val="0"/>
                    <w:bidi w:val="0"/>
                    <w:spacing w:before="0" w:beforeAutospacing="0" w:after="0" w:afterAutospacing="0"/>
                    <w:ind w:left="0" w:right="0"/>
                    <w:jc w:val="left"/>
                    <w:textAlignment w:val="auto"/>
                    <w:outlineLvl w:val="9"/>
                    <w:rPr>
                      <w:rFonts w:hint="eastAsia" w:ascii="宋体" w:hAnsi="宋体" w:eastAsia="宋体" w:cs="宋体"/>
                      <w:bCs/>
                      <w:color w:val="auto"/>
                      <w:szCs w:val="21"/>
                      <w:highlight w:val="none"/>
                    </w:rPr>
                  </w:pPr>
                </w:p>
              </w:tc>
              <w:tc>
                <w:tcPr>
                  <w:tcW w:w="649" w:type="pct"/>
                  <w:vMerge w:val="continue"/>
                  <w:tcBorders>
                    <w:tl2br w:val="nil"/>
                    <w:tr2bl w:val="nil"/>
                  </w:tcBorders>
                  <w:noWrap w:val="0"/>
                  <w:vAlign w:val="center"/>
                </w:tcPr>
                <w:p w14:paraId="01F91C45">
                  <w:pPr>
                    <w:keepNext w:val="0"/>
                    <w:keepLines w:val="0"/>
                    <w:pageBreakBefore w:val="0"/>
                    <w:widowControl/>
                    <w:suppressLineNumbers w:val="0"/>
                    <w:kinsoku/>
                    <w:wordWrap/>
                    <w:overflowPunct/>
                    <w:topLinePunct w:val="0"/>
                    <w:bidi w:val="0"/>
                    <w:spacing w:before="0" w:beforeAutospacing="0" w:after="0" w:afterAutospacing="0"/>
                    <w:ind w:left="0" w:right="0"/>
                    <w:jc w:val="left"/>
                    <w:textAlignment w:val="auto"/>
                    <w:outlineLvl w:val="9"/>
                    <w:rPr>
                      <w:rFonts w:hint="eastAsia" w:ascii="宋体" w:hAnsi="宋体" w:eastAsia="宋体" w:cs="宋体"/>
                      <w:bCs/>
                      <w:color w:val="auto"/>
                      <w:szCs w:val="21"/>
                      <w:highlight w:val="none"/>
                    </w:rPr>
                  </w:pPr>
                </w:p>
              </w:tc>
              <w:tc>
                <w:tcPr>
                  <w:tcW w:w="988" w:type="pct"/>
                  <w:tcBorders>
                    <w:tl2br w:val="nil"/>
                    <w:tr2bl w:val="nil"/>
                  </w:tcBorders>
                  <w:noWrap w:val="0"/>
                  <w:vAlign w:val="center"/>
                </w:tcPr>
                <w:p w14:paraId="0CF6FF68">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outlineLvl w:val="9"/>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跨越占地</w:t>
                  </w:r>
                </w:p>
              </w:tc>
              <w:tc>
                <w:tcPr>
                  <w:tcW w:w="1119" w:type="pct"/>
                  <w:tcBorders>
                    <w:tl2br w:val="nil"/>
                    <w:tr2bl w:val="nil"/>
                  </w:tcBorders>
                  <w:noWrap w:val="0"/>
                  <w:vAlign w:val="center"/>
                </w:tcPr>
                <w:p w14:paraId="5ECC79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i w:val="0"/>
                      <w:color w:val="000000"/>
                      <w:kern w:val="0"/>
                      <w:sz w:val="21"/>
                      <w:szCs w:val="21"/>
                      <w:u w:val="none"/>
                      <w:lang w:val="en-US" w:eastAsia="zh-CN" w:bidi="ar"/>
                    </w:rPr>
                    <w:t>0</w:t>
                  </w:r>
                </w:p>
              </w:tc>
              <w:tc>
                <w:tcPr>
                  <w:tcW w:w="1212" w:type="pct"/>
                  <w:tcBorders>
                    <w:tl2br w:val="nil"/>
                    <w:tr2bl w:val="nil"/>
                  </w:tcBorders>
                  <w:noWrap w:val="0"/>
                  <w:vAlign w:val="center"/>
                </w:tcPr>
                <w:p w14:paraId="593C4C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i w:val="0"/>
                      <w:color w:val="000000"/>
                      <w:kern w:val="0"/>
                      <w:sz w:val="21"/>
                      <w:szCs w:val="21"/>
                      <w:u w:val="none"/>
                      <w:lang w:val="en-US" w:eastAsia="zh-CN" w:bidi="ar"/>
                    </w:rPr>
                    <w:t>300</w:t>
                  </w:r>
                </w:p>
              </w:tc>
              <w:tc>
                <w:tcPr>
                  <w:tcW w:w="601" w:type="pct"/>
                  <w:tcBorders>
                    <w:tl2br w:val="nil"/>
                    <w:tr2bl w:val="nil"/>
                  </w:tcBorders>
                  <w:noWrap w:val="0"/>
                  <w:vAlign w:val="center"/>
                </w:tcPr>
                <w:p w14:paraId="318971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napToGrid w:val="0"/>
                      <w:color w:val="0000FF"/>
                      <w:kern w:val="0"/>
                      <w:szCs w:val="21"/>
                      <w:highlight w:val="none"/>
                      <w:lang w:val="en-US" w:eastAsia="zh-CN"/>
                    </w:rPr>
                  </w:pPr>
                  <w:r>
                    <w:rPr>
                      <w:rFonts w:hint="eastAsia" w:ascii="宋体" w:hAnsi="宋体" w:eastAsia="宋体" w:cs="宋体"/>
                      <w:i w:val="0"/>
                      <w:color w:val="000000"/>
                      <w:kern w:val="0"/>
                      <w:sz w:val="21"/>
                      <w:szCs w:val="21"/>
                      <w:u w:val="none"/>
                      <w:lang w:val="en-US" w:eastAsia="zh-CN" w:bidi="ar"/>
                    </w:rPr>
                    <w:t>300</w:t>
                  </w:r>
                </w:p>
              </w:tc>
            </w:tr>
            <w:tr w14:paraId="5BB5BE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69" w:hRule="atLeast"/>
                <w:jc w:val="center"/>
              </w:trPr>
              <w:tc>
                <w:tcPr>
                  <w:tcW w:w="428" w:type="pct"/>
                  <w:vMerge w:val="continue"/>
                  <w:tcBorders>
                    <w:tl2br w:val="nil"/>
                    <w:tr2bl w:val="nil"/>
                  </w:tcBorders>
                  <w:noWrap w:val="0"/>
                  <w:vAlign w:val="center"/>
                </w:tcPr>
                <w:p w14:paraId="620FC3B9">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outlineLvl w:val="9"/>
                    <w:rPr>
                      <w:rFonts w:hint="eastAsia" w:ascii="宋体" w:hAnsi="宋体" w:eastAsia="宋体" w:cs="宋体"/>
                      <w:bCs/>
                      <w:color w:val="auto"/>
                      <w:szCs w:val="21"/>
                      <w:highlight w:val="none"/>
                      <w:lang w:val="en-US" w:eastAsia="zh-CN"/>
                    </w:rPr>
                  </w:pPr>
                </w:p>
              </w:tc>
              <w:tc>
                <w:tcPr>
                  <w:tcW w:w="1637" w:type="pct"/>
                  <w:gridSpan w:val="2"/>
                  <w:tcBorders>
                    <w:tl2br w:val="nil"/>
                    <w:tr2bl w:val="nil"/>
                  </w:tcBorders>
                  <w:noWrap w:val="0"/>
                  <w:vAlign w:val="center"/>
                </w:tcPr>
                <w:p w14:paraId="717B4821">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outlineLvl w:val="9"/>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合计</w:t>
                  </w:r>
                </w:p>
              </w:tc>
              <w:tc>
                <w:tcPr>
                  <w:tcW w:w="1119" w:type="pct"/>
                  <w:tcBorders>
                    <w:tl2br w:val="nil"/>
                    <w:tr2bl w:val="nil"/>
                  </w:tcBorders>
                  <w:shd w:val="clear" w:color="auto" w:fill="auto"/>
                  <w:noWrap w:val="0"/>
                  <w:vAlign w:val="center"/>
                </w:tcPr>
                <w:p w14:paraId="0D42F3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FF"/>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34000</w:t>
                  </w:r>
                </w:p>
              </w:tc>
              <w:tc>
                <w:tcPr>
                  <w:tcW w:w="1212" w:type="pct"/>
                  <w:tcBorders>
                    <w:tl2br w:val="nil"/>
                    <w:tr2bl w:val="nil"/>
                  </w:tcBorders>
                  <w:shd w:val="clear" w:color="auto" w:fill="auto"/>
                  <w:noWrap w:val="0"/>
                  <w:vAlign w:val="center"/>
                </w:tcPr>
                <w:p w14:paraId="195BBA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FF"/>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17300</w:t>
                  </w:r>
                </w:p>
              </w:tc>
              <w:tc>
                <w:tcPr>
                  <w:tcW w:w="601" w:type="pct"/>
                  <w:tcBorders>
                    <w:tl2br w:val="nil"/>
                    <w:tr2bl w:val="nil"/>
                  </w:tcBorders>
                  <w:shd w:val="clear" w:color="auto" w:fill="auto"/>
                  <w:noWrap w:val="0"/>
                  <w:vAlign w:val="center"/>
                </w:tcPr>
                <w:p w14:paraId="35605C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FF"/>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51300</w:t>
                  </w:r>
                </w:p>
              </w:tc>
            </w:tr>
            <w:tr w14:paraId="56A807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69" w:hRule="atLeast"/>
                <w:jc w:val="center"/>
              </w:trPr>
              <w:tc>
                <w:tcPr>
                  <w:tcW w:w="2066" w:type="pct"/>
                  <w:gridSpan w:val="3"/>
                  <w:tcBorders>
                    <w:tl2br w:val="nil"/>
                    <w:tr2bl w:val="nil"/>
                  </w:tcBorders>
                  <w:noWrap w:val="0"/>
                  <w:vAlign w:val="center"/>
                </w:tcPr>
                <w:p w14:paraId="5DB17678">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outlineLvl w:val="9"/>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总计</w:t>
                  </w:r>
                </w:p>
              </w:tc>
              <w:tc>
                <w:tcPr>
                  <w:tcW w:w="1119" w:type="pct"/>
                  <w:tcBorders>
                    <w:tl2br w:val="nil"/>
                    <w:tr2bl w:val="nil"/>
                  </w:tcBorders>
                  <w:shd w:val="clear" w:color="auto" w:fill="auto"/>
                  <w:noWrap w:val="0"/>
                  <w:vAlign w:val="center"/>
                </w:tcPr>
                <w:p w14:paraId="748C21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59400</w:t>
                  </w:r>
                </w:p>
              </w:tc>
              <w:tc>
                <w:tcPr>
                  <w:tcW w:w="1212" w:type="pct"/>
                  <w:tcBorders>
                    <w:tl2br w:val="nil"/>
                    <w:tr2bl w:val="nil"/>
                  </w:tcBorders>
                  <w:shd w:val="clear" w:color="auto" w:fill="auto"/>
                  <w:noWrap w:val="0"/>
                  <w:vAlign w:val="center"/>
                </w:tcPr>
                <w:p w14:paraId="64ADB8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18200</w:t>
                  </w:r>
                </w:p>
              </w:tc>
              <w:tc>
                <w:tcPr>
                  <w:tcW w:w="601" w:type="pct"/>
                  <w:tcBorders>
                    <w:tl2br w:val="nil"/>
                    <w:tr2bl w:val="nil"/>
                  </w:tcBorders>
                  <w:shd w:val="clear" w:color="auto" w:fill="auto"/>
                  <w:noWrap w:val="0"/>
                  <w:vAlign w:val="center"/>
                </w:tcPr>
                <w:p w14:paraId="4EE95C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77600</w:t>
                  </w:r>
                </w:p>
              </w:tc>
            </w:tr>
          </w:tbl>
          <w:p w14:paraId="185D2B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
                <w:bCs/>
                <w:snapToGrid w:val="0"/>
                <w:color w:val="auto"/>
                <w:kern w:val="0"/>
                <w:sz w:val="24"/>
                <w:szCs w:val="21"/>
                <w:highlight w:val="none"/>
                <w:lang w:val="en-US" w:eastAsia="zh-CN"/>
              </w:rPr>
            </w:pPr>
          </w:p>
          <w:p w14:paraId="1F32F2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
                <w:bCs/>
                <w:snapToGrid w:val="0"/>
                <w:color w:val="auto"/>
                <w:kern w:val="0"/>
                <w:sz w:val="24"/>
                <w:szCs w:val="21"/>
                <w:highlight w:val="none"/>
                <w:lang w:val="en-US" w:eastAsia="zh-CN"/>
              </w:rPr>
            </w:pPr>
            <w:r>
              <w:rPr>
                <w:rFonts w:hint="eastAsia" w:ascii="宋体" w:hAnsi="宋体" w:eastAsia="宋体" w:cs="宋体"/>
                <w:b/>
                <w:bCs/>
                <w:snapToGrid w:val="0"/>
                <w:color w:val="auto"/>
                <w:kern w:val="0"/>
                <w:sz w:val="24"/>
                <w:szCs w:val="21"/>
                <w:highlight w:val="none"/>
                <w:lang w:val="en-US" w:eastAsia="zh-CN"/>
              </w:rPr>
              <w:t>4工程挖填方</w:t>
            </w:r>
          </w:p>
          <w:p w14:paraId="53E62D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64" w:firstLineChars="200"/>
              <w:textAlignment w:val="auto"/>
              <w:rPr>
                <w:rFonts w:hint="eastAsia" w:ascii="宋体" w:hAnsi="宋体" w:eastAsia="宋体" w:cs="宋体"/>
                <w:color w:val="auto"/>
                <w:spacing w:val="-4"/>
                <w:sz w:val="24"/>
                <w:szCs w:val="21"/>
                <w:highlight w:val="none"/>
              </w:rPr>
            </w:pPr>
            <w:r>
              <w:rPr>
                <w:rFonts w:hint="eastAsia" w:ascii="宋体" w:hAnsi="宋体" w:eastAsia="宋体" w:cs="宋体"/>
                <w:color w:val="auto"/>
                <w:spacing w:val="-4"/>
                <w:sz w:val="24"/>
                <w:highlight w:val="none"/>
                <w:lang w:val="en-US" w:eastAsia="zh-CN"/>
              </w:rPr>
              <w:t>本项目大唐鄯善东220kV变电站扩建1个220千伏出线间隔，施工期产生土方量较少，用于变电站场地平整。施工期土石方施工活动主要为拟建升压站基础以及输电线路塔基施工过程中的土石方开挖回填。根据可研，本项目升压站挖方量</w:t>
            </w:r>
            <w:r>
              <w:rPr>
                <w:rFonts w:hint="eastAsia" w:ascii="宋体" w:hAnsi="宋体" w:eastAsia="宋体" w:cs="宋体"/>
                <w:snapToGrid w:val="0"/>
                <w:color w:val="auto"/>
                <w:kern w:val="0"/>
                <w:sz w:val="24"/>
                <w:szCs w:val="21"/>
                <w:highlight w:val="none"/>
                <w:lang w:val="en-US" w:eastAsia="zh-CN"/>
              </w:rPr>
              <w:t>约11700m</w:t>
            </w:r>
            <w:r>
              <w:rPr>
                <w:rFonts w:hint="eastAsia" w:ascii="宋体" w:hAnsi="宋体" w:eastAsia="宋体" w:cs="宋体"/>
                <w:snapToGrid w:val="0"/>
                <w:color w:val="auto"/>
                <w:kern w:val="0"/>
                <w:sz w:val="24"/>
                <w:szCs w:val="21"/>
                <w:highlight w:val="none"/>
                <w:vertAlign w:val="superscript"/>
                <w:lang w:val="en-US" w:eastAsia="zh-CN"/>
              </w:rPr>
              <w:t>3</w:t>
            </w:r>
            <w:r>
              <w:rPr>
                <w:rFonts w:hint="eastAsia" w:ascii="宋体" w:hAnsi="宋体" w:eastAsia="宋体" w:cs="宋体"/>
                <w:snapToGrid w:val="0"/>
                <w:color w:val="auto"/>
                <w:kern w:val="0"/>
                <w:sz w:val="24"/>
                <w:szCs w:val="21"/>
                <w:highlight w:val="none"/>
                <w:lang w:val="en-US" w:eastAsia="zh-CN"/>
              </w:rPr>
              <w:t>，填方量约30420万m</w:t>
            </w:r>
            <w:r>
              <w:rPr>
                <w:rFonts w:hint="eastAsia" w:ascii="宋体" w:hAnsi="宋体" w:eastAsia="宋体" w:cs="宋体"/>
                <w:snapToGrid w:val="0"/>
                <w:color w:val="auto"/>
                <w:kern w:val="0"/>
                <w:sz w:val="24"/>
                <w:szCs w:val="21"/>
                <w:highlight w:val="none"/>
                <w:vertAlign w:val="superscript"/>
                <w:lang w:val="en-US" w:eastAsia="zh-CN"/>
              </w:rPr>
              <w:t>3</w:t>
            </w:r>
            <w:r>
              <w:rPr>
                <w:rFonts w:hint="eastAsia" w:ascii="宋体" w:hAnsi="宋体" w:eastAsia="宋体" w:cs="宋体"/>
                <w:snapToGrid w:val="0"/>
                <w:color w:val="auto"/>
                <w:kern w:val="0"/>
                <w:sz w:val="24"/>
                <w:szCs w:val="21"/>
                <w:highlight w:val="none"/>
                <w:lang w:val="en-US" w:eastAsia="zh-CN"/>
              </w:rPr>
              <w:t>，还需外购土石方18720m</w:t>
            </w:r>
            <w:r>
              <w:rPr>
                <w:rFonts w:hint="eastAsia" w:ascii="宋体" w:hAnsi="宋体" w:eastAsia="宋体" w:cs="宋体"/>
                <w:snapToGrid w:val="0"/>
                <w:color w:val="auto"/>
                <w:kern w:val="0"/>
                <w:sz w:val="24"/>
                <w:szCs w:val="21"/>
                <w:highlight w:val="none"/>
                <w:vertAlign w:val="superscript"/>
                <w:lang w:val="en-US" w:eastAsia="zh-CN"/>
              </w:rPr>
              <w:t>3</w:t>
            </w:r>
            <w:r>
              <w:rPr>
                <w:rFonts w:hint="eastAsia" w:ascii="宋体" w:hAnsi="宋体" w:eastAsia="宋体" w:cs="宋体"/>
                <w:color w:val="auto"/>
                <w:spacing w:val="-4"/>
                <w:sz w:val="24"/>
                <w:highlight w:val="none"/>
                <w:lang w:val="en-US" w:eastAsia="zh-CN"/>
              </w:rPr>
              <w:t>。本项目全线共计29基铁塔，每基铁塔开挖量60</w:t>
            </w:r>
            <w:r>
              <w:rPr>
                <w:rFonts w:hint="eastAsia" w:ascii="宋体" w:hAnsi="宋体" w:eastAsia="宋体" w:cs="宋体"/>
                <w:color w:val="auto"/>
                <w:spacing w:val="-4"/>
                <w:sz w:val="24"/>
                <w:highlight w:val="none"/>
              </w:rPr>
              <w:t>m</w:t>
            </w:r>
            <w:r>
              <w:rPr>
                <w:rFonts w:hint="eastAsia" w:ascii="宋体" w:hAnsi="宋体" w:eastAsia="宋体" w:cs="宋体"/>
                <w:color w:val="auto"/>
                <w:spacing w:val="-4"/>
                <w:sz w:val="24"/>
                <w:highlight w:val="none"/>
                <w:vertAlign w:val="superscript"/>
              </w:rPr>
              <w:t>3</w:t>
            </w:r>
            <w:r>
              <w:rPr>
                <w:rFonts w:hint="eastAsia" w:ascii="宋体" w:hAnsi="宋体" w:eastAsia="宋体" w:cs="宋体"/>
                <w:color w:val="auto"/>
                <w:spacing w:val="-4"/>
                <w:sz w:val="24"/>
                <w:highlight w:val="none"/>
                <w:lang w:val="en-US" w:eastAsia="zh-CN"/>
              </w:rPr>
              <w:t>计，总挖方量1740</w:t>
            </w:r>
            <w:r>
              <w:rPr>
                <w:rFonts w:hint="eastAsia" w:ascii="宋体" w:hAnsi="宋体" w:eastAsia="宋体" w:cs="宋体"/>
                <w:color w:val="auto"/>
                <w:spacing w:val="-4"/>
                <w:sz w:val="24"/>
                <w:highlight w:val="none"/>
              </w:rPr>
              <w:t>m</w:t>
            </w:r>
            <w:r>
              <w:rPr>
                <w:rFonts w:hint="eastAsia" w:ascii="宋体" w:hAnsi="宋体" w:eastAsia="宋体" w:cs="宋体"/>
                <w:color w:val="auto"/>
                <w:spacing w:val="-4"/>
                <w:sz w:val="24"/>
                <w:highlight w:val="none"/>
                <w:vertAlign w:val="superscript"/>
              </w:rPr>
              <w:t>3</w:t>
            </w:r>
            <w:r>
              <w:rPr>
                <w:rFonts w:hint="eastAsia" w:ascii="宋体" w:hAnsi="宋体" w:eastAsia="宋体" w:cs="宋体"/>
                <w:color w:val="auto"/>
                <w:spacing w:val="-4"/>
                <w:sz w:val="24"/>
                <w:highlight w:val="none"/>
                <w:lang w:val="en-US" w:eastAsia="zh-CN"/>
              </w:rPr>
              <w:t>。塔基施工结束后回填方量1160</w:t>
            </w:r>
            <w:r>
              <w:rPr>
                <w:rFonts w:hint="eastAsia" w:ascii="宋体" w:hAnsi="宋体" w:eastAsia="宋体" w:cs="宋体"/>
                <w:color w:val="auto"/>
                <w:spacing w:val="-4"/>
                <w:sz w:val="24"/>
                <w:highlight w:val="none"/>
              </w:rPr>
              <w:t>m</w:t>
            </w:r>
            <w:r>
              <w:rPr>
                <w:rFonts w:hint="eastAsia" w:ascii="宋体" w:hAnsi="宋体" w:eastAsia="宋体" w:cs="宋体"/>
                <w:color w:val="auto"/>
                <w:spacing w:val="-4"/>
                <w:sz w:val="24"/>
                <w:highlight w:val="none"/>
                <w:vertAlign w:val="superscript"/>
              </w:rPr>
              <w:t>3</w:t>
            </w:r>
            <w:r>
              <w:rPr>
                <w:rFonts w:hint="eastAsia" w:ascii="宋体" w:hAnsi="宋体" w:eastAsia="宋体" w:cs="宋体"/>
                <w:color w:val="auto"/>
                <w:spacing w:val="-4"/>
                <w:sz w:val="24"/>
                <w:highlight w:val="none"/>
                <w:lang w:val="en-US" w:eastAsia="zh-CN"/>
              </w:rPr>
              <w:t>，剩余580</w:t>
            </w:r>
            <w:r>
              <w:rPr>
                <w:rFonts w:hint="eastAsia" w:ascii="宋体" w:hAnsi="宋体" w:eastAsia="宋体" w:cs="宋体"/>
                <w:color w:val="auto"/>
                <w:spacing w:val="-4"/>
                <w:sz w:val="24"/>
                <w:highlight w:val="none"/>
              </w:rPr>
              <w:t>m</w:t>
            </w:r>
            <w:r>
              <w:rPr>
                <w:rFonts w:hint="eastAsia" w:ascii="宋体" w:hAnsi="宋体" w:eastAsia="宋体" w:cs="宋体"/>
                <w:color w:val="auto"/>
                <w:spacing w:val="-4"/>
                <w:sz w:val="24"/>
                <w:highlight w:val="none"/>
                <w:vertAlign w:val="superscript"/>
              </w:rPr>
              <w:t>3</w:t>
            </w:r>
            <w:r>
              <w:rPr>
                <w:rFonts w:hint="eastAsia" w:ascii="宋体" w:hAnsi="宋体" w:eastAsia="宋体" w:cs="宋体"/>
                <w:color w:val="auto"/>
                <w:spacing w:val="-4"/>
                <w:sz w:val="24"/>
                <w:highlight w:val="none"/>
                <w:lang w:val="en-US" w:eastAsia="zh-CN"/>
              </w:rPr>
              <w:t>土方用于塔基护坡基平整。因此，本项目</w:t>
            </w:r>
            <w:r>
              <w:rPr>
                <w:rFonts w:hint="eastAsia" w:ascii="宋体" w:hAnsi="宋体" w:eastAsia="宋体" w:cs="宋体"/>
                <w:snapToGrid w:val="0"/>
                <w:color w:val="auto"/>
                <w:kern w:val="0"/>
                <w:sz w:val="24"/>
                <w:szCs w:val="21"/>
                <w:highlight w:val="none"/>
                <w:lang w:val="en-US" w:eastAsia="zh-CN"/>
              </w:rPr>
              <w:t>无永久弃方，不设置弃渣场。</w:t>
            </w:r>
          </w:p>
          <w:bookmarkEnd w:id="25"/>
          <w:p w14:paraId="16E2D132">
            <w:pPr>
              <w:keepNext w:val="0"/>
              <w:keepLines w:val="0"/>
              <w:suppressLineNumbers w:val="0"/>
              <w:spacing w:before="0" w:beforeAutospacing="0" w:after="0" w:afterAutospacing="0" w:line="360" w:lineRule="auto"/>
              <w:ind w:left="0" w:right="0"/>
              <w:rPr>
                <w:rFonts w:hint="eastAsia" w:ascii="宋体" w:hAnsi="宋体" w:eastAsia="宋体" w:cs="宋体"/>
                <w:b/>
                <w:bCs/>
                <w:color w:val="auto"/>
                <w:sz w:val="24"/>
                <w:szCs w:val="21"/>
                <w:highlight w:val="none"/>
              </w:rPr>
            </w:pPr>
            <w:r>
              <w:rPr>
                <w:rFonts w:hint="eastAsia" w:ascii="宋体" w:hAnsi="宋体" w:eastAsia="宋体" w:cs="宋体"/>
                <w:b/>
                <w:bCs/>
                <w:color w:val="auto"/>
                <w:sz w:val="24"/>
                <w:szCs w:val="21"/>
                <w:highlight w:val="none"/>
                <w:lang w:val="en-US" w:eastAsia="zh-CN"/>
              </w:rPr>
              <w:t>5</w:t>
            </w:r>
            <w:r>
              <w:rPr>
                <w:rFonts w:hint="eastAsia" w:ascii="宋体" w:hAnsi="宋体" w:eastAsia="宋体" w:cs="宋体"/>
                <w:b/>
                <w:bCs/>
                <w:color w:val="auto"/>
                <w:sz w:val="24"/>
                <w:szCs w:val="21"/>
                <w:highlight w:val="none"/>
              </w:rPr>
              <w:t>劳动定员</w:t>
            </w:r>
          </w:p>
          <w:p w14:paraId="28632BCF">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施工期：</w:t>
            </w:r>
            <w:r>
              <w:rPr>
                <w:rFonts w:hint="eastAsia" w:ascii="宋体" w:hAnsi="宋体" w:eastAsia="宋体" w:cs="宋体"/>
                <w:color w:val="auto"/>
                <w:sz w:val="24"/>
                <w:szCs w:val="21"/>
                <w:highlight w:val="none"/>
                <w:lang w:eastAsia="zh-CN"/>
              </w:rPr>
              <w:t>本项目</w:t>
            </w:r>
            <w:r>
              <w:rPr>
                <w:rFonts w:hint="eastAsia" w:ascii="宋体" w:hAnsi="宋体" w:eastAsia="宋体" w:cs="宋体"/>
                <w:color w:val="auto"/>
                <w:sz w:val="24"/>
                <w:szCs w:val="21"/>
                <w:highlight w:val="none"/>
              </w:rPr>
              <w:t>施工人数</w:t>
            </w:r>
            <w:r>
              <w:rPr>
                <w:rFonts w:hint="eastAsia" w:ascii="宋体" w:hAnsi="宋体" w:eastAsia="宋体" w:cs="宋体"/>
                <w:color w:val="auto"/>
                <w:sz w:val="24"/>
                <w:szCs w:val="21"/>
                <w:highlight w:val="none"/>
                <w:lang w:val="en-US" w:eastAsia="zh-CN"/>
              </w:rPr>
              <w:t>约</w:t>
            </w:r>
            <w:r>
              <w:rPr>
                <w:rFonts w:hint="eastAsia" w:ascii="宋体" w:hAnsi="宋体" w:eastAsia="宋体" w:cs="宋体"/>
                <w:color w:val="auto"/>
                <w:sz w:val="24"/>
                <w:szCs w:val="21"/>
                <w:highlight w:val="none"/>
              </w:rPr>
              <w:t>为</w:t>
            </w:r>
            <w:r>
              <w:rPr>
                <w:rFonts w:hint="eastAsia" w:ascii="宋体" w:hAnsi="宋体" w:eastAsia="宋体" w:cs="宋体"/>
                <w:color w:val="auto"/>
                <w:sz w:val="24"/>
                <w:szCs w:val="21"/>
                <w:highlight w:val="none"/>
                <w:lang w:val="en-US" w:eastAsia="zh-CN"/>
              </w:rPr>
              <w:t>100</w:t>
            </w:r>
            <w:r>
              <w:rPr>
                <w:rFonts w:hint="eastAsia" w:ascii="宋体" w:hAnsi="宋体" w:eastAsia="宋体" w:cs="宋体"/>
                <w:color w:val="auto"/>
                <w:sz w:val="24"/>
                <w:szCs w:val="21"/>
                <w:highlight w:val="none"/>
              </w:rPr>
              <w:t>人，施工期</w:t>
            </w:r>
            <w:r>
              <w:rPr>
                <w:rFonts w:hint="eastAsia" w:ascii="宋体" w:hAnsi="宋体" w:eastAsia="宋体" w:cs="宋体"/>
                <w:color w:val="auto"/>
                <w:sz w:val="24"/>
                <w:szCs w:val="21"/>
                <w:highlight w:val="none"/>
                <w:lang w:val="en-US" w:eastAsia="zh-CN"/>
              </w:rPr>
              <w:t>7</w:t>
            </w:r>
            <w:r>
              <w:rPr>
                <w:rFonts w:hint="eastAsia" w:ascii="宋体" w:hAnsi="宋体" w:eastAsia="宋体" w:cs="宋体"/>
                <w:color w:val="auto"/>
                <w:sz w:val="24"/>
                <w:szCs w:val="21"/>
                <w:highlight w:val="none"/>
              </w:rPr>
              <w:t>个月。</w:t>
            </w:r>
          </w:p>
          <w:p w14:paraId="04F754A1">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1"/>
                <w:highlight w:val="none"/>
              </w:rPr>
              <w:t>运营期：</w:t>
            </w:r>
            <w:r>
              <w:rPr>
                <w:rFonts w:hint="eastAsia" w:ascii="宋体" w:hAnsi="宋体" w:eastAsia="宋体" w:cs="宋体"/>
                <w:color w:val="auto"/>
                <w:sz w:val="24"/>
                <w:szCs w:val="24"/>
                <w:highlight w:val="none"/>
                <w:lang w:val="en-US" w:eastAsia="zh-CN"/>
              </w:rPr>
              <w:t>本项目运营期约有8名工作人员对升压站进行日常监管</w:t>
            </w:r>
            <w:r>
              <w:rPr>
                <w:rFonts w:hint="eastAsia" w:ascii="宋体" w:hAnsi="宋体" w:eastAsia="宋体" w:cs="宋体"/>
                <w:color w:val="auto"/>
                <w:sz w:val="24"/>
                <w:szCs w:val="24"/>
                <w:highlight w:val="none"/>
              </w:rPr>
              <w:t>。</w:t>
            </w:r>
          </w:p>
        </w:tc>
      </w:tr>
      <w:tr w14:paraId="02B9B2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1" w:type="dxa"/>
            <w:noWrap w:val="0"/>
            <w:vAlign w:val="center"/>
          </w:tcPr>
          <w:p w14:paraId="68B54B71">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0000FF"/>
                <w:kern w:val="0"/>
                <w:sz w:val="24"/>
                <w:szCs w:val="24"/>
                <w:highlight w:val="none"/>
              </w:rPr>
            </w:pPr>
            <w:r>
              <w:rPr>
                <w:rFonts w:hint="eastAsia" w:ascii="宋体" w:hAnsi="宋体" w:eastAsia="宋体" w:cs="宋体"/>
                <w:color w:val="auto"/>
                <w:kern w:val="0"/>
                <w:sz w:val="24"/>
                <w:szCs w:val="24"/>
                <w:highlight w:val="none"/>
              </w:rPr>
              <w:t>施工方案</w:t>
            </w:r>
          </w:p>
        </w:tc>
        <w:tc>
          <w:tcPr>
            <w:tcW w:w="8218" w:type="dxa"/>
            <w:noWrap w:val="0"/>
            <w:vAlign w:val="top"/>
          </w:tcPr>
          <w:p w14:paraId="3D358199">
            <w:pPr>
              <w:keepNext w:val="0"/>
              <w:keepLines w:val="0"/>
              <w:suppressLineNumbers w:val="0"/>
              <w:spacing w:before="0" w:beforeAutospacing="0" w:after="0" w:afterAutospacing="0" w:line="360" w:lineRule="auto"/>
              <w:ind w:left="0" w:right="0"/>
              <w:rPr>
                <w:rFonts w:hint="eastAsia" w:ascii="宋体" w:hAnsi="宋体" w:eastAsia="宋体" w:cs="宋体"/>
                <w:b/>
                <w:bCs/>
                <w:color w:val="auto"/>
                <w:sz w:val="24"/>
                <w:szCs w:val="21"/>
                <w:highlight w:val="none"/>
                <w:lang w:val="en-US" w:eastAsia="zh-CN"/>
              </w:rPr>
            </w:pPr>
            <w:r>
              <w:rPr>
                <w:rFonts w:hint="eastAsia" w:ascii="宋体" w:hAnsi="宋体" w:eastAsia="宋体" w:cs="宋体"/>
                <w:b/>
                <w:bCs/>
                <w:color w:val="auto"/>
                <w:sz w:val="24"/>
                <w:szCs w:val="21"/>
                <w:highlight w:val="none"/>
                <w:lang w:val="en-US" w:eastAsia="zh-CN"/>
              </w:rPr>
              <w:t>1建设周期</w:t>
            </w:r>
          </w:p>
          <w:p w14:paraId="398D2624">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1"/>
                <w:szCs w:val="21"/>
                <w:highlight w:val="none"/>
              </w:rPr>
            </w:pPr>
            <w:r>
              <w:rPr>
                <w:rFonts w:hint="eastAsia" w:ascii="宋体" w:hAnsi="宋体" w:eastAsia="宋体" w:cs="宋体"/>
                <w:color w:val="auto"/>
                <w:sz w:val="24"/>
                <w:szCs w:val="21"/>
                <w:highlight w:val="none"/>
                <w:lang w:eastAsia="zh-CN"/>
              </w:rPr>
              <w:t>本项目</w:t>
            </w:r>
            <w:r>
              <w:rPr>
                <w:rFonts w:hint="eastAsia" w:ascii="宋体" w:hAnsi="宋体" w:eastAsia="宋体" w:cs="宋体"/>
                <w:color w:val="auto"/>
                <w:sz w:val="24"/>
                <w:szCs w:val="21"/>
                <w:highlight w:val="none"/>
                <w:lang w:val="en-US" w:eastAsia="zh-CN"/>
              </w:rPr>
              <w:t>计划</w:t>
            </w:r>
            <w:r>
              <w:rPr>
                <w:rFonts w:hint="eastAsia" w:ascii="宋体" w:hAnsi="宋体" w:eastAsia="宋体" w:cs="宋体"/>
                <w:color w:val="auto"/>
                <w:sz w:val="24"/>
                <w:szCs w:val="21"/>
                <w:highlight w:val="none"/>
              </w:rPr>
              <w:t>于202</w:t>
            </w:r>
            <w:r>
              <w:rPr>
                <w:rFonts w:hint="eastAsia" w:ascii="宋体" w:hAnsi="宋体" w:eastAsia="宋体" w:cs="宋体"/>
                <w:color w:val="auto"/>
                <w:sz w:val="24"/>
                <w:szCs w:val="21"/>
                <w:highlight w:val="none"/>
                <w:lang w:val="en-US" w:eastAsia="zh-CN"/>
              </w:rPr>
              <w:t>5</w:t>
            </w:r>
            <w:r>
              <w:rPr>
                <w:rFonts w:hint="eastAsia" w:ascii="宋体" w:hAnsi="宋体" w:eastAsia="宋体" w:cs="宋体"/>
                <w:color w:val="auto"/>
                <w:sz w:val="24"/>
                <w:szCs w:val="21"/>
                <w:highlight w:val="none"/>
              </w:rPr>
              <w:t>年</w:t>
            </w:r>
            <w:r>
              <w:rPr>
                <w:rFonts w:hint="eastAsia" w:ascii="宋体" w:hAnsi="宋体" w:eastAsia="宋体" w:cs="宋体"/>
                <w:color w:val="auto"/>
                <w:sz w:val="24"/>
                <w:szCs w:val="21"/>
                <w:highlight w:val="none"/>
                <w:lang w:val="en-US" w:eastAsia="zh-CN"/>
              </w:rPr>
              <w:t>5</w:t>
            </w:r>
            <w:r>
              <w:rPr>
                <w:rFonts w:hint="eastAsia" w:ascii="宋体" w:hAnsi="宋体" w:eastAsia="宋体" w:cs="宋体"/>
                <w:color w:val="auto"/>
                <w:sz w:val="24"/>
                <w:szCs w:val="21"/>
                <w:highlight w:val="none"/>
              </w:rPr>
              <w:t>月开始建设，于202</w:t>
            </w:r>
            <w:r>
              <w:rPr>
                <w:rFonts w:hint="eastAsia" w:ascii="宋体" w:hAnsi="宋体" w:eastAsia="宋体" w:cs="宋体"/>
                <w:color w:val="auto"/>
                <w:sz w:val="24"/>
                <w:szCs w:val="21"/>
                <w:highlight w:val="none"/>
                <w:lang w:val="en-US" w:eastAsia="zh-CN"/>
              </w:rPr>
              <w:t>5</w:t>
            </w:r>
            <w:r>
              <w:rPr>
                <w:rFonts w:hint="eastAsia" w:ascii="宋体" w:hAnsi="宋体" w:eastAsia="宋体" w:cs="宋体"/>
                <w:color w:val="auto"/>
                <w:sz w:val="24"/>
                <w:szCs w:val="21"/>
                <w:highlight w:val="none"/>
              </w:rPr>
              <w:t>年</w:t>
            </w:r>
            <w:r>
              <w:rPr>
                <w:rFonts w:hint="eastAsia" w:ascii="宋体" w:hAnsi="宋体" w:eastAsia="宋体" w:cs="宋体"/>
                <w:color w:val="auto"/>
                <w:sz w:val="24"/>
                <w:szCs w:val="21"/>
                <w:highlight w:val="none"/>
                <w:lang w:val="en-US" w:eastAsia="zh-CN"/>
              </w:rPr>
              <w:t>11</w:t>
            </w:r>
            <w:r>
              <w:rPr>
                <w:rFonts w:hint="eastAsia" w:ascii="宋体" w:hAnsi="宋体" w:eastAsia="宋体" w:cs="宋体"/>
                <w:color w:val="auto"/>
                <w:sz w:val="24"/>
                <w:szCs w:val="21"/>
                <w:highlight w:val="none"/>
              </w:rPr>
              <w:t>月竣工，总工期</w:t>
            </w:r>
            <w:r>
              <w:rPr>
                <w:rFonts w:hint="eastAsia" w:ascii="宋体" w:hAnsi="宋体" w:eastAsia="宋体" w:cs="宋体"/>
                <w:color w:val="auto"/>
                <w:sz w:val="24"/>
                <w:szCs w:val="21"/>
                <w:highlight w:val="none"/>
                <w:lang w:val="en-US" w:eastAsia="zh-CN"/>
              </w:rPr>
              <w:t>7</w:t>
            </w:r>
            <w:r>
              <w:rPr>
                <w:rFonts w:hint="eastAsia" w:ascii="宋体" w:hAnsi="宋体" w:eastAsia="宋体" w:cs="宋体"/>
                <w:color w:val="auto"/>
                <w:sz w:val="24"/>
                <w:szCs w:val="21"/>
                <w:highlight w:val="none"/>
              </w:rPr>
              <w:t>个月。</w:t>
            </w:r>
          </w:p>
          <w:p w14:paraId="463CA489">
            <w:pPr>
              <w:keepNext w:val="0"/>
              <w:keepLines w:val="0"/>
              <w:suppressLineNumbers w:val="0"/>
              <w:spacing w:before="0" w:beforeAutospacing="0" w:after="0" w:afterAutospacing="0" w:line="360" w:lineRule="auto"/>
              <w:ind w:left="0" w:right="0"/>
              <w:rPr>
                <w:rFonts w:hint="eastAsia" w:ascii="宋体" w:hAnsi="宋体" w:eastAsia="宋体" w:cs="宋体"/>
                <w:b/>
                <w:bCs/>
                <w:color w:val="auto"/>
                <w:sz w:val="24"/>
                <w:szCs w:val="21"/>
                <w:highlight w:val="none"/>
                <w:lang w:val="en-US" w:eastAsia="zh-CN"/>
              </w:rPr>
            </w:pPr>
            <w:r>
              <w:rPr>
                <w:rFonts w:hint="eastAsia" w:ascii="宋体" w:hAnsi="宋体" w:eastAsia="宋体" w:cs="宋体"/>
                <w:b/>
                <w:bCs/>
                <w:color w:val="auto"/>
                <w:sz w:val="24"/>
                <w:szCs w:val="21"/>
                <w:highlight w:val="none"/>
                <w:lang w:val="en-US" w:eastAsia="zh-CN"/>
              </w:rPr>
              <w:t>2施工时序</w:t>
            </w:r>
          </w:p>
          <w:p w14:paraId="4D83A5A2">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4"/>
                <w:lang w:val="en-US"/>
              </w:rPr>
            </w:pPr>
            <w:r>
              <w:rPr>
                <w:rFonts w:hint="eastAsia" w:ascii="宋体" w:hAnsi="宋体" w:eastAsia="宋体" w:cs="宋体"/>
                <w:color w:val="auto"/>
                <w:sz w:val="24"/>
                <w:szCs w:val="21"/>
                <w:highlight w:val="none"/>
                <w:lang w:eastAsia="zh-CN"/>
              </w:rPr>
              <w:t>本项目施工前期先行对施工道路进行建设</w:t>
            </w:r>
            <w:r>
              <w:rPr>
                <w:rFonts w:hint="eastAsia" w:ascii="宋体" w:hAnsi="宋体" w:eastAsia="宋体" w:cs="宋体"/>
                <w:color w:val="auto"/>
                <w:sz w:val="24"/>
                <w:szCs w:val="21"/>
                <w:highlight w:val="none"/>
                <w:lang w:val="en-US" w:eastAsia="zh-CN"/>
              </w:rPr>
              <w:t>和准备工程</w:t>
            </w:r>
            <w:r>
              <w:rPr>
                <w:rFonts w:hint="eastAsia" w:ascii="宋体" w:hAnsi="宋体" w:eastAsia="宋体" w:cs="宋体"/>
                <w:color w:val="auto"/>
                <w:sz w:val="24"/>
                <w:szCs w:val="21"/>
                <w:highlight w:val="none"/>
                <w:lang w:eastAsia="zh-CN"/>
              </w:rPr>
              <w:t>，待施工道路建设完善后，</w:t>
            </w:r>
            <w:r>
              <w:rPr>
                <w:rFonts w:hint="eastAsia" w:ascii="宋体" w:hAnsi="宋体" w:eastAsia="宋体" w:cs="宋体"/>
                <w:color w:val="auto"/>
                <w:sz w:val="24"/>
                <w:szCs w:val="21"/>
                <w:highlight w:val="none"/>
                <w:lang w:val="en-US" w:eastAsia="zh-CN"/>
              </w:rPr>
              <w:t>升压站</w:t>
            </w:r>
            <w:r>
              <w:rPr>
                <w:rFonts w:hint="eastAsia" w:ascii="宋体" w:hAnsi="宋体" w:eastAsia="宋体" w:cs="宋体"/>
                <w:color w:val="auto"/>
                <w:sz w:val="24"/>
                <w:szCs w:val="21"/>
                <w:highlight w:val="none"/>
                <w:lang w:eastAsia="zh-CN"/>
              </w:rPr>
              <w:t>土建施工本着先地下、后地上的顺序，依次施工生产综合用房、附属用房、警卫室、消防泵房、</w:t>
            </w:r>
            <w:r>
              <w:rPr>
                <w:rFonts w:hint="eastAsia" w:ascii="宋体" w:hAnsi="宋体" w:eastAsia="宋体" w:cs="宋体"/>
                <w:color w:val="auto"/>
                <w:sz w:val="24"/>
                <w:szCs w:val="21"/>
                <w:highlight w:val="none"/>
                <w:lang w:val="en-US" w:eastAsia="zh-CN"/>
              </w:rPr>
              <w:t>升压</w:t>
            </w:r>
            <w:r>
              <w:rPr>
                <w:rFonts w:hint="eastAsia" w:ascii="宋体" w:hAnsi="宋体" w:eastAsia="宋体" w:cs="宋体"/>
                <w:color w:val="auto"/>
                <w:sz w:val="24"/>
                <w:szCs w:val="21"/>
                <w:highlight w:val="none"/>
                <w:lang w:eastAsia="zh-CN"/>
              </w:rPr>
              <w:t>站内设备基础、围墙，最后</w:t>
            </w:r>
            <w:r>
              <w:rPr>
                <w:rFonts w:hint="eastAsia" w:ascii="宋体" w:hAnsi="宋体" w:eastAsia="宋体" w:cs="宋体"/>
                <w:color w:val="auto"/>
                <w:sz w:val="24"/>
                <w:szCs w:val="21"/>
                <w:highlight w:val="none"/>
                <w:lang w:val="en-US" w:eastAsia="zh-CN"/>
              </w:rPr>
              <w:t>设备安装工程</w:t>
            </w:r>
            <w:r>
              <w:rPr>
                <w:rFonts w:hint="eastAsia" w:ascii="宋体" w:hAnsi="宋体" w:eastAsia="宋体" w:cs="宋体"/>
                <w:color w:val="auto"/>
                <w:sz w:val="24"/>
                <w:szCs w:val="21"/>
                <w:highlight w:val="none"/>
                <w:lang w:eastAsia="zh-CN"/>
              </w:rPr>
              <w:t>。</w:t>
            </w:r>
          </w:p>
          <w:p w14:paraId="32DC79A5">
            <w:pPr>
              <w:keepNext w:val="0"/>
              <w:keepLines w:val="0"/>
              <w:suppressLineNumbers w:val="0"/>
              <w:spacing w:before="0" w:beforeAutospacing="0" w:after="0" w:afterAutospacing="0" w:line="360" w:lineRule="auto"/>
              <w:ind w:left="0" w:right="0"/>
              <w:rPr>
                <w:rFonts w:hint="eastAsia" w:ascii="宋体" w:hAnsi="宋体" w:eastAsia="宋体" w:cs="宋体"/>
                <w:b/>
                <w:bCs/>
                <w:color w:val="auto"/>
                <w:sz w:val="24"/>
                <w:szCs w:val="21"/>
                <w:highlight w:val="none"/>
                <w:lang w:val="en-US" w:eastAsia="zh-CN"/>
              </w:rPr>
            </w:pPr>
            <w:r>
              <w:rPr>
                <w:rFonts w:hint="eastAsia" w:ascii="宋体" w:hAnsi="宋体" w:eastAsia="宋体" w:cs="宋体"/>
                <w:b/>
                <w:bCs/>
                <w:color w:val="auto"/>
                <w:sz w:val="24"/>
                <w:szCs w:val="21"/>
                <w:highlight w:val="none"/>
                <w:lang w:val="en-US" w:eastAsia="zh-CN"/>
              </w:rPr>
              <w:t>3施工工艺及产污环节</w:t>
            </w:r>
          </w:p>
          <w:p w14:paraId="763CDFC0">
            <w:pPr>
              <w:keepNext w:val="0"/>
              <w:keepLines w:val="0"/>
              <w:widowControl w:val="0"/>
              <w:suppressLineNumbers w:val="0"/>
              <w:spacing w:before="0" w:beforeAutospacing="0" w:after="0" w:afterAutospacing="0" w:line="360" w:lineRule="auto"/>
              <w:ind w:left="0" w:leftChars="0" w:right="0" w:firstLine="0" w:firstLineChars="0"/>
              <w:jc w:val="both"/>
              <w:rPr>
                <w:rFonts w:hint="eastAsia" w:ascii="宋体" w:hAnsi="宋体" w:eastAsia="宋体" w:cs="宋体"/>
                <w:b/>
                <w:bCs/>
                <w:color w:val="auto"/>
                <w:kern w:val="2"/>
                <w:sz w:val="24"/>
                <w:szCs w:val="20"/>
                <w:lang w:val="en-US" w:eastAsia="zh-CN" w:bidi="ar-SA"/>
              </w:rPr>
            </w:pPr>
            <w:r>
              <w:rPr>
                <w:rFonts w:hint="eastAsia" w:ascii="宋体" w:hAnsi="宋体" w:eastAsia="宋体" w:cs="宋体"/>
                <w:b/>
                <w:bCs/>
                <w:color w:val="auto"/>
                <w:kern w:val="2"/>
                <w:sz w:val="24"/>
                <w:szCs w:val="20"/>
                <w:lang w:val="en-US" w:eastAsia="zh-CN" w:bidi="ar-SA"/>
              </w:rPr>
              <w:t>3.1升压站施工</w:t>
            </w:r>
          </w:p>
          <w:p w14:paraId="2644159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 w:val="0"/>
                <w:bCs w:val="0"/>
                <w:color w:val="auto"/>
                <w:kern w:val="2"/>
                <w:sz w:val="24"/>
                <w:szCs w:val="20"/>
                <w:lang w:val="en-US" w:eastAsia="zh-CN" w:bidi="ar-SA"/>
              </w:rPr>
            </w:pPr>
            <w:r>
              <w:rPr>
                <w:rFonts w:hint="eastAsia" w:ascii="宋体" w:hAnsi="宋体" w:eastAsia="宋体" w:cs="宋体"/>
                <w:b w:val="0"/>
                <w:bCs w:val="0"/>
                <w:color w:val="auto"/>
                <w:kern w:val="2"/>
                <w:sz w:val="24"/>
                <w:szCs w:val="20"/>
                <w:lang w:val="en-US" w:eastAsia="zh-CN" w:bidi="ar-SA"/>
              </w:rPr>
              <w:t>升压站施工主要为：</w:t>
            </w:r>
          </w:p>
          <w:p w14:paraId="351FC7E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0"/>
                <w:lang w:val="en-US" w:eastAsia="zh-CN" w:bidi="ar-SA"/>
              </w:rPr>
            </w:pPr>
            <w:r>
              <w:rPr>
                <w:rFonts w:hint="eastAsia" w:ascii="宋体" w:hAnsi="宋体" w:cs="宋体"/>
                <w:color w:val="auto"/>
                <w:kern w:val="2"/>
                <w:sz w:val="24"/>
                <w:szCs w:val="20"/>
                <w:lang w:val="en-US" w:eastAsia="zh-CN" w:bidi="ar-SA"/>
              </w:rPr>
              <w:t>（</w:t>
            </w:r>
            <w:r>
              <w:rPr>
                <w:rFonts w:hint="eastAsia" w:ascii="宋体" w:hAnsi="宋体" w:eastAsia="宋体" w:cs="宋体"/>
                <w:color w:val="auto"/>
                <w:kern w:val="2"/>
                <w:sz w:val="24"/>
                <w:szCs w:val="20"/>
                <w:lang w:val="en-US" w:eastAsia="zh-CN" w:bidi="ar-SA"/>
              </w:rPr>
              <w:t>1</w:t>
            </w:r>
            <w:r>
              <w:rPr>
                <w:rFonts w:hint="eastAsia" w:ascii="宋体" w:hAnsi="宋体" w:cs="宋体"/>
                <w:color w:val="auto"/>
                <w:kern w:val="2"/>
                <w:sz w:val="24"/>
                <w:szCs w:val="20"/>
                <w:lang w:val="en-US" w:eastAsia="zh-CN" w:bidi="ar-SA"/>
              </w:rPr>
              <w:t>）</w:t>
            </w:r>
            <w:r>
              <w:rPr>
                <w:rFonts w:hint="eastAsia" w:ascii="宋体" w:hAnsi="宋体" w:eastAsia="宋体" w:cs="宋体"/>
                <w:color w:val="auto"/>
                <w:kern w:val="2"/>
                <w:sz w:val="24"/>
                <w:szCs w:val="20"/>
                <w:lang w:val="en-US" w:eastAsia="zh-CN" w:bidi="ar-SA"/>
              </w:rPr>
              <w:t>场地平整：对施工场地进行平整、清理；</w:t>
            </w:r>
          </w:p>
          <w:p w14:paraId="5838017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0"/>
                <w:lang w:val="en-US" w:eastAsia="zh-CN" w:bidi="ar-SA"/>
              </w:rPr>
            </w:pPr>
            <w:r>
              <w:rPr>
                <w:rFonts w:hint="eastAsia" w:ascii="宋体" w:hAnsi="宋体" w:cs="宋体"/>
                <w:color w:val="auto"/>
                <w:kern w:val="2"/>
                <w:sz w:val="24"/>
                <w:szCs w:val="20"/>
                <w:lang w:val="en-US" w:eastAsia="zh-CN" w:bidi="ar-SA"/>
              </w:rPr>
              <w:t>（</w:t>
            </w:r>
            <w:r>
              <w:rPr>
                <w:rFonts w:hint="eastAsia" w:ascii="宋体" w:hAnsi="宋体" w:eastAsia="宋体" w:cs="宋体"/>
                <w:color w:val="auto"/>
                <w:kern w:val="2"/>
                <w:sz w:val="24"/>
                <w:szCs w:val="20"/>
                <w:lang w:val="en-US" w:eastAsia="zh-CN" w:bidi="ar-SA"/>
              </w:rPr>
              <w:t>2</w:t>
            </w:r>
            <w:r>
              <w:rPr>
                <w:rFonts w:hint="eastAsia" w:ascii="宋体" w:hAnsi="宋体" w:cs="宋体"/>
                <w:color w:val="auto"/>
                <w:kern w:val="2"/>
                <w:sz w:val="24"/>
                <w:szCs w:val="20"/>
                <w:lang w:val="en-US" w:eastAsia="zh-CN" w:bidi="ar-SA"/>
              </w:rPr>
              <w:t>）</w:t>
            </w:r>
            <w:r>
              <w:rPr>
                <w:rFonts w:hint="eastAsia" w:ascii="宋体" w:hAnsi="宋体" w:eastAsia="宋体" w:cs="宋体"/>
                <w:color w:val="auto"/>
                <w:kern w:val="2"/>
                <w:sz w:val="24"/>
                <w:szCs w:val="20"/>
                <w:lang w:val="en-US" w:eastAsia="zh-CN" w:bidi="ar-SA"/>
              </w:rPr>
              <w:t>基础开挖：主要包括土方开挖、浇筑地基、地基回填等；</w:t>
            </w:r>
          </w:p>
          <w:p w14:paraId="6F65226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0"/>
                <w:lang w:val="en-US" w:eastAsia="zh-CN" w:bidi="ar-SA"/>
              </w:rPr>
            </w:pPr>
            <w:r>
              <w:rPr>
                <w:rFonts w:hint="eastAsia" w:ascii="宋体" w:hAnsi="宋体" w:cs="宋体"/>
                <w:color w:val="auto"/>
                <w:kern w:val="2"/>
                <w:sz w:val="24"/>
                <w:szCs w:val="20"/>
                <w:lang w:val="en-US" w:eastAsia="zh-CN" w:bidi="ar-SA"/>
              </w:rPr>
              <w:t>（</w:t>
            </w:r>
            <w:r>
              <w:rPr>
                <w:rFonts w:hint="eastAsia" w:ascii="宋体" w:hAnsi="宋体" w:eastAsia="宋体" w:cs="宋体"/>
                <w:color w:val="auto"/>
                <w:kern w:val="2"/>
                <w:sz w:val="24"/>
                <w:szCs w:val="20"/>
                <w:lang w:val="en-US" w:eastAsia="zh-CN" w:bidi="ar-SA"/>
              </w:rPr>
              <w:t>3</w:t>
            </w:r>
            <w:r>
              <w:rPr>
                <w:rFonts w:hint="eastAsia" w:ascii="宋体" w:hAnsi="宋体" w:cs="宋体"/>
                <w:color w:val="auto"/>
                <w:kern w:val="2"/>
                <w:sz w:val="24"/>
                <w:szCs w:val="20"/>
                <w:lang w:val="en-US" w:eastAsia="zh-CN" w:bidi="ar-SA"/>
              </w:rPr>
              <w:t>）</w:t>
            </w:r>
            <w:r>
              <w:rPr>
                <w:rFonts w:hint="eastAsia" w:ascii="宋体" w:hAnsi="宋体" w:eastAsia="宋体" w:cs="宋体"/>
                <w:color w:val="auto"/>
                <w:kern w:val="2"/>
                <w:sz w:val="24"/>
                <w:szCs w:val="20"/>
                <w:lang w:val="en-US" w:eastAsia="zh-CN" w:bidi="ar-SA"/>
              </w:rPr>
              <w:t>土建工程建设：为配电室及附属用房的建设等，主要包括钢筋砼浇筑、墙体砌筑等工程；</w:t>
            </w:r>
          </w:p>
          <w:p w14:paraId="58F49D5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0"/>
                <w:lang w:val="en-US" w:eastAsia="zh-CN" w:bidi="ar-SA"/>
              </w:rPr>
            </w:pPr>
            <w:r>
              <w:rPr>
                <w:rFonts w:hint="eastAsia" w:ascii="宋体" w:hAnsi="宋体" w:cs="宋体"/>
                <w:color w:val="auto"/>
                <w:kern w:val="2"/>
                <w:sz w:val="24"/>
                <w:szCs w:val="20"/>
                <w:lang w:val="en-US" w:eastAsia="zh-CN" w:bidi="ar-SA"/>
              </w:rPr>
              <w:t>（</w:t>
            </w:r>
            <w:r>
              <w:rPr>
                <w:rFonts w:hint="eastAsia" w:ascii="宋体" w:hAnsi="宋体" w:eastAsia="宋体" w:cs="宋体"/>
                <w:color w:val="auto"/>
                <w:kern w:val="2"/>
                <w:sz w:val="24"/>
                <w:szCs w:val="20"/>
                <w:lang w:val="en-US" w:eastAsia="zh-CN" w:bidi="ar-SA"/>
              </w:rPr>
              <w:t>4</w:t>
            </w:r>
            <w:r>
              <w:rPr>
                <w:rFonts w:hint="eastAsia" w:ascii="宋体" w:hAnsi="宋体" w:cs="宋体"/>
                <w:color w:val="auto"/>
                <w:kern w:val="2"/>
                <w:sz w:val="24"/>
                <w:szCs w:val="20"/>
                <w:lang w:val="en-US" w:eastAsia="zh-CN" w:bidi="ar-SA"/>
              </w:rPr>
              <w:t>）</w:t>
            </w:r>
            <w:r>
              <w:rPr>
                <w:rFonts w:hint="eastAsia" w:ascii="宋体" w:hAnsi="宋体" w:eastAsia="宋体" w:cs="宋体"/>
                <w:color w:val="auto"/>
                <w:kern w:val="2"/>
                <w:sz w:val="24"/>
                <w:szCs w:val="20"/>
                <w:lang w:val="en-US" w:eastAsia="zh-CN" w:bidi="ar-SA"/>
              </w:rPr>
              <w:t>设备安装及调试：主要包括各设施、设备、管线的安装、调试等；</w:t>
            </w:r>
          </w:p>
          <w:p w14:paraId="0A47300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0"/>
                <w:lang w:val="en-US" w:eastAsia="zh-CN" w:bidi="ar-SA"/>
              </w:rPr>
            </w:pPr>
            <w:r>
              <w:rPr>
                <w:rFonts w:hint="eastAsia" w:ascii="宋体" w:hAnsi="宋体" w:cs="宋体"/>
                <w:color w:val="auto"/>
                <w:kern w:val="2"/>
                <w:sz w:val="24"/>
                <w:szCs w:val="20"/>
                <w:lang w:val="en-US" w:eastAsia="zh-CN" w:bidi="ar-SA"/>
              </w:rPr>
              <w:t>（</w:t>
            </w:r>
            <w:r>
              <w:rPr>
                <w:rFonts w:hint="eastAsia" w:ascii="宋体" w:hAnsi="宋体" w:eastAsia="宋体" w:cs="宋体"/>
                <w:color w:val="auto"/>
                <w:kern w:val="2"/>
                <w:sz w:val="24"/>
                <w:szCs w:val="20"/>
                <w:lang w:val="en-US" w:eastAsia="zh-CN" w:bidi="ar-SA"/>
              </w:rPr>
              <w:t>5</w:t>
            </w:r>
            <w:r>
              <w:rPr>
                <w:rFonts w:hint="eastAsia" w:ascii="宋体" w:hAnsi="宋体" w:cs="宋体"/>
                <w:color w:val="auto"/>
                <w:kern w:val="2"/>
                <w:sz w:val="24"/>
                <w:szCs w:val="20"/>
                <w:lang w:val="en-US" w:eastAsia="zh-CN" w:bidi="ar-SA"/>
              </w:rPr>
              <w:t>）</w:t>
            </w:r>
            <w:r>
              <w:rPr>
                <w:rFonts w:hint="eastAsia" w:ascii="宋体" w:hAnsi="宋体" w:eastAsia="宋体" w:cs="宋体"/>
                <w:color w:val="auto"/>
                <w:kern w:val="2"/>
                <w:sz w:val="24"/>
                <w:szCs w:val="20"/>
                <w:lang w:val="en-US" w:eastAsia="zh-CN" w:bidi="ar-SA"/>
              </w:rPr>
              <w:t>竣工验收。</w:t>
            </w:r>
          </w:p>
          <w:p w14:paraId="743C3FE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0"/>
                <w:lang w:val="en-US" w:eastAsia="zh-CN" w:bidi="ar-SA"/>
              </w:rPr>
            </w:pPr>
            <w:r>
              <w:rPr>
                <w:rFonts w:hint="eastAsia" w:ascii="宋体" w:hAnsi="宋体" w:eastAsia="宋体" w:cs="宋体"/>
                <w:color w:val="auto"/>
                <w:kern w:val="2"/>
                <w:sz w:val="24"/>
                <w:szCs w:val="20"/>
                <w:lang w:val="en-US" w:eastAsia="zh-CN" w:bidi="ar-SA"/>
              </w:rPr>
              <w:t>主要施工工艺、时序见图2-2。</w:t>
            </w:r>
          </w:p>
          <w:p w14:paraId="3118F35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color w:val="0000FF"/>
                <w:kern w:val="2"/>
                <w:sz w:val="24"/>
                <w:szCs w:val="20"/>
                <w:lang w:val="en-US" w:eastAsia="zh-CN" w:bidi="ar-SA"/>
              </w:rPr>
              <w:object>
                <v:shape id="_x0000_i1025" o:spt="75" type="#_x0000_t75" style="height:97.4pt;width:402.15pt;" o:ole="t" filled="f" o:preferrelative="t" stroked="f" coordsize="21600,21600">
                  <v:path/>
                  <v:fill on="f" focussize="0,0"/>
                  <v:stroke on="f"/>
                  <v:imagedata r:id="rId11" o:title=""/>
                  <o:lock v:ext="edit" aspectratio="f"/>
                  <w10:wrap type="none"/>
                  <w10:anchorlock/>
                </v:shape>
                <o:OLEObject Type="Embed" ProgID="Visio.Drawing.15" ShapeID="_x0000_i1025" DrawAspect="Content" ObjectID="_1468075725" r:id="rId10">
                  <o:LockedField>false</o:LockedField>
                </o:OLEObject>
              </w:object>
            </w:r>
            <w:r>
              <w:rPr>
                <w:rFonts w:hint="eastAsia" w:ascii="宋体" w:hAnsi="宋体" w:eastAsia="宋体" w:cs="宋体"/>
                <w:b/>
                <w:bCs/>
                <w:color w:val="auto"/>
                <w:sz w:val="24"/>
                <w:szCs w:val="24"/>
              </w:rPr>
              <w:t>图2-</w:t>
            </w:r>
            <w:r>
              <w:rPr>
                <w:rFonts w:hint="eastAsia" w:ascii="宋体" w:hAnsi="宋体" w:eastAsia="宋体" w:cs="宋体"/>
                <w:b/>
                <w:bCs/>
                <w:color w:val="auto"/>
                <w:sz w:val="24"/>
                <w:szCs w:val="24"/>
                <w:lang w:val="en-US" w:eastAsia="zh-CN"/>
              </w:rPr>
              <w:t xml:space="preserve">2   </w:t>
            </w:r>
            <w:r>
              <w:rPr>
                <w:rFonts w:hint="eastAsia" w:ascii="宋体" w:hAnsi="宋体" w:eastAsia="宋体" w:cs="宋体"/>
                <w:b/>
                <w:bCs/>
                <w:color w:val="auto"/>
                <w:sz w:val="24"/>
                <w:szCs w:val="24"/>
                <w:lang w:eastAsia="zh-CN"/>
              </w:rPr>
              <w:t>升压站</w:t>
            </w:r>
            <w:r>
              <w:rPr>
                <w:rFonts w:hint="eastAsia" w:ascii="宋体" w:hAnsi="宋体" w:eastAsia="宋体" w:cs="宋体"/>
                <w:b/>
                <w:bCs/>
                <w:color w:val="auto"/>
                <w:sz w:val="24"/>
                <w:szCs w:val="24"/>
              </w:rPr>
              <w:t>主要施工工艺时序图</w:t>
            </w:r>
          </w:p>
          <w:p w14:paraId="097885CF">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textAlignment w:val="auto"/>
              <w:outlineLvl w:val="9"/>
              <w:rPr>
                <w:rFonts w:hint="eastAsia" w:ascii="宋体" w:hAnsi="宋体" w:eastAsia="宋体" w:cs="宋体"/>
                <w:color w:val="auto"/>
                <w:szCs w:val="24"/>
                <w:highlight w:val="none"/>
              </w:rPr>
            </w:pPr>
            <w:r>
              <w:rPr>
                <w:rFonts w:hint="eastAsia" w:ascii="宋体" w:hAnsi="宋体" w:eastAsia="宋体" w:cs="宋体"/>
                <w:b/>
                <w:color w:val="auto"/>
                <w:sz w:val="24"/>
                <w:szCs w:val="24"/>
                <w:highlight w:val="none"/>
                <w:lang w:val="en-US" w:eastAsia="zh-CN"/>
              </w:rPr>
              <w:t>3.2架空输电线路</w:t>
            </w:r>
            <w:r>
              <w:rPr>
                <w:rFonts w:hint="eastAsia" w:ascii="宋体" w:hAnsi="宋体" w:eastAsia="宋体" w:cs="宋体"/>
                <w:b/>
                <w:color w:val="auto"/>
                <w:sz w:val="24"/>
                <w:szCs w:val="24"/>
                <w:highlight w:val="none"/>
              </w:rPr>
              <w:t>施工</w:t>
            </w:r>
          </w:p>
          <w:p w14:paraId="71FC8F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架空输电线路施工主要为：</w:t>
            </w:r>
          </w:p>
          <w:p w14:paraId="0066AF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64"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pacing w:val="-4"/>
                <w:kern w:val="2"/>
                <w:sz w:val="24"/>
                <w:szCs w:val="20"/>
                <w:highlight w:val="none"/>
                <w:lang w:val="en-US" w:eastAsia="zh-CN" w:bidi="ar-SA"/>
              </w:rPr>
              <w:t>（</w:t>
            </w:r>
            <w:r>
              <w:rPr>
                <w:rFonts w:hint="eastAsia" w:ascii="宋体" w:hAnsi="宋体" w:eastAsia="宋体" w:cs="宋体"/>
                <w:color w:val="auto"/>
                <w:spacing w:val="-4"/>
                <w:kern w:val="2"/>
                <w:sz w:val="24"/>
                <w:szCs w:val="20"/>
                <w:highlight w:val="none"/>
                <w:lang w:val="en-US" w:eastAsia="zh-CN" w:bidi="ar-SA"/>
              </w:rPr>
              <w:t>1</w:t>
            </w:r>
            <w:r>
              <w:rPr>
                <w:rFonts w:hint="eastAsia" w:ascii="宋体" w:hAnsi="宋体" w:cs="宋体"/>
                <w:color w:val="auto"/>
                <w:spacing w:val="-4"/>
                <w:kern w:val="2"/>
                <w:sz w:val="24"/>
                <w:szCs w:val="20"/>
                <w:highlight w:val="none"/>
                <w:lang w:val="en-US" w:eastAsia="zh-CN" w:bidi="ar-SA"/>
              </w:rPr>
              <w:t>）</w:t>
            </w:r>
            <w:r>
              <w:rPr>
                <w:rFonts w:hint="eastAsia" w:ascii="宋体" w:hAnsi="宋体" w:eastAsia="宋体" w:cs="宋体"/>
                <w:color w:val="auto"/>
                <w:kern w:val="2"/>
                <w:sz w:val="24"/>
                <w:szCs w:val="24"/>
                <w:highlight w:val="none"/>
                <w:lang w:val="en-US" w:eastAsia="zh-CN" w:bidi="ar-SA"/>
              </w:rPr>
              <w:t>基坑开挖：基坑开挖前，先采用GPS卫星定位系统、全站仪及经纬仪进行复测，</w:t>
            </w:r>
            <w:r>
              <w:rPr>
                <w:rFonts w:hint="eastAsia" w:ascii="宋体" w:hAnsi="宋体" w:eastAsia="宋体" w:cs="宋体"/>
                <w:color w:val="auto"/>
                <w:kern w:val="2"/>
                <w:sz w:val="24"/>
                <w:szCs w:val="24"/>
                <w:highlight w:val="none"/>
                <w:lang w:val="zh-CN" w:eastAsia="zh-CN" w:bidi="ar-SA"/>
              </w:rPr>
              <w:t>确定位置后采用机械及人工辅助开挖</w:t>
            </w:r>
            <w:r>
              <w:rPr>
                <w:rFonts w:hint="eastAsia" w:ascii="宋体" w:hAnsi="宋体" w:eastAsia="宋体" w:cs="宋体"/>
                <w:color w:val="auto"/>
                <w:kern w:val="2"/>
                <w:sz w:val="24"/>
                <w:szCs w:val="24"/>
                <w:highlight w:val="none"/>
                <w:lang w:val="en-US" w:eastAsia="zh-CN" w:bidi="ar-SA"/>
              </w:rPr>
              <w:t>。基坑开挖前要先清理基面，保证基面的平整和高差的统一。</w:t>
            </w:r>
          </w:p>
          <w:p w14:paraId="6D02E6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64" w:firstLineChars="200"/>
              <w:textAlignment w:val="auto"/>
              <w:outlineLvl w:val="9"/>
              <w:rPr>
                <w:rFonts w:hint="eastAsia" w:ascii="宋体" w:hAnsi="宋体" w:eastAsia="宋体" w:cs="宋体"/>
                <w:color w:val="auto"/>
                <w:sz w:val="24"/>
                <w:szCs w:val="21"/>
                <w:highlight w:val="none"/>
              </w:rPr>
            </w:pPr>
            <w:r>
              <w:rPr>
                <w:rFonts w:hint="eastAsia" w:ascii="宋体" w:hAnsi="宋体" w:cs="宋体"/>
                <w:color w:val="auto"/>
                <w:spacing w:val="-4"/>
                <w:sz w:val="24"/>
                <w:szCs w:val="21"/>
                <w:highlight w:val="none"/>
                <w:lang w:eastAsia="zh-CN"/>
              </w:rPr>
              <w:t>（</w:t>
            </w:r>
            <w:r>
              <w:rPr>
                <w:rFonts w:hint="eastAsia" w:ascii="宋体" w:hAnsi="宋体" w:eastAsia="宋体" w:cs="宋体"/>
                <w:color w:val="auto"/>
                <w:spacing w:val="-4"/>
                <w:sz w:val="24"/>
                <w:szCs w:val="21"/>
                <w:highlight w:val="none"/>
                <w:lang w:val="en-US" w:eastAsia="zh-CN"/>
              </w:rPr>
              <w:t>2</w:t>
            </w:r>
            <w:r>
              <w:rPr>
                <w:rFonts w:hint="eastAsia" w:ascii="宋体" w:hAnsi="宋体" w:cs="宋体"/>
                <w:color w:val="auto"/>
                <w:spacing w:val="-4"/>
                <w:sz w:val="24"/>
                <w:szCs w:val="21"/>
                <w:highlight w:val="none"/>
                <w:lang w:val="en-US" w:eastAsia="zh-CN"/>
              </w:rPr>
              <w:t>）</w:t>
            </w:r>
            <w:r>
              <w:rPr>
                <w:rFonts w:hint="eastAsia" w:ascii="宋体" w:hAnsi="宋体" w:eastAsia="宋体" w:cs="宋体"/>
                <w:color w:val="auto"/>
                <w:sz w:val="24"/>
                <w:szCs w:val="21"/>
                <w:highlight w:val="none"/>
              </w:rPr>
              <w:t>塔基建设：基坑开挖后进行</w:t>
            </w:r>
            <w:r>
              <w:rPr>
                <w:rFonts w:hint="eastAsia" w:ascii="宋体" w:hAnsi="宋体" w:eastAsia="宋体" w:cs="宋体"/>
                <w:color w:val="auto"/>
                <w:sz w:val="24"/>
                <w:szCs w:val="21"/>
                <w:highlight w:val="none"/>
                <w:lang w:val="zh-CN"/>
              </w:rPr>
              <w:t>钢筋绑扎，混凝土采用混凝土运输车运输，现场布料浇筑，振动棒进行振捣，</w:t>
            </w:r>
            <w:r>
              <w:rPr>
                <w:rFonts w:hint="eastAsia" w:ascii="宋体" w:hAnsi="宋体" w:eastAsia="宋体" w:cs="宋体"/>
                <w:color w:val="auto"/>
                <w:sz w:val="24"/>
                <w:szCs w:val="21"/>
                <w:highlight w:val="none"/>
              </w:rPr>
              <w:t>最后进行</w:t>
            </w:r>
            <w:r>
              <w:rPr>
                <w:rFonts w:hint="eastAsia" w:ascii="宋体" w:hAnsi="宋体" w:eastAsia="宋体" w:cs="宋体"/>
                <w:color w:val="auto"/>
                <w:sz w:val="24"/>
                <w:szCs w:val="21"/>
                <w:highlight w:val="none"/>
                <w:lang w:val="zh-CN"/>
              </w:rPr>
              <w:t>混凝土养护及基坑回填。</w:t>
            </w:r>
          </w:p>
          <w:p w14:paraId="30D63A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64"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pacing w:val="-4"/>
                <w:kern w:val="2"/>
                <w:sz w:val="24"/>
                <w:szCs w:val="20"/>
                <w:highlight w:val="none"/>
                <w:lang w:val="en-US" w:eastAsia="zh-CN" w:bidi="ar-SA"/>
              </w:rPr>
              <w:t>（</w:t>
            </w:r>
            <w:r>
              <w:rPr>
                <w:rFonts w:hint="eastAsia" w:ascii="宋体" w:hAnsi="宋体" w:eastAsia="宋体" w:cs="宋体"/>
                <w:color w:val="auto"/>
                <w:spacing w:val="-4"/>
                <w:kern w:val="2"/>
                <w:sz w:val="24"/>
                <w:szCs w:val="20"/>
                <w:highlight w:val="none"/>
                <w:lang w:val="en-US" w:eastAsia="zh-CN" w:bidi="ar-SA"/>
              </w:rPr>
              <w:t>3</w:t>
            </w:r>
            <w:r>
              <w:rPr>
                <w:rFonts w:hint="eastAsia" w:ascii="宋体" w:hAnsi="宋体" w:cs="宋体"/>
                <w:color w:val="auto"/>
                <w:spacing w:val="-4"/>
                <w:kern w:val="2"/>
                <w:sz w:val="24"/>
                <w:szCs w:val="20"/>
                <w:highlight w:val="none"/>
                <w:lang w:val="en-US" w:eastAsia="zh-CN" w:bidi="ar-SA"/>
              </w:rPr>
              <w:t>）</w:t>
            </w:r>
            <w:r>
              <w:rPr>
                <w:rFonts w:hint="eastAsia" w:ascii="宋体" w:hAnsi="宋体" w:eastAsia="宋体" w:cs="宋体"/>
                <w:color w:val="auto"/>
                <w:kern w:val="2"/>
                <w:sz w:val="24"/>
                <w:szCs w:val="24"/>
                <w:highlight w:val="none"/>
                <w:lang w:val="en-US" w:eastAsia="zh-CN" w:bidi="ar-SA"/>
              </w:rPr>
              <w:t>铁塔安装：铁塔采流动式起重机组立，预先将塔身组装成塔片或塔段，按吊装的顺序叠放，横担部分组装成整体，以提高起重机吊装的使用效率。</w:t>
            </w:r>
          </w:p>
          <w:p w14:paraId="041853C9">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64" w:firstLineChars="200"/>
              <w:textAlignment w:val="auto"/>
              <w:outlineLvl w:val="9"/>
              <w:rPr>
                <w:rFonts w:hint="eastAsia" w:ascii="宋体" w:hAnsi="宋体" w:eastAsia="宋体" w:cs="宋体"/>
                <w:color w:val="auto"/>
                <w:sz w:val="24"/>
                <w:szCs w:val="21"/>
                <w:highlight w:val="none"/>
              </w:rPr>
            </w:pPr>
            <w:r>
              <w:rPr>
                <w:rFonts w:hint="eastAsia" w:ascii="宋体" w:hAnsi="宋体" w:cs="宋体"/>
                <w:color w:val="auto"/>
                <w:spacing w:val="-4"/>
                <w:sz w:val="24"/>
                <w:szCs w:val="21"/>
                <w:highlight w:val="none"/>
                <w:lang w:eastAsia="zh-CN"/>
              </w:rPr>
              <w:t>（</w:t>
            </w:r>
            <w:r>
              <w:rPr>
                <w:rFonts w:hint="eastAsia" w:ascii="宋体" w:hAnsi="宋体" w:eastAsia="宋体" w:cs="宋体"/>
                <w:color w:val="auto"/>
                <w:spacing w:val="-4"/>
                <w:sz w:val="24"/>
                <w:szCs w:val="21"/>
                <w:highlight w:val="none"/>
                <w:lang w:val="en-US" w:eastAsia="zh-CN"/>
              </w:rPr>
              <w:t>4</w:t>
            </w:r>
            <w:r>
              <w:rPr>
                <w:rFonts w:hint="eastAsia" w:ascii="宋体" w:hAnsi="宋体" w:cs="宋体"/>
                <w:color w:val="auto"/>
                <w:spacing w:val="-4"/>
                <w:sz w:val="24"/>
                <w:szCs w:val="21"/>
                <w:highlight w:val="none"/>
                <w:lang w:val="en-US" w:eastAsia="zh-CN"/>
              </w:rPr>
              <w:t>）</w:t>
            </w:r>
            <w:r>
              <w:rPr>
                <w:rFonts w:hint="eastAsia" w:ascii="宋体" w:hAnsi="宋体" w:cs="宋体"/>
                <w:color w:val="auto"/>
                <w:sz w:val="24"/>
                <w:szCs w:val="21"/>
                <w:highlight w:val="none"/>
                <w:lang w:val="en-US" w:eastAsia="zh-CN"/>
              </w:rPr>
              <w:t>导线</w:t>
            </w:r>
            <w:r>
              <w:rPr>
                <w:rFonts w:hint="eastAsia" w:ascii="宋体" w:hAnsi="宋体" w:eastAsia="宋体" w:cs="宋体"/>
                <w:color w:val="auto"/>
                <w:sz w:val="24"/>
                <w:szCs w:val="21"/>
                <w:highlight w:val="none"/>
              </w:rPr>
              <w:t>及地线架设：设置牵张场，导线采用张力机、牵引机“一牵一”张力展放，导线连接采用液压机压接。地线安装采用人力展放或汽车牵引展放，各级引绳带张力逐级牵引，导引绳转换采用小张力机、小牵引机“一牵一”张力展放，地线连接采用液压机压接。</w:t>
            </w:r>
          </w:p>
          <w:p w14:paraId="712A3575">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64"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pacing w:val="-4"/>
                <w:kern w:val="2"/>
                <w:sz w:val="24"/>
                <w:szCs w:val="20"/>
                <w:highlight w:val="none"/>
                <w:lang w:val="en-US" w:eastAsia="zh-CN" w:bidi="ar-SA"/>
              </w:rPr>
              <w:t>（</w:t>
            </w:r>
            <w:r>
              <w:rPr>
                <w:rFonts w:hint="eastAsia" w:ascii="宋体" w:hAnsi="宋体" w:eastAsia="宋体" w:cs="宋体"/>
                <w:color w:val="auto"/>
                <w:spacing w:val="-4"/>
                <w:kern w:val="2"/>
                <w:sz w:val="24"/>
                <w:szCs w:val="20"/>
                <w:highlight w:val="none"/>
                <w:lang w:val="en-US" w:eastAsia="zh-CN" w:bidi="ar-SA"/>
              </w:rPr>
              <w:t>5</w:t>
            </w:r>
            <w:r>
              <w:rPr>
                <w:rFonts w:hint="eastAsia" w:ascii="宋体" w:hAnsi="宋体" w:cs="宋体"/>
                <w:color w:val="auto"/>
                <w:spacing w:val="-4"/>
                <w:kern w:val="2"/>
                <w:sz w:val="24"/>
                <w:szCs w:val="20"/>
                <w:highlight w:val="none"/>
                <w:lang w:val="en-US" w:eastAsia="zh-CN" w:bidi="ar-SA"/>
              </w:rPr>
              <w:t>）</w:t>
            </w:r>
            <w:r>
              <w:rPr>
                <w:rFonts w:hint="eastAsia" w:ascii="宋体" w:hAnsi="宋体" w:eastAsia="宋体" w:cs="宋体"/>
                <w:color w:val="auto"/>
                <w:kern w:val="2"/>
                <w:sz w:val="24"/>
                <w:szCs w:val="24"/>
                <w:highlight w:val="none"/>
                <w:lang w:val="en-US" w:eastAsia="zh-CN" w:bidi="ar-SA"/>
              </w:rPr>
              <w:t>投入使用。</w:t>
            </w:r>
          </w:p>
          <w:p w14:paraId="091C8D4F">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2"/>
                <w:sz w:val="24"/>
                <w:szCs w:val="20"/>
                <w:highlight w:val="none"/>
                <w:lang w:val="en-US" w:eastAsia="zh-CN" w:bidi="ar-SA"/>
              </w:rPr>
            </w:pPr>
            <w:r>
              <w:rPr>
                <w:rFonts w:hint="eastAsia" w:ascii="宋体" w:hAnsi="宋体" w:eastAsia="宋体" w:cs="宋体"/>
                <w:color w:val="auto"/>
                <w:kern w:val="2"/>
                <w:sz w:val="24"/>
                <w:szCs w:val="24"/>
                <w:highlight w:val="none"/>
                <w:lang w:val="en-US" w:eastAsia="zh-CN" w:bidi="ar-SA"/>
              </w:rPr>
              <w:t>主要施工工艺见图2-3。</w:t>
            </w:r>
          </w:p>
          <w:p w14:paraId="265C6505">
            <w:pPr>
              <w:keepNext w:val="0"/>
              <w:keepLines w:val="0"/>
              <w:pageBreakBefore w:val="0"/>
              <w:widowControl w:val="0"/>
              <w:suppressLineNumbers w:val="0"/>
              <w:kinsoku/>
              <w:wordWrap/>
              <w:overflowPunct/>
              <w:topLinePunct w:val="0"/>
              <w:bidi w:val="0"/>
              <w:snapToGrid w:val="0"/>
              <w:spacing w:before="0" w:beforeAutospacing="0" w:after="0" w:afterAutospacing="0"/>
              <w:ind w:left="0" w:right="0"/>
              <w:jc w:val="left"/>
              <w:textAlignment w:val="auto"/>
              <w:outlineLvl w:val="9"/>
              <w:rPr>
                <w:rFonts w:hint="eastAsia" w:ascii="宋体" w:hAnsi="宋体" w:eastAsia="宋体" w:cs="宋体"/>
                <w:b/>
                <w:bCs/>
                <w:color w:val="0000FF"/>
                <w:sz w:val="24"/>
                <w:szCs w:val="21"/>
                <w:highlight w:val="none"/>
              </w:rPr>
            </w:pPr>
            <w:r>
              <w:rPr>
                <w:rFonts w:hint="eastAsia" w:ascii="宋体" w:hAnsi="宋体" w:eastAsia="宋体" w:cs="宋体"/>
                <w:b/>
                <w:bCs/>
                <w:color w:val="auto"/>
                <w:sz w:val="24"/>
              </w:rPr>
              <w:object>
                <v:shape id="_x0000_i1026" o:spt="75" type="#_x0000_t75" style="height:69.75pt;width:393.75pt;" o:ole="t" filled="f" o:preferrelative="t" stroked="f" coordsize="21600,21600">
                  <v:path/>
                  <v:fill on="f" focussize="0,0"/>
                  <v:stroke on="f"/>
                  <v:imagedata r:id="rId13" o:title=""/>
                  <o:lock v:ext="edit" aspectratio="f"/>
                  <w10:wrap type="none"/>
                  <w10:anchorlock/>
                </v:shape>
                <o:OLEObject Type="Embed" ProgID="Visio.Drawing.11" ShapeID="_x0000_i1026" DrawAspect="Content" ObjectID="_1468075726" r:id="rId12">
                  <o:LockedField>false</o:LockedField>
                </o:OLEObject>
              </w:object>
            </w:r>
          </w:p>
          <w:p w14:paraId="0C8CADBE">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eastAsia" w:ascii="宋体" w:hAnsi="宋体" w:eastAsia="宋体" w:cs="宋体"/>
                <w:b/>
                <w:bCs/>
                <w:color w:val="auto"/>
                <w:sz w:val="24"/>
                <w:szCs w:val="21"/>
                <w:highlight w:val="none"/>
              </w:rPr>
            </w:pPr>
            <w:r>
              <w:rPr>
                <w:rFonts w:hint="eastAsia" w:ascii="宋体" w:hAnsi="宋体" w:eastAsia="宋体" w:cs="宋体"/>
                <w:b/>
                <w:bCs/>
                <w:color w:val="auto"/>
                <w:sz w:val="24"/>
                <w:szCs w:val="21"/>
                <w:highlight w:val="none"/>
              </w:rPr>
              <w:t>图2-</w:t>
            </w:r>
            <w:r>
              <w:rPr>
                <w:rFonts w:hint="eastAsia" w:ascii="宋体" w:hAnsi="宋体" w:eastAsia="宋体" w:cs="宋体"/>
                <w:b/>
                <w:bCs/>
                <w:color w:val="auto"/>
                <w:sz w:val="24"/>
                <w:szCs w:val="21"/>
                <w:highlight w:val="none"/>
                <w:lang w:val="en-US" w:eastAsia="zh-CN"/>
              </w:rPr>
              <w:t xml:space="preserve">3   </w:t>
            </w:r>
            <w:r>
              <w:rPr>
                <w:rFonts w:hint="eastAsia" w:ascii="宋体" w:hAnsi="宋体" w:eastAsia="宋体" w:cs="宋体"/>
                <w:b/>
                <w:color w:val="auto"/>
                <w:sz w:val="24"/>
                <w:szCs w:val="21"/>
                <w:highlight w:val="none"/>
              </w:rPr>
              <w:t>输电线路</w:t>
            </w:r>
            <w:r>
              <w:rPr>
                <w:rFonts w:hint="eastAsia" w:ascii="宋体" w:hAnsi="宋体" w:eastAsia="宋体" w:cs="宋体"/>
                <w:b/>
                <w:bCs/>
                <w:color w:val="auto"/>
                <w:sz w:val="24"/>
                <w:szCs w:val="21"/>
                <w:highlight w:val="none"/>
              </w:rPr>
              <w:t>工程主要施工工艺图</w:t>
            </w:r>
          </w:p>
          <w:p w14:paraId="73F987E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eastAsia" w:ascii="宋体" w:hAnsi="宋体" w:eastAsia="宋体" w:cs="宋体"/>
                <w:b/>
                <w:bCs/>
                <w:color w:val="auto"/>
                <w:kern w:val="2"/>
                <w:sz w:val="24"/>
                <w:szCs w:val="18"/>
                <w:highlight w:val="none"/>
                <w:lang w:val="en-US" w:eastAsia="zh-CN" w:bidi="ar-SA"/>
              </w:rPr>
            </w:pPr>
            <w:r>
              <w:rPr>
                <w:rFonts w:hint="eastAsia" w:ascii="宋体" w:hAnsi="宋体" w:eastAsia="宋体" w:cs="宋体"/>
                <w:b/>
                <w:bCs/>
                <w:color w:val="auto"/>
                <w:kern w:val="2"/>
                <w:sz w:val="24"/>
                <w:szCs w:val="18"/>
                <w:highlight w:val="none"/>
                <w:lang w:val="en-US" w:eastAsia="zh-CN" w:bidi="ar-SA"/>
              </w:rPr>
              <w:t>3.3间隔扩建</w:t>
            </w:r>
          </w:p>
          <w:p w14:paraId="2DAD50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间隔扩建工程施工大体分为：</w:t>
            </w:r>
          </w:p>
          <w:p w14:paraId="1F8B754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地基处理；</w:t>
            </w:r>
          </w:p>
          <w:p w14:paraId="14A4E73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建构筑物土石方开挖；</w:t>
            </w:r>
          </w:p>
          <w:p w14:paraId="4DAAC49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3</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土建施工；</w:t>
            </w:r>
          </w:p>
          <w:p w14:paraId="55DEA94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4</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设备进场运输；</w:t>
            </w:r>
          </w:p>
          <w:p w14:paraId="3326AD0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5</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设备及网架安装。</w:t>
            </w:r>
          </w:p>
          <w:p w14:paraId="6BFA18E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outlineLvl w:val="9"/>
              <w:rPr>
                <w:rFonts w:hint="eastAsia" w:ascii="宋体" w:hAnsi="宋体" w:eastAsia="宋体" w:cs="宋体"/>
                <w:b/>
                <w:color w:val="auto"/>
                <w:sz w:val="24"/>
                <w:szCs w:val="21"/>
                <w:highlight w:val="none"/>
              </w:rPr>
            </w:pPr>
            <w:r>
              <w:rPr>
                <w:rFonts w:hint="eastAsia" w:ascii="宋体" w:hAnsi="宋体" w:eastAsia="宋体" w:cs="宋体"/>
                <w:color w:val="auto"/>
                <w:sz w:val="24"/>
                <w:szCs w:val="24"/>
                <w:highlight w:val="none"/>
              </w:rPr>
              <w:t>在施工过程中均采用机械施工和人工施工相结合的方法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主要施工工艺见图2-4。</w:t>
            </w:r>
          </w:p>
          <w:p w14:paraId="09FC8009">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textAlignment w:val="auto"/>
              <w:outlineLvl w:val="9"/>
              <w:rPr>
                <w:rFonts w:hint="eastAsia" w:ascii="宋体" w:hAnsi="宋体" w:eastAsia="宋体" w:cs="宋体"/>
                <w:b/>
                <w:color w:val="auto"/>
                <w:sz w:val="24"/>
                <w:szCs w:val="21"/>
                <w:highlight w:val="none"/>
              </w:rPr>
            </w:pPr>
            <w:r>
              <w:rPr>
                <w:rFonts w:hint="eastAsia" w:ascii="宋体" w:hAnsi="宋体" w:eastAsia="宋体" w:cs="宋体"/>
                <w:color w:val="auto"/>
                <w:lang w:val="en-US" w:eastAsia="zh-CN"/>
              </w:rPr>
              <w:object>
                <v:shape id="_x0000_i1027" o:spt="75" type="#_x0000_t75" style="height:68.2pt;width:386.65pt;" o:ole="t" filled="f" o:preferrelative="t" stroked="f" coordsize="21600,21600">
                  <v:path/>
                  <v:fill on="f" focussize="0,0"/>
                  <v:stroke on="f"/>
                  <v:imagedata r:id="rId15" o:title=""/>
                  <o:lock v:ext="edit" aspectratio="f"/>
                  <w10:wrap type="none"/>
                  <w10:anchorlock/>
                </v:shape>
                <o:OLEObject Type="Embed" ProgID="Visio.Drawing.11" ShapeID="_x0000_i1027" DrawAspect="Content" ObjectID="_1468075727" r:id="rId14">
                  <o:LockedField>false</o:LockedField>
                </o:OLEObject>
              </w:object>
            </w:r>
          </w:p>
          <w:p w14:paraId="020B9E21">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eastAsia" w:ascii="宋体" w:hAnsi="宋体" w:eastAsia="宋体" w:cs="宋体"/>
                <w:color w:val="0000FF"/>
                <w:sz w:val="24"/>
                <w:szCs w:val="21"/>
                <w:highlight w:val="none"/>
                <w:lang w:val="en-US" w:eastAsia="zh-CN"/>
              </w:rPr>
            </w:pPr>
            <w:r>
              <w:rPr>
                <w:rFonts w:hint="eastAsia" w:ascii="宋体" w:hAnsi="宋体" w:eastAsia="宋体" w:cs="宋体"/>
                <w:b/>
                <w:color w:val="auto"/>
                <w:sz w:val="24"/>
                <w:szCs w:val="21"/>
                <w:highlight w:val="none"/>
                <w:lang w:val="en-US" w:eastAsia="zh-CN"/>
              </w:rPr>
              <w:t>图2-4   间隔扩建</w:t>
            </w:r>
            <w:r>
              <w:rPr>
                <w:rFonts w:hint="eastAsia" w:ascii="宋体" w:hAnsi="宋体" w:eastAsia="宋体" w:cs="宋体"/>
                <w:b/>
                <w:color w:val="auto"/>
                <w:sz w:val="24"/>
                <w:szCs w:val="21"/>
                <w:highlight w:val="none"/>
              </w:rPr>
              <w:t>工程主要施工工艺</w:t>
            </w:r>
          </w:p>
        </w:tc>
      </w:tr>
      <w:tr w14:paraId="7C9A74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1" w:type="dxa"/>
            <w:noWrap w:val="0"/>
            <w:vAlign w:val="center"/>
          </w:tcPr>
          <w:p w14:paraId="57B45DFA">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其他</w:t>
            </w:r>
          </w:p>
        </w:tc>
        <w:tc>
          <w:tcPr>
            <w:tcW w:w="8218" w:type="dxa"/>
            <w:noWrap w:val="0"/>
            <w:vAlign w:val="center"/>
          </w:tcPr>
          <w:p w14:paraId="7727B5BE">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eastAsia" w:ascii="宋体" w:hAnsi="宋体" w:eastAsia="宋体" w:cs="宋体"/>
                <w:color w:val="auto"/>
                <w:sz w:val="24"/>
                <w:szCs w:val="21"/>
                <w:highlight w:val="none"/>
                <w:lang w:val="en-US" w:eastAsia="zh-CN"/>
              </w:rPr>
            </w:pPr>
            <w:r>
              <w:rPr>
                <w:rFonts w:hint="eastAsia" w:ascii="宋体" w:hAnsi="宋体" w:eastAsia="宋体" w:cs="宋体"/>
                <w:color w:val="auto"/>
                <w:sz w:val="24"/>
                <w:szCs w:val="21"/>
                <w:highlight w:val="none"/>
                <w:lang w:val="en-US" w:eastAsia="zh-CN"/>
              </w:rPr>
              <w:t>无</w:t>
            </w:r>
          </w:p>
        </w:tc>
      </w:tr>
    </w:tbl>
    <w:p w14:paraId="6E04586E">
      <w:pPr>
        <w:pStyle w:val="29"/>
        <w:keepNext w:val="0"/>
        <w:keepLines w:val="0"/>
        <w:pageBreakBefore w:val="0"/>
        <w:widowControl/>
        <w:kinsoku/>
        <w:wordWrap/>
        <w:overflowPunct/>
        <w:topLinePunct w:val="0"/>
        <w:autoSpaceDE/>
        <w:autoSpaceDN/>
        <w:bidi w:val="0"/>
        <w:adjustRightInd/>
        <w:snapToGrid/>
        <w:jc w:val="center"/>
        <w:textAlignment w:val="auto"/>
        <w:outlineLvl w:val="0"/>
        <w:rPr>
          <w:rFonts w:hint="eastAsia" w:ascii="宋体" w:hAnsi="宋体" w:eastAsia="宋体" w:cs="宋体"/>
          <w:snapToGrid w:val="0"/>
          <w:color w:val="0000FF"/>
          <w:sz w:val="30"/>
          <w:szCs w:val="30"/>
          <w:highlight w:val="none"/>
        </w:rPr>
      </w:pPr>
      <w:r>
        <w:rPr>
          <w:rFonts w:hint="eastAsia" w:ascii="宋体" w:hAnsi="宋体" w:eastAsia="宋体" w:cs="宋体"/>
          <w:b/>
          <w:bCs/>
          <w:color w:val="0000FF"/>
          <w:highlight w:val="none"/>
        </w:rPr>
        <w:br w:type="page"/>
      </w:r>
      <w:bookmarkStart w:id="26" w:name="_Toc28306"/>
      <w:bookmarkStart w:id="27" w:name="_Toc18770"/>
      <w:bookmarkStart w:id="28" w:name="_Toc14562"/>
      <w:bookmarkStart w:id="29" w:name="_Toc16316"/>
      <w:bookmarkStart w:id="30" w:name="_Toc12380"/>
      <w:bookmarkStart w:id="31" w:name="_Toc7039"/>
      <w:bookmarkStart w:id="32" w:name="_Toc2928"/>
      <w:bookmarkStart w:id="33" w:name="_Toc25064"/>
      <w:bookmarkStart w:id="34" w:name="_Toc13509"/>
      <w:r>
        <w:rPr>
          <w:rFonts w:hint="eastAsia" w:ascii="宋体" w:hAnsi="宋体" w:eastAsia="宋体" w:cs="宋体"/>
          <w:b/>
          <w:bCs/>
          <w:snapToGrid w:val="0"/>
          <w:color w:val="auto"/>
          <w:sz w:val="30"/>
          <w:szCs w:val="30"/>
          <w:highlight w:val="none"/>
        </w:rPr>
        <w:t>三、生态环境现状、保护目标及评价标准</w:t>
      </w:r>
      <w:bookmarkEnd w:id="26"/>
      <w:bookmarkEnd w:id="27"/>
      <w:bookmarkEnd w:id="28"/>
      <w:bookmarkEnd w:id="29"/>
      <w:bookmarkEnd w:id="30"/>
      <w:bookmarkEnd w:id="31"/>
      <w:bookmarkEnd w:id="32"/>
      <w:bookmarkEnd w:id="33"/>
      <w:bookmarkEnd w:id="34"/>
    </w:p>
    <w:tbl>
      <w:tblPr>
        <w:tblStyle w:val="32"/>
        <w:tblW w:w="864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7874"/>
      </w:tblGrid>
      <w:tr w14:paraId="447965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5" w:hRule="atLeast"/>
          <w:jc w:val="center"/>
        </w:trPr>
        <w:tc>
          <w:tcPr>
            <w:tcW w:w="775" w:type="dxa"/>
            <w:tcBorders>
              <w:bottom w:val="single" w:color="000000" w:sz="4" w:space="0"/>
            </w:tcBorders>
            <w:noWrap w:val="0"/>
            <w:vAlign w:val="center"/>
          </w:tcPr>
          <w:p w14:paraId="0EE02BE8">
            <w:pPr>
              <w:keepNext w:val="0"/>
              <w:keepLines w:val="0"/>
              <w:suppressLineNumbers w:val="0"/>
              <w:adjustRightInd w:val="0"/>
              <w:snapToGrid w:val="0"/>
              <w:spacing w:before="0" w:beforeAutospacing="0" w:after="0" w:afterAutospacing="0"/>
              <w:ind w:left="0" w:right="0"/>
              <w:jc w:val="center"/>
              <w:outlineLvl w:val="9"/>
              <w:rPr>
                <w:rFonts w:hint="default" w:ascii="Times New Roman" w:hAnsi="Times New Roman" w:eastAsia="宋体" w:cs="Times New Roman"/>
                <w:color w:val="0000FF"/>
                <w:kern w:val="0"/>
                <w:szCs w:val="21"/>
                <w:highlight w:val="none"/>
              </w:rPr>
            </w:pPr>
            <w:r>
              <w:rPr>
                <w:rFonts w:hint="default" w:ascii="Times New Roman" w:hAnsi="Times New Roman" w:eastAsia="宋体" w:cs="Times New Roman"/>
                <w:color w:val="auto"/>
                <w:kern w:val="0"/>
                <w:sz w:val="24"/>
                <w:szCs w:val="24"/>
                <w:highlight w:val="none"/>
              </w:rPr>
              <w:t>生态环境现状</w:t>
            </w:r>
          </w:p>
        </w:tc>
        <w:tc>
          <w:tcPr>
            <w:tcW w:w="7874" w:type="dxa"/>
            <w:tcBorders>
              <w:bottom w:val="single" w:color="000000" w:sz="4" w:space="0"/>
            </w:tcBorders>
            <w:noWrap w:val="0"/>
            <w:vAlign w:val="center"/>
          </w:tcPr>
          <w:p w14:paraId="7F3DFA0D">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1与《新疆维吾尔自治区主体功能区规划》主体功能规划相符性</w:t>
            </w:r>
          </w:p>
          <w:p w14:paraId="6C5176F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根据《新疆维吾尔自治区主体功能区规划》，新疆维吾尔自治区国土空间分为以下主体功能区：按开发内容，分为城市化地区、农产品主产区和重点生态功能区；按层级，包括国家和自治区两个层面。</w:t>
            </w:r>
          </w:p>
          <w:p w14:paraId="3B739E12">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0"/>
                <w:lang w:val="en-GB" w:eastAsia="zh-CN" w:bidi="ar-SA"/>
              </w:rPr>
            </w:pPr>
            <w:r>
              <w:rPr>
                <w:rFonts w:hint="default" w:ascii="Times New Roman" w:hAnsi="Times New Roman" w:eastAsia="宋体" w:cs="Times New Roman"/>
                <w:color w:val="auto"/>
                <w:kern w:val="0"/>
                <w:sz w:val="24"/>
                <w:szCs w:val="20"/>
                <w:lang w:val="en-GB" w:eastAsia="zh-CN" w:bidi="ar-SA"/>
              </w:rPr>
              <w:t>本项目位于吐鲁番市</w:t>
            </w:r>
            <w:r>
              <w:rPr>
                <w:rFonts w:hint="default" w:ascii="Times New Roman" w:hAnsi="Times New Roman" w:cs="Times New Roman"/>
                <w:color w:val="auto"/>
                <w:kern w:val="0"/>
                <w:sz w:val="24"/>
                <w:szCs w:val="20"/>
                <w:lang w:val="en-US" w:eastAsia="zh-CN" w:bidi="ar-SA"/>
              </w:rPr>
              <w:t>鄯善</w:t>
            </w:r>
            <w:r>
              <w:rPr>
                <w:rFonts w:hint="default" w:ascii="Times New Roman" w:hAnsi="Times New Roman" w:eastAsia="宋体" w:cs="Times New Roman"/>
                <w:color w:val="auto"/>
                <w:kern w:val="0"/>
                <w:sz w:val="24"/>
                <w:szCs w:val="20"/>
                <w:lang w:val="en-GB" w:eastAsia="zh-CN" w:bidi="ar-SA"/>
              </w:rPr>
              <w:t>县，属</w:t>
            </w:r>
            <w:r>
              <w:rPr>
                <w:rFonts w:hint="default" w:ascii="Times New Roman" w:hAnsi="Times New Roman" w:cs="Times New Roman"/>
                <w:color w:val="auto"/>
                <w:kern w:val="0"/>
                <w:sz w:val="24"/>
                <w:szCs w:val="20"/>
                <w:lang w:val="en-US" w:eastAsia="zh-CN" w:bidi="ar-SA"/>
              </w:rPr>
              <w:t>于</w:t>
            </w:r>
            <w:r>
              <w:rPr>
                <w:rFonts w:hint="default" w:ascii="Times New Roman" w:hAnsi="Times New Roman" w:eastAsia="宋体" w:cs="Times New Roman"/>
                <w:color w:val="auto"/>
                <w:sz w:val="24"/>
                <w:szCs w:val="24"/>
                <w:highlight w:val="none"/>
                <w:lang w:val="en-US" w:eastAsia="zh-CN"/>
              </w:rPr>
              <w:t>国家</w:t>
            </w:r>
            <w:r>
              <w:rPr>
                <w:rFonts w:hint="default" w:ascii="Times New Roman" w:hAnsi="Times New Roman" w:eastAsia="宋体" w:cs="Times New Roman"/>
                <w:color w:val="auto"/>
                <w:sz w:val="24"/>
                <w:szCs w:val="24"/>
                <w:highlight w:val="none"/>
              </w:rPr>
              <w:t>级</w:t>
            </w:r>
            <w:r>
              <w:rPr>
                <w:rFonts w:hint="default" w:ascii="Times New Roman" w:hAnsi="Times New Roman" w:eastAsia="宋体" w:cs="Times New Roman"/>
                <w:color w:val="auto"/>
                <w:sz w:val="24"/>
                <w:szCs w:val="24"/>
                <w:highlight w:val="none"/>
                <w:lang w:val="en-US" w:eastAsia="zh-CN"/>
              </w:rPr>
              <w:t>农产品主产区</w:t>
            </w:r>
            <w:r>
              <w:rPr>
                <w:rFonts w:hint="default" w:ascii="Times New Roman" w:hAnsi="Times New Roman" w:eastAsia="宋体" w:cs="Times New Roman"/>
                <w:color w:val="auto"/>
                <w:sz w:val="24"/>
                <w:szCs w:val="24"/>
                <w:highlight w:val="none"/>
              </w:rPr>
              <w:t>中的</w:t>
            </w:r>
            <w:r>
              <w:rPr>
                <w:rFonts w:hint="default" w:ascii="Times New Roman" w:hAnsi="Times New Roman" w:eastAsia="宋体" w:cs="Times New Roman"/>
                <w:color w:val="auto"/>
                <w:sz w:val="24"/>
                <w:szCs w:val="24"/>
                <w:highlight w:val="none"/>
                <w:lang w:val="en-US" w:eastAsia="zh-CN"/>
              </w:rPr>
              <w:t>天山北坡主产区</w:t>
            </w:r>
            <w:r>
              <w:rPr>
                <w:rFonts w:hint="default" w:ascii="Times New Roman" w:hAnsi="Times New Roman" w:eastAsia="宋体" w:cs="Times New Roman"/>
                <w:color w:val="auto"/>
                <w:sz w:val="24"/>
                <w:szCs w:val="24"/>
                <w:highlight w:val="none"/>
              </w:rPr>
              <w:t>，为</w:t>
            </w:r>
            <w:r>
              <w:rPr>
                <w:rFonts w:hint="default" w:ascii="Times New Roman" w:hAnsi="Times New Roman" w:eastAsia="宋体" w:cs="Times New Roman"/>
                <w:color w:val="auto"/>
                <w:sz w:val="24"/>
                <w:szCs w:val="24"/>
                <w:highlight w:val="none"/>
                <w:lang w:val="en-US" w:eastAsia="zh-CN"/>
              </w:rPr>
              <w:t>限制开发区域</w:t>
            </w:r>
            <w:r>
              <w:rPr>
                <w:rFonts w:hint="default" w:ascii="Times New Roman" w:hAnsi="Times New Roman" w:eastAsia="宋体" w:cs="Times New Roman"/>
                <w:color w:val="auto"/>
                <w:kern w:val="0"/>
                <w:sz w:val="24"/>
                <w:szCs w:val="20"/>
                <w:lang w:val="en-GB" w:eastAsia="zh-CN" w:bidi="ar-SA"/>
              </w:rPr>
              <w:t>。不属于主体功能区划中确定的国家和自治区层面的禁止开发区域。</w:t>
            </w:r>
          </w:p>
          <w:p w14:paraId="65998AD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sz w:val="24"/>
                <w:szCs w:val="24"/>
              </w:rPr>
              <w:t>功能定位：保障农牧产品供给安全的重要区域，农牧民安居乐业的美好家园，社会主义新农村建设的示范区。</w:t>
            </w:r>
          </w:p>
          <w:p w14:paraId="6E2B77F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rPr>
              <w:t>开发原则：</w:t>
            </w:r>
            <w:r>
              <w:rPr>
                <w:rFonts w:hint="eastAsia" w:cs="Times New Roman"/>
                <w:color w:val="000000"/>
                <w:sz w:val="24"/>
                <w:szCs w:val="24"/>
                <w:highlight w:val="none"/>
                <w:lang w:eastAsia="zh-CN"/>
              </w:rPr>
              <w:t>（</w:t>
            </w:r>
            <w:r>
              <w:rPr>
                <w:rFonts w:hint="default" w:ascii="Times New Roman" w:hAnsi="Times New Roman" w:eastAsia="宋体" w:cs="Times New Roman"/>
                <w:sz w:val="24"/>
                <w:szCs w:val="24"/>
                <w:lang w:val="en-US" w:eastAsia="zh-CN"/>
              </w:rPr>
              <w:t>1</w:t>
            </w:r>
            <w:r>
              <w:rPr>
                <w:rFonts w:hint="eastAsia" w:cs="Times New Roman"/>
                <w:sz w:val="24"/>
                <w:szCs w:val="24"/>
                <w:lang w:val="en-US" w:eastAsia="zh-CN"/>
              </w:rPr>
              <w:t>）</w:t>
            </w:r>
            <w:r>
              <w:rPr>
                <w:rFonts w:hint="default" w:ascii="Times New Roman" w:hAnsi="Times New Roman" w:eastAsia="宋体" w:cs="Times New Roman"/>
                <w:sz w:val="24"/>
                <w:szCs w:val="24"/>
              </w:rPr>
              <w:t>加强土地整治，搞好规划，统筹安排、连片推进，加快中低产田改造，鼓励农民开展土壤改良。</w:t>
            </w:r>
            <w:r>
              <w:rPr>
                <w:rFonts w:hint="eastAsia" w:cs="Times New Roman"/>
                <w:sz w:val="24"/>
                <w:szCs w:val="24"/>
                <w:lang w:eastAsia="zh-CN"/>
              </w:rPr>
              <w:t>（</w:t>
            </w:r>
            <w:r>
              <w:rPr>
                <w:rFonts w:hint="default" w:ascii="Times New Roman" w:hAnsi="Times New Roman" w:eastAsia="宋体" w:cs="Times New Roman"/>
                <w:sz w:val="24"/>
                <w:szCs w:val="24"/>
                <w:lang w:val="en-US" w:eastAsia="zh-CN"/>
              </w:rPr>
              <w:t>2</w:t>
            </w:r>
            <w:r>
              <w:rPr>
                <w:rFonts w:hint="eastAsia" w:cs="Times New Roman"/>
                <w:sz w:val="24"/>
                <w:szCs w:val="24"/>
                <w:lang w:val="en-US" w:eastAsia="zh-CN"/>
              </w:rPr>
              <w:t>）</w:t>
            </w:r>
            <w:r>
              <w:rPr>
                <w:rFonts w:hint="default" w:ascii="Times New Roman" w:hAnsi="Times New Roman" w:eastAsia="宋体" w:cs="Times New Roman"/>
                <w:sz w:val="24"/>
                <w:szCs w:val="24"/>
              </w:rPr>
              <w:t>加强水利设施建设，加快水源工程、大中型灌区配套和节水改造工程建设。加快高效节水农业建设，大力发展旱作节水农业，建立标准化、规范化高效节水示范区。结合高效节水，加快改革耕作制度，优化栽培模式，调整种植结构，大幅度提高土地产出率和资源利用率。</w:t>
            </w:r>
            <w:r>
              <w:rPr>
                <w:rFonts w:hint="eastAsia" w:cs="Times New Roman"/>
                <w:sz w:val="24"/>
                <w:szCs w:val="24"/>
                <w:lang w:eastAsia="zh-CN"/>
              </w:rPr>
              <w:t>（</w:t>
            </w:r>
            <w:r>
              <w:rPr>
                <w:rFonts w:hint="default" w:ascii="Times New Roman" w:hAnsi="Times New Roman" w:eastAsia="宋体" w:cs="Times New Roman"/>
                <w:sz w:val="24"/>
                <w:szCs w:val="24"/>
                <w:lang w:val="en-US" w:eastAsia="zh-CN"/>
              </w:rPr>
              <w:t>3</w:t>
            </w:r>
            <w:r>
              <w:rPr>
                <w:rFonts w:hint="eastAsia" w:cs="Times New Roman"/>
                <w:sz w:val="24"/>
                <w:szCs w:val="24"/>
                <w:lang w:val="en-US" w:eastAsia="zh-CN"/>
              </w:rPr>
              <w:t>）</w:t>
            </w:r>
            <w:r>
              <w:rPr>
                <w:rFonts w:hint="default" w:ascii="Times New Roman" w:hAnsi="Times New Roman" w:eastAsia="宋体" w:cs="Times New Roman"/>
                <w:sz w:val="24"/>
                <w:szCs w:val="24"/>
              </w:rPr>
              <w:t>加强人工影响天气能力建设。合理布局人工增雨和防雹重点作业区，加快人工影响天气基础设施建设。开展规模化人工影响天气作业，坚持抗旱型和储蓄型增雨并重，提高冰雹预警能力和作业水平，为农业稳产和增产提供优质保障。</w:t>
            </w:r>
            <w:r>
              <w:rPr>
                <w:rFonts w:hint="eastAsia" w:cs="Times New Roman"/>
                <w:sz w:val="24"/>
                <w:szCs w:val="24"/>
                <w:lang w:eastAsia="zh-CN"/>
              </w:rPr>
              <w:t>（</w:t>
            </w:r>
            <w:r>
              <w:rPr>
                <w:rFonts w:hint="default" w:ascii="Times New Roman" w:hAnsi="Times New Roman" w:eastAsia="宋体" w:cs="Times New Roman"/>
                <w:sz w:val="24"/>
                <w:szCs w:val="24"/>
                <w:lang w:val="en-US" w:eastAsia="zh-CN"/>
              </w:rPr>
              <w:t>4</w:t>
            </w:r>
            <w:r>
              <w:rPr>
                <w:rFonts w:hint="eastAsia" w:cs="Times New Roman"/>
                <w:sz w:val="24"/>
                <w:szCs w:val="24"/>
                <w:lang w:val="en-US" w:eastAsia="zh-CN"/>
              </w:rPr>
              <w:t>）</w:t>
            </w:r>
            <w:r>
              <w:rPr>
                <w:rFonts w:hint="default" w:ascii="Times New Roman" w:hAnsi="Times New Roman" w:eastAsia="宋体" w:cs="Times New Roman"/>
                <w:sz w:val="24"/>
                <w:szCs w:val="24"/>
              </w:rPr>
              <w:t>优化农牧业生产布局和品种结构，搞好农牧业布局规划，科学确定各区域农牧业发展重点，形成优势突出和特色鲜明的农牧业产业带和生产区。</w:t>
            </w:r>
            <w:r>
              <w:rPr>
                <w:rFonts w:hint="eastAsia" w:cs="Times New Roman"/>
                <w:sz w:val="24"/>
                <w:szCs w:val="24"/>
                <w:lang w:eastAsia="zh-CN"/>
              </w:rPr>
              <w:t>（</w:t>
            </w:r>
            <w:r>
              <w:rPr>
                <w:rFonts w:hint="default" w:ascii="Times New Roman" w:hAnsi="Times New Roman" w:eastAsia="宋体" w:cs="Times New Roman"/>
                <w:sz w:val="24"/>
                <w:szCs w:val="24"/>
                <w:lang w:val="en-US" w:eastAsia="zh-CN"/>
              </w:rPr>
              <w:t>5</w:t>
            </w:r>
            <w:r>
              <w:rPr>
                <w:rFonts w:hint="eastAsia" w:cs="Times New Roman"/>
                <w:sz w:val="24"/>
                <w:szCs w:val="24"/>
                <w:lang w:val="en-US" w:eastAsia="zh-CN"/>
              </w:rPr>
              <w:t>）</w:t>
            </w:r>
            <w:r>
              <w:rPr>
                <w:rFonts w:hint="default" w:ascii="Times New Roman" w:hAnsi="Times New Roman" w:eastAsia="宋体" w:cs="Times New Roman"/>
                <w:sz w:val="24"/>
                <w:szCs w:val="24"/>
              </w:rPr>
              <w:t>支持优势农产品主产区农产品加工、流通、储运设施的建设，引导农牧产品加工、流通、储运企业向优势产区聚集。</w:t>
            </w:r>
            <w:r>
              <w:rPr>
                <w:rFonts w:hint="eastAsia" w:cs="Times New Roman"/>
                <w:sz w:val="24"/>
                <w:szCs w:val="24"/>
                <w:lang w:eastAsia="zh-CN"/>
              </w:rPr>
              <w:t>（</w:t>
            </w:r>
            <w:r>
              <w:rPr>
                <w:rFonts w:hint="default" w:ascii="Times New Roman" w:hAnsi="Times New Roman" w:eastAsia="宋体" w:cs="Times New Roman"/>
                <w:sz w:val="24"/>
                <w:szCs w:val="24"/>
                <w:lang w:val="en-US" w:eastAsia="zh-CN"/>
              </w:rPr>
              <w:t>6</w:t>
            </w:r>
            <w:r>
              <w:rPr>
                <w:rFonts w:hint="eastAsia" w:cs="Times New Roman"/>
                <w:sz w:val="24"/>
                <w:szCs w:val="24"/>
                <w:lang w:val="en-US" w:eastAsia="zh-CN"/>
              </w:rPr>
              <w:t>）</w:t>
            </w:r>
            <w:r>
              <w:rPr>
                <w:rFonts w:hint="default" w:ascii="Times New Roman" w:hAnsi="Times New Roman" w:eastAsia="宋体" w:cs="Times New Roman"/>
                <w:sz w:val="24"/>
                <w:szCs w:val="24"/>
              </w:rPr>
              <w:t>粮食主产区要进一步提高粮食生产能力，在保护生态前提下，集中力量在基础条件好的地区加大标准化粮田建设力度，形成稳定的粮食生产供应能力，建设国家粮食安全后备基地。</w:t>
            </w:r>
            <w:r>
              <w:rPr>
                <w:rFonts w:hint="eastAsia" w:cs="Times New Roman"/>
                <w:sz w:val="24"/>
                <w:szCs w:val="24"/>
                <w:lang w:eastAsia="zh-CN"/>
              </w:rPr>
              <w:t>（</w:t>
            </w:r>
            <w:r>
              <w:rPr>
                <w:rFonts w:hint="default" w:ascii="Times New Roman" w:hAnsi="Times New Roman" w:eastAsia="宋体" w:cs="Times New Roman"/>
                <w:sz w:val="24"/>
                <w:szCs w:val="24"/>
                <w:lang w:val="en-US" w:eastAsia="zh-CN"/>
              </w:rPr>
              <w:t>7</w:t>
            </w:r>
            <w:r>
              <w:rPr>
                <w:rFonts w:hint="eastAsia" w:cs="Times New Roman"/>
                <w:sz w:val="24"/>
                <w:szCs w:val="24"/>
                <w:lang w:val="en-US" w:eastAsia="zh-CN"/>
              </w:rPr>
              <w:t>）</w:t>
            </w:r>
            <w:r>
              <w:rPr>
                <w:rFonts w:hint="default" w:ascii="Times New Roman" w:hAnsi="Times New Roman" w:eastAsia="宋体" w:cs="Times New Roman"/>
                <w:sz w:val="24"/>
                <w:szCs w:val="24"/>
              </w:rPr>
              <w:t>大力发展棉花、油料和糖类生产，鼓励发挥优势，着力提高品质和单产，积极开展高标准节水灌溉、全机械化等工程建设。转变养殖业生产方式，推进规模化和标准化，确保畜牧业稳步增产和持续发展。</w:t>
            </w:r>
            <w:r>
              <w:rPr>
                <w:rFonts w:hint="eastAsia" w:cs="Times New Roman"/>
                <w:sz w:val="24"/>
                <w:szCs w:val="24"/>
                <w:lang w:eastAsia="zh-CN"/>
              </w:rPr>
              <w:t>（</w:t>
            </w:r>
            <w:r>
              <w:rPr>
                <w:rFonts w:hint="default" w:ascii="Times New Roman" w:hAnsi="Times New Roman" w:eastAsia="宋体" w:cs="Times New Roman"/>
                <w:sz w:val="24"/>
                <w:szCs w:val="24"/>
                <w:lang w:val="en-US" w:eastAsia="zh-CN"/>
              </w:rPr>
              <w:t>8</w:t>
            </w:r>
            <w:r>
              <w:rPr>
                <w:rFonts w:hint="eastAsia" w:cs="Times New Roman"/>
                <w:sz w:val="24"/>
                <w:szCs w:val="24"/>
                <w:lang w:val="en-US" w:eastAsia="zh-CN"/>
              </w:rPr>
              <w:t>）</w:t>
            </w:r>
            <w:r>
              <w:rPr>
                <w:rFonts w:hint="default" w:ascii="Times New Roman" w:hAnsi="Times New Roman" w:eastAsia="宋体" w:cs="Times New Roman"/>
                <w:sz w:val="24"/>
                <w:szCs w:val="24"/>
              </w:rPr>
              <w:t>加强草原保护与建设，建立和完善草原保护制度，提高草原生产能力，转变草原畜牧业经营方式，强化草原监督管理和监测预警工作。</w:t>
            </w:r>
            <w:r>
              <w:rPr>
                <w:rFonts w:hint="eastAsia" w:cs="Times New Roman"/>
                <w:sz w:val="24"/>
                <w:szCs w:val="24"/>
                <w:lang w:eastAsia="zh-CN"/>
              </w:rPr>
              <w:t>（</w:t>
            </w:r>
            <w:r>
              <w:rPr>
                <w:rFonts w:hint="default" w:ascii="Times New Roman" w:hAnsi="Times New Roman" w:eastAsia="宋体" w:cs="Times New Roman"/>
                <w:sz w:val="24"/>
                <w:szCs w:val="24"/>
                <w:lang w:val="en-US" w:eastAsia="zh-CN"/>
              </w:rPr>
              <w:t>9</w:t>
            </w:r>
            <w:r>
              <w:rPr>
                <w:rFonts w:hint="eastAsia" w:cs="Times New Roman"/>
                <w:sz w:val="24"/>
                <w:szCs w:val="24"/>
                <w:lang w:val="en-US" w:eastAsia="zh-CN"/>
              </w:rPr>
              <w:t>）</w:t>
            </w:r>
            <w:r>
              <w:rPr>
                <w:rFonts w:hint="default" w:ascii="Times New Roman" w:hAnsi="Times New Roman" w:eastAsia="宋体" w:cs="Times New Roman"/>
                <w:sz w:val="24"/>
                <w:szCs w:val="24"/>
              </w:rPr>
              <w:t>优化开发方式，发展循环农业，促进农业资源的永续利用，鼓励和支持农牧产品加工副产物的综合利用，加强农业面源污染防治。</w:t>
            </w:r>
            <w:r>
              <w:rPr>
                <w:rFonts w:hint="eastAsia" w:cs="Times New Roman"/>
                <w:sz w:val="24"/>
                <w:szCs w:val="24"/>
                <w:lang w:eastAsia="zh-CN"/>
              </w:rPr>
              <w:t>（</w:t>
            </w:r>
            <w:r>
              <w:rPr>
                <w:rFonts w:hint="default" w:ascii="Times New Roman" w:hAnsi="Times New Roman" w:eastAsia="宋体" w:cs="Times New Roman"/>
                <w:sz w:val="24"/>
                <w:szCs w:val="24"/>
                <w:lang w:val="en-US" w:eastAsia="zh-CN"/>
              </w:rPr>
              <w:t>10</w:t>
            </w:r>
            <w:r>
              <w:rPr>
                <w:rFonts w:hint="eastAsia" w:cs="Times New Roman"/>
                <w:sz w:val="24"/>
                <w:szCs w:val="24"/>
                <w:lang w:val="en-US" w:eastAsia="zh-CN"/>
              </w:rPr>
              <w:t>）</w:t>
            </w:r>
            <w:r>
              <w:rPr>
                <w:rFonts w:hint="default" w:ascii="Times New Roman" w:hAnsi="Times New Roman" w:eastAsia="宋体" w:cs="Times New Roman"/>
                <w:sz w:val="24"/>
                <w:szCs w:val="24"/>
              </w:rPr>
              <w:t>加强农业基础设施建设，改善农业生产条件。加快农业科技进步和创新，提高农业技术装备水平，强化农业防灾减灾能力建设。</w:t>
            </w:r>
            <w:r>
              <w:rPr>
                <w:rFonts w:hint="eastAsia" w:cs="Times New Roman"/>
                <w:sz w:val="24"/>
                <w:szCs w:val="24"/>
                <w:lang w:eastAsia="zh-CN"/>
              </w:rPr>
              <w:t>（</w:t>
            </w:r>
            <w:r>
              <w:rPr>
                <w:rFonts w:hint="default" w:ascii="Times New Roman" w:hAnsi="Times New Roman" w:eastAsia="宋体" w:cs="Times New Roman"/>
                <w:sz w:val="24"/>
                <w:szCs w:val="24"/>
                <w:lang w:val="en-US" w:eastAsia="zh-CN"/>
              </w:rPr>
              <w:t>11</w:t>
            </w:r>
            <w:r>
              <w:rPr>
                <w:rFonts w:hint="eastAsia" w:cs="Times New Roman"/>
                <w:sz w:val="24"/>
                <w:szCs w:val="24"/>
                <w:lang w:val="en-US" w:eastAsia="zh-CN"/>
              </w:rPr>
              <w:t>）</w:t>
            </w:r>
            <w:r>
              <w:rPr>
                <w:rFonts w:hint="default" w:ascii="Times New Roman" w:hAnsi="Times New Roman" w:eastAsia="宋体" w:cs="Times New Roman"/>
                <w:sz w:val="24"/>
                <w:szCs w:val="24"/>
              </w:rPr>
              <w:t>积极推进农业的规模化、产业化经营，发展农产品深加工，拓展农村就业和增收领域。</w:t>
            </w:r>
            <w:r>
              <w:rPr>
                <w:rFonts w:hint="eastAsia" w:cs="Times New Roman"/>
                <w:sz w:val="24"/>
                <w:szCs w:val="24"/>
                <w:lang w:eastAsia="zh-CN"/>
              </w:rPr>
              <w:t>（</w:t>
            </w:r>
            <w:r>
              <w:rPr>
                <w:rFonts w:hint="default" w:ascii="Times New Roman" w:hAnsi="Times New Roman" w:eastAsia="宋体" w:cs="Times New Roman"/>
                <w:sz w:val="24"/>
                <w:szCs w:val="24"/>
                <w:lang w:val="en-US" w:eastAsia="zh-CN"/>
              </w:rPr>
              <w:t>12</w:t>
            </w:r>
            <w:r>
              <w:rPr>
                <w:rFonts w:hint="eastAsia" w:cs="Times New Roman"/>
                <w:sz w:val="24"/>
                <w:szCs w:val="24"/>
                <w:lang w:val="en-US" w:eastAsia="zh-CN"/>
              </w:rPr>
              <w:t>）</w:t>
            </w:r>
            <w:r>
              <w:rPr>
                <w:rFonts w:hint="default" w:ascii="Times New Roman" w:hAnsi="Times New Roman" w:eastAsia="宋体" w:cs="Times New Roman"/>
                <w:sz w:val="24"/>
                <w:szCs w:val="24"/>
              </w:rPr>
              <w:t>以县域为重点推进城镇建设和非农产业发展，加强县城和乡镇公共服务设施建设，完善小城镇公共服务和居住功能。</w:t>
            </w:r>
            <w:r>
              <w:rPr>
                <w:rFonts w:hint="eastAsia" w:cs="Times New Roman"/>
                <w:sz w:val="24"/>
                <w:szCs w:val="24"/>
                <w:lang w:eastAsia="zh-CN"/>
              </w:rPr>
              <w:t>（</w:t>
            </w:r>
            <w:r>
              <w:rPr>
                <w:rFonts w:hint="default" w:ascii="Times New Roman" w:hAnsi="Times New Roman" w:eastAsia="宋体" w:cs="Times New Roman"/>
                <w:sz w:val="24"/>
                <w:szCs w:val="24"/>
                <w:lang w:val="en-US" w:eastAsia="zh-CN"/>
              </w:rPr>
              <w:t>13</w:t>
            </w:r>
            <w:r>
              <w:rPr>
                <w:rFonts w:hint="eastAsia" w:cs="Times New Roman"/>
                <w:sz w:val="24"/>
                <w:szCs w:val="24"/>
                <w:lang w:val="en-US" w:eastAsia="zh-CN"/>
              </w:rPr>
              <w:t>）</w:t>
            </w:r>
            <w:r>
              <w:rPr>
                <w:rFonts w:hint="default" w:ascii="Times New Roman" w:hAnsi="Times New Roman" w:eastAsia="宋体" w:cs="Times New Roman"/>
                <w:sz w:val="24"/>
                <w:szCs w:val="24"/>
              </w:rPr>
              <w:t>农村居民点以及农村基础设施和公共服务设施的建设，要统筹考虑人口迁移等因素，适度集中、集约布局。</w:t>
            </w:r>
            <w:r>
              <w:rPr>
                <w:rFonts w:hint="eastAsia" w:cs="Times New Roman"/>
                <w:sz w:val="24"/>
                <w:szCs w:val="24"/>
                <w:lang w:eastAsia="zh-CN"/>
              </w:rPr>
              <w:t>（</w:t>
            </w:r>
            <w:r>
              <w:rPr>
                <w:rFonts w:hint="default" w:ascii="Times New Roman" w:hAnsi="Times New Roman" w:eastAsia="宋体" w:cs="Times New Roman"/>
                <w:sz w:val="24"/>
                <w:szCs w:val="24"/>
                <w:lang w:val="en-US" w:eastAsia="zh-CN"/>
              </w:rPr>
              <w:t>14</w:t>
            </w:r>
            <w:r>
              <w:rPr>
                <w:rFonts w:hint="eastAsia" w:cs="Times New Roman"/>
                <w:sz w:val="24"/>
                <w:szCs w:val="24"/>
                <w:lang w:val="en-US" w:eastAsia="zh-CN"/>
              </w:rPr>
              <w:t>）</w:t>
            </w:r>
            <w:r>
              <w:rPr>
                <w:rFonts w:hint="default" w:ascii="Times New Roman" w:hAnsi="Times New Roman" w:eastAsia="宋体" w:cs="Times New Roman"/>
                <w:sz w:val="24"/>
                <w:szCs w:val="24"/>
              </w:rPr>
              <w:t>重视农产品主产区土壤环境的保护，避免在农产品主产区内以及周边布局易造成农产品污染的产业。</w:t>
            </w:r>
            <w:r>
              <w:rPr>
                <w:rFonts w:hint="eastAsia" w:cs="Times New Roman"/>
                <w:sz w:val="24"/>
                <w:szCs w:val="24"/>
                <w:lang w:eastAsia="zh-CN"/>
              </w:rPr>
              <w:t>（</w:t>
            </w:r>
            <w:r>
              <w:rPr>
                <w:rFonts w:hint="default" w:ascii="Times New Roman" w:hAnsi="Times New Roman" w:eastAsia="宋体" w:cs="Times New Roman"/>
                <w:sz w:val="24"/>
                <w:szCs w:val="24"/>
                <w:lang w:val="en-US" w:eastAsia="zh-CN"/>
              </w:rPr>
              <w:t>15</w:t>
            </w:r>
            <w:r>
              <w:rPr>
                <w:rFonts w:hint="eastAsia" w:cs="Times New Roman"/>
                <w:sz w:val="24"/>
                <w:szCs w:val="24"/>
                <w:lang w:val="en-US" w:eastAsia="zh-CN"/>
              </w:rPr>
              <w:t>）</w:t>
            </w:r>
            <w:r>
              <w:rPr>
                <w:rFonts w:hint="default" w:ascii="Times New Roman" w:hAnsi="Times New Roman" w:eastAsia="宋体" w:cs="Times New Roman"/>
                <w:sz w:val="24"/>
                <w:szCs w:val="24"/>
              </w:rPr>
              <w:t>位于农产品主产区的点状能源和矿产资源基地建设，必须进行生态环境影响评估，并尽可能减少对生态空间与农业空间的占用，同步修复生态环境。其中，在水资源严重短缺、环境容量很小、生态十分脆弱、地震和地质灾害频发的地区，要严格控制能源和矿产资源开发。</w:t>
            </w:r>
          </w:p>
          <w:p w14:paraId="42B2D3E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00"/>
                <w:kern w:val="0"/>
                <w:sz w:val="24"/>
                <w:szCs w:val="24"/>
                <w:highlight w:val="none"/>
              </w:rPr>
              <w:t>相符性分析：</w:t>
            </w:r>
            <w:r>
              <w:rPr>
                <w:rFonts w:hint="default" w:ascii="Times New Roman" w:hAnsi="Times New Roman" w:eastAsia="宋体" w:cs="Times New Roman"/>
                <w:color w:val="auto"/>
                <w:kern w:val="0"/>
                <w:sz w:val="24"/>
              </w:rPr>
              <w:t>本项目为</w:t>
            </w:r>
            <w:r>
              <w:rPr>
                <w:rFonts w:hint="default" w:ascii="Times New Roman" w:hAnsi="Times New Roman" w:eastAsia="宋体" w:cs="Times New Roman"/>
                <w:color w:val="auto"/>
                <w:kern w:val="0"/>
                <w:sz w:val="24"/>
                <w:lang w:val="en-US" w:eastAsia="zh-CN"/>
              </w:rPr>
              <w:t>输变电</w:t>
            </w:r>
            <w:r>
              <w:rPr>
                <w:rFonts w:hint="default" w:ascii="Times New Roman" w:hAnsi="Times New Roman" w:eastAsia="宋体" w:cs="Times New Roman"/>
                <w:color w:val="auto"/>
                <w:kern w:val="0"/>
                <w:sz w:val="24"/>
              </w:rPr>
              <w:t>项目，采用先进成熟、节能环保型技术。</w:t>
            </w:r>
            <w:r>
              <w:rPr>
                <w:rFonts w:hint="default" w:ascii="Times New Roman" w:hAnsi="Times New Roman" w:eastAsia="宋体" w:cs="Times New Roman"/>
                <w:color w:val="auto"/>
                <w:kern w:val="0"/>
                <w:sz w:val="24"/>
                <w:lang w:val="en-US" w:eastAsia="zh-CN"/>
              </w:rPr>
              <w:t>项目所在区域不在生态红线区内，符合开发原则</w:t>
            </w:r>
            <w:r>
              <w:rPr>
                <w:rFonts w:hint="default" w:ascii="Times New Roman" w:hAnsi="Times New Roman" w:eastAsia="宋体" w:cs="Times New Roman"/>
                <w:color w:val="auto"/>
                <w:kern w:val="0"/>
                <w:sz w:val="24"/>
              </w:rPr>
              <w:t>。本环评已提出尽量少占用土地及施工后的生态恢复相关要求，同时要求建设单位需对开发活动严格控制，尽可能减少对生态系统的干扰；在项目实施过程中采取生态保护措施，加强对生态系</w:t>
            </w:r>
            <w:r>
              <w:rPr>
                <w:rFonts w:hint="eastAsia" w:cs="Times New Roman"/>
                <w:color w:val="auto"/>
                <w:kern w:val="0"/>
                <w:sz w:val="24"/>
                <w:lang w:eastAsia="zh-CN"/>
              </w:rPr>
              <w:t>统的</w:t>
            </w:r>
            <w:r>
              <w:rPr>
                <w:rFonts w:hint="default" w:ascii="Times New Roman" w:hAnsi="Times New Roman" w:eastAsia="宋体" w:cs="Times New Roman"/>
                <w:color w:val="auto"/>
                <w:kern w:val="0"/>
                <w:sz w:val="24"/>
              </w:rPr>
              <w:t>保护和恢复，保护野生动物，保护地貌，维护自然生态环境，积极落实本环评提出的各项生态环境保护措施，因此，本项目建设符合《新疆维吾尔自治区主体功能区规划》对于工程区块的定位要求及开发原则，与区域生态功能的保护是协调的。</w:t>
            </w:r>
          </w:p>
          <w:p w14:paraId="7469C467">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2生态现状调查与评价</w:t>
            </w:r>
          </w:p>
          <w:p w14:paraId="71CE81EA">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cs="Times New Roman"/>
                <w:b/>
                <w:bCs/>
                <w:color w:val="auto"/>
                <w:sz w:val="24"/>
                <w:highlight w:val="none"/>
                <w:shd w:val="clear" w:color="auto" w:fill="auto"/>
              </w:rPr>
              <w:t>2.1生态功能区划情况</w:t>
            </w:r>
          </w:p>
          <w:p w14:paraId="3339D2B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根据《新疆生态功能区划》，本项目所在区域为Ⅲ</w:t>
            </w:r>
            <w:r>
              <w:rPr>
                <w:rFonts w:hint="eastAsia" w:cs="Times New Roman"/>
                <w:kern w:val="0"/>
                <w:sz w:val="24"/>
                <w:szCs w:val="24"/>
                <w:lang w:val="en-US" w:eastAsia="zh-CN" w:bidi="ar-SA"/>
              </w:rPr>
              <w:t xml:space="preserve"> </w:t>
            </w:r>
            <w:r>
              <w:rPr>
                <w:rFonts w:hint="default" w:ascii="Times New Roman" w:hAnsi="Times New Roman" w:eastAsia="宋体" w:cs="Times New Roman"/>
                <w:kern w:val="0"/>
                <w:sz w:val="24"/>
                <w:szCs w:val="24"/>
                <w:lang w:val="en-US" w:eastAsia="zh-CN" w:bidi="ar-SA"/>
              </w:rPr>
              <w:t>天山山地温性草原、森林生态区</w:t>
            </w:r>
            <w:r>
              <w:rPr>
                <w:rFonts w:hint="eastAsia" w:cs="Times New Roman"/>
                <w:kern w:val="0"/>
                <w:sz w:val="24"/>
                <w:szCs w:val="24"/>
                <w:lang w:val="en-US" w:eastAsia="zh-CN" w:bidi="ar-SA"/>
              </w:rPr>
              <w:t>（</w:t>
            </w:r>
            <w:r>
              <w:rPr>
                <w:rFonts w:hint="default" w:ascii="Times New Roman" w:hAnsi="Times New Roman" w:eastAsia="宋体" w:cs="Times New Roman"/>
                <w:kern w:val="0"/>
                <w:sz w:val="24"/>
                <w:szCs w:val="24"/>
                <w:lang w:val="en-US" w:eastAsia="zh-CN" w:bidi="ar-SA"/>
              </w:rPr>
              <w:t>Ⅲ</w:t>
            </w:r>
            <w:r>
              <w:rPr>
                <w:rFonts w:hint="eastAsia" w:cs="Times New Roman"/>
                <w:kern w:val="0"/>
                <w:sz w:val="24"/>
                <w:szCs w:val="24"/>
                <w:lang w:val="en-US" w:eastAsia="zh-CN" w:bidi="ar-SA"/>
              </w:rPr>
              <w:t>）</w:t>
            </w:r>
            <w:r>
              <w:rPr>
                <w:rFonts w:hint="default" w:ascii="Times New Roman" w:hAnsi="Times New Roman" w:eastAsia="宋体" w:cs="Times New Roman"/>
                <w:kern w:val="0"/>
                <w:sz w:val="24"/>
                <w:szCs w:val="24"/>
                <w:lang w:val="en-US" w:eastAsia="zh-CN" w:bidi="ar-SA"/>
              </w:rPr>
              <w:t>，天山南坡草原牧业、绿洲农业生态亚区</w:t>
            </w:r>
            <w:r>
              <w:rPr>
                <w:rFonts w:hint="eastAsia" w:cs="Times New Roman"/>
                <w:kern w:val="0"/>
                <w:sz w:val="24"/>
                <w:szCs w:val="24"/>
                <w:lang w:val="en-US" w:eastAsia="zh-CN" w:bidi="ar-SA"/>
              </w:rPr>
              <w:t>（</w:t>
            </w:r>
            <w:r>
              <w:rPr>
                <w:rFonts w:hint="default" w:ascii="Times New Roman" w:hAnsi="Times New Roman" w:eastAsia="宋体" w:cs="Times New Roman"/>
                <w:kern w:val="0"/>
                <w:sz w:val="24"/>
                <w:szCs w:val="24"/>
                <w:lang w:val="en-US" w:eastAsia="zh-CN" w:bidi="ar-SA"/>
              </w:rPr>
              <w:t>Ⅲ</w:t>
            </w:r>
            <w:r>
              <w:rPr>
                <w:rFonts w:hint="default" w:ascii="Times New Roman" w:hAnsi="Times New Roman" w:eastAsia="宋体" w:cs="Times New Roman"/>
                <w:kern w:val="0"/>
                <w:sz w:val="24"/>
                <w:szCs w:val="24"/>
                <w:vertAlign w:val="subscript"/>
                <w:lang w:val="en-US" w:eastAsia="zh-CN" w:bidi="ar-SA"/>
              </w:rPr>
              <w:t>3</w:t>
            </w:r>
            <w:r>
              <w:rPr>
                <w:rFonts w:hint="eastAsia" w:cs="Times New Roman"/>
                <w:kern w:val="0"/>
                <w:sz w:val="24"/>
                <w:szCs w:val="24"/>
                <w:vertAlign w:val="subscript"/>
                <w:lang w:val="en-US" w:eastAsia="zh-CN" w:bidi="ar-SA"/>
              </w:rPr>
              <w:t>）</w:t>
            </w:r>
            <w:r>
              <w:rPr>
                <w:rFonts w:hint="default" w:ascii="Times New Roman" w:hAnsi="Times New Roman" w:eastAsia="宋体" w:cs="Times New Roman"/>
                <w:kern w:val="0"/>
                <w:sz w:val="24"/>
                <w:szCs w:val="24"/>
                <w:lang w:val="en-US" w:eastAsia="zh-CN" w:bidi="ar-SA"/>
              </w:rPr>
              <w:t>，天山南坡东段土壤侵蚀敏感生态功能区</w:t>
            </w:r>
            <w:r>
              <w:rPr>
                <w:rFonts w:hint="eastAsia" w:cs="Times New Roman"/>
                <w:kern w:val="0"/>
                <w:sz w:val="24"/>
                <w:szCs w:val="24"/>
                <w:lang w:val="en-US" w:eastAsia="zh-CN" w:bidi="ar-SA"/>
              </w:rPr>
              <w:t>（</w:t>
            </w:r>
            <w:r>
              <w:rPr>
                <w:rFonts w:hint="default" w:ascii="Times New Roman" w:hAnsi="Times New Roman" w:eastAsia="宋体" w:cs="Times New Roman"/>
                <w:kern w:val="0"/>
                <w:sz w:val="24"/>
                <w:szCs w:val="24"/>
                <w:lang w:val="en-US" w:eastAsia="zh-CN" w:bidi="ar-SA"/>
              </w:rPr>
              <w:t>49</w:t>
            </w:r>
            <w:r>
              <w:rPr>
                <w:rFonts w:hint="eastAsia" w:cs="Times New Roman"/>
                <w:kern w:val="0"/>
                <w:sz w:val="24"/>
                <w:szCs w:val="24"/>
                <w:lang w:val="en-US" w:eastAsia="zh-CN" w:bidi="ar-SA"/>
              </w:rPr>
              <w:t>）</w:t>
            </w:r>
            <w:r>
              <w:rPr>
                <w:rFonts w:hint="default" w:ascii="Times New Roman" w:hAnsi="Times New Roman" w:eastAsia="宋体" w:cs="Times New Roman"/>
                <w:kern w:val="0"/>
                <w:sz w:val="24"/>
                <w:szCs w:val="24"/>
                <w:lang w:val="en-US" w:eastAsia="zh-CN" w:bidi="ar-SA"/>
              </w:rPr>
              <w:t>。该功能区</w:t>
            </w:r>
            <w:r>
              <w:rPr>
                <w:rFonts w:hint="eastAsia" w:cs="Times New Roman"/>
                <w:kern w:val="0"/>
                <w:sz w:val="24"/>
                <w:szCs w:val="24"/>
                <w:lang w:val="en-US" w:eastAsia="zh-CN" w:bidi="ar-SA"/>
              </w:rPr>
              <w:t>主要</w:t>
            </w:r>
            <w:r>
              <w:rPr>
                <w:rFonts w:hint="default" w:ascii="Times New Roman" w:hAnsi="Times New Roman" w:eastAsia="宋体" w:cs="Times New Roman"/>
                <w:kern w:val="0"/>
                <w:sz w:val="24"/>
                <w:szCs w:val="24"/>
                <w:lang w:val="en-US" w:eastAsia="zh-CN" w:bidi="ar-SA"/>
              </w:rPr>
              <w:t>特征，见表3-1。</w:t>
            </w:r>
          </w:p>
          <w:p w14:paraId="72770769">
            <w:pPr>
              <w:pStyle w:val="39"/>
              <w:keepNext w:val="0"/>
              <w:keepLines w:val="0"/>
              <w:suppressLineNumbers w:val="0"/>
              <w:spacing w:before="0" w:beforeAutospacing="0" w:after="0" w:afterAutospacing="0"/>
              <w:ind w:left="0" w:right="0"/>
              <w:rPr>
                <w:rFonts w:hint="default" w:ascii="Times New Roman" w:hAnsi="Times New Roman" w:eastAsia="宋体" w:cs="Times New Roman"/>
                <w:kern w:val="0"/>
                <w:sz w:val="24"/>
                <w:szCs w:val="24"/>
                <w:lang w:val="en-US" w:eastAsia="zh-CN" w:bidi="ar-SA"/>
              </w:rPr>
            </w:pPr>
          </w:p>
          <w:p w14:paraId="1A1BC520">
            <w:pPr>
              <w:keepNext w:val="0"/>
              <w:keepLines w:val="0"/>
              <w:suppressLineNumbers w:val="0"/>
              <w:spacing w:before="0" w:beforeAutospacing="0" w:after="0" w:afterAutospacing="0"/>
              <w:ind w:left="0" w:right="0"/>
              <w:rPr>
                <w:rFonts w:hint="default"/>
                <w:lang w:val="en-US" w:eastAsia="zh-CN"/>
              </w:rPr>
            </w:pPr>
          </w:p>
          <w:p w14:paraId="2E109E9E">
            <w:pPr>
              <w:keepNext w:val="0"/>
              <w:keepLines w:val="0"/>
              <w:suppressLineNumbers w:val="0"/>
              <w:spacing w:before="0" w:beforeAutospacing="0" w:after="0" w:afterAutospacing="0"/>
              <w:ind w:left="0" w:right="0"/>
              <w:rPr>
                <w:rFonts w:hint="default"/>
                <w:lang w:val="en-US" w:eastAsia="zh-CN"/>
              </w:rPr>
            </w:pPr>
          </w:p>
          <w:p w14:paraId="7EFE7E66">
            <w:pPr>
              <w:keepNext w:val="0"/>
              <w:keepLines w:val="0"/>
              <w:suppressLineNumbers w:val="0"/>
              <w:tabs>
                <w:tab w:val="left" w:pos="4586"/>
                <w:tab w:val="left" w:pos="5786"/>
              </w:tabs>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b/>
                <w:color w:val="000000"/>
                <w:sz w:val="24"/>
                <w:szCs w:val="24"/>
                <w:highlight w:val="none"/>
              </w:rPr>
              <w:t>表3-</w:t>
            </w:r>
            <w:r>
              <w:rPr>
                <w:rFonts w:hint="default" w:ascii="Times New Roman" w:hAnsi="Times New Roman" w:eastAsia="宋体" w:cs="Times New Roman"/>
                <w:b/>
                <w:color w:val="000000"/>
                <w:sz w:val="24"/>
                <w:szCs w:val="24"/>
                <w:highlight w:val="none"/>
                <w:lang w:val="en-US" w:eastAsia="zh-CN"/>
              </w:rPr>
              <w:t>1</w:t>
            </w:r>
            <w:r>
              <w:rPr>
                <w:rFonts w:hint="eastAsia" w:ascii="Times New Roman" w:hAnsi="Times New Roman" w:cs="Times New Roman"/>
                <w:b/>
                <w:color w:val="000000"/>
                <w:sz w:val="24"/>
                <w:szCs w:val="24"/>
                <w:highlight w:val="none"/>
                <w:lang w:val="en-US" w:eastAsia="zh-CN"/>
              </w:rPr>
              <w:t xml:space="preserve">    </w:t>
            </w:r>
            <w:r>
              <w:rPr>
                <w:rFonts w:hint="default" w:ascii="Times New Roman" w:hAnsi="Times New Roman" w:eastAsia="宋体" w:cs="Times New Roman"/>
                <w:b/>
                <w:color w:val="000000"/>
                <w:sz w:val="24"/>
                <w:szCs w:val="24"/>
                <w:highlight w:val="none"/>
              </w:rPr>
              <w:t>本项目所属生态功能区主要特征</w:t>
            </w:r>
          </w:p>
          <w:tbl>
            <w:tblPr>
              <w:tblStyle w:val="32"/>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946"/>
              <w:gridCol w:w="4680"/>
            </w:tblGrid>
            <w:tr w14:paraId="29FBCF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3" w:type="pct"/>
                  <w:tcBorders>
                    <w:tl2br w:val="nil"/>
                    <w:tr2bl w:val="nil"/>
                  </w:tcBorders>
                  <w:noWrap/>
                  <w:vAlign w:val="center"/>
                </w:tcPr>
                <w:p w14:paraId="6C59905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snapToGrid w:val="0"/>
                      <w:color w:val="000000"/>
                      <w:kern w:val="0"/>
                      <w:sz w:val="21"/>
                      <w:szCs w:val="21"/>
                      <w:highlight w:val="none"/>
                    </w:rPr>
                  </w:pPr>
                  <w:r>
                    <w:rPr>
                      <w:rFonts w:hint="default" w:ascii="Times New Roman" w:hAnsi="Times New Roman" w:cs="Times New Roman"/>
                      <w:b/>
                      <w:snapToGrid w:val="0"/>
                      <w:color w:val="000000"/>
                      <w:kern w:val="0"/>
                      <w:sz w:val="21"/>
                      <w:szCs w:val="21"/>
                      <w:highlight w:val="none"/>
                    </w:rPr>
                    <w:t>功能区</w:t>
                  </w:r>
                </w:p>
              </w:tc>
              <w:tc>
                <w:tcPr>
                  <w:tcW w:w="3686" w:type="pct"/>
                  <w:tcBorders>
                    <w:tl2br w:val="nil"/>
                    <w:tr2bl w:val="nil"/>
                  </w:tcBorders>
                  <w:noWrap/>
                  <w:vAlign w:val="center"/>
                </w:tcPr>
                <w:p w14:paraId="4563C5D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snapToGrid w:val="0"/>
                      <w:color w:val="000000"/>
                      <w:kern w:val="0"/>
                      <w:sz w:val="21"/>
                      <w:szCs w:val="21"/>
                      <w:highlight w:val="none"/>
                    </w:rPr>
                  </w:pPr>
                  <w:r>
                    <w:rPr>
                      <w:rFonts w:hint="default" w:ascii="Times New Roman" w:hAnsi="Times New Roman" w:cs="Times New Roman"/>
                      <w:b/>
                      <w:bCs/>
                      <w:snapToGrid w:val="0"/>
                      <w:color w:val="000000"/>
                      <w:kern w:val="0"/>
                      <w:sz w:val="21"/>
                      <w:szCs w:val="21"/>
                      <w:highlight w:val="none"/>
                      <w:lang w:val="en-US" w:eastAsia="zh-CN"/>
                    </w:rPr>
                    <w:t>天山南坡东段土壤侵蚀敏感生态功能区</w:t>
                  </w:r>
                </w:p>
              </w:tc>
            </w:tr>
            <w:tr w14:paraId="1411D5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3" w:type="pct"/>
                  <w:tcBorders>
                    <w:tl2br w:val="nil"/>
                    <w:tr2bl w:val="nil"/>
                  </w:tcBorders>
                  <w:noWrap/>
                  <w:vAlign w:val="center"/>
                </w:tcPr>
                <w:p w14:paraId="2FAB16C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000000"/>
                      <w:kern w:val="0"/>
                      <w:sz w:val="21"/>
                      <w:szCs w:val="21"/>
                      <w:highlight w:val="none"/>
                    </w:rPr>
                  </w:pPr>
                  <w:r>
                    <w:rPr>
                      <w:rFonts w:hint="default" w:ascii="Times New Roman" w:hAnsi="Times New Roman" w:cs="Times New Roman"/>
                      <w:snapToGrid w:val="0"/>
                      <w:color w:val="000000"/>
                      <w:kern w:val="0"/>
                      <w:sz w:val="21"/>
                      <w:szCs w:val="21"/>
                      <w:highlight w:val="none"/>
                    </w:rPr>
                    <w:t>主要生态服务功能</w:t>
                  </w:r>
                </w:p>
              </w:tc>
              <w:tc>
                <w:tcPr>
                  <w:tcW w:w="3686" w:type="pct"/>
                  <w:tcBorders>
                    <w:tl2br w:val="nil"/>
                    <w:tr2bl w:val="nil"/>
                  </w:tcBorders>
                  <w:noWrap/>
                  <w:vAlign w:val="center"/>
                </w:tcPr>
                <w:p w14:paraId="4ED603C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napToGrid w:val="0"/>
                      <w:color w:val="000000"/>
                      <w:kern w:val="0"/>
                      <w:sz w:val="21"/>
                      <w:szCs w:val="21"/>
                      <w:highlight w:val="none"/>
                      <w:lang w:val="en-US" w:eastAsia="zh-CN"/>
                    </w:rPr>
                  </w:pPr>
                  <w:r>
                    <w:rPr>
                      <w:rFonts w:hint="default" w:ascii="Times New Roman" w:hAnsi="Times New Roman" w:cs="Times New Roman"/>
                      <w:sz w:val="21"/>
                      <w:szCs w:val="21"/>
                    </w:rPr>
                    <w:t>荒漠化控制、土壤保持</w:t>
                  </w:r>
                </w:p>
              </w:tc>
            </w:tr>
            <w:tr w14:paraId="326DDA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3" w:type="pct"/>
                  <w:tcBorders>
                    <w:tl2br w:val="nil"/>
                    <w:tr2bl w:val="nil"/>
                  </w:tcBorders>
                  <w:noWrap/>
                  <w:vAlign w:val="center"/>
                </w:tcPr>
                <w:p w14:paraId="0EABA6F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000000"/>
                      <w:kern w:val="0"/>
                      <w:sz w:val="21"/>
                      <w:szCs w:val="21"/>
                      <w:highlight w:val="none"/>
                    </w:rPr>
                  </w:pPr>
                  <w:r>
                    <w:rPr>
                      <w:rFonts w:hint="default" w:ascii="Times New Roman" w:hAnsi="Times New Roman" w:cs="Times New Roman"/>
                      <w:snapToGrid w:val="0"/>
                      <w:color w:val="000000"/>
                      <w:kern w:val="0"/>
                      <w:sz w:val="21"/>
                      <w:szCs w:val="21"/>
                      <w:highlight w:val="none"/>
                    </w:rPr>
                    <w:t>主要生态环境问题</w:t>
                  </w:r>
                </w:p>
              </w:tc>
              <w:tc>
                <w:tcPr>
                  <w:tcW w:w="3686" w:type="pct"/>
                  <w:tcBorders>
                    <w:tl2br w:val="nil"/>
                    <w:tr2bl w:val="nil"/>
                  </w:tcBorders>
                  <w:noWrap/>
                  <w:vAlign w:val="center"/>
                </w:tcPr>
                <w:p w14:paraId="516834E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napToGrid w:val="0"/>
                      <w:color w:val="000000"/>
                      <w:kern w:val="0"/>
                      <w:sz w:val="21"/>
                      <w:szCs w:val="21"/>
                      <w:highlight w:val="none"/>
                      <w:lang w:val="en-US" w:eastAsia="zh-CN"/>
                    </w:rPr>
                  </w:pPr>
                  <w:r>
                    <w:rPr>
                      <w:rFonts w:hint="default" w:ascii="Times New Roman" w:hAnsi="Times New Roman" w:cs="Times New Roman"/>
                      <w:sz w:val="21"/>
                      <w:szCs w:val="21"/>
                    </w:rPr>
                    <w:t>草原过牧退化、土壤侵蚀</w:t>
                  </w:r>
                </w:p>
              </w:tc>
            </w:tr>
            <w:tr w14:paraId="41F04F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3" w:type="pct"/>
                  <w:tcBorders>
                    <w:tl2br w:val="nil"/>
                    <w:tr2bl w:val="nil"/>
                  </w:tcBorders>
                  <w:noWrap/>
                  <w:vAlign w:val="center"/>
                </w:tcPr>
                <w:p w14:paraId="2AE4FAE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000000"/>
                      <w:kern w:val="0"/>
                      <w:sz w:val="21"/>
                      <w:szCs w:val="21"/>
                      <w:highlight w:val="none"/>
                    </w:rPr>
                  </w:pPr>
                  <w:r>
                    <w:rPr>
                      <w:rFonts w:hint="default" w:ascii="Times New Roman" w:hAnsi="Times New Roman" w:cs="Times New Roman"/>
                      <w:snapToGrid w:val="0"/>
                      <w:color w:val="000000"/>
                      <w:kern w:val="0"/>
                      <w:sz w:val="21"/>
                      <w:szCs w:val="21"/>
                      <w:highlight w:val="none"/>
                    </w:rPr>
                    <w:t>主要生态敏感因子、敏感程度</w:t>
                  </w:r>
                </w:p>
              </w:tc>
              <w:tc>
                <w:tcPr>
                  <w:tcW w:w="3686" w:type="pct"/>
                  <w:tcBorders>
                    <w:tl2br w:val="nil"/>
                    <w:tr2bl w:val="nil"/>
                  </w:tcBorders>
                  <w:noWrap/>
                  <w:vAlign w:val="center"/>
                </w:tcPr>
                <w:p w14:paraId="65C973E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napToGrid w:val="0"/>
                      <w:color w:val="000000"/>
                      <w:kern w:val="0"/>
                      <w:sz w:val="21"/>
                      <w:szCs w:val="21"/>
                      <w:highlight w:val="none"/>
                      <w:lang w:val="en-US" w:eastAsia="zh-CN"/>
                    </w:rPr>
                  </w:pPr>
                  <w:r>
                    <w:rPr>
                      <w:rFonts w:hint="default" w:ascii="Times New Roman" w:hAnsi="Times New Roman" w:cs="Times New Roman"/>
                      <w:sz w:val="21"/>
                      <w:szCs w:val="21"/>
                    </w:rPr>
                    <w:t>生物多样性及其生境、土壤侵蚀中度敏感</w:t>
                  </w:r>
                </w:p>
              </w:tc>
            </w:tr>
            <w:tr w14:paraId="78A72A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3" w:type="pct"/>
                  <w:tcBorders>
                    <w:tl2br w:val="nil"/>
                    <w:tr2bl w:val="nil"/>
                  </w:tcBorders>
                  <w:noWrap/>
                  <w:vAlign w:val="center"/>
                </w:tcPr>
                <w:p w14:paraId="5583A85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000000"/>
                      <w:kern w:val="0"/>
                      <w:sz w:val="21"/>
                      <w:szCs w:val="21"/>
                      <w:highlight w:val="none"/>
                    </w:rPr>
                  </w:pPr>
                  <w:r>
                    <w:rPr>
                      <w:rFonts w:hint="default" w:ascii="Times New Roman" w:hAnsi="Times New Roman" w:cs="Times New Roman"/>
                      <w:snapToGrid w:val="0"/>
                      <w:color w:val="000000"/>
                      <w:kern w:val="0"/>
                      <w:sz w:val="21"/>
                      <w:szCs w:val="21"/>
                      <w:highlight w:val="none"/>
                    </w:rPr>
                    <w:t>主要保护目标</w:t>
                  </w:r>
                </w:p>
              </w:tc>
              <w:tc>
                <w:tcPr>
                  <w:tcW w:w="3686" w:type="pct"/>
                  <w:tcBorders>
                    <w:tl2br w:val="nil"/>
                    <w:tr2bl w:val="nil"/>
                  </w:tcBorders>
                  <w:noWrap/>
                  <w:vAlign w:val="center"/>
                </w:tcPr>
                <w:p w14:paraId="537B188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napToGrid w:val="0"/>
                      <w:color w:val="000000"/>
                      <w:kern w:val="0"/>
                      <w:sz w:val="21"/>
                      <w:szCs w:val="21"/>
                      <w:highlight w:val="none"/>
                      <w:lang w:val="en-US" w:eastAsia="zh-CN"/>
                    </w:rPr>
                  </w:pPr>
                  <w:r>
                    <w:rPr>
                      <w:rFonts w:hint="default" w:ascii="Times New Roman" w:hAnsi="Times New Roman" w:cs="Times New Roman"/>
                      <w:sz w:val="21"/>
                      <w:szCs w:val="21"/>
                    </w:rPr>
                    <w:t>保护草地、保护零星河谷林和山地林</w:t>
                  </w:r>
                </w:p>
              </w:tc>
            </w:tr>
            <w:tr w14:paraId="530899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3" w:type="pct"/>
                  <w:tcBorders>
                    <w:tl2br w:val="nil"/>
                    <w:tr2bl w:val="nil"/>
                  </w:tcBorders>
                  <w:noWrap/>
                  <w:vAlign w:val="center"/>
                </w:tcPr>
                <w:p w14:paraId="665F924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000000"/>
                      <w:kern w:val="0"/>
                      <w:sz w:val="21"/>
                      <w:szCs w:val="21"/>
                      <w:highlight w:val="none"/>
                    </w:rPr>
                  </w:pPr>
                  <w:r>
                    <w:rPr>
                      <w:rFonts w:hint="default" w:ascii="Times New Roman" w:hAnsi="Times New Roman" w:cs="Times New Roman"/>
                      <w:snapToGrid w:val="0"/>
                      <w:color w:val="000000"/>
                      <w:kern w:val="0"/>
                      <w:sz w:val="21"/>
                      <w:szCs w:val="21"/>
                      <w:highlight w:val="none"/>
                    </w:rPr>
                    <w:t>主要保护措施</w:t>
                  </w:r>
                </w:p>
              </w:tc>
              <w:tc>
                <w:tcPr>
                  <w:tcW w:w="3686" w:type="pct"/>
                  <w:tcBorders>
                    <w:tl2br w:val="nil"/>
                    <w:tr2bl w:val="nil"/>
                  </w:tcBorders>
                  <w:noWrap/>
                  <w:vAlign w:val="center"/>
                </w:tcPr>
                <w:p w14:paraId="4940005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napToGrid w:val="0"/>
                      <w:color w:val="000000"/>
                      <w:kern w:val="0"/>
                      <w:sz w:val="21"/>
                      <w:szCs w:val="21"/>
                      <w:highlight w:val="none"/>
                      <w:lang w:val="en-US" w:eastAsia="zh-CN"/>
                    </w:rPr>
                  </w:pPr>
                  <w:r>
                    <w:rPr>
                      <w:rFonts w:hint="default" w:ascii="Times New Roman" w:hAnsi="Times New Roman" w:cs="Times New Roman"/>
                      <w:sz w:val="21"/>
                      <w:szCs w:val="21"/>
                    </w:rPr>
                    <w:t>草地退牧、森林禁伐</w:t>
                  </w:r>
                </w:p>
              </w:tc>
            </w:tr>
            <w:tr w14:paraId="6966C2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3" w:type="pct"/>
                  <w:tcBorders>
                    <w:tl2br w:val="nil"/>
                    <w:tr2bl w:val="nil"/>
                  </w:tcBorders>
                  <w:noWrap/>
                  <w:vAlign w:val="center"/>
                </w:tcPr>
                <w:p w14:paraId="5E6AAD6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000000"/>
                      <w:kern w:val="0"/>
                      <w:sz w:val="21"/>
                      <w:szCs w:val="21"/>
                      <w:highlight w:val="none"/>
                    </w:rPr>
                  </w:pPr>
                  <w:r>
                    <w:rPr>
                      <w:rFonts w:hint="default" w:ascii="Times New Roman" w:hAnsi="Times New Roman" w:cs="Times New Roman"/>
                      <w:snapToGrid w:val="0"/>
                      <w:color w:val="000000"/>
                      <w:kern w:val="0"/>
                      <w:sz w:val="21"/>
                      <w:szCs w:val="21"/>
                      <w:highlight w:val="none"/>
                    </w:rPr>
                    <w:t>适宜发展方向</w:t>
                  </w:r>
                </w:p>
              </w:tc>
              <w:tc>
                <w:tcPr>
                  <w:tcW w:w="3686" w:type="pct"/>
                  <w:tcBorders>
                    <w:tl2br w:val="nil"/>
                    <w:tr2bl w:val="nil"/>
                  </w:tcBorders>
                  <w:noWrap/>
                  <w:vAlign w:val="center"/>
                </w:tcPr>
                <w:p w14:paraId="17D521D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napToGrid w:val="0"/>
                      <w:color w:val="000000"/>
                      <w:kern w:val="0"/>
                      <w:sz w:val="21"/>
                      <w:szCs w:val="21"/>
                      <w:highlight w:val="none"/>
                      <w:lang w:val="en-US" w:eastAsia="zh-CN"/>
                    </w:rPr>
                  </w:pPr>
                  <w:r>
                    <w:rPr>
                      <w:rFonts w:hint="default" w:ascii="Times New Roman" w:hAnsi="Times New Roman" w:cs="Times New Roman"/>
                      <w:sz w:val="21"/>
                      <w:szCs w:val="21"/>
                    </w:rPr>
                    <w:t>维护自然生态平衡，发挥综合生态效益</w:t>
                  </w:r>
                </w:p>
              </w:tc>
            </w:tr>
          </w:tbl>
          <w:p w14:paraId="7D8B4442">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eastAsia="宋体" w:cs="Times New Roman"/>
                <w:color w:val="0000FF"/>
                <w:kern w:val="2"/>
                <w:sz w:val="28"/>
                <w:szCs w:val="28"/>
                <w:lang w:val="en-US" w:eastAsia="zh-CN" w:bidi="ar-SA"/>
              </w:rPr>
            </w:pPr>
          </w:p>
          <w:p w14:paraId="34095563">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cs="Times New Roman"/>
                <w:color w:val="auto"/>
                <w:sz w:val="24"/>
                <w:highlight w:val="none"/>
                <w:shd w:val="clear" w:color="auto" w:fill="auto"/>
              </w:rPr>
            </w:pPr>
            <w:r>
              <w:rPr>
                <w:rFonts w:hint="default" w:ascii="Times New Roman" w:hAnsi="Times New Roman" w:cs="Times New Roman"/>
                <w:b/>
                <w:bCs/>
                <w:color w:val="auto"/>
                <w:sz w:val="24"/>
                <w:highlight w:val="none"/>
                <w:shd w:val="clear" w:color="auto" w:fill="auto"/>
              </w:rPr>
              <w:t>2.2生态环境现状调查</w:t>
            </w:r>
          </w:p>
          <w:p w14:paraId="65B71C6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本项目位于</w:t>
            </w:r>
            <w:r>
              <w:rPr>
                <w:rFonts w:hint="default" w:ascii="Times New Roman" w:hAnsi="Times New Roman" w:eastAsia="宋体" w:cs="Times New Roman"/>
                <w:color w:val="auto"/>
                <w:sz w:val="24"/>
                <w:highlight w:val="none"/>
                <w:shd w:val="clear" w:color="auto" w:fill="auto"/>
                <w:lang w:val="en-US" w:eastAsia="zh-CN"/>
              </w:rPr>
              <w:t>吐鲁番市鄯善县</w:t>
            </w:r>
            <w:r>
              <w:rPr>
                <w:rFonts w:hint="default" w:ascii="Times New Roman" w:hAnsi="Times New Roman" w:eastAsia="宋体" w:cs="Times New Roman"/>
                <w:color w:val="auto"/>
                <w:sz w:val="24"/>
                <w:highlight w:val="none"/>
                <w:shd w:val="clear" w:color="auto" w:fill="auto"/>
              </w:rPr>
              <w:t>，项目区地势较开阔，无泥石流及滑坡等问题，土地利用类型主要为</w:t>
            </w:r>
            <w:r>
              <w:rPr>
                <w:rFonts w:hint="default" w:ascii="Times New Roman" w:hAnsi="Times New Roman" w:cs="Times New Roman"/>
                <w:color w:val="auto"/>
                <w:sz w:val="24"/>
                <w:highlight w:val="none"/>
                <w:shd w:val="clear" w:color="auto" w:fill="auto"/>
                <w:lang w:val="en-US" w:eastAsia="zh-CN"/>
              </w:rPr>
              <w:t>天然牧草地和裸地</w:t>
            </w:r>
            <w:r>
              <w:rPr>
                <w:rFonts w:hint="default" w:ascii="Times New Roman" w:hAnsi="Times New Roman" w:eastAsia="宋体" w:cs="Times New Roman"/>
                <w:color w:val="auto"/>
                <w:sz w:val="24"/>
                <w:highlight w:val="none"/>
                <w:shd w:val="clear" w:color="auto" w:fill="auto"/>
              </w:rPr>
              <w:t>，土壤类型为</w:t>
            </w:r>
            <w:r>
              <w:rPr>
                <w:rFonts w:hint="default" w:ascii="Times New Roman" w:hAnsi="Times New Roman" w:eastAsia="宋体" w:cs="Times New Roman"/>
                <w:color w:val="auto"/>
                <w:sz w:val="24"/>
                <w:highlight w:val="none"/>
                <w:shd w:val="clear" w:color="auto" w:fill="auto"/>
                <w:lang w:val="en-US" w:eastAsia="zh-CN"/>
              </w:rPr>
              <w:t>石膏棕漠土</w:t>
            </w:r>
            <w:r>
              <w:rPr>
                <w:rFonts w:hint="default" w:ascii="Times New Roman" w:hAnsi="Times New Roman" w:eastAsia="宋体" w:cs="Times New Roman"/>
                <w:color w:val="auto"/>
                <w:sz w:val="24"/>
                <w:highlight w:val="none"/>
                <w:shd w:val="clear" w:color="auto" w:fill="auto"/>
              </w:rPr>
              <w:t>，植被类型为</w:t>
            </w:r>
            <w:r>
              <w:rPr>
                <w:rFonts w:hint="default" w:ascii="Times New Roman" w:hAnsi="Times New Roman" w:eastAsia="宋体" w:cs="Times New Roman"/>
                <w:color w:val="auto"/>
                <w:sz w:val="24"/>
                <w:highlight w:val="none"/>
                <w:shd w:val="clear" w:color="auto" w:fill="auto"/>
                <w:lang w:val="en-US" w:eastAsia="zh-CN"/>
              </w:rPr>
              <w:t>盐生草荒漠植被，植被覆盖率</w:t>
            </w:r>
            <w:r>
              <w:rPr>
                <w:rFonts w:hint="default" w:ascii="Times New Roman" w:hAnsi="Times New Roman" w:cs="Times New Roman"/>
                <w:color w:val="auto"/>
                <w:sz w:val="24"/>
                <w:highlight w:val="none"/>
                <w:shd w:val="clear" w:color="auto" w:fill="auto"/>
                <w:lang w:val="en-US" w:eastAsia="zh-CN"/>
              </w:rPr>
              <w:t>约10</w:t>
            </w:r>
            <w:r>
              <w:rPr>
                <w:rFonts w:hint="default" w:ascii="Times New Roman" w:hAnsi="Times New Roman" w:eastAsia="宋体" w:cs="Times New Roman"/>
                <w:color w:val="auto"/>
                <w:sz w:val="24"/>
                <w:highlight w:val="none"/>
                <w:shd w:val="clear" w:color="auto" w:fill="auto"/>
                <w:lang w:val="en-US" w:eastAsia="zh-CN"/>
              </w:rPr>
              <w:t>%</w:t>
            </w:r>
            <w:r>
              <w:rPr>
                <w:rFonts w:hint="eastAsia" w:cs="Times New Roman"/>
                <w:color w:val="auto"/>
                <w:sz w:val="24"/>
                <w:highlight w:val="none"/>
                <w:shd w:val="clear" w:color="auto" w:fill="auto"/>
                <w:lang w:val="en-US" w:eastAsia="zh-CN"/>
              </w:rPr>
              <w:t>，植被主要以碱蓬属、琵琶柴、盐生草等荒漠植被为主</w:t>
            </w:r>
            <w:r>
              <w:rPr>
                <w:rFonts w:hint="default" w:ascii="Times New Roman" w:hAnsi="Times New Roman" w:eastAsia="宋体" w:cs="Times New Roman"/>
                <w:color w:val="auto"/>
                <w:sz w:val="24"/>
                <w:highlight w:val="none"/>
                <w:shd w:val="clear" w:color="auto" w:fill="auto"/>
                <w:lang w:val="en-US" w:eastAsia="zh-CN"/>
              </w:rPr>
              <w:t>。</w:t>
            </w:r>
            <w:r>
              <w:rPr>
                <w:rFonts w:hint="default" w:ascii="Times New Roman" w:hAnsi="Times New Roman" w:cs="Times New Roman"/>
                <w:color w:val="auto"/>
                <w:sz w:val="24"/>
                <w:highlight w:val="none"/>
                <w:shd w:val="clear" w:color="auto" w:fill="auto"/>
                <w:lang w:val="en-US" w:eastAsia="zh-CN"/>
              </w:rPr>
              <w:t>根据</w:t>
            </w:r>
            <w:r>
              <w:rPr>
                <w:rFonts w:hint="default" w:ascii="Times New Roman" w:hAnsi="Times New Roman" w:eastAsia="宋体" w:cs="Times New Roman"/>
                <w:color w:val="auto"/>
                <w:sz w:val="24"/>
                <w:highlight w:val="none"/>
                <w:shd w:val="clear" w:color="auto" w:fill="auto"/>
              </w:rPr>
              <w:t>《国家重点保护野生植物名录</w:t>
            </w:r>
            <w:r>
              <w:rPr>
                <w:rFonts w:hint="eastAsia"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2021版</w:t>
            </w:r>
            <w:r>
              <w:rPr>
                <w:rFonts w:hint="eastAsia"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w:t>
            </w:r>
            <w:r>
              <w:rPr>
                <w:rFonts w:hint="default" w:ascii="Times New Roman" w:hAnsi="Times New Roman" w:eastAsia="宋体" w:cs="Times New Roman"/>
                <w:color w:val="auto"/>
                <w:sz w:val="24"/>
                <w:highlight w:val="none"/>
                <w:shd w:val="clear" w:color="auto" w:fill="auto"/>
                <w:lang w:val="en-US" w:eastAsia="zh-CN"/>
              </w:rPr>
              <w:t>和</w:t>
            </w:r>
            <w:r>
              <w:rPr>
                <w:rFonts w:hint="default" w:ascii="Times New Roman" w:hAnsi="Times New Roman" w:eastAsia="宋体" w:cs="Times New Roman"/>
                <w:color w:val="auto"/>
                <w:sz w:val="24"/>
                <w:highlight w:val="none"/>
                <w:shd w:val="clear" w:color="auto" w:fill="auto"/>
              </w:rPr>
              <w:t>《新疆维吾尔自治区重点保护野生植物名录》</w:t>
            </w:r>
            <w:r>
              <w:rPr>
                <w:rFonts w:hint="eastAsia"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新政发〔2023〕63号</w:t>
            </w:r>
            <w:r>
              <w:rPr>
                <w:rFonts w:hint="eastAsia"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比对，项目区内</w:t>
            </w:r>
            <w:r>
              <w:rPr>
                <w:rFonts w:hint="default" w:ascii="Times New Roman" w:hAnsi="Times New Roman" w:eastAsia="宋体" w:cs="Times New Roman"/>
                <w:color w:val="auto"/>
                <w:sz w:val="24"/>
                <w:highlight w:val="none"/>
                <w:shd w:val="clear" w:color="auto" w:fill="auto"/>
                <w:lang w:val="en-US" w:eastAsia="zh-CN"/>
              </w:rPr>
              <w:t>无</w:t>
            </w:r>
            <w:r>
              <w:rPr>
                <w:rFonts w:hint="default" w:ascii="Times New Roman" w:hAnsi="Times New Roman" w:eastAsia="宋体" w:cs="Times New Roman"/>
                <w:color w:val="auto"/>
                <w:sz w:val="24"/>
                <w:highlight w:val="none"/>
                <w:shd w:val="clear" w:color="auto" w:fill="auto"/>
              </w:rPr>
              <w:t>国家及自治区</w:t>
            </w:r>
            <w:r>
              <w:rPr>
                <w:rFonts w:hint="default" w:ascii="Times New Roman" w:hAnsi="Times New Roman" w:eastAsia="宋体" w:cs="Times New Roman"/>
                <w:color w:val="auto"/>
                <w:sz w:val="24"/>
                <w:highlight w:val="none"/>
                <w:shd w:val="clear" w:color="auto" w:fill="auto"/>
                <w:lang w:val="en-US" w:eastAsia="zh-CN"/>
              </w:rPr>
              <w:t>级</w:t>
            </w:r>
            <w:r>
              <w:rPr>
                <w:rFonts w:hint="default" w:ascii="Times New Roman" w:hAnsi="Times New Roman" w:eastAsia="宋体" w:cs="Times New Roman"/>
                <w:color w:val="auto"/>
                <w:sz w:val="24"/>
                <w:highlight w:val="none"/>
                <w:shd w:val="clear" w:color="auto" w:fill="auto"/>
              </w:rPr>
              <w:t>重点保护野生植物。</w:t>
            </w:r>
          </w:p>
          <w:p w14:paraId="186D6F7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szCs w:val="24"/>
                <w:highlight w:val="yellow"/>
                <w:lang w:val="en-US" w:eastAsia="zh-CN"/>
              </w:rPr>
            </w:pPr>
            <w:r>
              <w:rPr>
                <w:rFonts w:hint="default" w:ascii="Times New Roman" w:hAnsi="Times New Roman" w:eastAsia="宋体" w:cs="Times New Roman"/>
                <w:color w:val="auto"/>
                <w:sz w:val="24"/>
                <w:highlight w:val="none"/>
                <w:shd w:val="clear" w:color="auto" w:fill="auto"/>
              </w:rPr>
              <w:t>本项目所在地主要为</w:t>
            </w:r>
            <w:r>
              <w:rPr>
                <w:rFonts w:hint="default" w:ascii="Times New Roman" w:hAnsi="Times New Roman" w:cs="Times New Roman"/>
                <w:color w:val="auto"/>
                <w:sz w:val="24"/>
                <w:highlight w:val="none"/>
                <w:shd w:val="clear" w:color="auto" w:fill="auto"/>
                <w:lang w:val="en-US" w:eastAsia="zh-CN"/>
              </w:rPr>
              <w:t>风电集中开发区域</w:t>
            </w:r>
            <w:r>
              <w:rPr>
                <w:rFonts w:hint="default" w:ascii="Times New Roman" w:hAnsi="Times New Roman" w:eastAsia="宋体" w:cs="Times New Roman"/>
                <w:color w:val="auto"/>
                <w:sz w:val="24"/>
                <w:highlight w:val="none"/>
                <w:shd w:val="clear" w:color="auto" w:fill="auto"/>
              </w:rPr>
              <w:t>，项目区域由于开发建设人类活动增多，故大型野生动物少见，根据现场调查仅有一些小的动物和鸟类，如鼠、蜥蜴、麻雀等动物。项目建设区域不涉及野生动物的栖息地、迁徙通道、水源、食源等。</w:t>
            </w:r>
            <w:r>
              <w:rPr>
                <w:rFonts w:hint="default" w:ascii="Times New Roman" w:hAnsi="Times New Roman" w:eastAsia="宋体" w:cs="Times New Roman"/>
                <w:color w:val="auto"/>
                <w:sz w:val="24"/>
                <w:highlight w:val="none"/>
                <w:shd w:val="clear" w:color="auto" w:fill="auto"/>
                <w:lang w:val="en-US" w:eastAsia="zh-CN"/>
              </w:rPr>
              <w:t>根据</w:t>
            </w:r>
            <w:r>
              <w:rPr>
                <w:rFonts w:hint="default"/>
                <w:color w:val="auto"/>
                <w:sz w:val="24"/>
                <w:highlight w:val="none"/>
              </w:rPr>
              <w:t>《国家重点保护野生动物名录》</w:t>
            </w:r>
            <w:r>
              <w:rPr>
                <w:rFonts w:hint="eastAsia"/>
                <w:color w:val="auto"/>
                <w:sz w:val="24"/>
                <w:highlight w:val="none"/>
                <w:lang w:eastAsia="zh-CN"/>
              </w:rPr>
              <w:t>（</w:t>
            </w:r>
            <w:r>
              <w:rPr>
                <w:rFonts w:hint="default"/>
                <w:color w:val="auto"/>
                <w:sz w:val="24"/>
                <w:highlight w:val="none"/>
              </w:rPr>
              <w:t>2021年2月1日</w:t>
            </w:r>
            <w:r>
              <w:rPr>
                <w:rFonts w:hint="eastAsia"/>
                <w:color w:val="auto"/>
                <w:sz w:val="24"/>
                <w:highlight w:val="none"/>
                <w:lang w:eastAsia="zh-CN"/>
              </w:rPr>
              <w:t>）</w:t>
            </w:r>
            <w:r>
              <w:rPr>
                <w:rFonts w:hint="eastAsia"/>
                <w:color w:val="auto"/>
                <w:sz w:val="24"/>
                <w:highlight w:val="none"/>
                <w:lang w:val="en-US" w:eastAsia="zh-CN"/>
              </w:rPr>
              <w:t>和</w:t>
            </w:r>
            <w:r>
              <w:rPr>
                <w:rFonts w:hint="default"/>
                <w:color w:val="auto"/>
                <w:sz w:val="24"/>
                <w:highlight w:val="none"/>
              </w:rPr>
              <w:t>《新疆维吾尔自治区重点保护野生动物名录》（修订）（新疆维吾尔自治区人民政府办公厅，新政发〔2022〕75号，2022.9.18）</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highlight w:val="none"/>
                <w:shd w:val="clear" w:color="auto" w:fill="auto"/>
              </w:rPr>
              <w:t>建设项目所在区域无国家及自治区级野生保护动物，无国家及自治区保护的珍稀、濒危物种分布。</w:t>
            </w:r>
          </w:p>
          <w:p w14:paraId="19CF74D1">
            <w:pPr>
              <w:keepNext w:val="0"/>
              <w:keepLines w:val="0"/>
              <w:widowControl w:val="0"/>
              <w:suppressLineNumbers w:val="0"/>
              <w:spacing w:before="0" w:beforeAutospacing="0" w:after="0" w:afterAutospacing="0" w:line="360" w:lineRule="auto"/>
              <w:ind w:left="0" w:right="0" w:firstLine="0" w:firstLineChars="0"/>
              <w:jc w:val="both"/>
              <w:rPr>
                <w:rFonts w:hint="default" w:ascii="Times New Roman" w:hAnsi="Times New Roman" w:eastAsia="宋体" w:cs="Times New Roman"/>
                <w:b/>
                <w:bCs/>
                <w:color w:val="auto"/>
                <w:kern w:val="2"/>
                <w:sz w:val="24"/>
                <w:szCs w:val="28"/>
                <w:lang w:val="en-US" w:eastAsia="zh-CN" w:bidi="ar-SA"/>
              </w:rPr>
            </w:pPr>
            <w:r>
              <w:rPr>
                <w:rFonts w:hint="default" w:ascii="Times New Roman" w:hAnsi="Times New Roman" w:eastAsia="宋体" w:cs="Times New Roman"/>
                <w:b/>
                <w:bCs/>
                <w:color w:val="auto"/>
                <w:kern w:val="2"/>
                <w:sz w:val="24"/>
                <w:szCs w:val="28"/>
                <w:lang w:val="en-US" w:eastAsia="zh-CN" w:bidi="ar-SA"/>
              </w:rPr>
              <w:t>3土地沙化现状</w:t>
            </w:r>
          </w:p>
          <w:p w14:paraId="566896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b/>
                <w:color w:val="auto"/>
                <w:kern w:val="0"/>
                <w:sz w:val="24"/>
                <w:lang w:val="en-US" w:eastAsia="zh-CN"/>
              </w:rPr>
            </w:pPr>
            <w:r>
              <w:rPr>
                <w:rFonts w:hint="default" w:ascii="Times New Roman" w:hAnsi="Times New Roman" w:eastAsia="宋体" w:cs="Times New Roman"/>
                <w:color w:val="auto"/>
                <w:sz w:val="24"/>
              </w:rPr>
              <w:t>根据《新疆第</w:t>
            </w:r>
            <w:r>
              <w:rPr>
                <w:rFonts w:hint="default" w:ascii="Times New Roman" w:hAnsi="Times New Roman" w:eastAsia="宋体" w:cs="Times New Roman"/>
                <w:color w:val="auto"/>
                <w:sz w:val="24"/>
                <w:lang w:val="en-US" w:eastAsia="zh-CN"/>
              </w:rPr>
              <w:t>六</w:t>
            </w:r>
            <w:r>
              <w:rPr>
                <w:rFonts w:hint="default" w:ascii="Times New Roman" w:hAnsi="Times New Roman" w:eastAsia="宋体" w:cs="Times New Roman"/>
                <w:color w:val="auto"/>
                <w:sz w:val="24"/>
              </w:rPr>
              <w:t>次沙化土地监测报告》，本项目</w:t>
            </w:r>
            <w:r>
              <w:rPr>
                <w:rFonts w:hint="default" w:ascii="Times New Roman" w:hAnsi="Times New Roman" w:eastAsia="宋体" w:cs="Times New Roman"/>
                <w:color w:val="auto"/>
                <w:sz w:val="24"/>
                <w:lang w:eastAsia="zh-CN"/>
              </w:rPr>
              <w:t>不属于</w:t>
            </w:r>
            <w:r>
              <w:rPr>
                <w:rFonts w:hint="default" w:ascii="Times New Roman" w:hAnsi="Times New Roman" w:eastAsia="宋体" w:cs="Times New Roman"/>
                <w:color w:val="auto"/>
                <w:sz w:val="24"/>
              </w:rPr>
              <w:t>沙化土地区</w:t>
            </w:r>
            <w:r>
              <w:rPr>
                <w:rFonts w:hint="default" w:ascii="Times New Roman" w:hAnsi="Times New Roman" w:eastAsia="宋体" w:cs="Times New Roman"/>
                <w:color w:val="auto"/>
                <w:sz w:val="24"/>
                <w:lang w:val="en-US" w:eastAsia="zh-CN"/>
              </w:rPr>
              <w:t>。</w:t>
            </w:r>
          </w:p>
          <w:p w14:paraId="568C191B">
            <w:pPr>
              <w:keepNext w:val="0"/>
              <w:keepLines w:val="0"/>
              <w:widowControl w:val="0"/>
              <w:suppressLineNumbers w:val="0"/>
              <w:topLinePunct/>
              <w:adjustRightInd w:val="0"/>
              <w:snapToGrid w:val="0"/>
              <w:spacing w:before="0" w:beforeAutospacing="0" w:after="0" w:afterAutospacing="0" w:line="360" w:lineRule="auto"/>
              <w:ind w:left="0" w:right="0"/>
              <w:jc w:val="both"/>
              <w:outlineLvl w:val="9"/>
              <w:rPr>
                <w:rFonts w:hint="default" w:ascii="Times New Roman" w:hAnsi="Times New Roman" w:eastAsia="宋体" w:cs="Times New Roman"/>
                <w:b/>
                <w:bCs/>
                <w:color w:val="auto"/>
                <w:sz w:val="24"/>
                <w:highlight w:val="none"/>
              </w:rPr>
            </w:pPr>
            <w:r>
              <w:rPr>
                <w:rFonts w:hint="default" w:ascii="Times New Roman" w:hAnsi="Times New Roman" w:cs="Times New Roman"/>
                <w:b/>
                <w:color w:val="auto"/>
                <w:kern w:val="0"/>
                <w:sz w:val="24"/>
                <w:lang w:val="en-US" w:eastAsia="zh-CN"/>
              </w:rPr>
              <w:t>4</w:t>
            </w:r>
            <w:r>
              <w:rPr>
                <w:rFonts w:hint="default" w:ascii="Times New Roman" w:hAnsi="Times New Roman" w:eastAsia="宋体" w:cs="Times New Roman"/>
                <w:b/>
                <w:bCs/>
                <w:color w:val="auto"/>
                <w:sz w:val="24"/>
                <w:highlight w:val="none"/>
              </w:rPr>
              <w:t>环境空气质量现状调查及评价</w:t>
            </w:r>
          </w:p>
          <w:p w14:paraId="76D8B22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根据《环境影响评价技术导则</w:t>
            </w:r>
            <w:r>
              <w:rPr>
                <w:rFonts w:hint="eastAsia" w:cs="Times New Roman"/>
                <w:color w:val="auto"/>
                <w:sz w:val="24"/>
                <w:lang w:val="en-US" w:eastAsia="zh-CN"/>
              </w:rPr>
              <w:t xml:space="preserve"> </w:t>
            </w:r>
            <w:r>
              <w:rPr>
                <w:rFonts w:hint="default" w:ascii="Times New Roman" w:hAnsi="Times New Roman" w:eastAsia="宋体" w:cs="Times New Roman"/>
                <w:color w:val="auto"/>
                <w:sz w:val="24"/>
              </w:rPr>
              <w:t>大气环境》</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HJ2.2-2018</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，大气常规因子可直接采用国家或地方生态环境主管部门公开发布的评价基准年环境质量公告或环境质量报告中的数据或结论。</w:t>
            </w:r>
          </w:p>
          <w:p w14:paraId="09A275F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highlight w:val="none"/>
                <w:lang w:val="en-US" w:eastAsia="zh-CN"/>
              </w:rPr>
              <w:t>根据</w:t>
            </w:r>
            <w:r>
              <w:rPr>
                <w:rFonts w:hint="default" w:ascii="Times New Roman" w:hAnsi="Times New Roman" w:eastAsia="宋体" w:cs="Times New Roman"/>
                <w:color w:val="auto"/>
                <w:sz w:val="24"/>
                <w:highlight w:val="none"/>
              </w:rPr>
              <w:t>国家环境保护环境影响评价数值模拟重点实验室、生态环境部环境工程评估中心基于互联网的环境影响评价技术服务平台</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环境空气质量模型技术支持服务系统中</w:t>
            </w:r>
            <w:r>
              <w:rPr>
                <w:rFonts w:hint="default" w:ascii="Times New Roman" w:hAnsi="Times New Roman" w:eastAsia="宋体" w:cs="Times New Roman"/>
                <w:color w:val="auto"/>
                <w:sz w:val="24"/>
                <w:highlight w:val="none"/>
                <w:lang w:val="en-US" w:eastAsia="zh-CN"/>
              </w:rPr>
              <w:t>2023年吐鲁番市空气质量达标区判定数据</w:t>
            </w:r>
            <w:r>
              <w:rPr>
                <w:rFonts w:hint="default" w:ascii="Times New Roman" w:hAnsi="Times New Roman" w:eastAsia="宋体" w:cs="Times New Roman"/>
                <w:color w:val="auto"/>
                <w:sz w:val="24"/>
                <w:highlight w:val="none"/>
                <w:lang w:eastAsia="zh-CN"/>
              </w:rPr>
              <w:t>，空气质量现状评价表见表3-2。</w:t>
            </w:r>
          </w:p>
          <w:p w14:paraId="299F2663">
            <w:pPr>
              <w:keepNext w:val="0"/>
              <w:keepLines w:val="0"/>
              <w:suppressLineNumbers w:val="0"/>
              <w:tabs>
                <w:tab w:val="left" w:pos="905"/>
              </w:tabs>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表3-2</w:t>
            </w:r>
            <w:r>
              <w:rPr>
                <w:rFonts w:hint="eastAsia" w:cs="Times New Roman"/>
                <w:b/>
                <w:bCs/>
                <w:color w:val="auto"/>
                <w:sz w:val="24"/>
                <w:lang w:val="en-US" w:eastAsia="zh-CN"/>
              </w:rPr>
              <w:t xml:space="preserve">    </w:t>
            </w:r>
            <w:r>
              <w:rPr>
                <w:rFonts w:hint="default" w:ascii="Times New Roman" w:hAnsi="Times New Roman" w:eastAsia="宋体" w:cs="Times New Roman"/>
                <w:b/>
                <w:bCs/>
                <w:color w:val="auto"/>
                <w:sz w:val="24"/>
              </w:rPr>
              <w:t>区域空气质量现状监测数据统计表</w:t>
            </w:r>
          </w:p>
          <w:tbl>
            <w:tblPr>
              <w:tblStyle w:val="32"/>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22"/>
              <w:gridCol w:w="3041"/>
              <w:gridCol w:w="938"/>
              <w:gridCol w:w="1077"/>
              <w:gridCol w:w="819"/>
              <w:gridCol w:w="1028"/>
            </w:tblGrid>
            <w:tr w14:paraId="64AD94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blHeader/>
                <w:jc w:val="center"/>
              </w:trPr>
              <w:tc>
                <w:tcPr>
                  <w:tcW w:w="473" w:type="pct"/>
                  <w:noWrap w:val="0"/>
                  <w:vAlign w:val="center"/>
                </w:tcPr>
                <w:p w14:paraId="49C54DAD">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污染物</w:t>
                  </w:r>
                </w:p>
              </w:tc>
              <w:tc>
                <w:tcPr>
                  <w:tcW w:w="1993" w:type="pct"/>
                  <w:noWrap w:val="0"/>
                  <w:vAlign w:val="center"/>
                </w:tcPr>
                <w:p w14:paraId="39DA6CEA">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年评价指标</w:t>
                  </w:r>
                </w:p>
              </w:tc>
              <w:tc>
                <w:tcPr>
                  <w:tcW w:w="615" w:type="pct"/>
                  <w:noWrap w:val="0"/>
                  <w:vAlign w:val="center"/>
                </w:tcPr>
                <w:p w14:paraId="56ED7CDE">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现状浓度</w:t>
                  </w:r>
                </w:p>
                <w:p w14:paraId="0FBEA428">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w w:val="95"/>
                      <w:kern w:val="0"/>
                      <w:sz w:val="21"/>
                      <w:szCs w:val="21"/>
                      <w:lang w:val="en-US" w:eastAsia="zh-CN" w:bidi="ar-SA"/>
                    </w:rPr>
                    <w:t>(μg/m³)</w:t>
                  </w:r>
                </w:p>
              </w:tc>
              <w:tc>
                <w:tcPr>
                  <w:tcW w:w="706" w:type="pct"/>
                  <w:noWrap w:val="0"/>
                  <w:vAlign w:val="center"/>
                </w:tcPr>
                <w:p w14:paraId="129F6A9D">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标准限值</w:t>
                  </w:r>
                </w:p>
                <w:p w14:paraId="0BBFDFB0">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spacing w:val="-1"/>
                      <w:kern w:val="0"/>
                      <w:sz w:val="21"/>
                      <w:szCs w:val="21"/>
                      <w:lang w:val="en-US" w:eastAsia="zh-CN" w:bidi="ar-SA"/>
                    </w:rPr>
                    <w:t>(μg/m³)</w:t>
                  </w:r>
                </w:p>
              </w:tc>
              <w:tc>
                <w:tcPr>
                  <w:tcW w:w="537" w:type="pct"/>
                  <w:noWrap w:val="0"/>
                  <w:vAlign w:val="center"/>
                </w:tcPr>
                <w:p w14:paraId="3DD4FC8A">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占标率</w:t>
                  </w:r>
                </w:p>
                <w:p w14:paraId="03C5CB4F">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w:t>
                  </w:r>
                </w:p>
              </w:tc>
              <w:tc>
                <w:tcPr>
                  <w:tcW w:w="674" w:type="pct"/>
                  <w:noWrap w:val="0"/>
                  <w:vAlign w:val="center"/>
                </w:tcPr>
                <w:p w14:paraId="0C895C02">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达标情况</w:t>
                  </w:r>
                </w:p>
              </w:tc>
            </w:tr>
            <w:tr w14:paraId="38C9FA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473" w:type="pct"/>
                  <w:noWrap w:val="0"/>
                  <w:vAlign w:val="center"/>
                </w:tcPr>
                <w:p w14:paraId="06D62501">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pacing w:val="-1"/>
                      <w:kern w:val="0"/>
                      <w:position w:val="2"/>
                      <w:sz w:val="21"/>
                      <w:szCs w:val="21"/>
                      <w:lang w:val="en-US" w:eastAsia="zh-CN" w:bidi="ar-SA"/>
                    </w:rPr>
                    <w:t>SO</w:t>
                  </w:r>
                  <w:r>
                    <w:rPr>
                      <w:rFonts w:hint="default" w:ascii="Times New Roman" w:hAnsi="Times New Roman" w:eastAsia="宋体" w:cs="Times New Roman"/>
                      <w:color w:val="auto"/>
                      <w:spacing w:val="-1"/>
                      <w:kern w:val="0"/>
                      <w:position w:val="2"/>
                      <w:sz w:val="21"/>
                      <w:szCs w:val="21"/>
                      <w:vertAlign w:val="subscript"/>
                      <w:lang w:val="en-US" w:eastAsia="zh-CN" w:bidi="ar-SA"/>
                    </w:rPr>
                    <w:t>2</w:t>
                  </w:r>
                </w:p>
              </w:tc>
              <w:tc>
                <w:tcPr>
                  <w:tcW w:w="1993" w:type="pct"/>
                  <w:noWrap w:val="0"/>
                  <w:vAlign w:val="center"/>
                </w:tcPr>
                <w:p w14:paraId="65780B0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年平均质量浓度</w:t>
                  </w:r>
                </w:p>
              </w:tc>
              <w:tc>
                <w:tcPr>
                  <w:tcW w:w="615" w:type="pct"/>
                  <w:noWrap w:val="0"/>
                  <w:vAlign w:val="center"/>
                </w:tcPr>
                <w:p w14:paraId="6F205E84">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w:t>
                  </w:r>
                </w:p>
              </w:tc>
              <w:tc>
                <w:tcPr>
                  <w:tcW w:w="706" w:type="pct"/>
                  <w:noWrap w:val="0"/>
                  <w:vAlign w:val="center"/>
                </w:tcPr>
                <w:p w14:paraId="433AA4BA">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60</w:t>
                  </w:r>
                </w:p>
              </w:tc>
              <w:tc>
                <w:tcPr>
                  <w:tcW w:w="537" w:type="pct"/>
                  <w:noWrap w:val="0"/>
                  <w:vAlign w:val="center"/>
                </w:tcPr>
                <w:p w14:paraId="15F15AEB">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10.00</w:t>
                  </w:r>
                </w:p>
              </w:tc>
              <w:tc>
                <w:tcPr>
                  <w:tcW w:w="674" w:type="pct"/>
                  <w:noWrap w:val="0"/>
                  <w:vAlign w:val="center"/>
                </w:tcPr>
                <w:p w14:paraId="1E874FB1">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pacing w:val="-1"/>
                      <w:kern w:val="0"/>
                      <w:sz w:val="21"/>
                      <w:szCs w:val="21"/>
                      <w:lang w:val="en-US" w:eastAsia="zh-CN" w:bidi="ar-SA"/>
                    </w:rPr>
                    <w:t>达标</w:t>
                  </w:r>
                </w:p>
              </w:tc>
            </w:tr>
            <w:tr w14:paraId="5C207C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473" w:type="pct"/>
                  <w:noWrap w:val="0"/>
                  <w:vAlign w:val="center"/>
                </w:tcPr>
                <w:p w14:paraId="64FC4983">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position w:val="2"/>
                      <w:sz w:val="21"/>
                      <w:szCs w:val="21"/>
                      <w:lang w:val="en-US" w:eastAsia="zh-CN" w:bidi="ar-SA"/>
                    </w:rPr>
                    <w:t>NO</w:t>
                  </w:r>
                  <w:r>
                    <w:rPr>
                      <w:rFonts w:hint="default" w:ascii="Times New Roman" w:hAnsi="Times New Roman" w:eastAsia="宋体" w:cs="Times New Roman"/>
                      <w:color w:val="auto"/>
                      <w:kern w:val="0"/>
                      <w:position w:val="2"/>
                      <w:sz w:val="21"/>
                      <w:szCs w:val="21"/>
                      <w:vertAlign w:val="subscript"/>
                      <w:lang w:val="en-US" w:eastAsia="zh-CN" w:bidi="ar-SA"/>
                    </w:rPr>
                    <w:t>2</w:t>
                  </w:r>
                </w:p>
              </w:tc>
              <w:tc>
                <w:tcPr>
                  <w:tcW w:w="1993" w:type="pct"/>
                  <w:noWrap w:val="0"/>
                  <w:vAlign w:val="center"/>
                </w:tcPr>
                <w:p w14:paraId="41EE159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年平均质量浓度</w:t>
                  </w:r>
                </w:p>
              </w:tc>
              <w:tc>
                <w:tcPr>
                  <w:tcW w:w="615" w:type="pct"/>
                  <w:noWrap w:val="0"/>
                  <w:vAlign w:val="center"/>
                </w:tcPr>
                <w:p w14:paraId="382BED87">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18</w:t>
                  </w:r>
                </w:p>
              </w:tc>
              <w:tc>
                <w:tcPr>
                  <w:tcW w:w="706" w:type="pct"/>
                  <w:noWrap w:val="0"/>
                  <w:vAlign w:val="center"/>
                </w:tcPr>
                <w:p w14:paraId="1374888E">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40</w:t>
                  </w:r>
                </w:p>
              </w:tc>
              <w:tc>
                <w:tcPr>
                  <w:tcW w:w="537" w:type="pct"/>
                  <w:noWrap w:val="0"/>
                  <w:vAlign w:val="center"/>
                </w:tcPr>
                <w:p w14:paraId="6202F44E">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45.00</w:t>
                  </w:r>
                </w:p>
              </w:tc>
              <w:tc>
                <w:tcPr>
                  <w:tcW w:w="674" w:type="pct"/>
                  <w:noWrap w:val="0"/>
                  <w:vAlign w:val="center"/>
                </w:tcPr>
                <w:p w14:paraId="4A3F86AE">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pacing w:val="-1"/>
                      <w:kern w:val="0"/>
                      <w:sz w:val="21"/>
                      <w:szCs w:val="21"/>
                      <w:lang w:val="en-US" w:eastAsia="zh-CN" w:bidi="ar-SA"/>
                    </w:rPr>
                    <w:t>达标</w:t>
                  </w:r>
                </w:p>
              </w:tc>
            </w:tr>
            <w:tr w14:paraId="7138E8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4" w:hRule="exact"/>
                <w:jc w:val="center"/>
              </w:trPr>
              <w:tc>
                <w:tcPr>
                  <w:tcW w:w="473" w:type="pct"/>
                  <w:noWrap w:val="0"/>
                  <w:vAlign w:val="center"/>
                </w:tcPr>
                <w:p w14:paraId="11A58ED0">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CO</w:t>
                  </w:r>
                </w:p>
              </w:tc>
              <w:tc>
                <w:tcPr>
                  <w:tcW w:w="1993" w:type="pct"/>
                  <w:noWrap w:val="0"/>
                  <w:vAlign w:val="center"/>
                </w:tcPr>
                <w:p w14:paraId="3E55BC9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24小时平均</w:t>
                  </w:r>
                  <w:r>
                    <w:rPr>
                      <w:rFonts w:hint="default" w:ascii="Times New Roman" w:hAnsi="Times New Roman" w:eastAsia="宋体" w:cs="Times New Roman"/>
                      <w:color w:val="auto"/>
                      <w:sz w:val="21"/>
                      <w:szCs w:val="21"/>
                    </w:rPr>
                    <w:t>第95百分位数</w:t>
                  </w:r>
                </w:p>
              </w:tc>
              <w:tc>
                <w:tcPr>
                  <w:tcW w:w="615" w:type="pct"/>
                  <w:noWrap w:val="0"/>
                  <w:vAlign w:val="center"/>
                </w:tcPr>
                <w:p w14:paraId="4FABB08B">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1000</w:t>
                  </w:r>
                </w:p>
              </w:tc>
              <w:tc>
                <w:tcPr>
                  <w:tcW w:w="706" w:type="pct"/>
                  <w:noWrap w:val="0"/>
                  <w:vAlign w:val="center"/>
                </w:tcPr>
                <w:p w14:paraId="230C2EE6">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4000</w:t>
                  </w:r>
                </w:p>
              </w:tc>
              <w:tc>
                <w:tcPr>
                  <w:tcW w:w="537" w:type="pct"/>
                  <w:noWrap w:val="0"/>
                  <w:vAlign w:val="center"/>
                </w:tcPr>
                <w:p w14:paraId="08BAFEAF">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25.00</w:t>
                  </w:r>
                </w:p>
              </w:tc>
              <w:tc>
                <w:tcPr>
                  <w:tcW w:w="674" w:type="pct"/>
                  <w:noWrap w:val="0"/>
                  <w:vAlign w:val="center"/>
                </w:tcPr>
                <w:p w14:paraId="190D3672">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pacing w:val="-1"/>
                      <w:kern w:val="0"/>
                      <w:sz w:val="21"/>
                      <w:szCs w:val="21"/>
                      <w:lang w:val="en-US" w:eastAsia="zh-CN" w:bidi="ar-SA"/>
                    </w:rPr>
                    <w:t>达标</w:t>
                  </w:r>
                </w:p>
              </w:tc>
            </w:tr>
            <w:tr w14:paraId="658B9A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1" w:hRule="exact"/>
                <w:jc w:val="center"/>
              </w:trPr>
              <w:tc>
                <w:tcPr>
                  <w:tcW w:w="473" w:type="pct"/>
                  <w:noWrap w:val="0"/>
                  <w:vAlign w:val="center"/>
                </w:tcPr>
                <w:p w14:paraId="15AA355B">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position w:val="2"/>
                      <w:sz w:val="21"/>
                      <w:szCs w:val="21"/>
                      <w:lang w:val="en-US" w:eastAsia="zh-CN" w:bidi="ar-SA"/>
                    </w:rPr>
                    <w:t>O</w:t>
                  </w:r>
                  <w:r>
                    <w:rPr>
                      <w:rFonts w:hint="default" w:ascii="Times New Roman" w:hAnsi="Times New Roman" w:eastAsia="宋体" w:cs="Times New Roman"/>
                      <w:color w:val="auto"/>
                      <w:kern w:val="0"/>
                      <w:sz w:val="21"/>
                      <w:szCs w:val="21"/>
                      <w:vertAlign w:val="subscript"/>
                      <w:lang w:val="en-US" w:eastAsia="zh-CN" w:bidi="ar-SA"/>
                    </w:rPr>
                    <w:t>3</w:t>
                  </w:r>
                </w:p>
              </w:tc>
              <w:tc>
                <w:tcPr>
                  <w:tcW w:w="1993" w:type="pct"/>
                  <w:noWrap w:val="0"/>
                  <w:vAlign w:val="center"/>
                </w:tcPr>
                <w:p w14:paraId="60D7F58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日</w:t>
                  </w:r>
                  <w:r>
                    <w:rPr>
                      <w:rFonts w:hint="default" w:ascii="Times New Roman" w:hAnsi="Times New Roman" w:eastAsia="宋体" w:cs="Times New Roman"/>
                      <w:color w:val="auto"/>
                      <w:sz w:val="21"/>
                      <w:szCs w:val="21"/>
                    </w:rPr>
                    <w:t>最大8小时平均第90百分位数</w:t>
                  </w:r>
                </w:p>
                <w:p w14:paraId="2B3450FF">
                  <w:pPr>
                    <w:keepNext w:val="0"/>
                    <w:keepLines w:val="0"/>
                    <w:suppressLineNumbers w:val="0"/>
                    <w:adjustRightInd w:val="0"/>
                    <w:snapToGrid w:val="0"/>
                    <w:spacing w:before="0" w:beforeAutospacing="0" w:after="0" w:afterAutospacing="0" w:line="240" w:lineRule="auto"/>
                    <w:ind w:left="0" w:right="0"/>
                    <w:jc w:val="both"/>
                    <w:rPr>
                      <w:rFonts w:hint="default" w:ascii="Times New Roman" w:hAnsi="Times New Roman" w:eastAsia="宋体" w:cs="Times New Roman"/>
                      <w:color w:val="auto"/>
                      <w:sz w:val="21"/>
                      <w:szCs w:val="21"/>
                    </w:rPr>
                  </w:pPr>
                </w:p>
              </w:tc>
              <w:tc>
                <w:tcPr>
                  <w:tcW w:w="615" w:type="pct"/>
                  <w:noWrap w:val="0"/>
                  <w:vAlign w:val="center"/>
                </w:tcPr>
                <w:p w14:paraId="67DA981F">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pacing w:val="-2"/>
                      <w:kern w:val="0"/>
                      <w:sz w:val="21"/>
                      <w:szCs w:val="21"/>
                      <w:lang w:val="en-US" w:eastAsia="zh-CN" w:bidi="ar-SA"/>
                    </w:rPr>
                    <w:t>130</w:t>
                  </w:r>
                </w:p>
              </w:tc>
              <w:tc>
                <w:tcPr>
                  <w:tcW w:w="706" w:type="pct"/>
                  <w:noWrap w:val="0"/>
                  <w:vAlign w:val="center"/>
                </w:tcPr>
                <w:p w14:paraId="22F24ACC">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160</w:t>
                  </w:r>
                </w:p>
              </w:tc>
              <w:tc>
                <w:tcPr>
                  <w:tcW w:w="537" w:type="pct"/>
                  <w:noWrap w:val="0"/>
                  <w:vAlign w:val="center"/>
                </w:tcPr>
                <w:p w14:paraId="3E7149E8">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81.25</w:t>
                  </w:r>
                </w:p>
              </w:tc>
              <w:tc>
                <w:tcPr>
                  <w:tcW w:w="674" w:type="pct"/>
                  <w:noWrap w:val="0"/>
                  <w:vAlign w:val="center"/>
                </w:tcPr>
                <w:p w14:paraId="33FC88BB">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pacing w:val="-1"/>
                      <w:kern w:val="0"/>
                      <w:sz w:val="21"/>
                      <w:szCs w:val="21"/>
                      <w:lang w:val="en-US" w:eastAsia="zh-CN" w:bidi="ar-SA"/>
                    </w:rPr>
                    <w:t>达标</w:t>
                  </w:r>
                </w:p>
              </w:tc>
            </w:tr>
            <w:tr w14:paraId="433B96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473" w:type="pct"/>
                  <w:noWrap w:val="0"/>
                  <w:vAlign w:val="center"/>
                </w:tcPr>
                <w:p w14:paraId="23D2610E">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position w:val="2"/>
                      <w:sz w:val="21"/>
                      <w:szCs w:val="21"/>
                      <w:lang w:val="en-US" w:eastAsia="zh-CN" w:bidi="ar-SA"/>
                    </w:rPr>
                    <w:t>PM</w:t>
                  </w:r>
                  <w:r>
                    <w:rPr>
                      <w:rFonts w:hint="default" w:ascii="Times New Roman" w:hAnsi="Times New Roman" w:eastAsia="宋体" w:cs="Times New Roman"/>
                      <w:color w:val="auto"/>
                      <w:kern w:val="0"/>
                      <w:sz w:val="21"/>
                      <w:szCs w:val="21"/>
                      <w:vertAlign w:val="subscript"/>
                      <w:lang w:val="en-US" w:eastAsia="zh-CN" w:bidi="ar-SA"/>
                    </w:rPr>
                    <w:t>10</w:t>
                  </w:r>
                </w:p>
              </w:tc>
              <w:tc>
                <w:tcPr>
                  <w:tcW w:w="1993" w:type="pct"/>
                  <w:noWrap w:val="0"/>
                  <w:vAlign w:val="center"/>
                </w:tcPr>
                <w:p w14:paraId="395F7A8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年平均质量浓度</w:t>
                  </w:r>
                </w:p>
              </w:tc>
              <w:tc>
                <w:tcPr>
                  <w:tcW w:w="615" w:type="pct"/>
                  <w:noWrap w:val="0"/>
                  <w:vAlign w:val="center"/>
                </w:tcPr>
                <w:p w14:paraId="5C5ED1F5">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102</w:t>
                  </w:r>
                </w:p>
              </w:tc>
              <w:tc>
                <w:tcPr>
                  <w:tcW w:w="706" w:type="pct"/>
                  <w:noWrap w:val="0"/>
                  <w:vAlign w:val="center"/>
                </w:tcPr>
                <w:p w14:paraId="4C1A9DC8">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70</w:t>
                  </w:r>
                </w:p>
              </w:tc>
              <w:tc>
                <w:tcPr>
                  <w:tcW w:w="537" w:type="pct"/>
                  <w:noWrap w:val="0"/>
                  <w:vAlign w:val="center"/>
                </w:tcPr>
                <w:p w14:paraId="1453B0A8">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145.71</w:t>
                  </w:r>
                </w:p>
              </w:tc>
              <w:tc>
                <w:tcPr>
                  <w:tcW w:w="674" w:type="pct"/>
                  <w:noWrap w:val="0"/>
                  <w:vAlign w:val="center"/>
                </w:tcPr>
                <w:p w14:paraId="0E1FE504">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pacing w:val="-1"/>
                      <w:kern w:val="0"/>
                      <w:sz w:val="21"/>
                      <w:szCs w:val="21"/>
                      <w:lang w:val="en-US" w:eastAsia="zh-CN" w:bidi="ar-SA"/>
                    </w:rPr>
                    <w:t>超标</w:t>
                  </w:r>
                </w:p>
              </w:tc>
            </w:tr>
            <w:tr w14:paraId="0A51CC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473" w:type="pct"/>
                  <w:noWrap w:val="0"/>
                  <w:vAlign w:val="center"/>
                </w:tcPr>
                <w:p w14:paraId="679AC0FE">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position w:val="2"/>
                      <w:sz w:val="21"/>
                      <w:szCs w:val="21"/>
                      <w:lang w:val="en-US" w:eastAsia="zh-CN" w:bidi="ar-SA"/>
                    </w:rPr>
                    <w:t>PM</w:t>
                  </w:r>
                  <w:r>
                    <w:rPr>
                      <w:rFonts w:hint="default" w:ascii="Times New Roman" w:hAnsi="Times New Roman" w:eastAsia="宋体" w:cs="Times New Roman"/>
                      <w:color w:val="auto"/>
                      <w:kern w:val="0"/>
                      <w:sz w:val="21"/>
                      <w:szCs w:val="21"/>
                      <w:vertAlign w:val="subscript"/>
                      <w:lang w:val="en-US" w:eastAsia="zh-CN" w:bidi="ar-SA"/>
                    </w:rPr>
                    <w:t>2.5</w:t>
                  </w:r>
                </w:p>
              </w:tc>
              <w:tc>
                <w:tcPr>
                  <w:tcW w:w="1993" w:type="pct"/>
                  <w:noWrap w:val="0"/>
                  <w:vAlign w:val="center"/>
                </w:tcPr>
                <w:p w14:paraId="41AA971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年平均质量浓度</w:t>
                  </w:r>
                </w:p>
              </w:tc>
              <w:tc>
                <w:tcPr>
                  <w:tcW w:w="615" w:type="pct"/>
                  <w:noWrap w:val="0"/>
                  <w:vAlign w:val="center"/>
                </w:tcPr>
                <w:p w14:paraId="125A7E63">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37</w:t>
                  </w:r>
                </w:p>
              </w:tc>
              <w:tc>
                <w:tcPr>
                  <w:tcW w:w="706" w:type="pct"/>
                  <w:noWrap w:val="0"/>
                  <w:vAlign w:val="center"/>
                </w:tcPr>
                <w:p w14:paraId="54982C1F">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35</w:t>
                  </w:r>
                </w:p>
              </w:tc>
              <w:tc>
                <w:tcPr>
                  <w:tcW w:w="537" w:type="pct"/>
                  <w:noWrap w:val="0"/>
                  <w:vAlign w:val="center"/>
                </w:tcPr>
                <w:p w14:paraId="7EA9CBE1">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105.71</w:t>
                  </w:r>
                </w:p>
              </w:tc>
              <w:tc>
                <w:tcPr>
                  <w:tcW w:w="674" w:type="pct"/>
                  <w:noWrap w:val="0"/>
                  <w:vAlign w:val="center"/>
                </w:tcPr>
                <w:p w14:paraId="18A08ACF">
                  <w:pPr>
                    <w:keepNext w:val="0"/>
                    <w:keepLines w:val="0"/>
                    <w:widowControl w:val="0"/>
                    <w:suppressLineNumbers w:val="0"/>
                    <w:kinsoku w:val="0"/>
                    <w:overflowPunct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pacing w:val="-1"/>
                      <w:kern w:val="0"/>
                      <w:sz w:val="21"/>
                      <w:szCs w:val="21"/>
                      <w:lang w:val="en-US" w:eastAsia="zh-CN" w:bidi="ar-SA"/>
                    </w:rPr>
                    <w:t>超标</w:t>
                  </w:r>
                </w:p>
              </w:tc>
            </w:tr>
          </w:tbl>
          <w:p w14:paraId="3BE7518E">
            <w:pPr>
              <w:keepNext w:val="0"/>
              <w:keepLines w:val="0"/>
              <w:suppressLineNumbers w:val="0"/>
              <w:spacing w:before="0" w:beforeAutospacing="0" w:after="0" w:afterAutospacing="0" w:line="348" w:lineRule="auto"/>
              <w:ind w:left="0" w:right="0" w:firstLine="480" w:firstLineChars="200"/>
              <w:rPr>
                <w:rFonts w:hint="default" w:ascii="Times New Roman" w:hAnsi="Times New Roman" w:eastAsia="宋体" w:cs="Times New Roman"/>
                <w:color w:val="0000FF"/>
                <w:sz w:val="24"/>
              </w:rPr>
            </w:pPr>
          </w:p>
          <w:p w14:paraId="57741FE3">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zh-CN" w:eastAsia="zh-CN" w:bidi="ar-SA"/>
              </w:rPr>
              <w:t>由表3-2可知，项目所在区域SO</w:t>
            </w:r>
            <w:r>
              <w:rPr>
                <w:rFonts w:hint="default" w:ascii="Times New Roman" w:hAnsi="Times New Roman" w:eastAsia="宋体" w:cs="Times New Roman"/>
                <w:color w:val="auto"/>
                <w:kern w:val="0"/>
                <w:sz w:val="24"/>
                <w:szCs w:val="24"/>
                <w:vertAlign w:val="subscript"/>
                <w:lang w:val="zh-CN" w:eastAsia="zh-CN" w:bidi="ar-SA"/>
              </w:rPr>
              <w:t>2</w:t>
            </w:r>
            <w:r>
              <w:rPr>
                <w:rFonts w:hint="default" w:ascii="Times New Roman" w:hAnsi="Times New Roman" w:eastAsia="宋体" w:cs="Times New Roman"/>
                <w:color w:val="auto"/>
                <w:kern w:val="0"/>
                <w:sz w:val="24"/>
                <w:szCs w:val="24"/>
                <w:lang w:val="zh-CN" w:eastAsia="zh-CN" w:bidi="ar-SA"/>
              </w:rPr>
              <w:t>、NO</w:t>
            </w:r>
            <w:r>
              <w:rPr>
                <w:rFonts w:hint="default" w:ascii="Times New Roman" w:hAnsi="Times New Roman" w:eastAsia="宋体" w:cs="Times New Roman"/>
                <w:color w:val="auto"/>
                <w:kern w:val="0"/>
                <w:sz w:val="24"/>
                <w:szCs w:val="24"/>
                <w:vertAlign w:val="subscript"/>
                <w:lang w:val="zh-CN" w:eastAsia="zh-CN" w:bidi="ar-SA"/>
              </w:rPr>
              <w:t>2</w:t>
            </w:r>
            <w:r>
              <w:rPr>
                <w:rFonts w:hint="default" w:ascii="Times New Roman" w:hAnsi="Times New Roman" w:eastAsia="宋体" w:cs="Times New Roman"/>
                <w:color w:val="auto"/>
                <w:kern w:val="0"/>
                <w:sz w:val="24"/>
                <w:szCs w:val="24"/>
                <w:lang w:val="zh-CN" w:eastAsia="zh-CN" w:bidi="ar-SA"/>
              </w:rPr>
              <w:t>的年均浓度，CO</w:t>
            </w:r>
            <w:r>
              <w:rPr>
                <w:rFonts w:hint="default" w:ascii="Times New Roman" w:hAnsi="Times New Roman" w:eastAsia="宋体" w:cs="Times New Roman"/>
                <w:color w:val="auto"/>
                <w:kern w:val="0"/>
                <w:sz w:val="24"/>
                <w:szCs w:val="24"/>
                <w:lang w:val="en-US" w:eastAsia="zh-CN" w:bidi="ar-SA"/>
              </w:rPr>
              <w:t>24小时平均</w:t>
            </w:r>
            <w:r>
              <w:rPr>
                <w:rFonts w:hint="default" w:ascii="Times New Roman" w:hAnsi="Times New Roman" w:eastAsia="宋体" w:cs="Times New Roman"/>
                <w:color w:val="auto"/>
                <w:kern w:val="0"/>
                <w:sz w:val="24"/>
                <w:szCs w:val="24"/>
                <w:lang w:val="zh-CN" w:eastAsia="zh-CN" w:bidi="ar-SA"/>
              </w:rPr>
              <w:t>第95百分位数、O</w:t>
            </w:r>
            <w:r>
              <w:rPr>
                <w:rFonts w:hint="default" w:ascii="Times New Roman" w:hAnsi="Times New Roman" w:eastAsia="宋体" w:cs="Times New Roman"/>
                <w:color w:val="auto"/>
                <w:kern w:val="0"/>
                <w:sz w:val="24"/>
                <w:szCs w:val="24"/>
                <w:vertAlign w:val="subscript"/>
                <w:lang w:val="zh-CN" w:eastAsia="zh-CN" w:bidi="ar-SA"/>
              </w:rPr>
              <w:t>3</w:t>
            </w:r>
            <w:r>
              <w:rPr>
                <w:rFonts w:hint="default" w:ascii="Times New Roman" w:hAnsi="Times New Roman" w:eastAsia="宋体" w:cs="Times New Roman"/>
                <w:color w:val="auto"/>
                <w:kern w:val="0"/>
                <w:sz w:val="24"/>
                <w:szCs w:val="24"/>
                <w:vertAlign w:val="baseline"/>
                <w:lang w:val="en-US" w:eastAsia="zh-CN" w:bidi="ar-SA"/>
              </w:rPr>
              <w:t>日</w:t>
            </w:r>
            <w:r>
              <w:rPr>
                <w:rFonts w:hint="default" w:ascii="Times New Roman" w:hAnsi="Times New Roman" w:eastAsia="宋体" w:cs="Times New Roman"/>
                <w:color w:val="auto"/>
                <w:kern w:val="0"/>
                <w:sz w:val="24"/>
                <w:szCs w:val="24"/>
                <w:lang w:val="zh-CN" w:eastAsia="zh-CN" w:bidi="ar-SA"/>
              </w:rPr>
              <w:t>最大8小时浓度均满足《环境空气质量标准》</w:t>
            </w:r>
            <w:r>
              <w:rPr>
                <w:rFonts w:hint="eastAsia" w:cs="Times New Roman"/>
                <w:color w:val="auto"/>
                <w:kern w:val="0"/>
                <w:sz w:val="24"/>
                <w:szCs w:val="24"/>
                <w:lang w:val="zh-CN" w:eastAsia="zh-CN" w:bidi="ar-SA"/>
              </w:rPr>
              <w:t>（</w:t>
            </w:r>
            <w:r>
              <w:rPr>
                <w:rFonts w:hint="default" w:ascii="Times New Roman" w:hAnsi="Times New Roman" w:eastAsia="宋体" w:cs="Times New Roman"/>
                <w:color w:val="auto"/>
                <w:kern w:val="0"/>
                <w:sz w:val="24"/>
                <w:szCs w:val="24"/>
                <w:lang w:val="zh-CN" w:eastAsia="zh-CN" w:bidi="ar-SA"/>
              </w:rPr>
              <w:t>GB3095-2012</w:t>
            </w:r>
            <w:r>
              <w:rPr>
                <w:rFonts w:hint="eastAsia" w:cs="Times New Roman"/>
                <w:color w:val="auto"/>
                <w:kern w:val="0"/>
                <w:sz w:val="24"/>
                <w:szCs w:val="24"/>
                <w:lang w:val="zh-CN" w:eastAsia="zh-CN" w:bidi="ar-SA"/>
              </w:rPr>
              <w:t>）</w:t>
            </w:r>
            <w:r>
              <w:rPr>
                <w:rFonts w:hint="default" w:ascii="Times New Roman" w:hAnsi="Times New Roman" w:eastAsia="宋体" w:cs="Times New Roman"/>
                <w:color w:val="auto"/>
                <w:kern w:val="0"/>
                <w:sz w:val="24"/>
                <w:szCs w:val="24"/>
                <w:lang w:val="zh-CN" w:eastAsia="zh-CN" w:bidi="ar-SA"/>
              </w:rPr>
              <w:t>的二级标准</w:t>
            </w:r>
            <w:r>
              <w:rPr>
                <w:rFonts w:hint="default" w:ascii="Times New Roman" w:hAnsi="Times New Roman" w:eastAsia="宋体" w:cs="Times New Roman"/>
                <w:color w:val="auto"/>
                <w:kern w:val="0"/>
                <w:sz w:val="24"/>
                <w:szCs w:val="24"/>
                <w:lang w:val="en-US" w:eastAsia="zh-CN" w:bidi="ar-SA"/>
              </w:rPr>
              <w:t>及其修改单</w:t>
            </w:r>
            <w:r>
              <w:rPr>
                <w:rFonts w:hint="default" w:ascii="Times New Roman" w:hAnsi="Times New Roman" w:eastAsia="宋体" w:cs="Times New Roman"/>
                <w:color w:val="auto"/>
                <w:kern w:val="0"/>
                <w:sz w:val="24"/>
                <w:szCs w:val="24"/>
                <w:lang w:val="zh-CN" w:eastAsia="zh-CN" w:bidi="ar-SA"/>
              </w:rPr>
              <w:t>要求；PM</w:t>
            </w:r>
            <w:r>
              <w:rPr>
                <w:rFonts w:hint="default" w:ascii="Times New Roman" w:hAnsi="Times New Roman" w:eastAsia="宋体" w:cs="Times New Roman"/>
                <w:color w:val="auto"/>
                <w:kern w:val="0"/>
                <w:sz w:val="24"/>
                <w:szCs w:val="24"/>
                <w:vertAlign w:val="subscript"/>
                <w:lang w:val="zh-CN" w:eastAsia="zh-CN" w:bidi="ar-SA"/>
              </w:rPr>
              <w:t>10</w:t>
            </w:r>
            <w:r>
              <w:rPr>
                <w:rFonts w:hint="default" w:ascii="Times New Roman" w:hAnsi="Times New Roman" w:eastAsia="宋体" w:cs="Times New Roman"/>
                <w:color w:val="auto"/>
                <w:kern w:val="0"/>
                <w:sz w:val="24"/>
                <w:szCs w:val="24"/>
                <w:lang w:val="zh-CN" w:eastAsia="zh-CN" w:bidi="ar-SA"/>
              </w:rPr>
              <w:t>和PM</w:t>
            </w:r>
            <w:r>
              <w:rPr>
                <w:rFonts w:hint="default" w:ascii="Times New Roman" w:hAnsi="Times New Roman" w:eastAsia="宋体" w:cs="Times New Roman"/>
                <w:color w:val="auto"/>
                <w:kern w:val="0"/>
                <w:sz w:val="24"/>
                <w:szCs w:val="24"/>
                <w:vertAlign w:val="subscript"/>
                <w:lang w:val="zh-CN" w:eastAsia="zh-CN" w:bidi="ar-SA"/>
              </w:rPr>
              <w:t>2.5</w:t>
            </w:r>
            <w:r>
              <w:rPr>
                <w:rFonts w:hint="default" w:ascii="Times New Roman" w:hAnsi="Times New Roman" w:eastAsia="宋体" w:cs="Times New Roman"/>
                <w:color w:val="auto"/>
                <w:kern w:val="0"/>
                <w:sz w:val="24"/>
                <w:szCs w:val="24"/>
                <w:lang w:val="zh-CN" w:eastAsia="zh-CN" w:bidi="ar-SA"/>
              </w:rPr>
              <w:t>年均浓度超过《环境空气质量标准》</w:t>
            </w:r>
            <w:r>
              <w:rPr>
                <w:rFonts w:hint="eastAsia" w:cs="Times New Roman"/>
                <w:color w:val="auto"/>
                <w:kern w:val="0"/>
                <w:sz w:val="24"/>
                <w:szCs w:val="24"/>
                <w:lang w:val="zh-CN" w:eastAsia="zh-CN" w:bidi="ar-SA"/>
              </w:rPr>
              <w:t>（</w:t>
            </w:r>
            <w:r>
              <w:rPr>
                <w:rFonts w:hint="default" w:ascii="Times New Roman" w:hAnsi="Times New Roman" w:eastAsia="宋体" w:cs="Times New Roman"/>
                <w:color w:val="auto"/>
                <w:kern w:val="0"/>
                <w:sz w:val="24"/>
                <w:szCs w:val="24"/>
                <w:lang w:val="zh-CN" w:eastAsia="zh-CN" w:bidi="ar-SA"/>
              </w:rPr>
              <w:t>GB3095-2012</w:t>
            </w:r>
            <w:r>
              <w:rPr>
                <w:rFonts w:hint="eastAsia" w:cs="Times New Roman"/>
                <w:color w:val="auto"/>
                <w:kern w:val="0"/>
                <w:sz w:val="24"/>
                <w:szCs w:val="24"/>
                <w:lang w:val="zh-CN" w:eastAsia="zh-CN" w:bidi="ar-SA"/>
              </w:rPr>
              <w:t>）</w:t>
            </w:r>
            <w:r>
              <w:rPr>
                <w:rFonts w:hint="default" w:ascii="Times New Roman" w:hAnsi="Times New Roman" w:eastAsia="宋体" w:cs="Times New Roman"/>
                <w:color w:val="auto"/>
                <w:kern w:val="0"/>
                <w:sz w:val="24"/>
                <w:szCs w:val="24"/>
                <w:lang w:val="zh-CN" w:eastAsia="zh-CN" w:bidi="ar-SA"/>
              </w:rPr>
              <w:t>的二级标准</w:t>
            </w:r>
            <w:r>
              <w:rPr>
                <w:rFonts w:hint="default" w:ascii="Times New Roman" w:hAnsi="Times New Roman" w:eastAsia="宋体" w:cs="Times New Roman"/>
                <w:color w:val="auto"/>
                <w:kern w:val="0"/>
                <w:sz w:val="24"/>
                <w:szCs w:val="24"/>
                <w:lang w:val="en-US" w:eastAsia="zh-CN" w:bidi="ar-SA"/>
              </w:rPr>
              <w:t>及其修改单</w:t>
            </w:r>
            <w:r>
              <w:rPr>
                <w:rFonts w:hint="default" w:ascii="Times New Roman" w:hAnsi="Times New Roman" w:eastAsia="宋体" w:cs="Times New Roman"/>
                <w:color w:val="auto"/>
                <w:kern w:val="0"/>
                <w:sz w:val="24"/>
                <w:szCs w:val="24"/>
                <w:lang w:val="zh-CN" w:eastAsia="zh-CN" w:bidi="ar-SA"/>
              </w:rPr>
              <w:t>要求，项目所在区属于环境空气质量不达标区。</w:t>
            </w:r>
            <w:r>
              <w:rPr>
                <w:rFonts w:hint="default" w:ascii="Times New Roman" w:hAnsi="Times New Roman" w:eastAsia="宋体" w:cs="Times New Roman"/>
                <w:color w:val="auto"/>
                <w:kern w:val="0"/>
                <w:sz w:val="24"/>
                <w:szCs w:val="24"/>
                <w:lang w:val="en-US" w:eastAsia="zh-CN" w:bidi="ar-SA"/>
              </w:rPr>
              <w:t>PM</w:t>
            </w:r>
            <w:r>
              <w:rPr>
                <w:rFonts w:hint="default" w:ascii="Times New Roman" w:hAnsi="Times New Roman" w:eastAsia="宋体" w:cs="Times New Roman"/>
                <w:color w:val="auto"/>
                <w:kern w:val="0"/>
                <w:sz w:val="24"/>
                <w:szCs w:val="24"/>
                <w:vertAlign w:val="subscript"/>
                <w:lang w:val="en-US" w:eastAsia="zh-CN" w:bidi="ar-SA"/>
              </w:rPr>
              <w:t>10</w:t>
            </w:r>
            <w:r>
              <w:rPr>
                <w:rFonts w:hint="default" w:ascii="Times New Roman" w:hAnsi="Times New Roman" w:eastAsia="宋体" w:cs="Times New Roman"/>
                <w:color w:val="auto"/>
                <w:kern w:val="0"/>
                <w:sz w:val="24"/>
                <w:szCs w:val="24"/>
                <w:lang w:val="en-US" w:eastAsia="zh-CN" w:bidi="ar-SA"/>
              </w:rPr>
              <w:t>、PM</w:t>
            </w:r>
            <w:r>
              <w:rPr>
                <w:rFonts w:hint="default" w:ascii="Times New Roman" w:hAnsi="Times New Roman" w:eastAsia="宋体" w:cs="Times New Roman"/>
                <w:color w:val="auto"/>
                <w:kern w:val="0"/>
                <w:sz w:val="24"/>
                <w:szCs w:val="24"/>
                <w:vertAlign w:val="subscript"/>
                <w:lang w:val="en-US" w:eastAsia="zh-CN" w:bidi="ar-SA"/>
              </w:rPr>
              <w:t>2.5</w:t>
            </w:r>
            <w:r>
              <w:rPr>
                <w:rFonts w:hint="default" w:ascii="Times New Roman" w:hAnsi="Times New Roman" w:eastAsia="宋体" w:cs="Times New Roman"/>
                <w:color w:val="auto"/>
                <w:kern w:val="0"/>
                <w:sz w:val="24"/>
                <w:szCs w:val="24"/>
                <w:lang w:val="en-US" w:eastAsia="zh-CN" w:bidi="ar-SA"/>
              </w:rPr>
              <w:t>年均浓度超标，其原因主要是该区域气候干燥、降雨量少、蒸发量大、多风沙天气等自然原因所致，故本项目位于环境空气质量不达标区</w:t>
            </w:r>
            <w:r>
              <w:rPr>
                <w:rFonts w:hint="default" w:ascii="Times New Roman" w:hAnsi="Times New Roman" w:eastAsia="宋体" w:cs="Times New Roman"/>
                <w:color w:val="auto"/>
                <w:kern w:val="0"/>
                <w:sz w:val="24"/>
                <w:szCs w:val="24"/>
                <w:lang w:val="en-US" w:eastAsia="zh-CN"/>
              </w:rPr>
              <w:t>。</w:t>
            </w:r>
          </w:p>
          <w:p w14:paraId="18334AF6">
            <w:pPr>
              <w:keepNext w:val="0"/>
              <w:keepLines w:val="0"/>
              <w:suppressLineNumbers w:val="0"/>
              <w:autoSpaceDE w:val="0"/>
              <w:autoSpaceDN w:val="0"/>
              <w:adjustRightInd w:val="0"/>
              <w:snapToGrid w:val="0"/>
              <w:spacing w:before="0" w:beforeAutospacing="0" w:after="0" w:afterAutospacing="0" w:line="360" w:lineRule="auto"/>
              <w:ind w:left="0" w:right="0"/>
              <w:outlineLvl w:val="9"/>
              <w:rPr>
                <w:rFonts w:hint="default" w:ascii="Times New Roman" w:hAnsi="Times New Roman" w:eastAsia="宋体" w:cs="Times New Roman"/>
                <w:b/>
                <w:bCs/>
                <w:color w:val="auto"/>
                <w:sz w:val="24"/>
                <w:highlight w:val="none"/>
              </w:rPr>
            </w:pPr>
            <w:r>
              <w:rPr>
                <w:rFonts w:hint="default" w:ascii="Times New Roman" w:hAnsi="Times New Roman"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rPr>
              <w:t>电磁环境现状</w:t>
            </w:r>
          </w:p>
          <w:p w14:paraId="675376D3">
            <w:pPr>
              <w:keepNext w:val="0"/>
              <w:keepLines w:val="0"/>
              <w:suppressLineNumbers w:val="0"/>
              <w:adjustRightInd w:val="0"/>
              <w:snapToGrid w:val="0"/>
              <w:spacing w:before="0" w:beforeAutospacing="0" w:after="0" w:afterAutospacing="0" w:line="360" w:lineRule="auto"/>
              <w:ind w:left="0" w:right="0" w:firstLine="516" w:firstLineChars="200"/>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9"/>
                <w:sz w:val="24"/>
                <w:szCs w:val="24"/>
                <w:highlight w:val="none"/>
              </w:rPr>
              <w:t>新疆鼎耀工程咨询有限公司于202</w:t>
            </w:r>
            <w:r>
              <w:rPr>
                <w:rFonts w:hint="default" w:ascii="Times New Roman" w:hAnsi="Times New Roman" w:cs="Times New Roman"/>
                <w:color w:val="auto"/>
                <w:spacing w:val="9"/>
                <w:sz w:val="24"/>
                <w:szCs w:val="24"/>
                <w:highlight w:val="none"/>
                <w:lang w:val="en-US" w:eastAsia="zh-CN"/>
              </w:rPr>
              <w:t>5</w:t>
            </w:r>
            <w:r>
              <w:rPr>
                <w:rFonts w:hint="default" w:ascii="Times New Roman" w:hAnsi="Times New Roman" w:eastAsia="宋体" w:cs="Times New Roman"/>
                <w:color w:val="auto"/>
                <w:spacing w:val="9"/>
                <w:sz w:val="24"/>
                <w:szCs w:val="24"/>
                <w:highlight w:val="none"/>
              </w:rPr>
              <w:t>年</w:t>
            </w:r>
            <w:r>
              <w:rPr>
                <w:rFonts w:hint="default" w:ascii="Times New Roman" w:hAnsi="Times New Roman" w:cs="Times New Roman"/>
                <w:color w:val="auto"/>
                <w:spacing w:val="9"/>
                <w:sz w:val="24"/>
                <w:szCs w:val="24"/>
                <w:highlight w:val="none"/>
                <w:lang w:val="en-US" w:eastAsia="zh-CN"/>
              </w:rPr>
              <w:t>3</w:t>
            </w:r>
            <w:r>
              <w:rPr>
                <w:rFonts w:hint="default" w:ascii="Times New Roman" w:hAnsi="Times New Roman" w:eastAsia="宋体" w:cs="Times New Roman"/>
                <w:color w:val="auto"/>
                <w:spacing w:val="9"/>
                <w:sz w:val="24"/>
                <w:szCs w:val="24"/>
                <w:highlight w:val="none"/>
              </w:rPr>
              <w:t>月</w:t>
            </w:r>
            <w:r>
              <w:rPr>
                <w:rFonts w:hint="eastAsia" w:ascii="Times New Roman" w:hAnsi="Times New Roman" w:cs="Times New Roman"/>
                <w:color w:val="auto"/>
                <w:spacing w:val="9"/>
                <w:sz w:val="24"/>
                <w:szCs w:val="24"/>
                <w:highlight w:val="none"/>
                <w:lang w:val="en-US" w:eastAsia="zh-CN"/>
              </w:rPr>
              <w:t>1</w:t>
            </w:r>
            <w:r>
              <w:rPr>
                <w:rFonts w:hint="eastAsia" w:cs="Times New Roman"/>
                <w:color w:val="auto"/>
                <w:spacing w:val="9"/>
                <w:sz w:val="24"/>
                <w:szCs w:val="24"/>
                <w:highlight w:val="none"/>
                <w:lang w:val="en-US" w:eastAsia="zh-CN"/>
              </w:rPr>
              <w:t>1</w:t>
            </w:r>
            <w:r>
              <w:rPr>
                <w:rFonts w:hint="default" w:ascii="Times New Roman" w:hAnsi="Times New Roman" w:eastAsia="宋体" w:cs="Times New Roman"/>
                <w:color w:val="auto"/>
                <w:spacing w:val="9"/>
                <w:sz w:val="24"/>
                <w:szCs w:val="24"/>
                <w:highlight w:val="none"/>
              </w:rPr>
              <w:t>日对</w:t>
            </w:r>
            <w:r>
              <w:rPr>
                <w:rFonts w:hint="default" w:ascii="Times New Roman" w:hAnsi="Times New Roman" w:cs="Times New Roman"/>
                <w:color w:val="auto"/>
                <w:spacing w:val="9"/>
                <w:sz w:val="24"/>
                <w:szCs w:val="24"/>
                <w:highlight w:val="none"/>
                <w:lang w:val="en-US" w:eastAsia="zh-CN"/>
              </w:rPr>
              <w:t>升压</w:t>
            </w:r>
            <w:r>
              <w:rPr>
                <w:rFonts w:hint="default" w:ascii="Times New Roman" w:hAnsi="Times New Roman" w:eastAsia="宋体" w:cs="Times New Roman"/>
                <w:color w:val="auto"/>
                <w:spacing w:val="9"/>
                <w:sz w:val="24"/>
                <w:szCs w:val="24"/>
                <w:highlight w:val="none"/>
                <w:lang w:eastAsia="zh-CN"/>
              </w:rPr>
              <w:t>站</w:t>
            </w:r>
            <w:r>
              <w:rPr>
                <w:rFonts w:hint="default" w:ascii="Times New Roman" w:hAnsi="Times New Roman" w:eastAsia="宋体" w:cs="Times New Roman"/>
                <w:color w:val="auto"/>
                <w:spacing w:val="9"/>
                <w:sz w:val="24"/>
                <w:szCs w:val="24"/>
                <w:highlight w:val="none"/>
              </w:rPr>
              <w:t>站址</w:t>
            </w:r>
            <w:r>
              <w:rPr>
                <w:rFonts w:hint="default" w:ascii="Times New Roman" w:hAnsi="Times New Roman" w:cs="Times New Roman"/>
                <w:color w:val="auto"/>
                <w:spacing w:val="9"/>
                <w:sz w:val="24"/>
                <w:szCs w:val="24"/>
                <w:highlight w:val="none"/>
                <w:lang w:val="en-US" w:eastAsia="zh-CN"/>
              </w:rPr>
              <w:t>和输电线路沿线</w:t>
            </w:r>
            <w:r>
              <w:rPr>
                <w:rFonts w:hint="default" w:ascii="Times New Roman" w:hAnsi="Times New Roman" w:eastAsia="宋体" w:cs="Times New Roman"/>
                <w:color w:val="auto"/>
                <w:spacing w:val="9"/>
                <w:sz w:val="24"/>
                <w:szCs w:val="24"/>
                <w:highlight w:val="none"/>
              </w:rPr>
              <w:t>的电磁环境进行了现状监测，</w:t>
            </w:r>
            <w:r>
              <w:rPr>
                <w:rFonts w:hint="default" w:ascii="Times New Roman" w:hAnsi="Times New Roman" w:cs="Times New Roman"/>
                <w:color w:val="auto"/>
                <w:spacing w:val="9"/>
                <w:sz w:val="24"/>
                <w:szCs w:val="24"/>
                <w:highlight w:val="none"/>
                <w:lang w:val="en-US" w:eastAsia="zh-CN"/>
              </w:rPr>
              <w:t>共</w:t>
            </w:r>
            <w:r>
              <w:rPr>
                <w:rFonts w:hint="default" w:ascii="Times New Roman" w:hAnsi="Times New Roman" w:eastAsia="宋体" w:cs="Times New Roman"/>
                <w:color w:val="auto"/>
                <w:spacing w:val="9"/>
                <w:sz w:val="24"/>
                <w:szCs w:val="24"/>
                <w:highlight w:val="none"/>
              </w:rPr>
              <w:t>布置</w:t>
            </w:r>
            <w:r>
              <w:rPr>
                <w:rFonts w:hint="default" w:ascii="Times New Roman" w:hAnsi="Times New Roman" w:cs="Times New Roman"/>
                <w:color w:val="auto"/>
                <w:spacing w:val="9"/>
                <w:sz w:val="24"/>
                <w:szCs w:val="24"/>
                <w:highlight w:val="none"/>
                <w:lang w:val="en-US" w:eastAsia="zh-CN"/>
              </w:rPr>
              <w:t>4</w:t>
            </w:r>
            <w:r>
              <w:rPr>
                <w:rFonts w:hint="default" w:ascii="Times New Roman" w:hAnsi="Times New Roman" w:eastAsia="宋体" w:cs="Times New Roman"/>
                <w:color w:val="auto"/>
                <w:spacing w:val="9"/>
                <w:sz w:val="24"/>
                <w:szCs w:val="24"/>
                <w:highlight w:val="none"/>
              </w:rPr>
              <w:t>个电磁</w:t>
            </w:r>
            <w:r>
              <w:rPr>
                <w:rFonts w:hint="default" w:ascii="Times New Roman" w:hAnsi="Times New Roman" w:eastAsia="宋体" w:cs="Times New Roman"/>
                <w:color w:val="auto"/>
                <w:spacing w:val="9"/>
                <w:sz w:val="24"/>
                <w:szCs w:val="24"/>
                <w:highlight w:val="none"/>
                <w:lang w:eastAsia="zh-CN"/>
              </w:rPr>
              <w:t>环境</w:t>
            </w:r>
            <w:r>
              <w:rPr>
                <w:rFonts w:hint="default" w:ascii="Times New Roman" w:hAnsi="Times New Roman" w:eastAsia="宋体" w:cs="Times New Roman"/>
                <w:color w:val="auto"/>
                <w:spacing w:val="9"/>
                <w:sz w:val="24"/>
                <w:szCs w:val="24"/>
                <w:highlight w:val="none"/>
              </w:rPr>
              <w:t>监测点。根据现场监测结果，</w:t>
            </w:r>
            <w:r>
              <w:rPr>
                <w:rFonts w:hint="default" w:ascii="Times New Roman" w:hAnsi="Times New Roman" w:cs="Times New Roman"/>
                <w:color w:val="auto"/>
                <w:sz w:val="24"/>
                <w:szCs w:val="24"/>
                <w:highlight w:val="none"/>
                <w:lang w:eastAsia="zh-CN"/>
              </w:rPr>
              <w:t>本项目</w:t>
            </w:r>
            <w:r>
              <w:rPr>
                <w:rFonts w:hint="default" w:ascii="Times New Roman" w:hAnsi="Times New Roman" w:cs="Times New Roman"/>
                <w:color w:val="auto"/>
                <w:sz w:val="24"/>
                <w:szCs w:val="24"/>
                <w:highlight w:val="none"/>
              </w:rPr>
              <w:t>监测点工频电场、工频磁场监测结果均满足《电磁环境控制限值》</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GB8702-2014</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中的</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电场强度≤4000V/m；磁感应强度≤100μT</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公众曝露控制限值</w:t>
            </w:r>
            <w:r>
              <w:rPr>
                <w:rFonts w:hint="default" w:ascii="Times New Roman" w:hAnsi="Times New Roman" w:eastAsia="宋体" w:cs="Times New Roman"/>
                <w:color w:val="auto"/>
                <w:sz w:val="24"/>
                <w:highlight w:val="none"/>
              </w:rPr>
              <w:t>，具体数据详见电磁环境影响专题评价</w:t>
            </w:r>
            <w:r>
              <w:rPr>
                <w:rFonts w:hint="default" w:ascii="Times New Roman" w:hAnsi="Times New Roman" w:cs="Times New Roman"/>
                <w:color w:val="auto"/>
                <w:sz w:val="24"/>
                <w:szCs w:val="24"/>
                <w:highlight w:val="none"/>
                <w:lang w:eastAsia="zh-CN"/>
              </w:rPr>
              <w:t>。</w:t>
            </w:r>
          </w:p>
          <w:p w14:paraId="57F1AC9C">
            <w:pPr>
              <w:keepNext w:val="0"/>
              <w:keepLines w:val="0"/>
              <w:suppressLineNumbers w:val="0"/>
              <w:adjustRightInd w:val="0"/>
              <w:snapToGrid w:val="0"/>
              <w:spacing w:before="0" w:beforeAutospacing="0" w:after="0" w:afterAutospacing="0" w:line="360" w:lineRule="auto"/>
              <w:ind w:left="0" w:right="0"/>
              <w:outlineLvl w:val="9"/>
              <w:rPr>
                <w:rFonts w:hint="default" w:ascii="Times New Roman" w:hAnsi="Times New Roman" w:eastAsia="宋体" w:cs="Times New Roman"/>
                <w:b/>
                <w:bCs/>
                <w:color w:val="auto"/>
                <w:sz w:val="24"/>
                <w:highlight w:val="none"/>
              </w:rPr>
            </w:pPr>
            <w:r>
              <w:rPr>
                <w:rFonts w:hint="default" w:ascii="Times New Roman" w:hAnsi="Times New Roman"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rPr>
              <w:t>声环境现状</w:t>
            </w:r>
          </w:p>
          <w:p w14:paraId="3D026B62">
            <w:pPr>
              <w:keepNext w:val="0"/>
              <w:keepLines w:val="0"/>
              <w:suppressLineNumbers w:val="0"/>
              <w:adjustRightInd w:val="0"/>
              <w:snapToGrid w:val="0"/>
              <w:spacing w:before="0" w:beforeAutospacing="0" w:after="0" w:afterAutospacing="0" w:line="360" w:lineRule="auto"/>
              <w:ind w:left="0" w:right="0"/>
              <w:outlineLvl w:val="9"/>
              <w:rPr>
                <w:rFonts w:hint="default" w:ascii="Times New Roman" w:hAnsi="Times New Roman" w:eastAsia="宋体" w:cs="Times New Roman"/>
                <w:b/>
                <w:color w:val="auto"/>
                <w:sz w:val="24"/>
              </w:rPr>
            </w:pPr>
            <w:r>
              <w:rPr>
                <w:rFonts w:hint="default" w:ascii="Times New Roman" w:hAnsi="Times New Roman" w:cs="Times New Roman"/>
                <w:b/>
                <w:color w:val="auto"/>
                <w:sz w:val="24"/>
                <w:lang w:val="en-US" w:eastAsia="zh-CN"/>
              </w:rPr>
              <w:t>6</w:t>
            </w:r>
            <w:r>
              <w:rPr>
                <w:rFonts w:hint="default" w:ascii="Times New Roman" w:hAnsi="Times New Roman" w:eastAsia="宋体" w:cs="Times New Roman"/>
                <w:b/>
                <w:color w:val="auto"/>
                <w:sz w:val="24"/>
              </w:rPr>
              <w:t>.1监测因子</w:t>
            </w:r>
          </w:p>
          <w:p w14:paraId="78C849C4">
            <w:pPr>
              <w:keepNext w:val="0"/>
              <w:keepLines w:val="0"/>
              <w:suppressLineNumbers w:val="0"/>
              <w:spacing w:before="0" w:beforeAutospacing="0" w:after="0" w:afterAutospacing="0" w:line="360" w:lineRule="auto"/>
              <w:ind w:left="0" w:right="0" w:firstLine="480" w:firstLineChars="200"/>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等效声级，L</w:t>
            </w:r>
            <w:r>
              <w:rPr>
                <w:rFonts w:hint="default" w:ascii="Times New Roman" w:hAnsi="Times New Roman" w:eastAsia="宋体" w:cs="Times New Roman"/>
                <w:color w:val="auto"/>
                <w:sz w:val="24"/>
                <w:vertAlign w:val="subscript"/>
              </w:rPr>
              <w:t>eq</w:t>
            </w:r>
          </w:p>
          <w:p w14:paraId="0D1964C8">
            <w:pPr>
              <w:keepNext w:val="0"/>
              <w:keepLines w:val="0"/>
              <w:suppressLineNumbers w:val="0"/>
              <w:adjustRightInd w:val="0"/>
              <w:snapToGrid w:val="0"/>
              <w:spacing w:before="0" w:beforeAutospacing="0" w:after="0" w:afterAutospacing="0" w:line="360" w:lineRule="auto"/>
              <w:ind w:left="0" w:right="0"/>
              <w:outlineLvl w:val="9"/>
              <w:rPr>
                <w:rFonts w:hint="default" w:ascii="Times New Roman" w:hAnsi="Times New Roman" w:eastAsia="宋体" w:cs="Times New Roman"/>
                <w:b/>
                <w:color w:val="auto"/>
                <w:sz w:val="24"/>
              </w:rPr>
            </w:pPr>
            <w:r>
              <w:rPr>
                <w:rFonts w:hint="default" w:ascii="Times New Roman" w:hAnsi="Times New Roman" w:cs="Times New Roman"/>
                <w:b/>
                <w:color w:val="auto"/>
                <w:sz w:val="24"/>
                <w:lang w:val="en-US" w:eastAsia="zh-CN"/>
              </w:rPr>
              <w:t>6</w:t>
            </w:r>
            <w:r>
              <w:rPr>
                <w:rFonts w:hint="default" w:ascii="Times New Roman" w:hAnsi="Times New Roman" w:eastAsia="宋体" w:cs="Times New Roman"/>
                <w:b/>
                <w:color w:val="auto"/>
                <w:sz w:val="24"/>
              </w:rPr>
              <w:t>.2监测方法及布点</w:t>
            </w:r>
          </w:p>
          <w:p w14:paraId="5EDC46F6">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监测方法：《声环境质量标准》(GB3096-2008)。根据《环境影响评价技术导则</w:t>
            </w:r>
            <w:r>
              <w:rPr>
                <w:rFonts w:hint="eastAsia" w:cs="Times New Roman"/>
                <w:color w:val="auto"/>
                <w:sz w:val="24"/>
                <w:lang w:val="en-US" w:eastAsia="zh-CN"/>
              </w:rPr>
              <w:t xml:space="preserve"> </w:t>
            </w:r>
            <w:r>
              <w:rPr>
                <w:rFonts w:hint="default" w:ascii="Times New Roman" w:hAnsi="Times New Roman" w:eastAsia="宋体" w:cs="Times New Roman"/>
                <w:color w:val="auto"/>
                <w:sz w:val="24"/>
              </w:rPr>
              <w:t>声环境》</w:t>
            </w:r>
            <w:r>
              <w:rPr>
                <w:rFonts w:hint="eastAsia" w:cs="Times New Roman"/>
                <w:color w:val="auto"/>
                <w:sz w:val="24"/>
                <w:lang w:eastAsia="zh-CN"/>
              </w:rPr>
              <w:t>（</w:t>
            </w:r>
            <w:r>
              <w:rPr>
                <w:rFonts w:hint="default" w:ascii="Times New Roman" w:hAnsi="Times New Roman" w:eastAsia="宋体" w:cs="Times New Roman"/>
                <w:color w:val="auto"/>
                <w:sz w:val="24"/>
              </w:rPr>
              <w:t>HJ2.4-</w:t>
            </w:r>
            <w:r>
              <w:rPr>
                <w:rFonts w:hint="default" w:ascii="Times New Roman" w:hAnsi="Times New Roman" w:eastAsia="宋体" w:cs="Times New Roman"/>
                <w:color w:val="auto"/>
                <w:sz w:val="24"/>
                <w:lang w:val="en-US" w:eastAsia="zh-CN"/>
              </w:rPr>
              <w:t>2021</w:t>
            </w:r>
            <w:r>
              <w:rPr>
                <w:rFonts w:hint="eastAsia" w:cs="Times New Roman"/>
                <w:color w:val="auto"/>
                <w:sz w:val="24"/>
                <w:lang w:val="en-US" w:eastAsia="zh-CN"/>
              </w:rPr>
              <w:t>）</w:t>
            </w:r>
            <w:r>
              <w:rPr>
                <w:rFonts w:hint="default" w:ascii="Times New Roman" w:hAnsi="Times New Roman" w:eastAsia="宋体" w:cs="Times New Roman"/>
                <w:color w:val="auto"/>
                <w:sz w:val="24"/>
              </w:rPr>
              <w:t>的要求，本次评价</w:t>
            </w:r>
            <w:r>
              <w:rPr>
                <w:rFonts w:hint="default" w:ascii="Times New Roman" w:hAnsi="Times New Roman" w:eastAsia="宋体" w:cs="Times New Roman"/>
                <w:color w:val="auto"/>
                <w:sz w:val="24"/>
                <w:highlight w:val="none"/>
              </w:rPr>
              <w:t>设置</w:t>
            </w:r>
            <w:r>
              <w:rPr>
                <w:rFonts w:hint="default" w:ascii="Times New Roman" w:hAnsi="Times New Roman" w:cs="Times New Roman"/>
                <w:color w:val="auto"/>
                <w:sz w:val="24"/>
                <w:highlight w:val="none"/>
                <w:lang w:val="en-US" w:eastAsia="zh-CN"/>
              </w:rPr>
              <w:t>4</w:t>
            </w:r>
            <w:r>
              <w:rPr>
                <w:rFonts w:hint="default" w:ascii="Times New Roman" w:hAnsi="Times New Roman" w:eastAsia="宋体" w:cs="Times New Roman"/>
                <w:color w:val="auto"/>
                <w:sz w:val="24"/>
                <w:highlight w:val="none"/>
              </w:rPr>
              <w:t>个现状监</w:t>
            </w:r>
            <w:r>
              <w:rPr>
                <w:rFonts w:hint="default" w:ascii="Times New Roman" w:hAnsi="Times New Roman" w:eastAsia="宋体" w:cs="Times New Roman"/>
                <w:color w:val="auto"/>
                <w:sz w:val="24"/>
              </w:rPr>
              <w:t>测点，距地面</w:t>
            </w: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rPr>
              <w:t>处。</w:t>
            </w:r>
          </w:p>
          <w:p w14:paraId="6B4E15D9">
            <w:pPr>
              <w:keepNext w:val="0"/>
              <w:keepLines w:val="0"/>
              <w:suppressLineNumbers w:val="0"/>
              <w:adjustRightInd w:val="0"/>
              <w:snapToGrid w:val="0"/>
              <w:spacing w:before="0" w:beforeAutospacing="0" w:after="0" w:afterAutospacing="0" w:line="360" w:lineRule="auto"/>
              <w:ind w:left="0" w:right="0"/>
              <w:outlineLvl w:val="9"/>
              <w:rPr>
                <w:rFonts w:hint="default" w:ascii="Times New Roman" w:hAnsi="Times New Roman" w:eastAsia="宋体" w:cs="Times New Roman"/>
                <w:b/>
                <w:color w:val="auto"/>
                <w:sz w:val="24"/>
              </w:rPr>
            </w:pPr>
            <w:r>
              <w:rPr>
                <w:rFonts w:hint="default" w:ascii="Times New Roman" w:hAnsi="Times New Roman" w:cs="Times New Roman"/>
                <w:b/>
                <w:color w:val="auto"/>
                <w:sz w:val="24"/>
                <w:lang w:val="en-US" w:eastAsia="zh-CN"/>
              </w:rPr>
              <w:t>6</w:t>
            </w:r>
            <w:r>
              <w:rPr>
                <w:rFonts w:hint="default" w:ascii="Times New Roman" w:hAnsi="Times New Roman" w:eastAsia="宋体" w:cs="Times New Roman"/>
                <w:b/>
                <w:color w:val="auto"/>
                <w:sz w:val="24"/>
              </w:rPr>
              <w:t>.3监测单位及监测时间</w:t>
            </w:r>
          </w:p>
          <w:p w14:paraId="543472F7">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监测单位：新疆鼎耀工程咨询有限公司</w:t>
            </w:r>
          </w:p>
          <w:p w14:paraId="4D0B580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outlineLvl w:val="9"/>
              <w:rPr>
                <w:rFonts w:hint="default" w:ascii="Times New Roman" w:hAnsi="Times New Roman" w:eastAsia="宋体" w:cs="Times New Roman"/>
                <w:color w:val="auto"/>
                <w:sz w:val="24"/>
                <w:highlight w:val="yellow"/>
              </w:rPr>
            </w:pPr>
            <w:r>
              <w:rPr>
                <w:rFonts w:hint="default" w:ascii="Times New Roman" w:hAnsi="Times New Roman" w:eastAsia="宋体" w:cs="Times New Roman"/>
                <w:color w:val="auto"/>
                <w:sz w:val="24"/>
              </w:rPr>
              <w:t>监测时间</w:t>
            </w:r>
            <w:r>
              <w:rPr>
                <w:rFonts w:hint="default" w:ascii="Times New Roman" w:hAnsi="Times New Roman" w:eastAsia="宋体" w:cs="Times New Roman"/>
                <w:color w:val="auto"/>
                <w:sz w:val="24"/>
                <w:highlight w:val="none"/>
              </w:rPr>
              <w:t>：202</w:t>
            </w:r>
            <w:r>
              <w:rPr>
                <w:rFonts w:hint="default" w:ascii="Times New Roman" w:hAnsi="Times New Roman" w:cs="Times New Roman"/>
                <w:color w:val="auto"/>
                <w:sz w:val="24"/>
                <w:highlight w:val="none"/>
                <w:lang w:val="en-US" w:eastAsia="zh-CN"/>
              </w:rPr>
              <w:t>5</w:t>
            </w:r>
            <w:r>
              <w:rPr>
                <w:rFonts w:hint="default" w:ascii="Times New Roman" w:hAnsi="Times New Roman" w:eastAsia="宋体" w:cs="Times New Roman"/>
                <w:color w:val="auto"/>
                <w:sz w:val="24"/>
                <w:highlight w:val="none"/>
              </w:rPr>
              <w:t>年</w:t>
            </w:r>
            <w:r>
              <w:rPr>
                <w:rFonts w:hint="default" w:ascii="Times New Roman" w:hAnsi="Times New Roman" w:cs="Times New Roman"/>
                <w:color w:val="auto"/>
                <w:sz w:val="24"/>
                <w:highlight w:val="none"/>
                <w:lang w:val="en-US" w:eastAsia="zh-CN"/>
              </w:rPr>
              <w:t>3</w:t>
            </w:r>
            <w:r>
              <w:rPr>
                <w:rFonts w:hint="default" w:ascii="Times New Roman" w:hAnsi="Times New Roman" w:eastAsia="宋体" w:cs="Times New Roman"/>
                <w:color w:val="auto"/>
                <w:sz w:val="24"/>
                <w:highlight w:val="none"/>
              </w:rPr>
              <w:t>月</w:t>
            </w:r>
            <w:r>
              <w:rPr>
                <w:rFonts w:hint="default" w:ascii="Times New Roman" w:hAnsi="Times New Roman" w:cs="Times New Roman"/>
                <w:color w:val="auto"/>
                <w:sz w:val="24"/>
                <w:highlight w:val="none"/>
                <w:lang w:val="en-US" w:eastAsia="zh-CN"/>
              </w:rPr>
              <w:t>1</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日</w:t>
            </w:r>
          </w:p>
          <w:p w14:paraId="01035D84">
            <w:pPr>
              <w:keepNext w:val="0"/>
              <w:keepLines w:val="0"/>
              <w:suppressLineNumbers w:val="0"/>
              <w:adjustRightInd w:val="0"/>
              <w:snapToGrid w:val="0"/>
              <w:spacing w:before="0" w:beforeAutospacing="0" w:after="0" w:afterAutospacing="0" w:line="360" w:lineRule="auto"/>
              <w:ind w:left="0" w:right="0"/>
              <w:outlineLvl w:val="9"/>
              <w:rPr>
                <w:rFonts w:hint="default" w:ascii="Times New Roman" w:hAnsi="Times New Roman" w:eastAsia="宋体" w:cs="Times New Roman"/>
                <w:b/>
                <w:color w:val="auto"/>
                <w:sz w:val="24"/>
              </w:rPr>
            </w:pPr>
            <w:r>
              <w:rPr>
                <w:rFonts w:hint="default" w:ascii="Times New Roman" w:hAnsi="Times New Roman" w:cs="Times New Roman"/>
                <w:b/>
                <w:color w:val="auto"/>
                <w:sz w:val="24"/>
                <w:lang w:val="en-US" w:eastAsia="zh-CN"/>
              </w:rPr>
              <w:t>6</w:t>
            </w:r>
            <w:r>
              <w:rPr>
                <w:rFonts w:hint="default" w:ascii="Times New Roman" w:hAnsi="Times New Roman" w:eastAsia="宋体" w:cs="Times New Roman"/>
                <w:b/>
                <w:color w:val="auto"/>
                <w:sz w:val="24"/>
              </w:rPr>
              <w:t>.4监测仪器、监测条件</w:t>
            </w:r>
          </w:p>
          <w:p w14:paraId="1A9000F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监测仪器参数，见表3-</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w:t>
            </w:r>
          </w:p>
          <w:p w14:paraId="35A3C3BC">
            <w:pPr>
              <w:keepNext w:val="0"/>
              <w:keepLines w:val="0"/>
              <w:suppressLineNumbers w:val="0"/>
              <w:adjustRightInd w:val="0"/>
              <w:snapToGrid w:val="0"/>
              <w:spacing w:before="0" w:beforeAutospacing="0" w:after="0" w:afterAutospacing="0"/>
              <w:ind w:left="0" w:right="0"/>
              <w:jc w:val="center"/>
              <w:outlineLvl w:val="9"/>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表3-</w:t>
            </w:r>
            <w:r>
              <w:rPr>
                <w:rFonts w:hint="default" w:ascii="Times New Roman" w:hAnsi="Times New Roman" w:eastAsia="宋体" w:cs="Times New Roman"/>
                <w:b/>
                <w:color w:val="auto"/>
                <w:sz w:val="24"/>
                <w:lang w:val="en-US" w:eastAsia="zh-CN"/>
              </w:rPr>
              <w:t>3</w:t>
            </w:r>
            <w:r>
              <w:rPr>
                <w:rFonts w:hint="eastAsia" w:cs="Times New Roman"/>
                <w:b/>
                <w:color w:val="auto"/>
                <w:sz w:val="24"/>
                <w:lang w:val="en-US" w:eastAsia="zh-CN"/>
              </w:rPr>
              <w:t xml:space="preserve">    </w:t>
            </w:r>
            <w:r>
              <w:rPr>
                <w:rFonts w:hint="default" w:ascii="Times New Roman" w:hAnsi="Times New Roman" w:eastAsia="宋体" w:cs="Times New Roman"/>
                <w:b/>
                <w:color w:val="auto"/>
                <w:sz w:val="24"/>
              </w:rPr>
              <w:t>测量设备特性表</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271"/>
              <w:gridCol w:w="769"/>
              <w:gridCol w:w="1642"/>
              <w:gridCol w:w="1911"/>
              <w:gridCol w:w="1160"/>
              <w:gridCol w:w="1872"/>
            </w:tblGrid>
            <w:tr w14:paraId="6A0E0D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92" w:hRule="atLeast"/>
                <w:jc w:val="center"/>
              </w:trPr>
              <w:tc>
                <w:tcPr>
                  <w:tcW w:w="178" w:type="pct"/>
                  <w:tcBorders>
                    <w:tl2br w:val="nil"/>
                    <w:tr2bl w:val="nil"/>
                  </w:tcBorders>
                  <w:noWrap w:val="0"/>
                  <w:tcMar>
                    <w:top w:w="0" w:type="dxa"/>
                    <w:left w:w="0" w:type="dxa"/>
                    <w:bottom w:w="0" w:type="dxa"/>
                    <w:right w:w="0" w:type="dxa"/>
                  </w:tcMar>
                  <w:vAlign w:val="center"/>
                </w:tcPr>
                <w:p w14:paraId="26FD840B">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序号</w:t>
                  </w:r>
                </w:p>
              </w:tc>
              <w:tc>
                <w:tcPr>
                  <w:tcW w:w="504" w:type="pct"/>
                  <w:tcBorders>
                    <w:tl2br w:val="nil"/>
                    <w:tr2bl w:val="nil"/>
                  </w:tcBorders>
                  <w:noWrap w:val="0"/>
                  <w:tcMar>
                    <w:top w:w="0" w:type="dxa"/>
                    <w:left w:w="0" w:type="dxa"/>
                    <w:bottom w:w="0" w:type="dxa"/>
                    <w:right w:w="0" w:type="dxa"/>
                  </w:tcMar>
                  <w:vAlign w:val="center"/>
                </w:tcPr>
                <w:p w14:paraId="12FE58D0">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监测</w:t>
                  </w:r>
                </w:p>
                <w:p w14:paraId="5E1D3136">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项目</w:t>
                  </w:r>
                </w:p>
              </w:tc>
              <w:tc>
                <w:tcPr>
                  <w:tcW w:w="1076" w:type="pct"/>
                  <w:tcBorders>
                    <w:tl2br w:val="nil"/>
                    <w:tr2bl w:val="nil"/>
                  </w:tcBorders>
                  <w:noWrap w:val="0"/>
                  <w:tcMar>
                    <w:top w:w="0" w:type="dxa"/>
                    <w:left w:w="0" w:type="dxa"/>
                    <w:bottom w:w="0" w:type="dxa"/>
                    <w:right w:w="0" w:type="dxa"/>
                  </w:tcMar>
                  <w:vAlign w:val="center"/>
                </w:tcPr>
                <w:p w14:paraId="0F291E28">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设备名称</w:t>
                  </w:r>
                </w:p>
              </w:tc>
              <w:tc>
                <w:tcPr>
                  <w:tcW w:w="1252" w:type="pct"/>
                  <w:tcBorders>
                    <w:tl2br w:val="nil"/>
                    <w:tr2bl w:val="nil"/>
                  </w:tcBorders>
                  <w:noWrap w:val="0"/>
                  <w:tcMar>
                    <w:top w:w="0" w:type="dxa"/>
                    <w:left w:w="0" w:type="dxa"/>
                    <w:bottom w:w="0" w:type="dxa"/>
                    <w:right w:w="0" w:type="dxa"/>
                  </w:tcMar>
                  <w:vAlign w:val="center"/>
                </w:tcPr>
                <w:p w14:paraId="72537CCE">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设备</w:t>
                  </w:r>
                  <w:r>
                    <w:rPr>
                      <w:rFonts w:hint="eastAsia" w:cs="Times New Roman"/>
                      <w:b/>
                      <w:color w:val="auto"/>
                      <w:szCs w:val="21"/>
                      <w:lang w:eastAsia="zh-CN"/>
                    </w:rPr>
                    <w:t>（</w:t>
                  </w:r>
                  <w:r>
                    <w:rPr>
                      <w:rFonts w:hint="default" w:ascii="Times New Roman" w:hAnsi="Times New Roman" w:eastAsia="宋体" w:cs="Times New Roman"/>
                      <w:b/>
                      <w:color w:val="auto"/>
                      <w:szCs w:val="21"/>
                    </w:rPr>
                    <w:t>校准证书</w:t>
                  </w:r>
                  <w:r>
                    <w:rPr>
                      <w:rFonts w:hint="eastAsia" w:cs="Times New Roman"/>
                      <w:b/>
                      <w:color w:val="auto"/>
                      <w:szCs w:val="21"/>
                      <w:lang w:eastAsia="zh-CN"/>
                    </w:rPr>
                    <w:t>）</w:t>
                  </w:r>
                  <w:r>
                    <w:rPr>
                      <w:rFonts w:hint="default" w:ascii="Times New Roman" w:hAnsi="Times New Roman" w:eastAsia="宋体" w:cs="Times New Roman"/>
                      <w:b/>
                      <w:color w:val="auto"/>
                      <w:szCs w:val="21"/>
                    </w:rPr>
                    <w:t>编号</w:t>
                  </w:r>
                </w:p>
              </w:tc>
              <w:tc>
                <w:tcPr>
                  <w:tcW w:w="760" w:type="pct"/>
                  <w:tcBorders>
                    <w:tl2br w:val="nil"/>
                    <w:tr2bl w:val="nil"/>
                  </w:tcBorders>
                  <w:noWrap w:val="0"/>
                  <w:tcMar>
                    <w:top w:w="0" w:type="dxa"/>
                    <w:left w:w="0" w:type="dxa"/>
                    <w:bottom w:w="0" w:type="dxa"/>
                    <w:right w:w="0" w:type="dxa"/>
                  </w:tcMar>
                  <w:vAlign w:val="center"/>
                </w:tcPr>
                <w:p w14:paraId="514ED870">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检定/校准机构</w:t>
                  </w:r>
                </w:p>
              </w:tc>
              <w:tc>
                <w:tcPr>
                  <w:tcW w:w="1227" w:type="pct"/>
                  <w:tcBorders>
                    <w:tl2br w:val="nil"/>
                    <w:tr2bl w:val="nil"/>
                  </w:tcBorders>
                  <w:noWrap w:val="0"/>
                  <w:tcMar>
                    <w:top w:w="0" w:type="dxa"/>
                    <w:left w:w="0" w:type="dxa"/>
                    <w:bottom w:w="0" w:type="dxa"/>
                    <w:right w:w="0" w:type="dxa"/>
                  </w:tcMar>
                  <w:vAlign w:val="center"/>
                </w:tcPr>
                <w:p w14:paraId="69D71E24">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有效日期</w:t>
                  </w:r>
                </w:p>
              </w:tc>
            </w:tr>
            <w:tr w14:paraId="326490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178" w:type="pct"/>
                  <w:tcBorders>
                    <w:tl2br w:val="nil"/>
                    <w:tr2bl w:val="nil"/>
                  </w:tcBorders>
                  <w:noWrap w:val="0"/>
                  <w:tcMar>
                    <w:top w:w="0" w:type="dxa"/>
                    <w:left w:w="0" w:type="dxa"/>
                    <w:bottom w:w="0" w:type="dxa"/>
                    <w:right w:w="0" w:type="dxa"/>
                  </w:tcMar>
                  <w:vAlign w:val="center"/>
                </w:tcPr>
                <w:p w14:paraId="691ABA63">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504" w:type="pct"/>
                  <w:vMerge w:val="restart"/>
                  <w:tcBorders>
                    <w:tl2br w:val="nil"/>
                    <w:tr2bl w:val="nil"/>
                  </w:tcBorders>
                  <w:noWrap w:val="0"/>
                  <w:tcMar>
                    <w:top w:w="0" w:type="dxa"/>
                    <w:left w:w="0" w:type="dxa"/>
                    <w:bottom w:w="0" w:type="dxa"/>
                    <w:right w:w="0" w:type="dxa"/>
                  </w:tcMar>
                  <w:vAlign w:val="center"/>
                </w:tcPr>
                <w:p w14:paraId="0389DAAB">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c>
                <w:tcPr>
                  <w:tcW w:w="1076" w:type="pct"/>
                  <w:tcBorders>
                    <w:tl2br w:val="nil"/>
                    <w:tr2bl w:val="nil"/>
                  </w:tcBorders>
                  <w:noWrap w:val="0"/>
                  <w:tcMar>
                    <w:top w:w="0" w:type="dxa"/>
                    <w:left w:w="0" w:type="dxa"/>
                    <w:bottom w:w="0" w:type="dxa"/>
                    <w:right w:w="0" w:type="dxa"/>
                  </w:tcMar>
                  <w:vAlign w:val="center"/>
                </w:tcPr>
                <w:p w14:paraId="6800569F">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AWA6228+</w:t>
                  </w:r>
                </w:p>
                <w:p w14:paraId="4848CC62">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多功能声级计</w:t>
                  </w:r>
                </w:p>
              </w:tc>
              <w:tc>
                <w:tcPr>
                  <w:tcW w:w="1252" w:type="pct"/>
                  <w:tcBorders>
                    <w:tl2br w:val="nil"/>
                    <w:tr2bl w:val="nil"/>
                  </w:tcBorders>
                  <w:noWrap w:val="0"/>
                  <w:tcMar>
                    <w:top w:w="0" w:type="dxa"/>
                    <w:left w:w="0" w:type="dxa"/>
                    <w:bottom w:w="0" w:type="dxa"/>
                    <w:right w:w="0" w:type="dxa"/>
                  </w:tcMar>
                  <w:vAlign w:val="center"/>
                </w:tcPr>
                <w:p w14:paraId="6513EE5C">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zh-CN" w:eastAsia="zh-CN"/>
                    </w:rPr>
                    <w:t>LSsx2024-14092</w:t>
                  </w:r>
                </w:p>
              </w:tc>
              <w:tc>
                <w:tcPr>
                  <w:tcW w:w="760" w:type="pct"/>
                  <w:tcBorders>
                    <w:tl2br w:val="nil"/>
                    <w:tr2bl w:val="nil"/>
                  </w:tcBorders>
                  <w:noWrap w:val="0"/>
                  <w:tcMar>
                    <w:top w:w="0" w:type="dxa"/>
                    <w:left w:w="0" w:type="dxa"/>
                    <w:bottom w:w="0" w:type="dxa"/>
                    <w:right w:w="0" w:type="dxa"/>
                  </w:tcMar>
                  <w:vAlign w:val="center"/>
                </w:tcPr>
                <w:p w14:paraId="4EEA17DE">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中国计量科学研究院</w:t>
                  </w:r>
                </w:p>
              </w:tc>
              <w:tc>
                <w:tcPr>
                  <w:tcW w:w="1227" w:type="pct"/>
                  <w:tcBorders>
                    <w:tl2br w:val="nil"/>
                    <w:tr2bl w:val="nil"/>
                  </w:tcBorders>
                  <w:noWrap w:val="0"/>
                  <w:tcMar>
                    <w:top w:w="0" w:type="dxa"/>
                    <w:left w:w="0" w:type="dxa"/>
                    <w:bottom w:w="0" w:type="dxa"/>
                    <w:right w:w="0" w:type="dxa"/>
                  </w:tcMar>
                  <w:vAlign w:val="center"/>
                </w:tcPr>
                <w:p w14:paraId="44031307">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2024年10月17日～2025年10月16日</w:t>
                  </w:r>
                </w:p>
              </w:tc>
            </w:tr>
            <w:tr w14:paraId="5A885E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706" w:hRule="atLeast"/>
                <w:jc w:val="center"/>
              </w:trPr>
              <w:tc>
                <w:tcPr>
                  <w:tcW w:w="178" w:type="pct"/>
                  <w:tcBorders>
                    <w:tl2br w:val="nil"/>
                    <w:tr2bl w:val="nil"/>
                  </w:tcBorders>
                  <w:noWrap w:val="0"/>
                  <w:tcMar>
                    <w:top w:w="0" w:type="dxa"/>
                    <w:left w:w="0" w:type="dxa"/>
                    <w:bottom w:w="0" w:type="dxa"/>
                    <w:right w:w="0" w:type="dxa"/>
                  </w:tcMar>
                  <w:vAlign w:val="center"/>
                </w:tcPr>
                <w:p w14:paraId="16EF85F2">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504" w:type="pct"/>
                  <w:vMerge w:val="continue"/>
                  <w:tcBorders>
                    <w:tl2br w:val="nil"/>
                    <w:tr2bl w:val="nil"/>
                  </w:tcBorders>
                  <w:noWrap w:val="0"/>
                  <w:tcMar>
                    <w:top w:w="0" w:type="dxa"/>
                    <w:left w:w="0" w:type="dxa"/>
                    <w:bottom w:w="0" w:type="dxa"/>
                    <w:right w:w="0" w:type="dxa"/>
                  </w:tcMar>
                  <w:vAlign w:val="center"/>
                </w:tcPr>
                <w:p w14:paraId="361EE6DB">
                  <w:pPr>
                    <w:keepNext w:val="0"/>
                    <w:keepLines w:val="0"/>
                    <w:widowControl/>
                    <w:suppressLineNumbers w:val="0"/>
                    <w:spacing w:before="0" w:beforeAutospacing="0" w:after="0" w:afterAutospacing="0"/>
                    <w:ind w:left="0" w:right="0"/>
                    <w:jc w:val="left"/>
                    <w:outlineLvl w:val="9"/>
                    <w:rPr>
                      <w:rFonts w:hint="default" w:ascii="Times New Roman" w:hAnsi="Times New Roman" w:eastAsia="宋体" w:cs="Times New Roman"/>
                      <w:color w:val="auto"/>
                      <w:szCs w:val="21"/>
                    </w:rPr>
                  </w:pPr>
                </w:p>
              </w:tc>
              <w:tc>
                <w:tcPr>
                  <w:tcW w:w="1076" w:type="pct"/>
                  <w:tcBorders>
                    <w:tl2br w:val="nil"/>
                    <w:tr2bl w:val="nil"/>
                  </w:tcBorders>
                  <w:noWrap w:val="0"/>
                  <w:tcMar>
                    <w:top w:w="0" w:type="dxa"/>
                    <w:left w:w="0" w:type="dxa"/>
                    <w:bottom w:w="0" w:type="dxa"/>
                    <w:right w:w="0" w:type="dxa"/>
                  </w:tcMar>
                  <w:vAlign w:val="center"/>
                </w:tcPr>
                <w:p w14:paraId="5455F210">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AWA6021A</w:t>
                  </w:r>
                </w:p>
                <w:p w14:paraId="3989ABEF">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声校准器</w:t>
                  </w:r>
                </w:p>
              </w:tc>
              <w:tc>
                <w:tcPr>
                  <w:tcW w:w="1252" w:type="pct"/>
                  <w:tcBorders>
                    <w:tl2br w:val="nil"/>
                    <w:tr2bl w:val="nil"/>
                  </w:tcBorders>
                  <w:noWrap w:val="0"/>
                  <w:tcMar>
                    <w:top w:w="0" w:type="dxa"/>
                    <w:left w:w="0" w:type="dxa"/>
                    <w:bottom w:w="0" w:type="dxa"/>
                    <w:right w:w="0" w:type="dxa"/>
                  </w:tcMar>
                  <w:vAlign w:val="center"/>
                </w:tcPr>
                <w:p w14:paraId="00006E27">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zh-CN" w:eastAsia="zh-CN"/>
                    </w:rPr>
                    <w:t>LSsx2024-12886</w:t>
                  </w:r>
                </w:p>
              </w:tc>
              <w:tc>
                <w:tcPr>
                  <w:tcW w:w="760" w:type="pct"/>
                  <w:tcBorders>
                    <w:tl2br w:val="nil"/>
                    <w:tr2bl w:val="nil"/>
                  </w:tcBorders>
                  <w:noWrap w:val="0"/>
                  <w:tcMar>
                    <w:top w:w="0" w:type="dxa"/>
                    <w:left w:w="0" w:type="dxa"/>
                    <w:bottom w:w="0" w:type="dxa"/>
                    <w:right w:w="0" w:type="dxa"/>
                  </w:tcMar>
                  <w:vAlign w:val="center"/>
                </w:tcPr>
                <w:p w14:paraId="67601D3F">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中国计量科学研究院</w:t>
                  </w:r>
                </w:p>
              </w:tc>
              <w:tc>
                <w:tcPr>
                  <w:tcW w:w="1227" w:type="pct"/>
                  <w:tcBorders>
                    <w:tl2br w:val="nil"/>
                    <w:tr2bl w:val="nil"/>
                  </w:tcBorders>
                  <w:noWrap w:val="0"/>
                  <w:tcMar>
                    <w:top w:w="0" w:type="dxa"/>
                    <w:left w:w="0" w:type="dxa"/>
                    <w:bottom w:w="0" w:type="dxa"/>
                    <w:right w:w="0" w:type="dxa"/>
                  </w:tcMar>
                  <w:vAlign w:val="center"/>
                </w:tcPr>
                <w:p w14:paraId="19860AD0">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202</w:t>
                  </w:r>
                  <w:r>
                    <w:rPr>
                      <w:rFonts w:hint="default" w:ascii="Times New Roman" w:hAnsi="Times New Roman" w:eastAsia="宋体" w:cs="Times New Roman"/>
                      <w:color w:val="auto"/>
                      <w:szCs w:val="21"/>
                      <w:lang w:val="en-US" w:eastAsia="zh-CN"/>
                    </w:rPr>
                    <w:t>4</w:t>
                  </w:r>
                  <w:r>
                    <w:rPr>
                      <w:rFonts w:hint="default" w:ascii="Times New Roman" w:hAnsi="Times New Roman" w:eastAsia="宋体" w:cs="Times New Roman"/>
                      <w:color w:val="auto"/>
                      <w:szCs w:val="21"/>
                    </w:rPr>
                    <w:t>年</w:t>
                  </w:r>
                  <w:r>
                    <w:rPr>
                      <w:rFonts w:hint="default" w:ascii="Times New Roman" w:hAnsi="Times New Roman" w:eastAsia="宋体" w:cs="Times New Roman"/>
                      <w:color w:val="auto"/>
                      <w:szCs w:val="21"/>
                      <w:lang w:val="en-US" w:eastAsia="zh-CN"/>
                    </w:rPr>
                    <w:t>09</w:t>
                  </w:r>
                  <w:r>
                    <w:rPr>
                      <w:rFonts w:hint="default" w:ascii="Times New Roman" w:hAnsi="Times New Roman" w:eastAsia="宋体" w:cs="Times New Roman"/>
                      <w:color w:val="auto"/>
                      <w:szCs w:val="21"/>
                    </w:rPr>
                    <w:t>月</w:t>
                  </w:r>
                  <w:r>
                    <w:rPr>
                      <w:rFonts w:hint="default" w:ascii="Times New Roman" w:hAnsi="Times New Roman" w:eastAsia="宋体" w:cs="Times New Roman"/>
                      <w:color w:val="auto"/>
                      <w:szCs w:val="21"/>
                      <w:lang w:val="en-US" w:eastAsia="zh-CN"/>
                    </w:rPr>
                    <w:t>13</w:t>
                  </w:r>
                  <w:r>
                    <w:rPr>
                      <w:rFonts w:hint="default" w:ascii="Times New Roman" w:hAnsi="Times New Roman" w:eastAsia="宋体" w:cs="Times New Roman"/>
                      <w:color w:val="auto"/>
                      <w:szCs w:val="21"/>
                    </w:rPr>
                    <w:t>日～202</w:t>
                  </w:r>
                  <w:r>
                    <w:rPr>
                      <w:rFonts w:hint="default"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rPr>
                    <w:t>年</w:t>
                  </w:r>
                  <w:r>
                    <w:rPr>
                      <w:rFonts w:hint="default" w:ascii="Times New Roman" w:hAnsi="Times New Roman" w:eastAsia="宋体" w:cs="Times New Roman"/>
                      <w:color w:val="auto"/>
                      <w:szCs w:val="21"/>
                      <w:lang w:val="en-US" w:eastAsia="zh-CN"/>
                    </w:rPr>
                    <w:t>09</w:t>
                  </w:r>
                  <w:r>
                    <w:rPr>
                      <w:rFonts w:hint="default" w:ascii="Times New Roman" w:hAnsi="Times New Roman" w:eastAsia="宋体" w:cs="Times New Roman"/>
                      <w:color w:val="auto"/>
                      <w:szCs w:val="21"/>
                    </w:rPr>
                    <w:t>月</w:t>
                  </w:r>
                  <w:r>
                    <w:rPr>
                      <w:rFonts w:hint="default" w:ascii="Times New Roman" w:hAnsi="Times New Roman" w:eastAsia="宋体" w:cs="Times New Roman"/>
                      <w:color w:val="auto"/>
                      <w:szCs w:val="21"/>
                      <w:lang w:val="en-US" w:eastAsia="zh-CN"/>
                    </w:rPr>
                    <w:t>12</w:t>
                  </w:r>
                  <w:r>
                    <w:rPr>
                      <w:rFonts w:hint="default" w:ascii="Times New Roman" w:hAnsi="Times New Roman" w:eastAsia="宋体" w:cs="Times New Roman"/>
                      <w:color w:val="auto"/>
                      <w:szCs w:val="21"/>
                    </w:rPr>
                    <w:t>日</w:t>
                  </w:r>
                </w:p>
              </w:tc>
            </w:tr>
            <w:tr w14:paraId="4634F0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706" w:hRule="atLeast"/>
                <w:jc w:val="center"/>
              </w:trPr>
              <w:tc>
                <w:tcPr>
                  <w:tcW w:w="178" w:type="pct"/>
                  <w:tcBorders>
                    <w:tl2br w:val="nil"/>
                    <w:tr2bl w:val="nil"/>
                  </w:tcBorders>
                  <w:noWrap w:val="0"/>
                  <w:tcMar>
                    <w:top w:w="0" w:type="dxa"/>
                    <w:left w:w="0" w:type="dxa"/>
                    <w:bottom w:w="0" w:type="dxa"/>
                    <w:right w:w="0" w:type="dxa"/>
                  </w:tcMar>
                  <w:vAlign w:val="center"/>
                </w:tcPr>
                <w:p w14:paraId="4E116149">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w:t>
                  </w:r>
                </w:p>
              </w:tc>
              <w:tc>
                <w:tcPr>
                  <w:tcW w:w="504" w:type="pct"/>
                  <w:tcBorders>
                    <w:tl2br w:val="nil"/>
                    <w:tr2bl w:val="nil"/>
                  </w:tcBorders>
                  <w:shd w:val="clear" w:color="auto" w:fill="auto"/>
                  <w:noWrap w:val="0"/>
                  <w:tcMar>
                    <w:top w:w="0" w:type="dxa"/>
                    <w:left w:w="0" w:type="dxa"/>
                    <w:bottom w:w="0" w:type="dxa"/>
                    <w:right w:w="0" w:type="dxa"/>
                  </w:tcMar>
                  <w:vAlign w:val="center"/>
                </w:tcPr>
                <w:p w14:paraId="3B8647AA">
                  <w:pPr>
                    <w:keepNext w:val="0"/>
                    <w:keepLines w:val="0"/>
                    <w:widowControl/>
                    <w:suppressLineNumbers w:val="0"/>
                    <w:spacing w:before="0" w:beforeAutospacing="0" w:after="0" w:afterAutospacing="0"/>
                    <w:ind w:left="0" w:leftChars="0" w:right="0" w:right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zh-CN" w:eastAsia="zh-CN"/>
                    </w:rPr>
                    <w:t>风速</w:t>
                  </w:r>
                </w:p>
              </w:tc>
              <w:tc>
                <w:tcPr>
                  <w:tcW w:w="1076" w:type="pct"/>
                  <w:tcBorders>
                    <w:tl2br w:val="nil"/>
                    <w:tr2bl w:val="nil"/>
                  </w:tcBorders>
                  <w:shd w:val="clear" w:color="auto" w:fill="auto"/>
                  <w:noWrap w:val="0"/>
                  <w:tcMar>
                    <w:top w:w="0" w:type="dxa"/>
                    <w:left w:w="0" w:type="dxa"/>
                    <w:bottom w:w="0" w:type="dxa"/>
                    <w:right w:w="0" w:type="dxa"/>
                  </w:tcMar>
                  <w:vAlign w:val="center"/>
                </w:tcPr>
                <w:p w14:paraId="628BC0D7">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color w:val="auto"/>
                      <w:szCs w:val="21"/>
                      <w:lang w:val="zh-CN" w:eastAsia="zh-CN"/>
                    </w:rPr>
                  </w:pPr>
                  <w:r>
                    <w:rPr>
                      <w:rFonts w:hint="default" w:ascii="Times New Roman" w:hAnsi="Times New Roman" w:eastAsia="宋体" w:cs="Times New Roman"/>
                      <w:color w:val="auto"/>
                      <w:szCs w:val="21"/>
                      <w:lang w:val="zh-CN" w:eastAsia="zh-CN"/>
                    </w:rPr>
                    <w:t>HT-91风速仪</w:t>
                  </w:r>
                </w:p>
                <w:p w14:paraId="5D867E12">
                  <w:pPr>
                    <w:keepNext w:val="0"/>
                    <w:keepLines w:val="0"/>
                    <w:suppressLineNumbers w:val="0"/>
                    <w:spacing w:before="0" w:beforeAutospacing="0" w:after="0" w:afterAutospacing="0"/>
                    <w:ind w:left="0" w:leftChars="0" w:right="0" w:right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20190402</w:t>
                  </w:r>
                  <w:r>
                    <w:rPr>
                      <w:rFonts w:hint="eastAsia" w:cs="Times New Roman"/>
                      <w:color w:val="auto"/>
                      <w:szCs w:val="21"/>
                      <w:lang w:val="en-US" w:eastAsia="zh-CN"/>
                    </w:rPr>
                    <w:t>1223</w:t>
                  </w:r>
                </w:p>
              </w:tc>
              <w:tc>
                <w:tcPr>
                  <w:tcW w:w="1252" w:type="pct"/>
                  <w:tcBorders>
                    <w:tl2br w:val="nil"/>
                    <w:tr2bl w:val="nil"/>
                  </w:tcBorders>
                  <w:shd w:val="clear" w:color="auto" w:fill="auto"/>
                  <w:noWrap w:val="0"/>
                  <w:tcMar>
                    <w:top w:w="0" w:type="dxa"/>
                    <w:left w:w="0" w:type="dxa"/>
                    <w:bottom w:w="0" w:type="dxa"/>
                    <w:right w:w="0" w:type="dxa"/>
                  </w:tcMar>
                  <w:vAlign w:val="center"/>
                </w:tcPr>
                <w:p w14:paraId="02C9C3CA">
                  <w:pPr>
                    <w:keepNext w:val="0"/>
                    <w:keepLines w:val="0"/>
                    <w:suppressLineNumbers w:val="0"/>
                    <w:spacing w:before="0" w:beforeAutospacing="0" w:after="0" w:afterAutospacing="0"/>
                    <w:ind w:left="0" w:leftChars="0" w:right="0" w:rightChars="0"/>
                    <w:jc w:val="center"/>
                    <w:outlineLvl w:val="9"/>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szCs w:val="21"/>
                      <w:lang w:val="zh-CN" w:eastAsia="zh-CN"/>
                    </w:rPr>
                    <w:t>J202404281135-000</w:t>
                  </w:r>
                  <w:r>
                    <w:rPr>
                      <w:rFonts w:hint="eastAsia" w:cs="Times New Roman"/>
                      <w:color w:val="auto"/>
                      <w:szCs w:val="21"/>
                      <w:lang w:val="en-US" w:eastAsia="zh-CN"/>
                    </w:rPr>
                    <w:t>1</w:t>
                  </w:r>
                </w:p>
              </w:tc>
              <w:tc>
                <w:tcPr>
                  <w:tcW w:w="760" w:type="pct"/>
                  <w:tcBorders>
                    <w:tl2br w:val="nil"/>
                    <w:tr2bl w:val="nil"/>
                  </w:tcBorders>
                  <w:shd w:val="clear" w:color="auto" w:fill="auto"/>
                  <w:noWrap w:val="0"/>
                  <w:tcMar>
                    <w:top w:w="0" w:type="dxa"/>
                    <w:left w:w="0" w:type="dxa"/>
                    <w:bottom w:w="0" w:type="dxa"/>
                    <w:right w:w="0" w:type="dxa"/>
                  </w:tcMar>
                  <w:vAlign w:val="center"/>
                </w:tcPr>
                <w:p w14:paraId="2376B251">
                  <w:pPr>
                    <w:keepNext w:val="0"/>
                    <w:keepLines w:val="0"/>
                    <w:suppressLineNumbers w:val="0"/>
                    <w:spacing w:before="0" w:beforeAutospacing="0" w:after="0" w:afterAutospacing="0"/>
                    <w:ind w:left="0" w:leftChars="0" w:right="0" w:right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广电计量检测集团股份有限公司</w:t>
                  </w:r>
                </w:p>
              </w:tc>
              <w:tc>
                <w:tcPr>
                  <w:tcW w:w="1227" w:type="pct"/>
                  <w:tcBorders>
                    <w:tl2br w:val="nil"/>
                    <w:tr2bl w:val="nil"/>
                  </w:tcBorders>
                  <w:shd w:val="clear" w:color="auto" w:fill="auto"/>
                  <w:noWrap w:val="0"/>
                  <w:tcMar>
                    <w:top w:w="0" w:type="dxa"/>
                    <w:left w:w="0" w:type="dxa"/>
                    <w:bottom w:w="0" w:type="dxa"/>
                    <w:right w:w="0" w:type="dxa"/>
                  </w:tcMar>
                  <w:vAlign w:val="center"/>
                </w:tcPr>
                <w:p w14:paraId="30E96B0E">
                  <w:pPr>
                    <w:keepNext w:val="0"/>
                    <w:keepLines w:val="0"/>
                    <w:suppressLineNumbers w:val="0"/>
                    <w:spacing w:before="0" w:beforeAutospacing="0" w:after="0" w:afterAutospacing="0"/>
                    <w:ind w:left="0" w:leftChars="0" w:right="0" w:right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zh-CN" w:eastAsia="zh-CN"/>
                    </w:rPr>
                    <w:t>20</w:t>
                  </w:r>
                  <w:r>
                    <w:rPr>
                      <w:rFonts w:hint="default" w:ascii="Times New Roman" w:hAnsi="Times New Roman" w:eastAsia="宋体" w:cs="Times New Roman"/>
                      <w:color w:val="auto"/>
                      <w:szCs w:val="21"/>
                      <w:lang w:val="en-US" w:eastAsia="zh-CN"/>
                    </w:rPr>
                    <w:t>24</w:t>
                  </w:r>
                  <w:r>
                    <w:rPr>
                      <w:rFonts w:hint="default" w:ascii="Times New Roman" w:hAnsi="Times New Roman" w:eastAsia="宋体" w:cs="Times New Roman"/>
                      <w:color w:val="auto"/>
                      <w:szCs w:val="21"/>
                      <w:lang w:val="zh-CN" w:eastAsia="zh-CN"/>
                    </w:rPr>
                    <w:t>年0</w:t>
                  </w:r>
                  <w:r>
                    <w:rPr>
                      <w:rFonts w:hint="default" w:ascii="Times New Roman" w:hAnsi="Times New Roman" w:eastAsia="宋体" w:cs="Times New Roman"/>
                      <w:color w:val="auto"/>
                      <w:szCs w:val="21"/>
                      <w:lang w:val="en-US" w:eastAsia="zh-CN"/>
                    </w:rPr>
                    <w:t>5月06日</w:t>
                  </w:r>
                  <w:r>
                    <w:rPr>
                      <w:rFonts w:hint="default" w:ascii="Times New Roman" w:hAnsi="Times New Roman" w:eastAsia="宋体" w:cs="Times New Roman"/>
                      <w:color w:val="auto"/>
                      <w:szCs w:val="21"/>
                      <w:lang w:val="zh-CN" w:eastAsia="zh-CN"/>
                    </w:rPr>
                    <w:t>～202</w:t>
                  </w:r>
                  <w:r>
                    <w:rPr>
                      <w:rFonts w:hint="default"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lang w:val="zh-CN" w:eastAsia="zh-CN"/>
                    </w:rPr>
                    <w:t>年0</w:t>
                  </w:r>
                  <w:r>
                    <w:rPr>
                      <w:rFonts w:hint="default"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lang w:val="zh-CN" w:eastAsia="zh-CN"/>
                    </w:rPr>
                    <w:t>月</w:t>
                  </w:r>
                  <w:r>
                    <w:rPr>
                      <w:rFonts w:hint="default" w:ascii="Times New Roman" w:hAnsi="Times New Roman" w:eastAsia="宋体" w:cs="Times New Roman"/>
                      <w:color w:val="auto"/>
                      <w:szCs w:val="21"/>
                      <w:lang w:val="en-US" w:eastAsia="zh-CN"/>
                    </w:rPr>
                    <w:t>05</w:t>
                  </w:r>
                  <w:r>
                    <w:rPr>
                      <w:rFonts w:hint="default" w:ascii="Times New Roman" w:hAnsi="Times New Roman" w:eastAsia="宋体" w:cs="Times New Roman"/>
                      <w:color w:val="auto"/>
                      <w:szCs w:val="21"/>
                      <w:lang w:val="zh-CN" w:eastAsia="zh-CN"/>
                    </w:rPr>
                    <w:t>日</w:t>
                  </w:r>
                </w:p>
              </w:tc>
            </w:tr>
            <w:tr w14:paraId="2276E9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706" w:hRule="atLeast"/>
                <w:jc w:val="center"/>
              </w:trPr>
              <w:tc>
                <w:tcPr>
                  <w:tcW w:w="178" w:type="pct"/>
                  <w:tcBorders>
                    <w:tl2br w:val="nil"/>
                    <w:tr2bl w:val="nil"/>
                  </w:tcBorders>
                  <w:noWrap w:val="0"/>
                  <w:tcMar>
                    <w:top w:w="0" w:type="dxa"/>
                    <w:left w:w="0" w:type="dxa"/>
                    <w:bottom w:w="0" w:type="dxa"/>
                    <w:right w:w="0" w:type="dxa"/>
                  </w:tcMar>
                  <w:vAlign w:val="center"/>
                </w:tcPr>
                <w:p w14:paraId="7BD7BC83">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w:t>
                  </w:r>
                </w:p>
              </w:tc>
              <w:tc>
                <w:tcPr>
                  <w:tcW w:w="504" w:type="pct"/>
                  <w:tcBorders>
                    <w:tl2br w:val="nil"/>
                    <w:tr2bl w:val="nil"/>
                  </w:tcBorders>
                  <w:shd w:val="clear" w:color="auto" w:fill="auto"/>
                  <w:noWrap w:val="0"/>
                  <w:tcMar>
                    <w:top w:w="0" w:type="dxa"/>
                    <w:left w:w="0" w:type="dxa"/>
                    <w:bottom w:w="0" w:type="dxa"/>
                    <w:right w:w="0" w:type="dxa"/>
                  </w:tcMar>
                  <w:vAlign w:val="center"/>
                </w:tcPr>
                <w:p w14:paraId="64ED39E1">
                  <w:pPr>
                    <w:keepNext w:val="0"/>
                    <w:keepLines w:val="0"/>
                    <w:widowControl/>
                    <w:suppressLineNumbers w:val="0"/>
                    <w:spacing w:before="0" w:beforeAutospacing="0" w:after="0" w:afterAutospacing="0"/>
                    <w:ind w:left="0" w:leftChars="0" w:right="0" w:right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温</w:t>
                  </w:r>
                  <w:r>
                    <w:rPr>
                      <w:rFonts w:hint="default" w:ascii="Times New Roman" w:hAnsi="Times New Roman" w:eastAsia="宋体" w:cs="Times New Roman"/>
                      <w:color w:val="auto"/>
                      <w:szCs w:val="21"/>
                    </w:rPr>
                    <w:t>湿度</w:t>
                  </w:r>
                </w:p>
              </w:tc>
              <w:tc>
                <w:tcPr>
                  <w:tcW w:w="1076" w:type="pct"/>
                  <w:tcBorders>
                    <w:tl2br w:val="nil"/>
                    <w:tr2bl w:val="nil"/>
                  </w:tcBorders>
                  <w:shd w:val="clear" w:color="auto" w:fill="auto"/>
                  <w:noWrap w:val="0"/>
                  <w:tcMar>
                    <w:top w:w="0" w:type="dxa"/>
                    <w:left w:w="0" w:type="dxa"/>
                    <w:bottom w:w="0" w:type="dxa"/>
                    <w:right w:w="0" w:type="dxa"/>
                  </w:tcMar>
                  <w:vAlign w:val="center"/>
                </w:tcPr>
                <w:p w14:paraId="5868C2AA">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TY-2060</w:t>
                  </w:r>
                </w:p>
                <w:p w14:paraId="6FC24E1C">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数字温湿度计</w:t>
                  </w:r>
                </w:p>
                <w:p w14:paraId="4D2D51B1">
                  <w:pPr>
                    <w:keepNext w:val="0"/>
                    <w:keepLines w:val="0"/>
                    <w:suppressLineNumbers w:val="0"/>
                    <w:spacing w:before="0" w:beforeAutospacing="0" w:after="0" w:afterAutospacing="0"/>
                    <w:ind w:left="0" w:leftChars="0" w:right="0" w:rightChars="0"/>
                    <w:jc w:val="center"/>
                    <w:outlineLvl w:val="9"/>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70216</w:t>
                  </w:r>
                  <w:r>
                    <w:rPr>
                      <w:rFonts w:hint="eastAsia" w:cs="Times New Roman"/>
                      <w:color w:val="auto"/>
                      <w:szCs w:val="21"/>
                      <w:lang w:val="en-US" w:eastAsia="zh-CN"/>
                    </w:rPr>
                    <w:t>7</w:t>
                  </w:r>
                </w:p>
              </w:tc>
              <w:tc>
                <w:tcPr>
                  <w:tcW w:w="1252" w:type="pct"/>
                  <w:tcBorders>
                    <w:tl2br w:val="nil"/>
                    <w:tr2bl w:val="nil"/>
                  </w:tcBorders>
                  <w:shd w:val="clear" w:color="auto" w:fill="auto"/>
                  <w:noWrap w:val="0"/>
                  <w:tcMar>
                    <w:top w:w="0" w:type="dxa"/>
                    <w:left w:w="0" w:type="dxa"/>
                    <w:bottom w:w="0" w:type="dxa"/>
                    <w:right w:w="0" w:type="dxa"/>
                  </w:tcMar>
                  <w:vAlign w:val="center"/>
                </w:tcPr>
                <w:p w14:paraId="7A5F7E8A">
                  <w:pPr>
                    <w:keepNext w:val="0"/>
                    <w:keepLines w:val="0"/>
                    <w:suppressLineNumbers w:val="0"/>
                    <w:spacing w:before="0" w:beforeAutospacing="0" w:after="0" w:afterAutospacing="0"/>
                    <w:ind w:left="0" w:leftChars="0" w:right="0" w:rightChars="0"/>
                    <w:jc w:val="center"/>
                    <w:outlineLvl w:val="9"/>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szCs w:val="21"/>
                      <w:lang w:val="zh-CN" w:eastAsia="zh-CN"/>
                    </w:rPr>
                    <w:t>J202404281135-000</w:t>
                  </w:r>
                  <w:r>
                    <w:rPr>
                      <w:rFonts w:hint="eastAsia" w:cs="Times New Roman"/>
                      <w:color w:val="auto"/>
                      <w:szCs w:val="21"/>
                      <w:lang w:val="en-US" w:eastAsia="zh-CN"/>
                    </w:rPr>
                    <w:t>5</w:t>
                  </w:r>
                </w:p>
              </w:tc>
              <w:tc>
                <w:tcPr>
                  <w:tcW w:w="760" w:type="pct"/>
                  <w:tcBorders>
                    <w:tl2br w:val="nil"/>
                    <w:tr2bl w:val="nil"/>
                  </w:tcBorders>
                  <w:shd w:val="clear" w:color="auto" w:fill="auto"/>
                  <w:noWrap w:val="0"/>
                  <w:tcMar>
                    <w:top w:w="0" w:type="dxa"/>
                    <w:left w:w="0" w:type="dxa"/>
                    <w:bottom w:w="0" w:type="dxa"/>
                    <w:right w:w="0" w:type="dxa"/>
                  </w:tcMar>
                  <w:vAlign w:val="center"/>
                </w:tcPr>
                <w:p w14:paraId="72887AF1">
                  <w:pPr>
                    <w:keepNext w:val="0"/>
                    <w:keepLines w:val="0"/>
                    <w:suppressLineNumbers w:val="0"/>
                    <w:spacing w:before="0" w:beforeAutospacing="0" w:after="0" w:afterAutospacing="0"/>
                    <w:ind w:left="0" w:leftChars="0" w:right="0" w:right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广电计量检测集团股份有限公司</w:t>
                  </w:r>
                </w:p>
              </w:tc>
              <w:tc>
                <w:tcPr>
                  <w:tcW w:w="1227" w:type="pct"/>
                  <w:tcBorders>
                    <w:tl2br w:val="nil"/>
                    <w:tr2bl w:val="nil"/>
                  </w:tcBorders>
                  <w:shd w:val="clear" w:color="auto" w:fill="auto"/>
                  <w:noWrap w:val="0"/>
                  <w:tcMar>
                    <w:top w:w="0" w:type="dxa"/>
                    <w:left w:w="0" w:type="dxa"/>
                    <w:bottom w:w="0" w:type="dxa"/>
                    <w:right w:w="0" w:type="dxa"/>
                  </w:tcMar>
                  <w:vAlign w:val="center"/>
                </w:tcPr>
                <w:p w14:paraId="3B12DB98">
                  <w:pPr>
                    <w:keepNext w:val="0"/>
                    <w:keepLines w:val="0"/>
                    <w:suppressLineNumbers w:val="0"/>
                    <w:spacing w:before="0" w:beforeAutospacing="0" w:after="0" w:afterAutospacing="0"/>
                    <w:ind w:left="0" w:leftChars="0" w:right="0" w:right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zh-CN" w:eastAsia="zh-CN"/>
                    </w:rPr>
                    <w:t>2024年05月0</w:t>
                  </w:r>
                  <w:r>
                    <w:rPr>
                      <w:rFonts w:hint="default" w:ascii="Times New Roman" w:hAnsi="Times New Roman" w:eastAsia="宋体" w:cs="Times New Roman"/>
                      <w:color w:val="auto"/>
                      <w:szCs w:val="21"/>
                      <w:lang w:val="en-US" w:eastAsia="zh-CN"/>
                    </w:rPr>
                    <w:t>7</w:t>
                  </w:r>
                  <w:r>
                    <w:rPr>
                      <w:rFonts w:hint="default" w:ascii="Times New Roman" w:hAnsi="Times New Roman" w:eastAsia="宋体" w:cs="Times New Roman"/>
                      <w:color w:val="auto"/>
                      <w:szCs w:val="21"/>
                      <w:lang w:val="zh-CN" w:eastAsia="zh-CN"/>
                    </w:rPr>
                    <w:t>日～2025年05月0</w:t>
                  </w:r>
                  <w:r>
                    <w:rPr>
                      <w:rFonts w:hint="default" w:ascii="Times New Roman" w:hAnsi="Times New Roman" w:eastAsia="宋体" w:cs="Times New Roman"/>
                      <w:color w:val="auto"/>
                      <w:szCs w:val="21"/>
                      <w:lang w:val="en-US" w:eastAsia="zh-CN"/>
                    </w:rPr>
                    <w:t>6</w:t>
                  </w:r>
                  <w:r>
                    <w:rPr>
                      <w:rFonts w:hint="default" w:ascii="Times New Roman" w:hAnsi="Times New Roman" w:eastAsia="宋体" w:cs="Times New Roman"/>
                      <w:color w:val="auto"/>
                      <w:szCs w:val="21"/>
                      <w:lang w:val="zh-CN" w:eastAsia="zh-CN"/>
                    </w:rPr>
                    <w:t>日</w:t>
                  </w:r>
                </w:p>
              </w:tc>
            </w:tr>
          </w:tbl>
          <w:p w14:paraId="12E79AD5">
            <w:pPr>
              <w:keepNext w:val="0"/>
              <w:keepLines w:val="0"/>
              <w:pageBreakBefore w:val="0"/>
              <w:widowControl w:val="0"/>
              <w:suppressLineNumbers w:val="0"/>
              <w:kinsoku/>
              <w:wordWrap/>
              <w:overflowPunct/>
              <w:topLinePunct w:val="0"/>
              <w:autoSpaceDE w:val="0"/>
              <w:autoSpaceDN w:val="0"/>
              <w:bidi w:val="0"/>
              <w:adjustRightInd w:val="0"/>
              <w:snapToGrid w:val="0"/>
              <w:spacing w:before="313" w:beforeLines="10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sz w:val="24"/>
                <w:highlight w:val="none"/>
              </w:rPr>
              <w:t>监测条件：天气</w:t>
            </w:r>
            <w:r>
              <w:rPr>
                <w:rFonts w:hint="default" w:ascii="Times New Roman" w:hAnsi="Times New Roman" w:cs="Times New Roman"/>
                <w:color w:val="auto"/>
                <w:sz w:val="24"/>
                <w:highlight w:val="none"/>
                <w:lang w:eastAsia="zh-CN"/>
              </w:rPr>
              <w:t>晴</w:t>
            </w:r>
            <w:r>
              <w:rPr>
                <w:rFonts w:hint="default" w:ascii="Times New Roman" w:hAnsi="Times New Roman" w:eastAsia="宋体" w:cs="Times New Roman"/>
                <w:color w:val="auto"/>
                <w:sz w:val="24"/>
                <w:highlight w:val="none"/>
              </w:rPr>
              <w:t>、相对湿</w:t>
            </w:r>
            <w:r>
              <w:rPr>
                <w:rFonts w:hint="default" w:ascii="Times New Roman" w:hAnsi="Times New Roman" w:eastAsia="宋体" w:cs="Times New Roman"/>
                <w:color w:val="auto"/>
                <w:sz w:val="24"/>
              </w:rPr>
              <w:t>度</w:t>
            </w:r>
            <w:r>
              <w:rPr>
                <w:rFonts w:hint="default" w:ascii="Times New Roman" w:hAnsi="Times New Roman" w:cs="Times New Roman"/>
                <w:color w:val="auto"/>
                <w:sz w:val="24"/>
                <w:lang w:val="en-US" w:eastAsia="zh-CN"/>
              </w:rPr>
              <w:t>2</w:t>
            </w:r>
            <w:r>
              <w:rPr>
                <w:rFonts w:hint="eastAsia" w:cs="Times New Roman"/>
                <w:color w:val="auto"/>
                <w:sz w:val="24"/>
                <w:lang w:val="en-US" w:eastAsia="zh-CN"/>
              </w:rPr>
              <w:t>8</w:t>
            </w:r>
            <w:r>
              <w:rPr>
                <w:rFonts w:hint="default" w:ascii="Times New Roman" w:hAnsi="Times New Roman" w:cs="Times New Roman"/>
                <w:color w:val="auto"/>
                <w:sz w:val="24"/>
                <w:lang w:val="en-US" w:eastAsia="zh-CN"/>
              </w:rPr>
              <w:t>%～3</w:t>
            </w:r>
            <w:r>
              <w:rPr>
                <w:rFonts w:hint="eastAsia" w:cs="Times New Roman"/>
                <w:color w:val="auto"/>
                <w:sz w:val="24"/>
                <w:lang w:val="en-US" w:eastAsia="zh-CN"/>
              </w:rPr>
              <w:t>4</w:t>
            </w:r>
            <w:r>
              <w:rPr>
                <w:rFonts w:hint="default" w:ascii="Times New Roman" w:hAnsi="Times New Roman" w:eastAsia="宋体" w:cs="Times New Roman"/>
                <w:color w:val="auto"/>
                <w:sz w:val="24"/>
              </w:rPr>
              <w:t>%、温度</w:t>
            </w:r>
            <w:r>
              <w:rPr>
                <w:rFonts w:hint="eastAsia" w:cs="Times New Roman"/>
                <w:color w:val="auto"/>
                <w:sz w:val="24"/>
                <w:lang w:val="en-US" w:eastAsia="zh-CN"/>
              </w:rPr>
              <w:t>3</w:t>
            </w:r>
            <w:r>
              <w:rPr>
                <w:rFonts w:hint="default" w:ascii="Times New Roman" w:hAnsi="Times New Roman" w:eastAsia="宋体" w:cs="Times New Roman"/>
                <w:color w:val="auto"/>
                <w:sz w:val="24"/>
              </w:rPr>
              <w:t>～</w:t>
            </w:r>
            <w:r>
              <w:rPr>
                <w:rFonts w:hint="eastAsia" w:cs="Times New Roman"/>
                <w:color w:val="auto"/>
                <w:sz w:val="24"/>
                <w:lang w:val="en-US" w:eastAsia="zh-CN"/>
              </w:rPr>
              <w:t>11</w:t>
            </w:r>
            <w:r>
              <w:rPr>
                <w:rFonts w:hint="default" w:ascii="Times New Roman" w:hAnsi="Times New Roman" w:eastAsia="宋体" w:cs="Times New Roman"/>
                <w:color w:val="auto"/>
                <w:sz w:val="24"/>
              </w:rPr>
              <w:t>℃、风速</w:t>
            </w:r>
            <w:r>
              <w:rPr>
                <w:rFonts w:hint="default" w:ascii="Times New Roman" w:hAnsi="Times New Roman" w:cs="Times New Roman"/>
                <w:color w:val="auto"/>
                <w:sz w:val="24"/>
                <w:lang w:val="en-US" w:eastAsia="zh-CN"/>
              </w:rPr>
              <w:t>昼间</w:t>
            </w:r>
            <w:r>
              <w:rPr>
                <w:rFonts w:hint="eastAsia" w:cs="Times New Roman"/>
                <w:color w:val="auto"/>
                <w:sz w:val="24"/>
                <w:lang w:val="en-US" w:eastAsia="zh-CN"/>
              </w:rPr>
              <w:t>2.2</w:t>
            </w:r>
            <w:r>
              <w:rPr>
                <w:rFonts w:hint="default" w:ascii="Times New Roman" w:hAnsi="Times New Roman" w:eastAsia="宋体" w:cs="Times New Roman"/>
                <w:color w:val="auto"/>
                <w:sz w:val="24"/>
              </w:rPr>
              <w:t>～</w:t>
            </w:r>
            <w:r>
              <w:rPr>
                <w:rFonts w:hint="default" w:ascii="Times New Roman" w:hAnsi="Times New Roman" w:cs="Times New Roman"/>
                <w:color w:val="auto"/>
                <w:sz w:val="24"/>
                <w:lang w:val="en-US" w:eastAsia="zh-CN"/>
              </w:rPr>
              <w:t>3</w:t>
            </w:r>
            <w:r>
              <w:rPr>
                <w:rFonts w:hint="default" w:ascii="Times New Roman" w:hAnsi="Times New Roman" w:eastAsia="宋体" w:cs="Times New Roman"/>
                <w:color w:val="auto"/>
                <w:sz w:val="24"/>
                <w:lang w:val="en-US" w:eastAsia="zh-CN"/>
              </w:rPr>
              <w:t>.</w:t>
            </w:r>
            <w:r>
              <w:rPr>
                <w:rFonts w:hint="eastAsia" w:cs="Times New Roman"/>
                <w:color w:val="auto"/>
                <w:sz w:val="24"/>
                <w:lang w:val="en-US" w:eastAsia="zh-CN"/>
              </w:rPr>
              <w:t>3</w:t>
            </w:r>
            <w:r>
              <w:rPr>
                <w:rFonts w:hint="default" w:ascii="Times New Roman" w:hAnsi="Times New Roman" w:eastAsia="宋体" w:cs="Times New Roman"/>
                <w:color w:val="auto"/>
                <w:sz w:val="24"/>
              </w:rPr>
              <w:t>m/s</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夜间</w:t>
            </w:r>
            <w:r>
              <w:rPr>
                <w:rFonts w:hint="eastAsia" w:cs="Times New Roman"/>
                <w:color w:val="auto"/>
                <w:sz w:val="24"/>
                <w:lang w:val="en-US" w:eastAsia="zh-CN"/>
              </w:rPr>
              <w:t>2.1</w:t>
            </w:r>
            <w:r>
              <w:rPr>
                <w:rFonts w:hint="default" w:ascii="Times New Roman" w:hAnsi="Times New Roman" w:cs="Times New Roman"/>
                <w:color w:val="auto"/>
                <w:sz w:val="24"/>
                <w:lang w:val="en-US" w:eastAsia="zh-CN"/>
              </w:rPr>
              <w:t>～</w:t>
            </w:r>
            <w:r>
              <w:rPr>
                <w:rFonts w:hint="eastAsia" w:cs="Times New Roman"/>
                <w:color w:val="auto"/>
                <w:sz w:val="24"/>
                <w:lang w:val="en-US" w:eastAsia="zh-CN"/>
              </w:rPr>
              <w:t>2.9</w:t>
            </w:r>
            <w:r>
              <w:rPr>
                <w:rFonts w:hint="default" w:ascii="Times New Roman" w:hAnsi="Times New Roman" w:cs="Times New Roman"/>
                <w:color w:val="auto"/>
                <w:sz w:val="24"/>
                <w:lang w:val="en-US" w:eastAsia="zh-CN"/>
              </w:rPr>
              <w:t>m/s</w:t>
            </w:r>
            <w:r>
              <w:rPr>
                <w:rFonts w:hint="default" w:ascii="Times New Roman" w:hAnsi="Times New Roman" w:eastAsia="宋体" w:cs="Times New Roman"/>
                <w:color w:val="auto"/>
                <w:sz w:val="24"/>
              </w:rPr>
              <w:t>。</w:t>
            </w:r>
          </w:p>
          <w:p w14:paraId="654A4C9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textAlignment w:val="auto"/>
              <w:outlineLvl w:val="9"/>
              <w:rPr>
                <w:rFonts w:hint="default" w:ascii="Times New Roman" w:hAnsi="Times New Roman" w:eastAsia="宋体" w:cs="Times New Roman"/>
                <w:b/>
                <w:color w:val="auto"/>
                <w:sz w:val="24"/>
              </w:rPr>
            </w:pPr>
            <w:r>
              <w:rPr>
                <w:rFonts w:hint="default" w:ascii="Times New Roman" w:hAnsi="Times New Roman" w:cs="Times New Roman"/>
                <w:b/>
                <w:color w:val="auto"/>
                <w:sz w:val="24"/>
                <w:lang w:val="en-US" w:eastAsia="zh-CN"/>
              </w:rPr>
              <w:t>6</w:t>
            </w:r>
            <w:r>
              <w:rPr>
                <w:rFonts w:hint="default" w:ascii="Times New Roman" w:hAnsi="Times New Roman" w:eastAsia="宋体" w:cs="Times New Roman"/>
                <w:b/>
                <w:color w:val="auto"/>
                <w:sz w:val="24"/>
              </w:rPr>
              <w:t>.5监测结果</w:t>
            </w:r>
          </w:p>
          <w:p w14:paraId="287F8EC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监测结果，见表3-</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w:t>
            </w:r>
          </w:p>
          <w:p w14:paraId="75E0D1C5">
            <w:pPr>
              <w:keepNext w:val="0"/>
              <w:keepLines w:val="0"/>
              <w:suppressLineNumbers w:val="0"/>
              <w:autoSpaceDE w:val="0"/>
              <w:autoSpaceDN w:val="0"/>
              <w:adjustRightInd w:val="0"/>
              <w:snapToGrid w:val="0"/>
              <w:spacing w:before="0" w:beforeAutospacing="0" w:after="0" w:afterAutospacing="0"/>
              <w:ind w:left="0" w:right="0"/>
              <w:jc w:val="center"/>
              <w:outlineLvl w:val="9"/>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表3-</w:t>
            </w:r>
            <w:r>
              <w:rPr>
                <w:rFonts w:hint="default" w:ascii="Times New Roman" w:hAnsi="Times New Roman" w:eastAsia="宋体" w:cs="Times New Roman"/>
                <w:b/>
                <w:bCs/>
                <w:color w:val="auto"/>
                <w:sz w:val="24"/>
                <w:lang w:val="en-US" w:eastAsia="zh-CN"/>
              </w:rPr>
              <w:t>4</w:t>
            </w:r>
            <w:r>
              <w:rPr>
                <w:rFonts w:hint="eastAsia" w:cs="Times New Roman"/>
                <w:b/>
                <w:bCs/>
                <w:color w:val="auto"/>
                <w:sz w:val="24"/>
                <w:lang w:val="en-US" w:eastAsia="zh-CN"/>
              </w:rPr>
              <w:t xml:space="preserve">    </w:t>
            </w:r>
            <w:r>
              <w:rPr>
                <w:rFonts w:hint="default" w:ascii="Times New Roman" w:hAnsi="Times New Roman" w:eastAsia="宋体" w:cs="Times New Roman"/>
                <w:b/>
                <w:bCs/>
                <w:color w:val="auto"/>
                <w:sz w:val="24"/>
              </w:rPr>
              <w:t>声环境现状</w:t>
            </w:r>
            <w:r>
              <w:rPr>
                <w:rFonts w:hint="default" w:ascii="Times New Roman" w:hAnsi="Times New Roman" w:eastAsia="宋体" w:cs="Times New Roman"/>
                <w:b/>
                <w:bCs/>
                <w:color w:val="auto"/>
                <w:sz w:val="24"/>
                <w:highlight w:val="none"/>
              </w:rPr>
              <w:t>监测</w:t>
            </w:r>
            <w:r>
              <w:rPr>
                <w:rFonts w:hint="default" w:ascii="Times New Roman" w:hAnsi="Times New Roman" w:eastAsia="宋体" w:cs="Times New Roman"/>
                <w:b/>
                <w:bCs/>
                <w:color w:val="auto"/>
                <w:sz w:val="24"/>
              </w:rPr>
              <w:t>结果</w:t>
            </w:r>
          </w:p>
          <w:tbl>
            <w:tblPr>
              <w:tblStyle w:val="3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4704"/>
              <w:gridCol w:w="1021"/>
              <w:gridCol w:w="1023"/>
            </w:tblGrid>
            <w:tr w14:paraId="672128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880" w:type="dxa"/>
                  <w:vMerge w:val="restart"/>
                  <w:tcBorders>
                    <w:tl2br w:val="nil"/>
                    <w:tr2bl w:val="nil"/>
                  </w:tcBorders>
                  <w:noWrap w:val="0"/>
                  <w:vAlign w:val="center"/>
                </w:tcPr>
                <w:p w14:paraId="443C2909">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w:t>
                  </w:r>
                </w:p>
                <w:p w14:paraId="04F67229">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位编号</w:t>
                  </w:r>
                </w:p>
              </w:tc>
              <w:tc>
                <w:tcPr>
                  <w:tcW w:w="4704" w:type="dxa"/>
                  <w:vMerge w:val="restart"/>
                  <w:tcBorders>
                    <w:tl2br w:val="nil"/>
                    <w:tr2bl w:val="nil"/>
                  </w:tcBorders>
                  <w:noWrap w:val="0"/>
                  <w:vAlign w:val="center"/>
                </w:tcPr>
                <w:p w14:paraId="49EFC97E">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测点描述</w:t>
                  </w:r>
                </w:p>
              </w:tc>
              <w:tc>
                <w:tcPr>
                  <w:tcW w:w="2044" w:type="dxa"/>
                  <w:gridSpan w:val="2"/>
                  <w:tcBorders>
                    <w:tl2br w:val="nil"/>
                    <w:tr2bl w:val="nil"/>
                  </w:tcBorders>
                  <w:noWrap w:val="0"/>
                  <w:vAlign w:val="center"/>
                </w:tcPr>
                <w:p w14:paraId="7E3D50DE">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highlight w:val="none"/>
                      <w:lang w:val="en-US" w:eastAsia="zh-CN"/>
                    </w:rPr>
                    <w:t>监</w:t>
                  </w:r>
                  <w:r>
                    <w:rPr>
                      <w:rFonts w:hint="default" w:ascii="Times New Roman" w:hAnsi="Times New Roman" w:eastAsia="宋体" w:cs="Times New Roman"/>
                      <w:b/>
                      <w:color w:val="auto"/>
                      <w:sz w:val="21"/>
                      <w:szCs w:val="21"/>
                      <w:highlight w:val="none"/>
                    </w:rPr>
                    <w:t>测</w:t>
                  </w:r>
                  <w:r>
                    <w:rPr>
                      <w:rFonts w:hint="default" w:ascii="Times New Roman" w:hAnsi="Times New Roman" w:eastAsia="宋体" w:cs="Times New Roman"/>
                      <w:b/>
                      <w:color w:val="auto"/>
                      <w:sz w:val="21"/>
                      <w:szCs w:val="21"/>
                    </w:rPr>
                    <w:t>数值</w:t>
                  </w:r>
                  <w:r>
                    <w:rPr>
                      <w:rFonts w:hint="eastAsia" w:cs="Times New Roman"/>
                      <w:b/>
                      <w:color w:val="auto"/>
                      <w:sz w:val="21"/>
                      <w:szCs w:val="21"/>
                      <w:lang w:eastAsia="zh-CN"/>
                    </w:rPr>
                    <w:t>（</w:t>
                  </w:r>
                  <w:r>
                    <w:rPr>
                      <w:rFonts w:hint="default" w:ascii="Times New Roman" w:hAnsi="Times New Roman" w:eastAsia="宋体" w:cs="Times New Roman"/>
                      <w:b/>
                      <w:color w:val="auto"/>
                      <w:sz w:val="21"/>
                      <w:szCs w:val="21"/>
                    </w:rPr>
                    <w:t>dBA</w:t>
                  </w:r>
                  <w:r>
                    <w:rPr>
                      <w:rFonts w:hint="eastAsia" w:cs="Times New Roman"/>
                      <w:b/>
                      <w:color w:val="auto"/>
                      <w:sz w:val="21"/>
                      <w:szCs w:val="21"/>
                      <w:lang w:eastAsia="zh-CN"/>
                    </w:rPr>
                    <w:t>）</w:t>
                  </w:r>
                </w:p>
              </w:tc>
            </w:tr>
            <w:tr w14:paraId="56C463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880" w:type="dxa"/>
                  <w:vMerge w:val="continue"/>
                  <w:tcBorders>
                    <w:tl2br w:val="nil"/>
                    <w:tr2bl w:val="nil"/>
                  </w:tcBorders>
                  <w:noWrap w:val="0"/>
                  <w:vAlign w:val="center"/>
                </w:tcPr>
                <w:p w14:paraId="332421B4">
                  <w:pPr>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jc w:val="left"/>
                    <w:textAlignment w:val="auto"/>
                    <w:outlineLvl w:val="9"/>
                    <w:rPr>
                      <w:rFonts w:hint="default" w:ascii="Times New Roman" w:hAnsi="Times New Roman" w:eastAsia="宋体" w:cs="Times New Roman"/>
                      <w:b/>
                      <w:color w:val="auto"/>
                      <w:sz w:val="21"/>
                      <w:szCs w:val="21"/>
                    </w:rPr>
                  </w:pPr>
                </w:p>
              </w:tc>
              <w:tc>
                <w:tcPr>
                  <w:tcW w:w="4704" w:type="dxa"/>
                  <w:vMerge w:val="continue"/>
                  <w:tcBorders>
                    <w:tl2br w:val="nil"/>
                    <w:tr2bl w:val="nil"/>
                  </w:tcBorders>
                  <w:noWrap w:val="0"/>
                  <w:vAlign w:val="center"/>
                </w:tcPr>
                <w:p w14:paraId="0BC99391">
                  <w:pPr>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jc w:val="left"/>
                    <w:textAlignment w:val="auto"/>
                    <w:outlineLvl w:val="9"/>
                    <w:rPr>
                      <w:rFonts w:hint="default" w:ascii="Times New Roman" w:hAnsi="Times New Roman" w:eastAsia="宋体" w:cs="Times New Roman"/>
                      <w:b/>
                      <w:color w:val="auto"/>
                      <w:sz w:val="21"/>
                      <w:szCs w:val="21"/>
                    </w:rPr>
                  </w:pPr>
                </w:p>
              </w:tc>
              <w:tc>
                <w:tcPr>
                  <w:tcW w:w="1021" w:type="dxa"/>
                  <w:tcBorders>
                    <w:tl2br w:val="nil"/>
                    <w:tr2bl w:val="nil"/>
                  </w:tcBorders>
                  <w:noWrap w:val="0"/>
                  <w:vAlign w:val="center"/>
                </w:tcPr>
                <w:p w14:paraId="03FB23F5">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昼间</w:t>
                  </w:r>
                </w:p>
              </w:tc>
              <w:tc>
                <w:tcPr>
                  <w:tcW w:w="1023" w:type="dxa"/>
                  <w:tcBorders>
                    <w:tl2br w:val="nil"/>
                    <w:tr2bl w:val="nil"/>
                  </w:tcBorders>
                  <w:noWrap w:val="0"/>
                  <w:vAlign w:val="center"/>
                </w:tcPr>
                <w:p w14:paraId="3ADE306A">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夜间</w:t>
                  </w:r>
                </w:p>
              </w:tc>
            </w:tr>
            <w:tr w14:paraId="18A207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80" w:type="dxa"/>
                  <w:tcBorders>
                    <w:tl2br w:val="nil"/>
                    <w:tr2bl w:val="nil"/>
                  </w:tcBorders>
                  <w:noWrap w:val="0"/>
                  <w:vAlign w:val="center"/>
                </w:tcPr>
                <w:p w14:paraId="3DDB25E8">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704" w:type="dxa"/>
                  <w:tcBorders>
                    <w:tl2br w:val="nil"/>
                    <w:tr2bl w:val="nil"/>
                  </w:tcBorders>
                  <w:shd w:val="clear" w:color="auto" w:fill="auto"/>
                  <w:noWrap w:val="0"/>
                  <w:vAlign w:val="center"/>
                </w:tcPr>
                <w:p w14:paraId="77E18C01">
                  <w:pPr>
                    <w:keepNext w:val="0"/>
                    <w:keepLines w:val="0"/>
                    <w:suppressLineNumbers w:val="0"/>
                    <w:tabs>
                      <w:tab w:val="left" w:pos="2057"/>
                    </w:tabs>
                    <w:spacing w:before="0" w:beforeAutospacing="0" w:after="0" w:afterAutospacing="0"/>
                    <w:ind w:left="0" w:right="0"/>
                    <w:jc w:val="center"/>
                    <w:rPr>
                      <w:rFonts w:hint="default" w:ascii="Times New Roman" w:hAnsi="Times New Roman" w:eastAsia="宋体" w:cs="Times New Roman"/>
                      <w:b/>
                      <w:bCs/>
                      <w:color w:val="0000FF"/>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1#：大唐鄯善东220kV升压站出线端</w:t>
                  </w:r>
                </w:p>
              </w:tc>
              <w:tc>
                <w:tcPr>
                  <w:tcW w:w="1021" w:type="dxa"/>
                  <w:tcBorders>
                    <w:tl2br w:val="nil"/>
                    <w:tr2bl w:val="nil"/>
                  </w:tcBorders>
                  <w:shd w:val="clear" w:color="auto" w:fill="auto"/>
                  <w:noWrap w:val="0"/>
                  <w:vAlign w:val="center"/>
                </w:tcPr>
                <w:p w14:paraId="254382D0">
                  <w:pPr>
                    <w:keepNext w:val="0"/>
                    <w:keepLines w:val="0"/>
                    <w:pageBreakBefore w:val="0"/>
                    <w:suppressLineNumbers w:val="0"/>
                    <w:tabs>
                      <w:tab w:val="left" w:pos="6300"/>
                    </w:tabs>
                    <w:kinsoku/>
                    <w:wordWrap/>
                    <w:overflowPunct/>
                    <w:topLinePunct w:val="0"/>
                    <w:bidi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1023" w:type="dxa"/>
                  <w:tcBorders>
                    <w:tl2br w:val="nil"/>
                    <w:tr2bl w:val="nil"/>
                  </w:tcBorders>
                  <w:shd w:val="clear" w:color="auto" w:fill="auto"/>
                  <w:noWrap w:val="0"/>
                  <w:vAlign w:val="center"/>
                </w:tcPr>
                <w:p w14:paraId="7DA5237A">
                  <w:pPr>
                    <w:keepNext w:val="0"/>
                    <w:keepLines w:val="0"/>
                    <w:pageBreakBefore w:val="0"/>
                    <w:suppressLineNumbers w:val="0"/>
                    <w:tabs>
                      <w:tab w:val="left" w:pos="6300"/>
                    </w:tabs>
                    <w:kinsoku/>
                    <w:wordWrap/>
                    <w:overflowPunct/>
                    <w:topLinePunct w:val="0"/>
                    <w:bidi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42</w:t>
                  </w:r>
                </w:p>
              </w:tc>
            </w:tr>
            <w:tr w14:paraId="65CF47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80" w:type="dxa"/>
                  <w:tcBorders>
                    <w:tl2br w:val="nil"/>
                    <w:tr2bl w:val="nil"/>
                  </w:tcBorders>
                  <w:noWrap w:val="0"/>
                  <w:vAlign w:val="center"/>
                </w:tcPr>
                <w:p w14:paraId="3700B61E">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4704" w:type="dxa"/>
                  <w:tcBorders>
                    <w:tl2br w:val="nil"/>
                    <w:tr2bl w:val="nil"/>
                  </w:tcBorders>
                  <w:shd w:val="clear" w:color="auto" w:fill="auto"/>
                  <w:noWrap w:val="0"/>
                  <w:vAlign w:val="center"/>
                </w:tcPr>
                <w:p w14:paraId="5786898E">
                  <w:pPr>
                    <w:keepNext w:val="0"/>
                    <w:keepLines w:val="0"/>
                    <w:suppressLineNumbers w:val="0"/>
                    <w:tabs>
                      <w:tab w:val="left" w:pos="2057"/>
                    </w:tabs>
                    <w:spacing w:before="0" w:beforeAutospacing="0" w:after="0" w:afterAutospacing="0"/>
                    <w:ind w:left="0" w:right="0"/>
                    <w:jc w:val="center"/>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2#：拟建输电线路路径沿线1</w:t>
                  </w:r>
                </w:p>
              </w:tc>
              <w:tc>
                <w:tcPr>
                  <w:tcW w:w="1021" w:type="dxa"/>
                  <w:tcBorders>
                    <w:tl2br w:val="nil"/>
                    <w:tr2bl w:val="nil"/>
                  </w:tcBorders>
                  <w:shd w:val="clear" w:color="auto" w:fill="auto"/>
                  <w:noWrap w:val="0"/>
                  <w:vAlign w:val="center"/>
                </w:tcPr>
                <w:p w14:paraId="26DD854E">
                  <w:pPr>
                    <w:keepNext w:val="0"/>
                    <w:keepLines w:val="0"/>
                    <w:pageBreakBefore w:val="0"/>
                    <w:suppressLineNumbers w:val="0"/>
                    <w:tabs>
                      <w:tab w:val="left" w:pos="6300"/>
                    </w:tabs>
                    <w:kinsoku/>
                    <w:wordWrap/>
                    <w:overflowPunct/>
                    <w:topLinePunct w:val="0"/>
                    <w:bidi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43</w:t>
                  </w:r>
                </w:p>
              </w:tc>
              <w:tc>
                <w:tcPr>
                  <w:tcW w:w="1023" w:type="dxa"/>
                  <w:tcBorders>
                    <w:tl2br w:val="nil"/>
                    <w:tr2bl w:val="nil"/>
                  </w:tcBorders>
                  <w:shd w:val="clear" w:color="auto" w:fill="auto"/>
                  <w:noWrap w:val="0"/>
                  <w:vAlign w:val="center"/>
                </w:tcPr>
                <w:p w14:paraId="4982990B">
                  <w:pPr>
                    <w:keepNext w:val="0"/>
                    <w:keepLines w:val="0"/>
                    <w:pageBreakBefore w:val="0"/>
                    <w:suppressLineNumbers w:val="0"/>
                    <w:tabs>
                      <w:tab w:val="left" w:pos="6300"/>
                    </w:tabs>
                    <w:kinsoku/>
                    <w:wordWrap/>
                    <w:overflowPunct/>
                    <w:topLinePunct w:val="0"/>
                    <w:bidi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w:t>
                  </w:r>
                </w:p>
              </w:tc>
            </w:tr>
            <w:tr w14:paraId="396ED2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80" w:type="dxa"/>
                  <w:tcBorders>
                    <w:tl2br w:val="nil"/>
                    <w:tr2bl w:val="nil"/>
                  </w:tcBorders>
                  <w:noWrap w:val="0"/>
                  <w:vAlign w:val="center"/>
                </w:tcPr>
                <w:p w14:paraId="2B86B86F">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4704" w:type="dxa"/>
                  <w:tcBorders>
                    <w:tl2br w:val="nil"/>
                    <w:tr2bl w:val="nil"/>
                  </w:tcBorders>
                  <w:shd w:val="clear" w:color="auto" w:fill="auto"/>
                  <w:noWrap w:val="0"/>
                  <w:vAlign w:val="center"/>
                </w:tcPr>
                <w:p w14:paraId="5B818F29">
                  <w:pPr>
                    <w:keepNext w:val="0"/>
                    <w:keepLines w:val="0"/>
                    <w:suppressLineNumbers w:val="0"/>
                    <w:tabs>
                      <w:tab w:val="left" w:pos="2057"/>
                    </w:tabs>
                    <w:spacing w:before="0" w:beforeAutospacing="0" w:after="0" w:afterAutospacing="0"/>
                    <w:ind w:left="0" w:right="0"/>
                    <w:jc w:val="center"/>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3#：拟建输电线路路径沿线2</w:t>
                  </w:r>
                </w:p>
              </w:tc>
              <w:tc>
                <w:tcPr>
                  <w:tcW w:w="1021" w:type="dxa"/>
                  <w:tcBorders>
                    <w:tl2br w:val="nil"/>
                    <w:tr2bl w:val="nil"/>
                  </w:tcBorders>
                  <w:shd w:val="clear" w:color="auto" w:fill="auto"/>
                  <w:noWrap w:val="0"/>
                  <w:vAlign w:val="center"/>
                </w:tcPr>
                <w:p w14:paraId="413B31D2">
                  <w:pPr>
                    <w:keepNext w:val="0"/>
                    <w:keepLines w:val="0"/>
                    <w:pageBreakBefore w:val="0"/>
                    <w:suppressLineNumbers w:val="0"/>
                    <w:tabs>
                      <w:tab w:val="left" w:pos="6300"/>
                    </w:tabs>
                    <w:kinsoku/>
                    <w:wordWrap/>
                    <w:overflowPunct/>
                    <w:topLinePunct w:val="0"/>
                    <w:bidi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42</w:t>
                  </w:r>
                </w:p>
              </w:tc>
              <w:tc>
                <w:tcPr>
                  <w:tcW w:w="1023" w:type="dxa"/>
                  <w:tcBorders>
                    <w:tl2br w:val="nil"/>
                    <w:tr2bl w:val="nil"/>
                  </w:tcBorders>
                  <w:shd w:val="clear" w:color="auto" w:fill="auto"/>
                  <w:noWrap w:val="0"/>
                  <w:vAlign w:val="center"/>
                </w:tcPr>
                <w:p w14:paraId="74D92A9C">
                  <w:pPr>
                    <w:keepNext w:val="0"/>
                    <w:keepLines w:val="0"/>
                    <w:pageBreakBefore w:val="0"/>
                    <w:suppressLineNumbers w:val="0"/>
                    <w:tabs>
                      <w:tab w:val="left" w:pos="6300"/>
                    </w:tabs>
                    <w:kinsoku/>
                    <w:wordWrap/>
                    <w:overflowPunct/>
                    <w:topLinePunct w:val="0"/>
                    <w:bidi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38</w:t>
                  </w:r>
                </w:p>
              </w:tc>
            </w:tr>
            <w:tr w14:paraId="6CA3CD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80" w:type="dxa"/>
                  <w:tcBorders>
                    <w:tl2br w:val="nil"/>
                    <w:tr2bl w:val="nil"/>
                  </w:tcBorders>
                  <w:noWrap w:val="0"/>
                  <w:vAlign w:val="center"/>
                </w:tcPr>
                <w:p w14:paraId="6198388B">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4704" w:type="dxa"/>
                  <w:tcBorders>
                    <w:tl2br w:val="nil"/>
                    <w:tr2bl w:val="nil"/>
                  </w:tcBorders>
                  <w:shd w:val="clear" w:color="auto" w:fill="auto"/>
                  <w:noWrap w:val="0"/>
                  <w:vAlign w:val="center"/>
                </w:tcPr>
                <w:p w14:paraId="54EF84DD">
                  <w:pPr>
                    <w:keepNext w:val="0"/>
                    <w:keepLines w:val="0"/>
                    <w:suppressLineNumbers w:val="0"/>
                    <w:tabs>
                      <w:tab w:val="left" w:pos="2057"/>
                    </w:tabs>
                    <w:spacing w:before="0" w:beforeAutospacing="0" w:after="0" w:afterAutospacing="0"/>
                    <w:ind w:left="0" w:right="0"/>
                    <w:jc w:val="center"/>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4#：本项目拟建</w:t>
                  </w:r>
                  <w:r>
                    <w:rPr>
                      <w:rFonts w:hint="eastAsia" w:ascii="Times New Roman" w:hAnsi="Times New Roman" w:eastAsia="宋体" w:cs="Times New Roman"/>
                      <w:color w:val="auto"/>
                      <w:kern w:val="2"/>
                      <w:sz w:val="21"/>
                      <w:szCs w:val="21"/>
                      <w:highlight w:val="none"/>
                      <w:lang w:val="en-US" w:eastAsia="zh-CN" w:bidi="ar-SA"/>
                    </w:rPr>
                    <w:t>升压站</w:t>
                  </w:r>
                  <w:r>
                    <w:rPr>
                      <w:rFonts w:hint="default" w:ascii="Times New Roman" w:hAnsi="Times New Roman" w:eastAsia="宋体" w:cs="Times New Roman"/>
                      <w:color w:val="auto"/>
                      <w:kern w:val="2"/>
                      <w:sz w:val="21"/>
                      <w:szCs w:val="21"/>
                      <w:highlight w:val="none"/>
                      <w:lang w:val="en-US" w:eastAsia="zh-CN" w:bidi="ar-SA"/>
                    </w:rPr>
                    <w:t>站址</w:t>
                  </w:r>
                </w:p>
              </w:tc>
              <w:tc>
                <w:tcPr>
                  <w:tcW w:w="1021" w:type="dxa"/>
                  <w:tcBorders>
                    <w:tl2br w:val="nil"/>
                    <w:tr2bl w:val="nil"/>
                  </w:tcBorders>
                  <w:shd w:val="clear" w:color="auto" w:fill="auto"/>
                  <w:noWrap w:val="0"/>
                  <w:vAlign w:val="center"/>
                </w:tcPr>
                <w:p w14:paraId="145ADFA2">
                  <w:pPr>
                    <w:keepNext w:val="0"/>
                    <w:keepLines w:val="0"/>
                    <w:pageBreakBefore w:val="0"/>
                    <w:suppressLineNumbers w:val="0"/>
                    <w:tabs>
                      <w:tab w:val="left" w:pos="6300"/>
                    </w:tabs>
                    <w:kinsoku/>
                    <w:wordWrap/>
                    <w:overflowPunct/>
                    <w:topLinePunct w:val="0"/>
                    <w:bidi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w:t>
                  </w:r>
                </w:p>
              </w:tc>
              <w:tc>
                <w:tcPr>
                  <w:tcW w:w="1023" w:type="dxa"/>
                  <w:tcBorders>
                    <w:tl2br w:val="nil"/>
                    <w:tr2bl w:val="nil"/>
                  </w:tcBorders>
                  <w:shd w:val="clear" w:color="auto" w:fill="auto"/>
                  <w:noWrap w:val="0"/>
                  <w:vAlign w:val="center"/>
                </w:tcPr>
                <w:p w14:paraId="64A23829">
                  <w:pPr>
                    <w:keepNext w:val="0"/>
                    <w:keepLines w:val="0"/>
                    <w:pageBreakBefore w:val="0"/>
                    <w:suppressLineNumbers w:val="0"/>
                    <w:tabs>
                      <w:tab w:val="left" w:pos="6300"/>
                    </w:tabs>
                    <w:kinsoku/>
                    <w:wordWrap/>
                    <w:overflowPunct/>
                    <w:topLinePunct w:val="0"/>
                    <w:bidi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38</w:t>
                  </w:r>
                </w:p>
              </w:tc>
            </w:tr>
          </w:tbl>
          <w:p w14:paraId="4D47A20F">
            <w:pPr>
              <w:keepNext w:val="0"/>
              <w:keepLines w:val="0"/>
              <w:pageBreakBefore w:val="0"/>
              <w:widowControl w:val="0"/>
              <w:suppressLineNumbers w:val="0"/>
              <w:kinsoku/>
              <w:wordWrap/>
              <w:overflowPunct/>
              <w:topLinePunct w:val="0"/>
              <w:autoSpaceDE w:val="0"/>
              <w:autoSpaceDN w:val="0"/>
              <w:bidi w:val="0"/>
              <w:adjustRightInd w:val="0"/>
              <w:snapToGrid w:val="0"/>
              <w:spacing w:before="313" w:beforeLines="10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highlight w:val="yellow"/>
              </w:rPr>
            </w:pPr>
            <w:r>
              <w:rPr>
                <w:rFonts w:hint="default" w:ascii="Times New Roman" w:hAnsi="Times New Roman" w:eastAsia="宋体" w:cs="Times New Roman"/>
                <w:color w:val="auto"/>
                <w:sz w:val="24"/>
                <w:highlight w:val="none"/>
              </w:rPr>
              <w:t>由表3-</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分析可知，</w:t>
            </w:r>
            <w:r>
              <w:rPr>
                <w:rFonts w:hint="default" w:ascii="Times New Roman" w:hAnsi="Times New Roman"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拟建220千伏</w:t>
            </w:r>
            <w:r>
              <w:rPr>
                <w:rFonts w:hint="default" w:ascii="Times New Roman" w:hAnsi="Times New Roman" w:cs="Times New Roman"/>
                <w:color w:val="auto"/>
                <w:sz w:val="24"/>
                <w:highlight w:val="none"/>
                <w:lang w:val="en-US" w:eastAsia="zh-CN"/>
              </w:rPr>
              <w:t>升压站</w:t>
            </w:r>
            <w:r>
              <w:rPr>
                <w:rFonts w:hint="default" w:ascii="Times New Roman" w:hAnsi="Times New Roman" w:eastAsia="宋体" w:cs="Times New Roman"/>
                <w:color w:val="auto"/>
                <w:sz w:val="24"/>
                <w:highlight w:val="none"/>
              </w:rPr>
              <w:t>站址</w:t>
            </w:r>
            <w:r>
              <w:rPr>
                <w:rFonts w:hint="default" w:ascii="Times New Roman" w:hAnsi="Times New Roman" w:eastAsia="宋体" w:cs="Times New Roman"/>
                <w:color w:val="auto"/>
                <w:sz w:val="24"/>
                <w:highlight w:val="none"/>
                <w:lang w:eastAsia="zh-CN"/>
              </w:rPr>
              <w:t>中心</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线路沿线</w:t>
            </w:r>
            <w:r>
              <w:rPr>
                <w:rFonts w:hint="default" w:ascii="Times New Roman" w:hAnsi="Times New Roman" w:eastAsia="宋体" w:cs="Times New Roman"/>
                <w:color w:val="auto"/>
                <w:sz w:val="24"/>
                <w:highlight w:val="none"/>
                <w:lang w:eastAsia="zh-CN"/>
              </w:rPr>
              <w:t>声环境质量</w:t>
            </w:r>
            <w:r>
              <w:rPr>
                <w:rFonts w:hint="default" w:ascii="Times New Roman" w:hAnsi="Times New Roman" w:eastAsia="宋体" w:cs="Times New Roman"/>
                <w:color w:val="auto"/>
                <w:sz w:val="24"/>
                <w:highlight w:val="none"/>
              </w:rPr>
              <w:t>监测结果满足《声环境质量标准》</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GB3096-2008</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中</w:t>
            </w:r>
            <w:r>
              <w:rPr>
                <w:rFonts w:hint="default" w:ascii="Times New Roman" w:hAnsi="Times New Roman" w:cs="Times New Roman"/>
                <w:color w:val="auto"/>
                <w:sz w:val="24"/>
                <w:highlight w:val="none"/>
                <w:lang w:val="en-US" w:eastAsia="zh-CN"/>
              </w:rPr>
              <w:t>的2类标准：昼间60dB(A)，夜间50dB(A)</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间隔扩建端厂界外满足《工业企业厂界环境噪声排放标准》</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GB12348-2008</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中的</w:t>
            </w:r>
            <w:r>
              <w:rPr>
                <w:rFonts w:hint="default"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类标准：昼间6</w:t>
            </w:r>
            <w:r>
              <w:rPr>
                <w:rFonts w:hint="default" w:ascii="Times New Roman" w:hAnsi="Times New Roman" w:cs="Times New Roman"/>
                <w:color w:val="auto"/>
                <w:sz w:val="24"/>
                <w:highlight w:val="none"/>
                <w:lang w:val="en-US" w:eastAsia="zh-CN"/>
              </w:rPr>
              <w:t>0</w:t>
            </w:r>
            <w:r>
              <w:rPr>
                <w:rFonts w:hint="default" w:ascii="Times New Roman" w:hAnsi="Times New Roman" w:eastAsia="宋体" w:cs="Times New Roman"/>
                <w:color w:val="auto"/>
                <w:sz w:val="24"/>
                <w:highlight w:val="none"/>
                <w:lang w:val="en-US" w:eastAsia="zh-CN"/>
              </w:rPr>
              <w:t>dB(A)，夜间5</w:t>
            </w:r>
            <w:r>
              <w:rPr>
                <w:rFonts w:hint="default" w:ascii="Times New Roman" w:hAnsi="Times New Roman" w:cs="Times New Roman"/>
                <w:color w:val="auto"/>
                <w:sz w:val="24"/>
                <w:highlight w:val="none"/>
                <w:lang w:val="en-US" w:eastAsia="zh-CN"/>
              </w:rPr>
              <w:t>0</w:t>
            </w:r>
            <w:r>
              <w:rPr>
                <w:rFonts w:hint="default" w:ascii="Times New Roman" w:hAnsi="Times New Roman" w:eastAsia="宋体" w:cs="Times New Roman"/>
                <w:color w:val="auto"/>
                <w:sz w:val="24"/>
                <w:highlight w:val="none"/>
                <w:lang w:val="en-US" w:eastAsia="zh-CN"/>
              </w:rPr>
              <w:t>dB(A)</w:t>
            </w:r>
            <w:r>
              <w:rPr>
                <w:rFonts w:hint="default"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rPr>
              <w:t>区域声环境质量较好。</w:t>
            </w:r>
          </w:p>
          <w:p w14:paraId="1EB3C9D5">
            <w:pPr>
              <w:keepNext w:val="0"/>
              <w:keepLines w:val="0"/>
              <w:suppressLineNumbers w:val="0"/>
              <w:spacing w:before="0" w:beforeAutospacing="0" w:after="0" w:afterAutospacing="0" w:line="360" w:lineRule="auto"/>
              <w:ind w:left="0" w:right="0"/>
              <w:outlineLvl w:val="9"/>
              <w:rPr>
                <w:rFonts w:hint="default" w:ascii="Times New Roman" w:hAnsi="Times New Roman" w:eastAsia="宋体"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rPr>
              <w:t>地下水环境质量现状调查及评价</w:t>
            </w:r>
          </w:p>
          <w:p w14:paraId="130846D5">
            <w:pPr>
              <w:keepNext w:val="0"/>
              <w:keepLines w:val="0"/>
              <w:widowControl/>
              <w:suppressLineNumbers w:val="0"/>
              <w:spacing w:before="0" w:beforeAutospacing="0" w:after="0" w:afterAutospacing="0" w:line="360" w:lineRule="auto"/>
              <w:ind w:left="0" w:right="0" w:firstLine="480" w:firstLineChars="200"/>
              <w:jc w:val="both"/>
              <w:outlineLvl w:val="9"/>
              <w:rPr>
                <w:rFonts w:hint="default" w:ascii="Times New Roman" w:hAnsi="Times New Roman" w:eastAsia="宋体" w:cs="Times New Roman"/>
                <w:color w:val="auto"/>
                <w:kern w:val="0"/>
                <w:sz w:val="24"/>
                <w:szCs w:val="24"/>
                <w:highlight w:val="none"/>
                <w:lang w:val="en-GB" w:eastAsia="zh-CN" w:bidi="ar-SA"/>
              </w:rPr>
            </w:pPr>
            <w:r>
              <w:rPr>
                <w:rFonts w:hint="default" w:ascii="Times New Roman" w:hAnsi="Times New Roman" w:eastAsia="宋体" w:cs="Times New Roman"/>
                <w:color w:val="auto"/>
                <w:kern w:val="0"/>
                <w:sz w:val="24"/>
                <w:szCs w:val="24"/>
                <w:highlight w:val="none"/>
                <w:lang w:val="en-GB" w:eastAsia="zh-CN" w:bidi="ar-SA"/>
              </w:rPr>
              <w:t>根据《环境影响评价技术导则</w:t>
            </w:r>
            <w:r>
              <w:rPr>
                <w:rFonts w:hint="eastAsia" w:cs="Times New Roman"/>
                <w:color w:val="auto"/>
                <w:kern w:val="0"/>
                <w:sz w:val="24"/>
                <w:szCs w:val="24"/>
                <w:highlight w:val="none"/>
                <w:lang w:val="en-US" w:eastAsia="zh-CN" w:bidi="ar-SA"/>
              </w:rPr>
              <w:t xml:space="preserve"> </w:t>
            </w:r>
            <w:r>
              <w:rPr>
                <w:rFonts w:hint="default" w:ascii="Times New Roman" w:hAnsi="Times New Roman" w:eastAsia="宋体" w:cs="Times New Roman"/>
                <w:color w:val="auto"/>
                <w:kern w:val="0"/>
                <w:sz w:val="24"/>
                <w:szCs w:val="24"/>
                <w:highlight w:val="none"/>
                <w:lang w:val="en-GB" w:eastAsia="zh-CN" w:bidi="ar-SA"/>
              </w:rPr>
              <w:t>地下水环境》</w:t>
            </w:r>
            <w:r>
              <w:rPr>
                <w:rFonts w:hint="eastAsia" w:cs="Times New Roman"/>
                <w:color w:val="auto"/>
                <w:kern w:val="0"/>
                <w:sz w:val="24"/>
                <w:szCs w:val="24"/>
                <w:highlight w:val="none"/>
                <w:lang w:val="en-GB" w:eastAsia="zh-CN" w:bidi="ar-SA"/>
              </w:rPr>
              <w:t>（</w:t>
            </w:r>
            <w:r>
              <w:rPr>
                <w:rFonts w:hint="default" w:ascii="Times New Roman" w:hAnsi="Times New Roman" w:eastAsia="宋体" w:cs="Times New Roman"/>
                <w:color w:val="auto"/>
                <w:kern w:val="0"/>
                <w:sz w:val="24"/>
                <w:szCs w:val="24"/>
                <w:highlight w:val="none"/>
                <w:lang w:val="en-GB" w:eastAsia="zh-CN" w:bidi="ar-SA"/>
              </w:rPr>
              <w:t>HJ610-2016</w:t>
            </w:r>
            <w:r>
              <w:rPr>
                <w:rFonts w:hint="eastAsia" w:cs="Times New Roman"/>
                <w:color w:val="auto"/>
                <w:kern w:val="0"/>
                <w:sz w:val="24"/>
                <w:szCs w:val="24"/>
                <w:highlight w:val="none"/>
                <w:lang w:val="en-GB" w:eastAsia="zh-CN" w:bidi="ar-SA"/>
              </w:rPr>
              <w:t>）</w:t>
            </w:r>
            <w:r>
              <w:rPr>
                <w:rFonts w:hint="default" w:ascii="Times New Roman" w:hAnsi="Times New Roman" w:eastAsia="宋体" w:cs="Times New Roman"/>
                <w:color w:val="auto"/>
                <w:kern w:val="0"/>
                <w:sz w:val="24"/>
                <w:szCs w:val="24"/>
                <w:highlight w:val="none"/>
                <w:lang w:val="en-GB" w:eastAsia="zh-CN" w:bidi="ar-SA"/>
              </w:rPr>
              <w:t>中附录A结合《建设项目环境影响评价分类管理名录》，将建设项目分为四类</w:t>
            </w:r>
            <w:r>
              <w:rPr>
                <w:rFonts w:hint="eastAsia" w:cs="Times New Roman"/>
                <w:color w:val="auto"/>
                <w:kern w:val="0"/>
                <w:sz w:val="24"/>
                <w:szCs w:val="24"/>
                <w:highlight w:val="none"/>
                <w:lang w:val="en-GB" w:eastAsia="zh-CN" w:bidi="ar-SA"/>
              </w:rPr>
              <w:t>，</w:t>
            </w:r>
            <w:r>
              <w:rPr>
                <w:rFonts w:hint="default" w:ascii="Times New Roman" w:hAnsi="Times New Roman" w:eastAsia="宋体" w:cs="Times New Roman"/>
                <w:color w:val="auto"/>
                <w:kern w:val="0"/>
                <w:sz w:val="24"/>
                <w:szCs w:val="24"/>
                <w:highlight w:val="none"/>
                <w:lang w:val="en-GB" w:eastAsia="zh-CN" w:bidi="ar-SA"/>
              </w:rPr>
              <w:t>其中Ⅰ类、Ⅱ类、Ⅲ类建设项目的地下水环境影响评价应按照《环境影响评价技术导则</w:t>
            </w:r>
            <w:r>
              <w:rPr>
                <w:rFonts w:hint="eastAsia" w:cs="Times New Roman"/>
                <w:color w:val="auto"/>
                <w:kern w:val="0"/>
                <w:sz w:val="24"/>
                <w:szCs w:val="24"/>
                <w:highlight w:val="none"/>
                <w:lang w:val="en-US" w:eastAsia="zh-CN" w:bidi="ar-SA"/>
              </w:rPr>
              <w:t xml:space="preserve"> </w:t>
            </w:r>
            <w:r>
              <w:rPr>
                <w:rFonts w:hint="default" w:ascii="Times New Roman" w:hAnsi="Times New Roman" w:eastAsia="宋体" w:cs="Times New Roman"/>
                <w:color w:val="auto"/>
                <w:kern w:val="0"/>
                <w:sz w:val="24"/>
                <w:szCs w:val="24"/>
                <w:highlight w:val="none"/>
                <w:lang w:val="en-GB" w:eastAsia="zh-CN" w:bidi="ar-SA"/>
              </w:rPr>
              <w:t>地下水环境》</w:t>
            </w:r>
            <w:r>
              <w:rPr>
                <w:rFonts w:hint="eastAsia" w:cs="Times New Roman"/>
                <w:color w:val="auto"/>
                <w:kern w:val="0"/>
                <w:sz w:val="24"/>
                <w:szCs w:val="24"/>
                <w:highlight w:val="none"/>
                <w:lang w:val="en-GB" w:eastAsia="zh-CN" w:bidi="ar-SA"/>
              </w:rPr>
              <w:t>（</w:t>
            </w:r>
            <w:r>
              <w:rPr>
                <w:rFonts w:hint="default" w:ascii="Times New Roman" w:hAnsi="Times New Roman" w:eastAsia="宋体" w:cs="Times New Roman"/>
                <w:color w:val="auto"/>
                <w:kern w:val="0"/>
                <w:sz w:val="24"/>
                <w:szCs w:val="24"/>
                <w:highlight w:val="none"/>
                <w:lang w:val="en-GB" w:eastAsia="zh-CN" w:bidi="ar-SA"/>
              </w:rPr>
              <w:t>HJ610-2016</w:t>
            </w:r>
            <w:r>
              <w:rPr>
                <w:rFonts w:hint="eastAsia" w:cs="Times New Roman"/>
                <w:color w:val="auto"/>
                <w:kern w:val="0"/>
                <w:sz w:val="24"/>
                <w:szCs w:val="24"/>
                <w:highlight w:val="none"/>
                <w:lang w:val="en-GB" w:eastAsia="zh-CN" w:bidi="ar-SA"/>
              </w:rPr>
              <w:t>）</w:t>
            </w:r>
            <w:r>
              <w:rPr>
                <w:rFonts w:hint="default" w:ascii="Times New Roman" w:hAnsi="Times New Roman" w:eastAsia="宋体" w:cs="Times New Roman"/>
                <w:color w:val="auto"/>
                <w:kern w:val="0"/>
                <w:sz w:val="24"/>
                <w:szCs w:val="24"/>
                <w:highlight w:val="none"/>
                <w:lang w:val="en-GB" w:eastAsia="zh-CN" w:bidi="ar-SA"/>
              </w:rPr>
              <w:t>开展工作；本工程为Ⅳ类建设项目，可不开展地下水环境影响评价</w:t>
            </w:r>
            <w:r>
              <w:rPr>
                <w:rFonts w:hint="eastAsia" w:cs="Times New Roman"/>
                <w:color w:val="auto"/>
                <w:kern w:val="0"/>
                <w:sz w:val="24"/>
                <w:szCs w:val="24"/>
                <w:highlight w:val="none"/>
                <w:lang w:val="en-GB" w:eastAsia="zh-CN" w:bidi="ar-SA"/>
              </w:rPr>
              <w:t>，</w:t>
            </w:r>
            <w:r>
              <w:rPr>
                <w:rFonts w:hint="eastAsia" w:cs="Times New Roman"/>
                <w:color w:val="auto"/>
                <w:kern w:val="0"/>
                <w:sz w:val="24"/>
                <w:szCs w:val="24"/>
                <w:highlight w:val="none"/>
                <w:lang w:val="en-US" w:eastAsia="zh-CN" w:bidi="ar-SA"/>
              </w:rPr>
              <w:t>故本次评价未开展地下水环境质量现状监测</w:t>
            </w:r>
            <w:r>
              <w:rPr>
                <w:rFonts w:hint="default" w:ascii="Times New Roman" w:hAnsi="Times New Roman" w:eastAsia="宋体" w:cs="Times New Roman"/>
                <w:color w:val="auto"/>
                <w:kern w:val="0"/>
                <w:sz w:val="24"/>
                <w:szCs w:val="24"/>
                <w:highlight w:val="none"/>
                <w:lang w:val="en-GB" w:eastAsia="zh-CN" w:bidi="ar-SA"/>
              </w:rPr>
              <w:t>。</w:t>
            </w:r>
          </w:p>
          <w:p w14:paraId="7060850B">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8</w:t>
            </w:r>
            <w:r>
              <w:rPr>
                <w:rFonts w:hint="default" w:ascii="Times New Roman" w:hAnsi="Times New Roman" w:eastAsia="宋体" w:cs="Times New Roman"/>
                <w:b/>
                <w:bCs/>
                <w:color w:val="auto"/>
                <w:sz w:val="24"/>
              </w:rPr>
              <w:t>地表水环境现状</w:t>
            </w:r>
          </w:p>
          <w:p w14:paraId="299E2F61">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color w:val="auto"/>
                <w:kern w:val="0"/>
                <w:sz w:val="24"/>
                <w:highlight w:val="none"/>
                <w:lang w:val="en-US" w:eastAsia="zh-CN"/>
              </w:rPr>
            </w:pPr>
            <w:r>
              <w:rPr>
                <w:rFonts w:hint="default" w:ascii="Times New Roman" w:hAnsi="Times New Roman" w:eastAsia="宋体" w:cs="Times New Roman"/>
                <w:color w:val="auto"/>
                <w:kern w:val="0"/>
                <w:sz w:val="24"/>
                <w:highlight w:val="none"/>
              </w:rPr>
              <w:t>区域不涉及天然地表水体，</w:t>
            </w:r>
            <w:r>
              <w:rPr>
                <w:rFonts w:hint="default" w:ascii="Times New Roman" w:hAnsi="Times New Roman" w:eastAsia="宋体" w:cs="Times New Roman"/>
                <w:color w:val="auto"/>
                <w:kern w:val="0"/>
                <w:sz w:val="24"/>
                <w:highlight w:val="none"/>
                <w:lang w:val="zh-CN"/>
              </w:rPr>
              <w:t>因此本项目不</w:t>
            </w:r>
            <w:r>
              <w:rPr>
                <w:rFonts w:hint="default" w:ascii="Times New Roman" w:hAnsi="Times New Roman" w:eastAsia="宋体" w:cs="Times New Roman"/>
                <w:color w:val="auto"/>
                <w:kern w:val="0"/>
                <w:sz w:val="24"/>
                <w:highlight w:val="none"/>
              </w:rPr>
              <w:t>开展</w:t>
            </w:r>
            <w:r>
              <w:rPr>
                <w:rFonts w:hint="default" w:ascii="Times New Roman" w:hAnsi="Times New Roman" w:eastAsia="宋体" w:cs="Times New Roman"/>
                <w:color w:val="auto"/>
                <w:kern w:val="0"/>
                <w:sz w:val="24"/>
                <w:highlight w:val="none"/>
                <w:lang w:val="zh-CN"/>
              </w:rPr>
              <w:t>地表水环境质量现状评价</w:t>
            </w:r>
            <w:r>
              <w:rPr>
                <w:rFonts w:hint="default" w:ascii="Times New Roman" w:hAnsi="Times New Roman" w:eastAsia="宋体" w:cs="Times New Roman"/>
                <w:color w:val="auto"/>
                <w:kern w:val="0"/>
                <w:sz w:val="24"/>
                <w:highlight w:val="none"/>
              </w:rPr>
              <w:t>。</w:t>
            </w:r>
          </w:p>
          <w:p w14:paraId="54F860D9">
            <w:pPr>
              <w:keepNext w:val="0"/>
              <w:keepLines w:val="0"/>
              <w:suppressLineNumbers w:val="0"/>
              <w:adjustRightInd w:val="0"/>
              <w:snapToGrid w:val="0"/>
              <w:spacing w:before="0" w:beforeAutospacing="0" w:after="0" w:afterAutospacing="0" w:line="360" w:lineRule="auto"/>
              <w:ind w:left="0" w:right="0"/>
              <w:outlineLvl w:val="9"/>
              <w:rPr>
                <w:rFonts w:hint="default" w:ascii="Times New Roman" w:hAnsi="Times New Roman" w:eastAsia="宋体" w:cs="Times New Roman"/>
                <w:b/>
                <w:color w:val="auto"/>
                <w:kern w:val="0"/>
                <w:sz w:val="24"/>
                <w:highlight w:val="none"/>
              </w:rPr>
            </w:pPr>
            <w:r>
              <w:rPr>
                <w:rFonts w:hint="default" w:ascii="Times New Roman" w:hAnsi="Times New Roman" w:cs="Times New Roman"/>
                <w:b/>
                <w:color w:val="auto"/>
                <w:kern w:val="0"/>
                <w:sz w:val="24"/>
                <w:highlight w:val="none"/>
                <w:lang w:val="en-US" w:eastAsia="zh-CN"/>
              </w:rPr>
              <w:t>9</w:t>
            </w:r>
            <w:r>
              <w:rPr>
                <w:rFonts w:hint="default" w:ascii="Times New Roman" w:hAnsi="Times New Roman" w:eastAsia="宋体" w:cs="Times New Roman"/>
                <w:b/>
                <w:color w:val="auto"/>
                <w:kern w:val="0"/>
                <w:sz w:val="24"/>
                <w:highlight w:val="none"/>
              </w:rPr>
              <w:t>土壤环境现状调查</w:t>
            </w:r>
          </w:p>
          <w:p w14:paraId="7EDA691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outlineLvl w:val="9"/>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根据《环境影响评价技术导则</w:t>
            </w:r>
            <w:r>
              <w:rPr>
                <w:rFonts w:hint="eastAsia" w:cs="Times New Roman"/>
                <w:color w:val="auto"/>
                <w:kern w:val="0"/>
                <w:sz w:val="24"/>
                <w:highlight w:val="none"/>
                <w:lang w:val="en-US" w:eastAsia="zh-CN"/>
              </w:rPr>
              <w:t xml:space="preserve"> </w:t>
            </w:r>
            <w:r>
              <w:rPr>
                <w:rFonts w:hint="default" w:ascii="Times New Roman" w:hAnsi="Times New Roman" w:eastAsia="宋体" w:cs="Times New Roman"/>
                <w:color w:val="auto"/>
                <w:kern w:val="0"/>
                <w:sz w:val="24"/>
                <w:highlight w:val="none"/>
              </w:rPr>
              <w:t>土壤环境</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试行</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HJ964-2018</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，结合《建设项目环境影响评价分类管理名录》</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2021年版</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，属于第“电力热力燃气及水生产和供应业中其他”，土壤环境影响评价项目类别为</w:t>
            </w:r>
            <w:r>
              <w:rPr>
                <w:rFonts w:hint="default" w:ascii="Times New Roman" w:hAnsi="Times New Roman" w:eastAsia="宋体" w:cs="Times New Roman"/>
                <w:color w:val="auto"/>
                <w:kern w:val="0"/>
                <w:sz w:val="24"/>
                <w:szCs w:val="24"/>
                <w:highlight w:val="none"/>
                <w:lang w:val="en-GB" w:eastAsia="zh-CN" w:bidi="ar-SA"/>
              </w:rPr>
              <w:t>Ⅳ</w:t>
            </w:r>
            <w:r>
              <w:rPr>
                <w:rFonts w:hint="default" w:ascii="Times New Roman" w:hAnsi="Times New Roman" w:eastAsia="宋体" w:cs="Times New Roman"/>
                <w:color w:val="auto"/>
                <w:kern w:val="0"/>
                <w:sz w:val="24"/>
                <w:highlight w:val="none"/>
              </w:rPr>
              <w:t>类，项目不开展土壤环境影响评价，因此，本次评价不开展土壤环境现状监测。</w:t>
            </w:r>
          </w:p>
          <w:p w14:paraId="3B30EFEC">
            <w:pPr>
              <w:keepNext w:val="0"/>
              <w:keepLines w:val="0"/>
              <w:suppressLineNumbers w:val="0"/>
              <w:autoSpaceDE w:val="0"/>
              <w:autoSpaceDN w:val="0"/>
              <w:adjustRightInd w:val="0"/>
              <w:snapToGrid w:val="0"/>
              <w:spacing w:before="0" w:beforeAutospacing="0" w:after="0" w:afterAutospacing="0" w:line="360" w:lineRule="auto"/>
              <w:ind w:left="0" w:right="0" w:firstLine="420" w:firstLineChars="200"/>
              <w:outlineLvl w:val="9"/>
              <w:rPr>
                <w:rFonts w:hint="default" w:ascii="Times New Roman" w:hAnsi="Times New Roman" w:eastAsia="宋体" w:cs="Times New Roman"/>
                <w:color w:val="0000FF"/>
                <w:kern w:val="2"/>
                <w:sz w:val="21"/>
                <w:szCs w:val="24"/>
                <w:lang w:val="en-US" w:eastAsia="zh-CN" w:bidi="ar-SA"/>
              </w:rPr>
            </w:pPr>
          </w:p>
        </w:tc>
      </w:tr>
      <w:tr w14:paraId="1E6DDE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775" w:type="dxa"/>
            <w:tcBorders>
              <w:top w:val="single" w:color="000000" w:sz="4" w:space="0"/>
            </w:tcBorders>
            <w:noWrap w:val="0"/>
            <w:vAlign w:val="center"/>
          </w:tcPr>
          <w:p w14:paraId="4BB5AEB9">
            <w:pPr>
              <w:keepNext w:val="0"/>
              <w:keepLines w:val="0"/>
              <w:suppressLineNumbers w:val="0"/>
              <w:adjustRightInd w:val="0"/>
              <w:snapToGrid w:val="0"/>
              <w:spacing w:before="0" w:beforeAutospacing="0" w:after="0" w:afterAutospacing="0" w:line="360" w:lineRule="auto"/>
              <w:ind w:left="0" w:right="0"/>
              <w:jc w:val="center"/>
              <w:outlineLvl w:val="9"/>
              <w:rPr>
                <w:rFonts w:hint="default" w:ascii="Times New Roman" w:hAnsi="Times New Roman" w:eastAsia="宋体" w:cs="Times New Roman"/>
                <w:color w:val="auto"/>
                <w:kern w:val="0"/>
                <w:sz w:val="24"/>
                <w:szCs w:val="24"/>
                <w:highlight w:val="yellow"/>
              </w:rPr>
            </w:pPr>
            <w:r>
              <w:rPr>
                <w:rFonts w:hint="default" w:ascii="Times New Roman" w:hAnsi="Times New Roman" w:eastAsia="宋体" w:cs="Times New Roman"/>
                <w:color w:val="auto"/>
                <w:kern w:val="0"/>
                <w:sz w:val="24"/>
                <w:szCs w:val="24"/>
                <w:highlight w:val="none"/>
                <w:shd w:val="clear"/>
              </w:rPr>
              <w:t>与项目有关的原有环境污染和生态破坏问题</w:t>
            </w:r>
          </w:p>
        </w:tc>
        <w:tc>
          <w:tcPr>
            <w:tcW w:w="7874" w:type="dxa"/>
            <w:tcBorders>
              <w:top w:val="single" w:color="000000" w:sz="4" w:space="0"/>
            </w:tcBorders>
            <w:noWrap w:val="0"/>
            <w:vAlign w:val="center"/>
          </w:tcPr>
          <w:p w14:paraId="581EF21E">
            <w:pPr>
              <w:pStyle w:val="15"/>
              <w:keepNext w:val="0"/>
              <w:keepLines w:val="0"/>
              <w:suppressLineNumbers w:val="0"/>
              <w:spacing w:before="0" w:beforeAutospacing="0" w:afterAutospacing="0"/>
              <w:ind w:left="0" w:leftChars="0" w:right="0" w:firstLine="0" w:firstLineChars="0"/>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1</w:t>
            </w:r>
            <w:r>
              <w:rPr>
                <w:rFonts w:hint="eastAsia" w:ascii="Times New Roman" w:hAnsi="Times New Roman" w:cs="Times New Roman"/>
                <w:b/>
                <w:color w:val="auto"/>
                <w:sz w:val="24"/>
                <w:lang w:val="en-US" w:eastAsia="zh-CN"/>
              </w:rPr>
              <w:t>大唐鄯善东</w:t>
            </w:r>
            <w:r>
              <w:rPr>
                <w:rFonts w:hint="default" w:ascii="Times New Roman" w:hAnsi="Times New Roman" w:eastAsia="宋体" w:cs="Times New Roman"/>
                <w:b/>
                <w:color w:val="auto"/>
                <w:sz w:val="24"/>
                <w:lang w:val="en-US" w:eastAsia="zh-CN"/>
              </w:rPr>
              <w:t>220kV</w:t>
            </w:r>
            <w:r>
              <w:rPr>
                <w:rFonts w:hint="eastAsia" w:ascii="Times New Roman" w:hAnsi="Times New Roman" w:cs="Times New Roman"/>
                <w:b/>
                <w:color w:val="auto"/>
                <w:sz w:val="24"/>
                <w:lang w:val="en-US" w:eastAsia="zh-CN"/>
              </w:rPr>
              <w:t>升压</w:t>
            </w:r>
            <w:r>
              <w:rPr>
                <w:rFonts w:hint="default" w:ascii="Times New Roman" w:hAnsi="Times New Roman" w:eastAsia="宋体" w:cs="Times New Roman"/>
                <w:b/>
                <w:color w:val="auto"/>
                <w:sz w:val="24"/>
                <w:lang w:val="en-US" w:eastAsia="zh-CN"/>
              </w:rPr>
              <w:t>站</w:t>
            </w:r>
          </w:p>
          <w:p w14:paraId="036149ED">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113" w:firstLine="480" w:firstLineChars="200"/>
              <w:textAlignment w:val="auto"/>
              <w:rPr>
                <w:rFonts w:hint="default" w:ascii="Times New Roman" w:hAnsi="Times New Roman" w:eastAsia="宋体" w:cs="Times New Roman"/>
                <w:color w:val="auto"/>
                <w:sz w:val="24"/>
                <w:vertAlign w:val="baseline"/>
                <w:lang w:val="en-US" w:eastAsia="zh-CN"/>
              </w:rPr>
            </w:pPr>
            <w:r>
              <w:rPr>
                <w:rFonts w:hint="default" w:ascii="Times New Roman" w:hAnsi="Times New Roman" w:eastAsia="宋体" w:cs="Times New Roman"/>
                <w:color w:val="auto"/>
                <w:sz w:val="24"/>
                <w:vertAlign w:val="baseline"/>
                <w:lang w:val="en-US" w:eastAsia="zh-CN"/>
              </w:rPr>
              <w:t>本项目</w:t>
            </w:r>
            <w:r>
              <w:rPr>
                <w:rFonts w:hint="eastAsia" w:cs="Times New Roman"/>
                <w:color w:val="auto"/>
                <w:sz w:val="24"/>
                <w:vertAlign w:val="baseline"/>
                <w:lang w:val="en-US" w:eastAsia="zh-CN"/>
              </w:rPr>
              <w:t>输电线路接入</w:t>
            </w:r>
            <w:r>
              <w:rPr>
                <w:rFonts w:hint="default" w:ascii="Times New Roman" w:hAnsi="Times New Roman" w:eastAsia="宋体" w:cs="Times New Roman"/>
                <w:color w:val="auto"/>
                <w:sz w:val="24"/>
                <w:vertAlign w:val="baseline"/>
                <w:lang w:val="en-US" w:eastAsia="zh-CN"/>
              </w:rPr>
              <w:t>大唐鄯善东220kV</w:t>
            </w:r>
            <w:r>
              <w:rPr>
                <w:rFonts w:hint="eastAsia" w:cs="Times New Roman"/>
                <w:color w:val="auto"/>
                <w:sz w:val="24"/>
                <w:vertAlign w:val="baseline"/>
                <w:lang w:val="en-US" w:eastAsia="zh-CN"/>
              </w:rPr>
              <w:t>升压站</w:t>
            </w:r>
            <w:r>
              <w:rPr>
                <w:rFonts w:hint="default" w:ascii="Times New Roman" w:hAnsi="Times New Roman" w:eastAsia="宋体" w:cs="Times New Roman"/>
                <w:color w:val="auto"/>
                <w:sz w:val="24"/>
                <w:vertAlign w:val="baseline"/>
                <w:lang w:val="en-US" w:eastAsia="zh-CN"/>
              </w:rPr>
              <w:t>220</w:t>
            </w:r>
            <w:r>
              <w:rPr>
                <w:rFonts w:hint="default" w:ascii="Times New Roman" w:hAnsi="Times New Roman" w:eastAsia="宋体" w:cs="Times New Roman"/>
                <w:color w:val="auto"/>
                <w:sz w:val="24"/>
                <w:highlight w:val="none"/>
                <w:vertAlign w:val="baseline"/>
                <w:lang w:val="en-US" w:eastAsia="zh-CN"/>
              </w:rPr>
              <w:t>千伏出线自</w:t>
            </w:r>
            <w:r>
              <w:rPr>
                <w:rFonts w:hint="eastAsia" w:cs="Times New Roman"/>
                <w:color w:val="auto"/>
                <w:sz w:val="24"/>
                <w:highlight w:val="none"/>
                <w:vertAlign w:val="baseline"/>
                <w:lang w:val="en-US" w:eastAsia="zh-CN"/>
              </w:rPr>
              <w:t>东</w:t>
            </w:r>
            <w:r>
              <w:rPr>
                <w:rFonts w:hint="default" w:ascii="Times New Roman" w:hAnsi="Times New Roman" w:eastAsia="宋体" w:cs="Times New Roman"/>
                <w:color w:val="auto"/>
                <w:sz w:val="24"/>
                <w:highlight w:val="none"/>
                <w:vertAlign w:val="baseline"/>
                <w:lang w:val="en-US" w:eastAsia="zh-CN"/>
              </w:rPr>
              <w:t>向</w:t>
            </w:r>
            <w:r>
              <w:rPr>
                <w:rFonts w:hint="eastAsia" w:cs="Times New Roman"/>
                <w:color w:val="auto"/>
                <w:sz w:val="24"/>
                <w:highlight w:val="none"/>
                <w:vertAlign w:val="baseline"/>
                <w:lang w:val="en-US" w:eastAsia="zh-CN"/>
              </w:rPr>
              <w:t>西</w:t>
            </w:r>
            <w:r>
              <w:rPr>
                <w:rFonts w:hint="default" w:ascii="Times New Roman" w:hAnsi="Times New Roman" w:eastAsia="宋体" w:cs="Times New Roman"/>
                <w:color w:val="auto"/>
                <w:sz w:val="24"/>
                <w:szCs w:val="24"/>
                <w:highlight w:val="none"/>
                <w:lang w:eastAsia="zh-CN"/>
              </w:rPr>
              <w:t>第</w:t>
            </w:r>
            <w:r>
              <w:rPr>
                <w:rFonts w:hint="eastAsia"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lang w:eastAsia="zh-CN"/>
              </w:rPr>
              <w:t>回</w:t>
            </w:r>
            <w:r>
              <w:rPr>
                <w:rFonts w:hint="default" w:ascii="Times New Roman" w:hAnsi="Times New Roman" w:eastAsia="宋体" w:cs="Times New Roman"/>
                <w:color w:val="auto"/>
                <w:sz w:val="24"/>
                <w:szCs w:val="24"/>
                <w:highlight w:val="none"/>
                <w:lang w:val="en-US" w:eastAsia="zh-CN"/>
              </w:rPr>
              <w:t>预留</w:t>
            </w:r>
            <w:r>
              <w:rPr>
                <w:rFonts w:hint="default" w:ascii="Times New Roman" w:hAnsi="Times New Roman" w:eastAsia="宋体" w:cs="Times New Roman"/>
                <w:color w:val="auto"/>
                <w:sz w:val="24"/>
                <w:szCs w:val="24"/>
                <w:lang w:val="en-US" w:eastAsia="zh-CN"/>
              </w:rPr>
              <w:t>间隔</w:t>
            </w:r>
            <w:r>
              <w:rPr>
                <w:rFonts w:hint="default" w:ascii="Times New Roman" w:hAnsi="Times New Roman" w:eastAsia="宋体" w:cs="Times New Roman"/>
                <w:color w:val="auto"/>
                <w:sz w:val="24"/>
                <w:vertAlign w:val="baseline"/>
                <w:lang w:val="en-US" w:eastAsia="zh-CN"/>
              </w:rPr>
              <w:t>，本期仅涉及扩建一个220kV出线间隔相关间隔设备支架及基础。</w:t>
            </w:r>
          </w:p>
          <w:p w14:paraId="5A04AC24">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113" w:firstLine="480" w:firstLineChars="200"/>
              <w:textAlignment w:val="auto"/>
              <w:rPr>
                <w:rFonts w:hint="default" w:ascii="Times New Roman" w:hAnsi="Times New Roman" w:eastAsia="宋体" w:cs="Times New Roman"/>
                <w:color w:val="auto"/>
                <w:sz w:val="24"/>
                <w:highlight w:val="none"/>
                <w:vertAlign w:val="baseline"/>
                <w:lang w:val="en-US" w:eastAsia="zh-CN"/>
              </w:rPr>
            </w:pPr>
            <w:r>
              <w:rPr>
                <w:rFonts w:hint="eastAsia" w:cs="Times New Roman"/>
                <w:color w:val="auto"/>
                <w:sz w:val="24"/>
                <w:highlight w:val="none"/>
                <w:vertAlign w:val="baseline"/>
                <w:lang w:val="en-US" w:eastAsia="zh-CN"/>
              </w:rPr>
              <w:t>大唐鄯善东</w:t>
            </w:r>
            <w:r>
              <w:rPr>
                <w:rFonts w:hint="default" w:ascii="Times New Roman" w:hAnsi="Times New Roman" w:eastAsia="宋体" w:cs="Times New Roman"/>
                <w:color w:val="auto"/>
                <w:sz w:val="24"/>
                <w:highlight w:val="none"/>
                <w:vertAlign w:val="baseline"/>
                <w:lang w:val="en-US" w:eastAsia="zh-CN"/>
              </w:rPr>
              <w:t>220kV</w:t>
            </w:r>
            <w:r>
              <w:rPr>
                <w:rFonts w:hint="eastAsia" w:cs="Times New Roman"/>
                <w:color w:val="auto"/>
                <w:sz w:val="24"/>
                <w:highlight w:val="none"/>
                <w:vertAlign w:val="baseline"/>
                <w:lang w:val="en-US" w:eastAsia="zh-CN"/>
              </w:rPr>
              <w:t>升压站</w:t>
            </w:r>
            <w:r>
              <w:rPr>
                <w:rFonts w:hint="default" w:ascii="Times New Roman" w:hAnsi="Times New Roman" w:eastAsia="宋体" w:cs="Times New Roman"/>
                <w:color w:val="auto"/>
                <w:sz w:val="24"/>
                <w:highlight w:val="none"/>
                <w:vertAlign w:val="baseline"/>
                <w:lang w:val="en-US" w:eastAsia="zh-CN"/>
              </w:rPr>
              <w:t>位于</w:t>
            </w:r>
            <w:r>
              <w:rPr>
                <w:rFonts w:hint="eastAsia" w:cs="Times New Roman"/>
                <w:color w:val="auto"/>
                <w:sz w:val="24"/>
                <w:highlight w:val="none"/>
                <w:vertAlign w:val="baseline"/>
                <w:lang w:val="en-US" w:eastAsia="zh-CN"/>
              </w:rPr>
              <w:t>鄯善县以东约90km处的百里风区西北部，G30线以北约1km处</w:t>
            </w:r>
            <w:r>
              <w:rPr>
                <w:rFonts w:hint="default" w:ascii="Times New Roman" w:hAnsi="Times New Roman" w:eastAsia="宋体" w:cs="Times New Roman"/>
                <w:color w:val="auto"/>
                <w:sz w:val="24"/>
                <w:highlight w:val="none"/>
                <w:vertAlign w:val="baseline"/>
                <w:lang w:val="en-US" w:eastAsia="zh-CN"/>
              </w:rPr>
              <w:t>的戈壁上。现有工程建设内容见表3-</w:t>
            </w:r>
            <w:r>
              <w:rPr>
                <w:rFonts w:hint="eastAsia" w:cs="Times New Roman"/>
                <w:color w:val="auto"/>
                <w:sz w:val="24"/>
                <w:highlight w:val="none"/>
                <w:vertAlign w:val="baseline"/>
                <w:lang w:val="en-US" w:eastAsia="zh-CN"/>
              </w:rPr>
              <w:t>5</w:t>
            </w:r>
            <w:r>
              <w:rPr>
                <w:rFonts w:hint="default" w:ascii="Times New Roman" w:hAnsi="Times New Roman" w:eastAsia="宋体" w:cs="Times New Roman"/>
                <w:color w:val="auto"/>
                <w:sz w:val="24"/>
                <w:highlight w:val="none"/>
                <w:vertAlign w:val="baseline"/>
                <w:lang w:val="en-US" w:eastAsia="zh-CN"/>
              </w:rPr>
              <w:t>。</w:t>
            </w:r>
          </w:p>
          <w:p w14:paraId="30FC98D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4"/>
                <w:highlight w:val="none"/>
                <w:lang w:val="en-US"/>
              </w:rPr>
            </w:pPr>
            <w:r>
              <w:rPr>
                <w:rFonts w:hint="default" w:ascii="Times New Roman" w:hAnsi="Times New Roman" w:eastAsia="宋体" w:cs="Times New Roman"/>
                <w:b/>
                <w:bCs/>
                <w:color w:val="auto"/>
                <w:sz w:val="24"/>
                <w:highlight w:val="none"/>
                <w:lang w:val="en-US"/>
              </w:rPr>
              <w:t>表</w:t>
            </w:r>
            <w:r>
              <w:rPr>
                <w:rFonts w:hint="default" w:ascii="Times New Roman" w:hAnsi="Times New Roman" w:eastAsia="宋体" w:cs="Times New Roman"/>
                <w:b/>
                <w:bCs/>
                <w:color w:val="auto"/>
                <w:sz w:val="24"/>
                <w:highlight w:val="none"/>
                <w:lang w:val="en-US" w:eastAsia="zh-CN"/>
              </w:rPr>
              <w:t>3-</w:t>
            </w:r>
            <w:r>
              <w:rPr>
                <w:rFonts w:hint="eastAsia" w:cs="Times New Roman"/>
                <w:b/>
                <w:bCs/>
                <w:color w:val="auto"/>
                <w:sz w:val="24"/>
                <w:highlight w:val="none"/>
                <w:lang w:val="en-US" w:eastAsia="zh-CN"/>
              </w:rPr>
              <w:t>5    大唐鄯善东</w:t>
            </w:r>
            <w:r>
              <w:rPr>
                <w:rFonts w:hint="default" w:ascii="Times New Roman" w:hAnsi="Times New Roman" w:eastAsia="宋体" w:cs="Times New Roman"/>
                <w:b/>
                <w:bCs/>
                <w:color w:val="auto"/>
                <w:sz w:val="24"/>
                <w:highlight w:val="none"/>
                <w:lang w:val="en-US" w:eastAsia="zh-CN"/>
              </w:rPr>
              <w:t>22</w:t>
            </w:r>
            <w:r>
              <w:rPr>
                <w:rFonts w:hint="default" w:ascii="Times New Roman" w:hAnsi="Times New Roman" w:eastAsia="宋体" w:cs="Times New Roman"/>
                <w:b/>
                <w:bCs/>
                <w:color w:val="auto"/>
                <w:sz w:val="24"/>
                <w:highlight w:val="none"/>
                <w:lang w:val="en-US"/>
              </w:rPr>
              <w:t>0kV</w:t>
            </w:r>
            <w:r>
              <w:rPr>
                <w:rFonts w:hint="eastAsia" w:cs="Times New Roman"/>
                <w:b/>
                <w:bCs/>
                <w:color w:val="auto"/>
                <w:sz w:val="24"/>
                <w:highlight w:val="none"/>
                <w:lang w:val="en-US" w:eastAsia="zh-CN"/>
              </w:rPr>
              <w:t>升压</w:t>
            </w:r>
            <w:r>
              <w:rPr>
                <w:rFonts w:hint="default" w:ascii="Times New Roman" w:hAnsi="Times New Roman" w:eastAsia="宋体" w:cs="Times New Roman"/>
                <w:b/>
                <w:bCs/>
                <w:color w:val="auto"/>
                <w:sz w:val="24"/>
                <w:highlight w:val="none"/>
                <w:lang w:val="en-US"/>
              </w:rPr>
              <w:t>站建设规模</w:t>
            </w:r>
          </w:p>
          <w:tbl>
            <w:tblPr>
              <w:tblStyle w:val="106"/>
              <w:tblW w:w="499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38"/>
              <w:gridCol w:w="2638"/>
              <w:gridCol w:w="2141"/>
              <w:gridCol w:w="2005"/>
            </w:tblGrid>
            <w:tr w14:paraId="175CCD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550" w:type="pct"/>
                  <w:tcBorders>
                    <w:tl2br w:val="nil"/>
                    <w:tr2bl w:val="nil"/>
                  </w:tcBorders>
                  <w:noWrap w:val="0"/>
                  <w:vAlign w:val="center"/>
                </w:tcPr>
                <w:p w14:paraId="580F05AE">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eastAsia="en-US"/>
                    </w:rPr>
                  </w:pPr>
                  <w:r>
                    <w:rPr>
                      <w:rFonts w:hint="default" w:ascii="Times New Roman" w:hAnsi="Times New Roman" w:eastAsia="宋体" w:cs="Times New Roman"/>
                      <w:b/>
                      <w:bCs/>
                      <w:color w:val="auto"/>
                      <w:sz w:val="21"/>
                      <w:szCs w:val="21"/>
                      <w:highlight w:val="none"/>
                      <w:lang w:eastAsia="en-US"/>
                    </w:rPr>
                    <w:t>序号</w:t>
                  </w:r>
                </w:p>
              </w:tc>
              <w:tc>
                <w:tcPr>
                  <w:tcW w:w="1729" w:type="pct"/>
                  <w:tcBorders>
                    <w:tl2br w:val="nil"/>
                    <w:tr2bl w:val="nil"/>
                  </w:tcBorders>
                  <w:noWrap w:val="0"/>
                  <w:vAlign w:val="center"/>
                </w:tcPr>
                <w:p w14:paraId="5D6F41C0">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eastAsia="en-US"/>
                    </w:rPr>
                  </w:pPr>
                  <w:r>
                    <w:rPr>
                      <w:rFonts w:hint="default" w:ascii="Times New Roman" w:hAnsi="Times New Roman" w:eastAsia="宋体" w:cs="Times New Roman"/>
                      <w:b/>
                      <w:bCs/>
                      <w:color w:val="auto"/>
                      <w:sz w:val="21"/>
                      <w:szCs w:val="21"/>
                      <w:highlight w:val="none"/>
                      <w:lang w:eastAsia="en-US"/>
                    </w:rPr>
                    <w:t>名称</w:t>
                  </w:r>
                </w:p>
              </w:tc>
              <w:tc>
                <w:tcPr>
                  <w:tcW w:w="1404" w:type="pct"/>
                  <w:tcBorders>
                    <w:tl2br w:val="nil"/>
                    <w:tr2bl w:val="nil"/>
                  </w:tcBorders>
                  <w:noWrap w:val="0"/>
                  <w:vAlign w:val="center"/>
                </w:tcPr>
                <w:p w14:paraId="289D19B4">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cs="Times New Roman"/>
                      <w:b/>
                      <w:bCs/>
                      <w:color w:val="auto"/>
                      <w:sz w:val="21"/>
                      <w:szCs w:val="21"/>
                      <w:highlight w:val="none"/>
                      <w:lang w:val="en-US" w:eastAsia="zh-CN"/>
                    </w:rPr>
                    <w:t>规划</w:t>
                  </w:r>
                </w:p>
              </w:tc>
              <w:tc>
                <w:tcPr>
                  <w:tcW w:w="1315" w:type="pct"/>
                  <w:tcBorders>
                    <w:tl2br w:val="nil"/>
                    <w:tr2bl w:val="nil"/>
                  </w:tcBorders>
                  <w:noWrap w:val="0"/>
                  <w:vAlign w:val="center"/>
                </w:tcPr>
                <w:p w14:paraId="4E1F8134">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实际建设</w:t>
                  </w:r>
                </w:p>
              </w:tc>
            </w:tr>
            <w:tr w14:paraId="75C69B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550" w:type="pct"/>
                  <w:tcBorders>
                    <w:tl2br w:val="nil"/>
                    <w:tr2bl w:val="nil"/>
                  </w:tcBorders>
                  <w:noWrap w:val="0"/>
                  <w:vAlign w:val="center"/>
                </w:tcPr>
                <w:p w14:paraId="2385FF43">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1</w:t>
                  </w:r>
                </w:p>
              </w:tc>
              <w:tc>
                <w:tcPr>
                  <w:tcW w:w="1729" w:type="pct"/>
                  <w:tcBorders>
                    <w:tl2br w:val="nil"/>
                    <w:tr2bl w:val="nil"/>
                  </w:tcBorders>
                  <w:noWrap w:val="0"/>
                  <w:vAlign w:val="center"/>
                </w:tcPr>
                <w:p w14:paraId="4165A280">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主变压器（MVA）</w:t>
                  </w:r>
                </w:p>
              </w:tc>
              <w:tc>
                <w:tcPr>
                  <w:tcW w:w="1404" w:type="pct"/>
                  <w:tcBorders>
                    <w:tl2br w:val="nil"/>
                    <w:tr2bl w:val="nil"/>
                  </w:tcBorders>
                  <w:noWrap w:val="0"/>
                  <w:vAlign w:val="center"/>
                </w:tcPr>
                <w:p w14:paraId="1106DC89">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en-US"/>
                    </w:rPr>
                    <w:t>×1</w:t>
                  </w:r>
                  <w:r>
                    <w:rPr>
                      <w:rFonts w:hint="default" w:ascii="Times New Roman" w:hAnsi="Times New Roman" w:eastAsia="宋体" w:cs="Times New Roman"/>
                      <w:color w:val="auto"/>
                      <w:sz w:val="21"/>
                      <w:szCs w:val="21"/>
                      <w:highlight w:val="none"/>
                      <w:lang w:val="en-US" w:eastAsia="zh-CN"/>
                    </w:rPr>
                    <w:t>80</w:t>
                  </w:r>
                </w:p>
              </w:tc>
              <w:tc>
                <w:tcPr>
                  <w:tcW w:w="1315" w:type="pct"/>
                  <w:tcBorders>
                    <w:tl2br w:val="nil"/>
                    <w:tr2bl w:val="nil"/>
                  </w:tcBorders>
                  <w:noWrap w:val="0"/>
                  <w:vAlign w:val="center"/>
                </w:tcPr>
                <w:p w14:paraId="056D4494">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eastAsia="en-US"/>
                    </w:rPr>
                  </w:pPr>
                  <w:r>
                    <w:rPr>
                      <w:rFonts w:hint="eastAsia"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en-US"/>
                    </w:rPr>
                    <w:t>×1</w:t>
                  </w:r>
                  <w:r>
                    <w:rPr>
                      <w:rFonts w:hint="default" w:ascii="Times New Roman" w:hAnsi="Times New Roman" w:eastAsia="宋体" w:cs="Times New Roman"/>
                      <w:color w:val="auto"/>
                      <w:sz w:val="21"/>
                      <w:szCs w:val="21"/>
                      <w:highlight w:val="none"/>
                      <w:lang w:val="en-US" w:eastAsia="zh-CN"/>
                    </w:rPr>
                    <w:t>80</w:t>
                  </w:r>
                </w:p>
              </w:tc>
            </w:tr>
            <w:tr w14:paraId="6CBCE1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550" w:type="pct"/>
                  <w:tcBorders>
                    <w:tl2br w:val="nil"/>
                    <w:tr2bl w:val="nil"/>
                  </w:tcBorders>
                  <w:noWrap w:val="0"/>
                  <w:vAlign w:val="center"/>
                </w:tcPr>
                <w:p w14:paraId="3F20A59F">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2</w:t>
                  </w:r>
                </w:p>
              </w:tc>
              <w:tc>
                <w:tcPr>
                  <w:tcW w:w="1729" w:type="pct"/>
                  <w:tcBorders>
                    <w:tl2br w:val="nil"/>
                    <w:tr2bl w:val="nil"/>
                  </w:tcBorders>
                  <w:noWrap w:val="0"/>
                  <w:vAlign w:val="center"/>
                </w:tcPr>
                <w:p w14:paraId="148244FD">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220kV出线（回）</w:t>
                  </w:r>
                </w:p>
              </w:tc>
              <w:tc>
                <w:tcPr>
                  <w:tcW w:w="1404" w:type="pct"/>
                  <w:tcBorders>
                    <w:tl2br w:val="nil"/>
                    <w:tr2bl w:val="nil"/>
                  </w:tcBorders>
                  <w:noWrap w:val="0"/>
                  <w:vAlign w:val="center"/>
                </w:tcPr>
                <w:p w14:paraId="783EAEC5">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w:t>
                  </w:r>
                </w:p>
              </w:tc>
              <w:tc>
                <w:tcPr>
                  <w:tcW w:w="1315" w:type="pct"/>
                  <w:tcBorders>
                    <w:tl2br w:val="nil"/>
                    <w:tr2bl w:val="nil"/>
                  </w:tcBorders>
                  <w:noWrap w:val="0"/>
                  <w:vAlign w:val="center"/>
                </w:tcPr>
                <w:p w14:paraId="4A843780">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6</w:t>
                  </w:r>
                </w:p>
              </w:tc>
            </w:tr>
            <w:tr w14:paraId="289B69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550" w:type="pct"/>
                  <w:tcBorders>
                    <w:tl2br w:val="nil"/>
                    <w:tr2bl w:val="nil"/>
                  </w:tcBorders>
                  <w:noWrap w:val="0"/>
                  <w:vAlign w:val="center"/>
                </w:tcPr>
                <w:p w14:paraId="214F37B4">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1729" w:type="pct"/>
                  <w:tcBorders>
                    <w:tl2br w:val="nil"/>
                    <w:tr2bl w:val="nil"/>
                  </w:tcBorders>
                  <w:noWrap w:val="0"/>
                  <w:vAlign w:val="center"/>
                </w:tcPr>
                <w:p w14:paraId="2010D841">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110kV出线（回）</w:t>
                  </w:r>
                </w:p>
              </w:tc>
              <w:tc>
                <w:tcPr>
                  <w:tcW w:w="1404" w:type="pct"/>
                  <w:tcBorders>
                    <w:tl2br w:val="nil"/>
                    <w:tr2bl w:val="nil"/>
                  </w:tcBorders>
                  <w:noWrap w:val="0"/>
                  <w:vAlign w:val="center"/>
                </w:tcPr>
                <w:p w14:paraId="1F6101DA">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p>
              </w:tc>
              <w:tc>
                <w:tcPr>
                  <w:tcW w:w="1315" w:type="pct"/>
                  <w:tcBorders>
                    <w:tl2br w:val="nil"/>
                    <w:tr2bl w:val="nil"/>
                  </w:tcBorders>
                  <w:noWrap w:val="0"/>
                  <w:vAlign w:val="center"/>
                </w:tcPr>
                <w:p w14:paraId="662DE667">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p>
              </w:tc>
            </w:tr>
            <w:tr w14:paraId="63BB37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2280" w:type="pct"/>
                  <w:gridSpan w:val="2"/>
                  <w:tcBorders>
                    <w:tl2br w:val="nil"/>
                    <w:tr2bl w:val="nil"/>
                  </w:tcBorders>
                  <w:noWrap w:val="0"/>
                  <w:vAlign w:val="center"/>
                </w:tcPr>
                <w:p w14:paraId="1F026911">
                  <w:pPr>
                    <w:pStyle w:val="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配电装置布置方式</w:t>
                  </w:r>
                </w:p>
              </w:tc>
              <w:tc>
                <w:tcPr>
                  <w:tcW w:w="2719" w:type="pct"/>
                  <w:gridSpan w:val="2"/>
                  <w:tcBorders>
                    <w:tl2br w:val="nil"/>
                    <w:tr2bl w:val="nil"/>
                  </w:tcBorders>
                  <w:noWrap w:val="0"/>
                  <w:vAlign w:val="center"/>
                </w:tcPr>
                <w:p w14:paraId="7731A839">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220kV为户外GIS</w:t>
                  </w:r>
                </w:p>
              </w:tc>
            </w:tr>
          </w:tbl>
          <w:p w14:paraId="3F10B612">
            <w:pPr>
              <w:keepNext w:val="0"/>
              <w:keepLines w:val="0"/>
              <w:suppressLineNumbers w:val="0"/>
              <w:autoSpaceDE w:val="0"/>
              <w:autoSpaceDN w:val="0"/>
              <w:adjustRightInd w:val="0"/>
              <w:snapToGrid w:val="0"/>
              <w:spacing w:before="0" w:beforeAutospacing="0" w:after="0" w:afterAutospacing="0" w:line="360" w:lineRule="auto"/>
              <w:ind w:left="0" w:right="0" w:firstLine="420"/>
              <w:rPr>
                <w:rFonts w:hint="default" w:ascii="Times New Roman" w:hAnsi="Times New Roman" w:eastAsia="宋体" w:cs="Times New Roman"/>
                <w:color w:val="auto"/>
                <w:sz w:val="24"/>
                <w:szCs w:val="24"/>
                <w:highlight w:val="yellow"/>
              </w:rPr>
            </w:pPr>
          </w:p>
          <w:p w14:paraId="5B8BE744">
            <w:pPr>
              <w:keepNext w:val="0"/>
              <w:keepLines w:val="0"/>
              <w:suppressLineNumbers w:val="0"/>
              <w:autoSpaceDE w:val="0"/>
              <w:autoSpaceDN w:val="0"/>
              <w:adjustRightInd w:val="0"/>
              <w:snapToGrid w:val="0"/>
              <w:spacing w:before="0" w:beforeAutospacing="0" w:after="0" w:afterAutospacing="0" w:line="360" w:lineRule="auto"/>
              <w:ind w:left="0" w:right="0" w:firstLine="420"/>
              <w:rPr>
                <w:rFonts w:hint="default" w:ascii="Times New Roman" w:hAnsi="Times New Roman" w:eastAsia="宋体" w:cs="Times New Roman"/>
                <w:color w:val="auto"/>
                <w:sz w:val="24"/>
                <w:szCs w:val="24"/>
                <w:highlight w:val="none"/>
              </w:rPr>
            </w:pPr>
            <w:r>
              <w:rPr>
                <w:rFonts w:hint="eastAsia" w:cs="Times New Roman"/>
                <w:color w:val="auto"/>
                <w:sz w:val="24"/>
                <w:highlight w:val="none"/>
                <w:vertAlign w:val="baseline"/>
                <w:lang w:val="en-US" w:eastAsia="zh-CN"/>
              </w:rPr>
              <w:t>大唐鄯善东</w:t>
            </w:r>
            <w:r>
              <w:rPr>
                <w:rFonts w:hint="default" w:ascii="Times New Roman" w:hAnsi="Times New Roman" w:eastAsia="宋体" w:cs="Times New Roman"/>
                <w:color w:val="auto"/>
                <w:sz w:val="24"/>
                <w:highlight w:val="none"/>
                <w:vertAlign w:val="baseline"/>
                <w:lang w:val="en-US" w:eastAsia="zh-CN"/>
              </w:rPr>
              <w:t>220kV</w:t>
            </w:r>
            <w:r>
              <w:rPr>
                <w:rFonts w:hint="eastAsia" w:cs="Times New Roman"/>
                <w:color w:val="auto"/>
                <w:sz w:val="24"/>
                <w:highlight w:val="none"/>
                <w:vertAlign w:val="baseline"/>
                <w:lang w:val="en-US" w:eastAsia="zh-CN"/>
              </w:rPr>
              <w:t>升压站</w:t>
            </w:r>
            <w:r>
              <w:rPr>
                <w:rFonts w:hint="default" w:ascii="Times New Roman" w:hAnsi="Times New Roman" w:eastAsia="宋体" w:cs="Times New Roman"/>
                <w:color w:val="auto"/>
                <w:sz w:val="24"/>
                <w:szCs w:val="24"/>
                <w:highlight w:val="none"/>
              </w:rPr>
              <w:t>环评及验收情况见表</w:t>
            </w:r>
            <w:r>
              <w:rPr>
                <w:rFonts w:hint="default" w:ascii="Times New Roman" w:hAnsi="Times New Roman" w:eastAsia="宋体" w:cs="Times New Roman"/>
                <w:color w:val="auto"/>
                <w:sz w:val="24"/>
                <w:szCs w:val="24"/>
                <w:highlight w:val="none"/>
                <w:lang w:val="en-US" w:eastAsia="zh-CN"/>
              </w:rPr>
              <w:t>3-</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p>
          <w:p w14:paraId="49D7872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4"/>
                <w:highlight w:val="none"/>
              </w:rPr>
            </w:pPr>
          </w:p>
          <w:p w14:paraId="61568C2C">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表3-</w:t>
            </w:r>
            <w:r>
              <w:rPr>
                <w:rFonts w:hint="eastAsia" w:cs="Times New Roman"/>
                <w:b/>
                <w:color w:val="auto"/>
                <w:sz w:val="24"/>
                <w:highlight w:val="none"/>
                <w:lang w:val="en-US" w:eastAsia="zh-CN"/>
              </w:rPr>
              <w:t>6</w:t>
            </w:r>
            <w:r>
              <w:rPr>
                <w:rFonts w:hint="default" w:ascii="Times New Roman" w:hAnsi="Times New Roman" w:eastAsia="宋体"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rPr>
              <w:t xml:space="preserve"> </w:t>
            </w:r>
            <w:r>
              <w:rPr>
                <w:rFonts w:hint="eastAsia" w:cs="Times New Roman"/>
                <w:b/>
                <w:color w:val="auto"/>
                <w:sz w:val="24"/>
                <w:highlight w:val="none"/>
                <w:lang w:val="en-US" w:eastAsia="zh-CN"/>
              </w:rPr>
              <w:t>大唐鄯善东</w:t>
            </w:r>
            <w:r>
              <w:rPr>
                <w:rFonts w:hint="default" w:ascii="Times New Roman" w:hAnsi="Times New Roman" w:eastAsia="宋体" w:cs="Times New Roman"/>
                <w:b/>
                <w:color w:val="auto"/>
                <w:sz w:val="24"/>
                <w:highlight w:val="none"/>
                <w:lang w:val="en-US" w:eastAsia="zh-CN"/>
              </w:rPr>
              <w:t>22</w:t>
            </w:r>
            <w:r>
              <w:rPr>
                <w:rFonts w:hint="default" w:ascii="Times New Roman" w:hAnsi="Times New Roman" w:eastAsia="宋体" w:cs="Times New Roman"/>
                <w:b/>
                <w:color w:val="auto"/>
                <w:sz w:val="24"/>
                <w:highlight w:val="none"/>
              </w:rPr>
              <w:t>0kV</w:t>
            </w:r>
            <w:r>
              <w:rPr>
                <w:rFonts w:hint="eastAsia" w:cs="Times New Roman"/>
                <w:b/>
                <w:color w:val="auto"/>
                <w:sz w:val="24"/>
                <w:highlight w:val="none"/>
                <w:lang w:val="en-US" w:eastAsia="zh-CN"/>
              </w:rPr>
              <w:t>升压</w:t>
            </w:r>
            <w:r>
              <w:rPr>
                <w:rFonts w:hint="default" w:ascii="Times New Roman" w:hAnsi="Times New Roman" w:eastAsia="宋体" w:cs="Times New Roman"/>
                <w:b/>
                <w:color w:val="auto"/>
                <w:sz w:val="24"/>
                <w:highlight w:val="none"/>
              </w:rPr>
              <w:t>站环评及验收情况</w:t>
            </w:r>
          </w:p>
          <w:tbl>
            <w:tblPr>
              <w:tblStyle w:val="32"/>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90"/>
              <w:gridCol w:w="1536"/>
              <w:gridCol w:w="1115"/>
              <w:gridCol w:w="1987"/>
              <w:gridCol w:w="994"/>
            </w:tblGrid>
            <w:tr w14:paraId="3C986F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05" w:type="pct"/>
                  <w:noWrap w:val="0"/>
                  <w:vAlign w:val="center"/>
                </w:tcPr>
                <w:p w14:paraId="5D1717C0">
                  <w:pPr>
                    <w:keepNext w:val="0"/>
                    <w:keepLines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工程名称</w:t>
                  </w:r>
                </w:p>
              </w:tc>
              <w:tc>
                <w:tcPr>
                  <w:tcW w:w="1007" w:type="pct"/>
                  <w:noWrap w:val="0"/>
                  <w:vAlign w:val="center"/>
                </w:tcPr>
                <w:p w14:paraId="7E205C0E">
                  <w:pPr>
                    <w:keepNext w:val="0"/>
                    <w:keepLines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环评编制单位</w:t>
                  </w:r>
                </w:p>
              </w:tc>
              <w:tc>
                <w:tcPr>
                  <w:tcW w:w="731" w:type="pct"/>
                  <w:noWrap w:val="0"/>
                  <w:vAlign w:val="center"/>
                </w:tcPr>
                <w:p w14:paraId="6F3647BA">
                  <w:pPr>
                    <w:keepNext w:val="0"/>
                    <w:keepLines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环评批复</w:t>
                  </w:r>
                </w:p>
              </w:tc>
              <w:tc>
                <w:tcPr>
                  <w:tcW w:w="1303" w:type="pct"/>
                  <w:noWrap w:val="0"/>
                  <w:vAlign w:val="center"/>
                </w:tcPr>
                <w:p w14:paraId="2F8B2355">
                  <w:pPr>
                    <w:keepNext w:val="0"/>
                    <w:keepLines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竣工验收</w:t>
                  </w:r>
                  <w:r>
                    <w:rPr>
                      <w:rFonts w:hint="eastAsia" w:cs="Times New Roman"/>
                      <w:color w:val="auto"/>
                      <w:sz w:val="21"/>
                      <w:highlight w:val="none"/>
                      <w:lang w:val="en-US" w:eastAsia="zh-CN"/>
                    </w:rPr>
                    <w:t>报告</w:t>
                  </w:r>
                  <w:r>
                    <w:rPr>
                      <w:rFonts w:hint="default" w:ascii="Times New Roman" w:hAnsi="Times New Roman" w:eastAsia="宋体" w:cs="Times New Roman"/>
                      <w:color w:val="auto"/>
                      <w:sz w:val="21"/>
                      <w:highlight w:val="none"/>
                    </w:rPr>
                    <w:t>编制单位</w:t>
                  </w:r>
                </w:p>
              </w:tc>
              <w:tc>
                <w:tcPr>
                  <w:tcW w:w="652" w:type="pct"/>
                  <w:noWrap w:val="0"/>
                  <w:vAlign w:val="center"/>
                </w:tcPr>
                <w:p w14:paraId="705EC16C">
                  <w:pPr>
                    <w:keepNext w:val="0"/>
                    <w:keepLines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验收</w:t>
                  </w:r>
                </w:p>
                <w:p w14:paraId="7639C2B5">
                  <w:pPr>
                    <w:keepNext w:val="0"/>
                    <w:keepLines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批复</w:t>
                  </w:r>
                </w:p>
              </w:tc>
            </w:tr>
            <w:tr w14:paraId="5E3295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05" w:type="pct"/>
                  <w:noWrap w:val="0"/>
                  <w:vAlign w:val="center"/>
                </w:tcPr>
                <w:p w14:paraId="4137F9CF">
                  <w:pPr>
                    <w:keepNext w:val="0"/>
                    <w:keepLines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大唐鄯善风电开发有限公司楼兰风电场一期49.5MW工程</w:t>
                  </w:r>
                </w:p>
              </w:tc>
              <w:tc>
                <w:tcPr>
                  <w:tcW w:w="1007" w:type="pct"/>
                  <w:noWrap w:val="0"/>
                  <w:vAlign w:val="center"/>
                </w:tcPr>
                <w:p w14:paraId="31EBFD21">
                  <w:pPr>
                    <w:keepNext w:val="0"/>
                    <w:keepLines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新疆维吾尔自治区环境保护咨询中心</w:t>
                  </w:r>
                </w:p>
              </w:tc>
              <w:tc>
                <w:tcPr>
                  <w:tcW w:w="731" w:type="pct"/>
                  <w:noWrap w:val="0"/>
                  <w:vAlign w:val="center"/>
                </w:tcPr>
                <w:p w14:paraId="5A52C1A8">
                  <w:pPr>
                    <w:keepNext w:val="0"/>
                    <w:keepLines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吐地环发</w:t>
                  </w:r>
                </w:p>
                <w:p w14:paraId="7302F7F2">
                  <w:pPr>
                    <w:keepNext w:val="0"/>
                    <w:keepLines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〔201</w:t>
                  </w:r>
                  <w:r>
                    <w:rPr>
                      <w:rFonts w:hint="eastAsia" w:cs="Times New Roman"/>
                      <w:color w:val="auto"/>
                      <w:sz w:val="21"/>
                      <w:highlight w:val="none"/>
                      <w:lang w:val="en-US" w:eastAsia="zh-CN"/>
                    </w:rPr>
                    <w:t>3</w:t>
                  </w:r>
                  <w:r>
                    <w:rPr>
                      <w:rFonts w:hint="default" w:ascii="Times New Roman" w:hAnsi="Times New Roman" w:eastAsia="宋体" w:cs="Times New Roman"/>
                      <w:color w:val="auto"/>
                      <w:sz w:val="21"/>
                      <w:highlight w:val="none"/>
                    </w:rPr>
                    <w:t>〕</w:t>
                  </w:r>
                  <w:r>
                    <w:rPr>
                      <w:rFonts w:hint="eastAsia" w:cs="Times New Roman"/>
                      <w:color w:val="auto"/>
                      <w:sz w:val="21"/>
                      <w:highlight w:val="none"/>
                      <w:lang w:val="en-US" w:eastAsia="zh-CN"/>
                    </w:rPr>
                    <w:t>192</w:t>
                  </w:r>
                  <w:r>
                    <w:rPr>
                      <w:rFonts w:hint="default" w:ascii="Times New Roman" w:hAnsi="Times New Roman" w:eastAsia="宋体" w:cs="Times New Roman"/>
                      <w:color w:val="auto"/>
                      <w:sz w:val="21"/>
                      <w:highlight w:val="none"/>
                    </w:rPr>
                    <w:t>号</w:t>
                  </w:r>
                </w:p>
              </w:tc>
              <w:tc>
                <w:tcPr>
                  <w:tcW w:w="1303" w:type="pct"/>
                  <w:noWrap w:val="0"/>
                  <w:vAlign w:val="center"/>
                </w:tcPr>
                <w:p w14:paraId="124B75DF">
                  <w:pPr>
                    <w:keepNext w:val="0"/>
                    <w:keepLines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highlight w:val="none"/>
                      <w:lang w:val="en-US"/>
                    </w:rPr>
                  </w:pPr>
                  <w:r>
                    <w:rPr>
                      <w:rFonts w:hint="eastAsia" w:cs="Times New Roman"/>
                      <w:color w:val="auto"/>
                      <w:sz w:val="21"/>
                      <w:highlight w:val="none"/>
                      <w:lang w:val="en-US" w:eastAsia="zh-CN"/>
                    </w:rPr>
                    <w:t>新疆新环监测检测研究院（有限公司）</w:t>
                  </w:r>
                </w:p>
              </w:tc>
              <w:tc>
                <w:tcPr>
                  <w:tcW w:w="652" w:type="pct"/>
                  <w:noWrap w:val="0"/>
                  <w:vAlign w:val="center"/>
                </w:tcPr>
                <w:p w14:paraId="407FA40D">
                  <w:pPr>
                    <w:keepNext w:val="0"/>
                    <w:keepLines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highlight w:val="none"/>
                      <w:lang w:val="en-US"/>
                    </w:rPr>
                  </w:pPr>
                  <w:r>
                    <w:rPr>
                      <w:rFonts w:hint="default" w:ascii="Times New Roman" w:hAnsi="Times New Roman" w:eastAsia="宋体" w:cs="Times New Roman"/>
                      <w:color w:val="auto"/>
                      <w:sz w:val="21"/>
                      <w:highlight w:val="none"/>
                    </w:rPr>
                    <w:t>原</w:t>
                  </w:r>
                  <w:r>
                    <w:rPr>
                      <w:rFonts w:hint="default" w:ascii="Times New Roman" w:hAnsi="Times New Roman" w:eastAsia="宋体" w:cs="Times New Roman"/>
                      <w:color w:val="auto"/>
                      <w:sz w:val="21"/>
                      <w:highlight w:val="none"/>
                      <w:lang w:val="en-US" w:eastAsia="zh-CN"/>
                    </w:rPr>
                    <w:t>吐鲁番地区环保局</w:t>
                  </w:r>
                  <w:r>
                    <w:rPr>
                      <w:rFonts w:hint="eastAsia" w:cs="Times New Roman"/>
                      <w:color w:val="auto"/>
                      <w:sz w:val="21"/>
                      <w:highlight w:val="none"/>
                      <w:lang w:val="en-US" w:eastAsia="zh-CN"/>
                    </w:rPr>
                    <w:t>验收合格函</w:t>
                  </w:r>
                </w:p>
              </w:tc>
            </w:tr>
          </w:tbl>
          <w:p w14:paraId="22D4C4D9">
            <w:pPr>
              <w:keepNext w:val="0"/>
              <w:keepLines w:val="0"/>
              <w:suppressLineNumbers w:val="0"/>
              <w:spacing w:before="0" w:beforeAutospacing="0" w:after="0" w:afterAutospacing="0" w:line="240" w:lineRule="auto"/>
              <w:ind w:left="0" w:right="0" w:firstLine="480" w:firstLineChars="200"/>
              <w:rPr>
                <w:rFonts w:hint="default" w:ascii="Times New Roman" w:hAnsi="Times New Roman" w:eastAsia="宋体" w:cs="Times New Roman"/>
                <w:color w:val="auto"/>
                <w:sz w:val="24"/>
                <w:highlight w:val="yellow"/>
                <w:lang w:val="en-US" w:eastAsia="zh-CN"/>
              </w:rPr>
            </w:pPr>
          </w:p>
          <w:p w14:paraId="61B7E1F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highlight w:val="none"/>
                <w:lang w:val="en-US" w:eastAsia="zh-CN"/>
              </w:rPr>
              <w:t>环评、验收及环保措施落实情况：</w:t>
            </w:r>
          </w:p>
          <w:p w14:paraId="6B78E92E">
            <w:pPr>
              <w:keepNext w:val="0"/>
              <w:keepLines w:val="0"/>
              <w:suppressLineNumbers w:val="0"/>
              <w:spacing w:before="0" w:beforeAutospacing="0" w:after="0" w:afterAutospacing="0" w:line="360" w:lineRule="auto"/>
              <w:ind w:left="0" w:right="0" w:firstLine="480" w:firstLineChars="200"/>
              <w:rPr>
                <w:rFonts w:hint="eastAsia"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大唐鄯善风电开发有限公司楼兰风电场一期49.5MW工程</w:t>
            </w:r>
            <w:r>
              <w:rPr>
                <w:rFonts w:hint="eastAsia" w:cs="Times New Roman"/>
                <w:color w:val="auto"/>
                <w:sz w:val="24"/>
                <w:szCs w:val="24"/>
                <w:highlight w:val="none"/>
                <w:lang w:val="en-US" w:eastAsia="zh-CN"/>
              </w:rPr>
              <w:t>于2013年7月25日取得</w:t>
            </w:r>
            <w:r>
              <w:rPr>
                <w:rFonts w:hint="default" w:ascii="Times New Roman" w:hAnsi="Times New Roman" w:eastAsia="宋体" w:cs="Times New Roman"/>
                <w:color w:val="auto"/>
                <w:sz w:val="24"/>
                <w:szCs w:val="24"/>
                <w:highlight w:val="none"/>
              </w:rPr>
              <w:t>原</w:t>
            </w:r>
            <w:r>
              <w:rPr>
                <w:rFonts w:hint="eastAsia" w:cs="Times New Roman"/>
                <w:color w:val="auto"/>
                <w:sz w:val="24"/>
                <w:szCs w:val="24"/>
                <w:highlight w:val="none"/>
                <w:lang w:val="en-US" w:eastAsia="zh-CN"/>
              </w:rPr>
              <w:t>吐鲁番地区环保局出具的环评</w:t>
            </w:r>
            <w:r>
              <w:rPr>
                <w:rFonts w:hint="default" w:ascii="Times New Roman" w:hAnsi="Times New Roman" w:eastAsia="宋体" w:cs="Times New Roman"/>
                <w:color w:val="auto"/>
                <w:sz w:val="24"/>
                <w:szCs w:val="24"/>
                <w:highlight w:val="none"/>
              </w:rPr>
              <w:t>批复</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吐地环发</w:t>
            </w:r>
            <w:r>
              <w:rPr>
                <w:rFonts w:hint="eastAsia" w:cs="Times New Roman"/>
                <w:color w:val="auto"/>
                <w:sz w:val="24"/>
                <w:szCs w:val="24"/>
                <w:highlight w:val="none"/>
                <w:lang w:eastAsia="zh-CN"/>
              </w:rPr>
              <w:t>〔201</w:t>
            </w:r>
            <w:r>
              <w:rPr>
                <w:rFonts w:hint="eastAsia" w:cs="Times New Roman"/>
                <w:color w:val="auto"/>
                <w:sz w:val="24"/>
                <w:szCs w:val="24"/>
                <w:highlight w:val="none"/>
                <w:lang w:val="en-US" w:eastAsia="zh-CN"/>
              </w:rPr>
              <w:t>3</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192</w:t>
            </w:r>
            <w:r>
              <w:rPr>
                <w:rFonts w:hint="eastAsia" w:cs="Times New Roman"/>
                <w:color w:val="auto"/>
                <w:sz w:val="24"/>
                <w:szCs w:val="24"/>
                <w:highlight w:val="none"/>
                <w:lang w:eastAsia="zh-CN"/>
              </w:rPr>
              <w:t>号）</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val="en-US" w:eastAsia="zh-CN"/>
              </w:rPr>
              <w:t>建成后</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w:t>
            </w:r>
            <w:r>
              <w:rPr>
                <w:rFonts w:hint="eastAsia" w:cs="Times New Roman"/>
                <w:color w:val="auto"/>
                <w:sz w:val="24"/>
                <w:szCs w:val="24"/>
                <w:highlight w:val="none"/>
                <w:lang w:val="en-US" w:eastAsia="zh-CN"/>
              </w:rPr>
              <w:t>17</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月</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大唐鄯善风电开发有限公司</w:t>
            </w:r>
            <w:r>
              <w:rPr>
                <w:rFonts w:hint="default" w:ascii="Times New Roman" w:hAnsi="Times New Roman" w:eastAsia="宋体" w:cs="Times New Roman"/>
                <w:color w:val="auto"/>
                <w:sz w:val="24"/>
                <w:szCs w:val="24"/>
                <w:highlight w:val="none"/>
              </w:rPr>
              <w:t>开展自主验收</w:t>
            </w:r>
            <w:r>
              <w:rPr>
                <w:rFonts w:hint="eastAsia" w:eastAsia="宋体" w:cs="Times New Roman"/>
                <w:color w:val="auto"/>
                <w:sz w:val="24"/>
                <w:szCs w:val="24"/>
                <w:highlight w:val="none"/>
                <w:lang w:eastAsia="zh-CN"/>
              </w:rPr>
              <w:t>，</w:t>
            </w:r>
            <w:r>
              <w:rPr>
                <w:rFonts w:hint="eastAsia" w:cs="Times New Roman"/>
                <w:color w:val="auto"/>
                <w:sz w:val="24"/>
                <w:szCs w:val="24"/>
                <w:highlight w:val="none"/>
                <w:lang w:val="en-US" w:eastAsia="zh-CN"/>
              </w:rPr>
              <w:t>委托新疆新环监测检测研究院（有限公司）编制了《大唐鄯善风电开发有限公司楼兰风电场一期49.5MW工程竣工环境保护验收监测报告表》</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并于2017年9月29日，取得</w:t>
            </w:r>
            <w:r>
              <w:rPr>
                <w:rFonts w:hint="default" w:ascii="Times New Roman" w:hAnsi="Times New Roman" w:eastAsia="宋体" w:cs="Times New Roman"/>
                <w:color w:val="auto"/>
                <w:sz w:val="24"/>
                <w:szCs w:val="24"/>
                <w:highlight w:val="none"/>
              </w:rPr>
              <w:t>原</w:t>
            </w:r>
            <w:r>
              <w:rPr>
                <w:rFonts w:hint="eastAsia" w:cs="Times New Roman"/>
                <w:color w:val="auto"/>
                <w:sz w:val="24"/>
                <w:szCs w:val="24"/>
                <w:highlight w:val="none"/>
                <w:lang w:val="en-US" w:eastAsia="zh-CN"/>
              </w:rPr>
              <w:t>吐鲁番地区环保局出具的《关于大唐鄯善风电开发有限公司楼兰风电场一期49.5MW工程竣工环境保护验收合格的函》</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根据现场调查及验收合格函</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大唐鄯善东</w:t>
            </w:r>
            <w:r>
              <w:rPr>
                <w:rFonts w:hint="default"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rPr>
              <w:t>0kV</w:t>
            </w:r>
            <w:r>
              <w:rPr>
                <w:rFonts w:hint="eastAsia" w:cs="Times New Roman"/>
                <w:color w:val="auto"/>
                <w:sz w:val="24"/>
                <w:szCs w:val="24"/>
                <w:highlight w:val="none"/>
                <w:lang w:val="en-US" w:eastAsia="zh-CN"/>
              </w:rPr>
              <w:t>升压</w:t>
            </w:r>
            <w:r>
              <w:rPr>
                <w:rFonts w:hint="default" w:ascii="Times New Roman" w:hAnsi="Times New Roman" w:eastAsia="宋体" w:cs="Times New Roman"/>
                <w:color w:val="auto"/>
                <w:sz w:val="24"/>
                <w:szCs w:val="24"/>
                <w:highlight w:val="none"/>
              </w:rPr>
              <w:t>站</w:t>
            </w:r>
            <w:r>
              <w:rPr>
                <w:rFonts w:hint="eastAsia" w:ascii="Times New Roman" w:hAnsi="Times New Roman" w:eastAsia="宋体" w:cs="Times New Roman"/>
                <w:color w:val="auto"/>
                <w:sz w:val="24"/>
                <w:szCs w:val="24"/>
                <w:highlight w:val="none"/>
                <w:lang w:val="en-US" w:eastAsia="zh-CN"/>
              </w:rPr>
              <w:t>已建成投运</w:t>
            </w:r>
            <w:r>
              <w:rPr>
                <w:rFonts w:hint="eastAsia" w:cs="Times New Roman"/>
                <w:color w:val="auto"/>
                <w:sz w:val="24"/>
                <w:szCs w:val="24"/>
                <w:highlight w:val="none"/>
                <w:lang w:val="en-US" w:eastAsia="zh-CN"/>
              </w:rPr>
              <w:t>，主要环保措施如下：</w:t>
            </w:r>
          </w:p>
          <w:p w14:paraId="17687646">
            <w:pPr>
              <w:keepNext w:val="0"/>
              <w:keepLines w:val="0"/>
              <w:suppressLineNumbers w:val="0"/>
              <w:spacing w:before="0" w:beforeAutospacing="0" w:after="0" w:afterAutospacing="0" w:line="360" w:lineRule="auto"/>
              <w:ind w:left="0" w:right="0" w:firstLine="480" w:firstLineChars="20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①废水处理措施：升压站无生产废水产生，生活污水经地埋式一体化污水处理设施处理后冬储夏灌用于场区绿化。</w:t>
            </w:r>
          </w:p>
          <w:p w14:paraId="3C064140">
            <w:pPr>
              <w:keepNext w:val="0"/>
              <w:keepLines w:val="0"/>
              <w:suppressLineNumbers w:val="0"/>
              <w:spacing w:before="0" w:beforeAutospacing="0" w:after="0" w:afterAutospacing="0" w:line="360" w:lineRule="auto"/>
              <w:ind w:left="0" w:right="0" w:firstLine="480" w:firstLineChars="20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②厂界环境噪声昼间、夜间监测值均符合《工业企业厂界环境噪声排放标准》（GB12348-2008）中2类标准要求。</w:t>
            </w:r>
          </w:p>
          <w:p w14:paraId="502EFE07">
            <w:pPr>
              <w:keepNext w:val="0"/>
              <w:keepLines w:val="0"/>
              <w:suppressLineNumbers w:val="0"/>
              <w:spacing w:before="0" w:beforeAutospacing="0" w:after="0" w:afterAutospacing="0" w:line="360" w:lineRule="auto"/>
              <w:ind w:left="0" w:right="0" w:firstLine="480" w:firstLineChars="20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③生活垃圾集中收集后定期运至鄯善县垃圾填埋场处理。</w:t>
            </w:r>
          </w:p>
          <w:p w14:paraId="032D95D6">
            <w:pPr>
              <w:keepNext w:val="0"/>
              <w:keepLines w:val="0"/>
              <w:suppressLineNumbers w:val="0"/>
              <w:spacing w:before="0" w:beforeAutospacing="0" w:after="0" w:afterAutospacing="0" w:line="360" w:lineRule="auto"/>
              <w:ind w:left="0" w:right="0" w:firstLine="480" w:firstLineChars="200"/>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④风机和主变压器检修时产生废变压器油和废润滑油等危废废物，项目已配套建设了事故油池，并在危废贮存点内设置废油桶，废变压器油和废润滑油临时贮存于危废贮存点内的废油桶，定期委托有资质单位处置。</w:t>
            </w:r>
          </w:p>
          <w:p w14:paraId="0B49937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4"/>
                <w:highlight w:val="yellow"/>
                <w:lang w:val="en-US" w:eastAsia="zh-CN" w:bidi="ar-SA"/>
              </w:rPr>
            </w:pPr>
            <w:r>
              <w:rPr>
                <w:rFonts w:hint="default" w:ascii="Times New Roman" w:hAnsi="Times New Roman" w:eastAsia="宋体" w:cs="Times New Roman"/>
                <w:color w:val="auto"/>
                <w:sz w:val="24"/>
                <w:szCs w:val="24"/>
                <w:highlight w:val="none"/>
                <w:lang w:val="en-US" w:eastAsia="zh-CN"/>
              </w:rPr>
              <w:t>该项目</w:t>
            </w:r>
            <w:r>
              <w:rPr>
                <w:rFonts w:hint="default" w:ascii="Times New Roman" w:hAnsi="Times New Roman" w:eastAsia="宋体" w:cs="Times New Roman"/>
                <w:color w:val="auto"/>
                <w:sz w:val="24"/>
                <w:szCs w:val="24"/>
                <w:highlight w:val="none"/>
              </w:rPr>
              <w:t>环保手续齐全，各项环境保护措施有效，</w:t>
            </w:r>
            <w:r>
              <w:rPr>
                <w:rFonts w:hint="default" w:ascii="Times New Roman" w:hAnsi="Times New Roman" w:eastAsia="宋体" w:cs="Times New Roman"/>
                <w:color w:val="auto"/>
                <w:kern w:val="2"/>
                <w:sz w:val="24"/>
                <w:szCs w:val="24"/>
                <w:highlight w:val="none"/>
                <w:lang w:val="en-US" w:eastAsia="zh-CN" w:bidi="ar-SA"/>
              </w:rPr>
              <w:t>无环境遗留问题。</w:t>
            </w:r>
            <w:r>
              <w:rPr>
                <w:rFonts w:hint="eastAsia" w:ascii="Times New Roman" w:hAnsi="Times New Roman" w:eastAsia="宋体" w:cs="Times New Roman"/>
                <w:color w:val="auto"/>
                <w:kern w:val="2"/>
                <w:sz w:val="24"/>
                <w:szCs w:val="24"/>
                <w:highlight w:val="none"/>
                <w:lang w:val="en-US" w:eastAsia="zh-CN" w:bidi="ar-SA"/>
              </w:rPr>
              <w:t>本期</w:t>
            </w:r>
            <w:r>
              <w:rPr>
                <w:rFonts w:hint="eastAsia" w:cs="Times New Roman"/>
                <w:color w:val="auto"/>
                <w:sz w:val="24"/>
                <w:szCs w:val="24"/>
                <w:lang w:val="en-US" w:eastAsia="zh-CN"/>
              </w:rPr>
              <w:t>大唐鄯善东</w:t>
            </w:r>
            <w:r>
              <w:rPr>
                <w:rFonts w:hint="default"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rPr>
              <w:t>0kV</w:t>
            </w:r>
            <w:r>
              <w:rPr>
                <w:rFonts w:hint="eastAsia" w:ascii="Times New Roman" w:hAnsi="Times New Roman" w:eastAsia="宋体" w:cs="Times New Roman"/>
                <w:color w:val="auto"/>
                <w:kern w:val="2"/>
                <w:sz w:val="24"/>
                <w:szCs w:val="24"/>
                <w:highlight w:val="none"/>
                <w:lang w:val="en-US" w:eastAsia="zh-CN" w:bidi="ar-SA"/>
              </w:rPr>
              <w:t>变电站扩建间隔，</w:t>
            </w:r>
            <w:r>
              <w:rPr>
                <w:rFonts w:hint="eastAsia" w:cs="Times New Roman"/>
                <w:color w:val="auto"/>
                <w:kern w:val="2"/>
                <w:sz w:val="24"/>
                <w:szCs w:val="24"/>
                <w:highlight w:val="none"/>
                <w:lang w:val="en-US" w:eastAsia="zh-CN" w:bidi="ar-SA"/>
              </w:rPr>
              <w:t>不新增劳动定员，运营期不新增污染物排放，</w:t>
            </w:r>
            <w:r>
              <w:rPr>
                <w:rFonts w:hint="eastAsia" w:ascii="Times New Roman" w:hAnsi="Times New Roman" w:eastAsia="宋体" w:cs="Times New Roman"/>
                <w:color w:val="auto"/>
                <w:kern w:val="2"/>
                <w:sz w:val="24"/>
                <w:szCs w:val="24"/>
                <w:highlight w:val="none"/>
                <w:lang w:val="en-US" w:eastAsia="zh-CN" w:bidi="ar-SA"/>
              </w:rPr>
              <w:t>满足相关环保要求。</w:t>
            </w:r>
          </w:p>
          <w:p w14:paraId="0D958999">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color w:val="auto"/>
                <w:sz w:val="24"/>
                <w:highlight w:val="none"/>
                <w:lang w:eastAsia="zh-CN"/>
              </w:rPr>
            </w:pPr>
            <w:r>
              <w:rPr>
                <w:rFonts w:hint="default"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lang w:eastAsia="zh-CN"/>
              </w:rPr>
              <w:t>拟建</w:t>
            </w:r>
            <w:r>
              <w:rPr>
                <w:rFonts w:hint="eastAsia" w:cs="Times New Roman"/>
                <w:b/>
                <w:color w:val="auto"/>
                <w:sz w:val="24"/>
                <w:highlight w:val="none"/>
                <w:lang w:val="en-US" w:eastAsia="zh-CN"/>
              </w:rPr>
              <w:t>升压站及</w:t>
            </w:r>
            <w:r>
              <w:rPr>
                <w:rFonts w:hint="default" w:ascii="Times New Roman" w:hAnsi="Times New Roman" w:eastAsia="宋体" w:cs="Times New Roman"/>
                <w:b/>
                <w:color w:val="auto"/>
                <w:sz w:val="24"/>
                <w:highlight w:val="none"/>
                <w:lang w:eastAsia="zh-CN"/>
              </w:rPr>
              <w:t>输电线路</w:t>
            </w:r>
          </w:p>
          <w:p w14:paraId="55F5349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拟建</w:t>
            </w:r>
            <w:r>
              <w:rPr>
                <w:rFonts w:hint="eastAsia" w:cs="Times New Roman"/>
                <w:color w:val="auto"/>
                <w:sz w:val="24"/>
                <w:szCs w:val="24"/>
                <w:highlight w:val="none"/>
                <w:lang w:val="en-US" w:eastAsia="zh-CN"/>
              </w:rPr>
              <w:t>升压站及</w:t>
            </w:r>
            <w:r>
              <w:rPr>
                <w:rFonts w:hint="default" w:ascii="Times New Roman" w:hAnsi="Times New Roman" w:eastAsia="宋体" w:cs="Times New Roman"/>
                <w:color w:val="auto"/>
                <w:sz w:val="24"/>
                <w:szCs w:val="24"/>
                <w:highlight w:val="none"/>
                <w:lang w:val="en-US" w:eastAsia="zh-CN"/>
              </w:rPr>
              <w:t>输电线路为新建项目，不存在与项目有关的原有环境污染和生态破坏问题。</w:t>
            </w:r>
          </w:p>
          <w:p w14:paraId="693C98C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color w:val="auto"/>
                <w:kern w:val="0"/>
                <w:sz w:val="24"/>
                <w:highlight w:val="yellow"/>
                <w:lang w:val="en-US" w:eastAsia="zh-CN"/>
              </w:rPr>
            </w:pPr>
          </w:p>
        </w:tc>
      </w:tr>
      <w:tr w14:paraId="2E17C8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5" w:type="dxa"/>
            <w:noWrap w:val="0"/>
            <w:vAlign w:val="center"/>
          </w:tcPr>
          <w:p w14:paraId="354617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0000FF"/>
                <w:kern w:val="0"/>
                <w:sz w:val="24"/>
                <w:szCs w:val="24"/>
                <w:highlight w:val="none"/>
              </w:rPr>
            </w:pPr>
            <w:r>
              <w:rPr>
                <w:rFonts w:hint="default" w:ascii="Times New Roman" w:hAnsi="Times New Roman" w:eastAsia="宋体" w:cs="Times New Roman"/>
                <w:color w:val="auto"/>
                <w:kern w:val="0"/>
                <w:sz w:val="24"/>
                <w:szCs w:val="24"/>
                <w:highlight w:val="none"/>
              </w:rPr>
              <w:t>生态环境保护目标</w:t>
            </w:r>
          </w:p>
        </w:tc>
        <w:tc>
          <w:tcPr>
            <w:tcW w:w="7874" w:type="dxa"/>
            <w:noWrap w:val="0"/>
            <w:vAlign w:val="center"/>
          </w:tcPr>
          <w:p w14:paraId="475FC5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1生态</w:t>
            </w:r>
            <w:r>
              <w:rPr>
                <w:rFonts w:hint="default" w:ascii="Times New Roman" w:hAnsi="Times New Roman" w:cs="Times New Roman"/>
                <w:b/>
                <w:bCs/>
                <w:color w:val="auto"/>
                <w:sz w:val="24"/>
                <w:szCs w:val="24"/>
                <w:highlight w:val="none"/>
                <w:lang w:val="en-US" w:eastAsia="zh-CN"/>
              </w:rPr>
              <w:t>环境</w:t>
            </w:r>
            <w:r>
              <w:rPr>
                <w:rFonts w:hint="default" w:ascii="Times New Roman" w:hAnsi="Times New Roman" w:cs="Times New Roman"/>
                <w:b/>
                <w:bCs/>
                <w:color w:val="auto"/>
                <w:sz w:val="24"/>
                <w:szCs w:val="24"/>
                <w:highlight w:val="none"/>
              </w:rPr>
              <w:t>保护目标</w:t>
            </w:r>
          </w:p>
          <w:p w14:paraId="302E86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eastAsia="zh-CN"/>
              </w:rPr>
              <w:t>根据《建设项目环境影响评价分类管理名录</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2021年版</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》，输变电类项目环境敏感区为：</w:t>
            </w:r>
          </w:p>
          <w:p w14:paraId="2ED345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szCs w:val="24"/>
                <w:highlight w:val="none"/>
                <w:lang w:val="zh-CN" w:eastAsia="zh-CN"/>
              </w:rPr>
            </w:pPr>
            <w:r>
              <w:rPr>
                <w:rFonts w:hint="eastAsia"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zh-CN" w:eastAsia="zh-CN"/>
              </w:rPr>
              <w:t>一</w:t>
            </w:r>
            <w:r>
              <w:rPr>
                <w:rFonts w:hint="eastAsia"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zh-CN" w:eastAsia="zh-CN"/>
              </w:rPr>
              <w:t>类，</w:t>
            </w:r>
            <w:r>
              <w:rPr>
                <w:rFonts w:hint="default" w:ascii="Times New Roman" w:hAnsi="Times New Roman" w:eastAsia="宋体" w:cs="Times New Roman"/>
                <w:color w:val="auto"/>
                <w:sz w:val="24"/>
                <w:szCs w:val="24"/>
                <w:highlight w:val="none"/>
                <w:lang w:val="en-US" w:eastAsia="zh-CN"/>
              </w:rPr>
              <w:t>国家公园、自然保护区、风景名胜区、世界文化和自然遗产地、海洋特别保护区、饮用水水源保护区</w:t>
            </w:r>
            <w:r>
              <w:rPr>
                <w:rFonts w:hint="default" w:ascii="Times New Roman" w:hAnsi="Times New Roman" w:eastAsia="宋体" w:cs="Times New Roman"/>
                <w:color w:val="auto"/>
                <w:sz w:val="24"/>
                <w:szCs w:val="24"/>
                <w:highlight w:val="none"/>
                <w:lang w:val="zh-CN" w:eastAsia="zh-CN"/>
              </w:rPr>
              <w:t>；</w:t>
            </w:r>
          </w:p>
          <w:p w14:paraId="323F8A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szCs w:val="24"/>
                <w:highlight w:val="none"/>
                <w:lang w:val="zh-CN" w:eastAsia="zh-CN"/>
              </w:rPr>
            </w:pPr>
            <w:r>
              <w:rPr>
                <w:rFonts w:hint="eastAsia"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zh-CN" w:eastAsia="zh-CN"/>
              </w:rPr>
              <w:t>三</w:t>
            </w:r>
            <w:r>
              <w:rPr>
                <w:rFonts w:hint="eastAsia"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zh-CN" w:eastAsia="zh-CN"/>
              </w:rPr>
              <w:t>类，</w:t>
            </w:r>
            <w:r>
              <w:rPr>
                <w:rFonts w:hint="default" w:ascii="Times New Roman" w:hAnsi="Times New Roman" w:eastAsia="宋体" w:cs="Times New Roman"/>
                <w:color w:val="auto"/>
                <w:sz w:val="24"/>
                <w:szCs w:val="24"/>
                <w:highlight w:val="none"/>
                <w:lang w:val="en-US" w:eastAsia="zh-CN"/>
              </w:rPr>
              <w:t>以居住、医疗卫生、文化教育、科研、行政办公等为主要功能的区域</w:t>
            </w:r>
            <w:r>
              <w:rPr>
                <w:rFonts w:hint="default" w:ascii="Times New Roman" w:hAnsi="Times New Roman" w:eastAsia="宋体" w:cs="Times New Roman"/>
                <w:color w:val="auto"/>
                <w:sz w:val="24"/>
                <w:szCs w:val="24"/>
                <w:highlight w:val="none"/>
                <w:lang w:val="zh-CN" w:eastAsia="zh-CN"/>
              </w:rPr>
              <w:t>。</w:t>
            </w:r>
          </w:p>
          <w:p w14:paraId="22590DA8">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jc w:val="both"/>
              <w:textAlignment w:val="baseline"/>
              <w:outlineLvl w:val="2"/>
              <w:rPr>
                <w:rFonts w:hint="default" w:ascii="Times New Roman" w:hAnsi="Times New Roman" w:eastAsia="黑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
              </w:rPr>
              <w:t>本项目不涉及国家公园、自然保护区、风景名胜区、世界文化和自然遗产地、海洋特别保护区、饮用水水源保护区等环境敏感区。</w:t>
            </w:r>
          </w:p>
          <w:p w14:paraId="644D7D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zh-CN"/>
              </w:rPr>
              <w:t>根据《环境影响评价技术导则</w:t>
            </w:r>
            <w:r>
              <w:rPr>
                <w:rFonts w:hint="eastAsia"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zh-CN"/>
              </w:rPr>
              <w:t>输变电》（HJ24-2020）中4.7.2规定，</w:t>
            </w:r>
            <w:r>
              <w:rPr>
                <w:rFonts w:hint="default" w:ascii="Times New Roman" w:hAnsi="Times New Roman" w:cs="Times New Roman"/>
                <w:color w:val="auto"/>
                <w:sz w:val="24"/>
                <w:szCs w:val="24"/>
                <w:highlight w:val="none"/>
                <w:lang w:val="en-US" w:eastAsia="zh-CN"/>
              </w:rPr>
              <w:t>输变电工程</w:t>
            </w:r>
            <w:r>
              <w:rPr>
                <w:rFonts w:hint="default" w:ascii="Times New Roman" w:hAnsi="Times New Roman" w:eastAsia="宋体" w:cs="Times New Roman"/>
                <w:color w:val="auto"/>
                <w:sz w:val="24"/>
                <w:szCs w:val="24"/>
                <w:highlight w:val="none"/>
                <w:lang w:val="zh-CN"/>
              </w:rPr>
              <w:t>生态影响评价范围为</w:t>
            </w:r>
            <w:r>
              <w:rPr>
                <w:rFonts w:hint="default" w:ascii="Times New Roman" w:hAnsi="Times New Roman" w:cs="Times New Roman"/>
                <w:color w:val="auto"/>
                <w:sz w:val="24"/>
                <w:szCs w:val="24"/>
                <w:highlight w:val="none"/>
                <w:lang w:val="en-US" w:eastAsia="zh-CN"/>
              </w:rPr>
              <w:t>升压</w:t>
            </w:r>
            <w:r>
              <w:rPr>
                <w:rFonts w:hint="default" w:ascii="Times New Roman" w:hAnsi="Times New Roman" w:eastAsia="宋体" w:cs="Times New Roman"/>
                <w:color w:val="auto"/>
                <w:sz w:val="24"/>
                <w:szCs w:val="24"/>
                <w:highlight w:val="none"/>
                <w:lang w:val="zh-CN" w:eastAsia="zh-CN"/>
              </w:rPr>
              <w:t>站围墙外500m，</w:t>
            </w:r>
            <w:r>
              <w:rPr>
                <w:rFonts w:hint="default" w:ascii="Times New Roman" w:hAnsi="Times New Roman" w:eastAsia="宋体" w:cs="Times New Roman"/>
                <w:color w:val="auto"/>
                <w:sz w:val="24"/>
                <w:szCs w:val="24"/>
                <w:highlight w:val="none"/>
                <w:lang w:val="zh-CN"/>
              </w:rPr>
              <w:t>线路边导线地面投影外两侧各300m内的带状区域。根据对工程所在区域的现场踏勘，</w:t>
            </w:r>
            <w:r>
              <w:rPr>
                <w:rFonts w:hint="default" w:ascii="Times New Roman" w:hAnsi="Times New Roman" w:eastAsia="宋体" w:cs="Times New Roman"/>
                <w:color w:val="auto"/>
                <w:sz w:val="24"/>
                <w:szCs w:val="24"/>
                <w:highlight w:val="none"/>
                <w:lang w:val="zh-CN" w:eastAsia="zh-CN"/>
              </w:rPr>
              <w:t>本项目</w:t>
            </w:r>
            <w:r>
              <w:rPr>
                <w:rFonts w:hint="default" w:ascii="Times New Roman" w:hAnsi="Times New Roman" w:cs="Times New Roman"/>
                <w:color w:val="auto"/>
                <w:sz w:val="24"/>
                <w:szCs w:val="24"/>
                <w:highlight w:val="none"/>
                <w:lang w:val="en-US" w:eastAsia="zh-CN"/>
              </w:rPr>
              <w:t>升压</w:t>
            </w:r>
            <w:r>
              <w:rPr>
                <w:rFonts w:hint="default" w:ascii="Times New Roman" w:hAnsi="Times New Roman" w:eastAsia="宋体" w:cs="Times New Roman"/>
                <w:color w:val="auto"/>
                <w:sz w:val="24"/>
                <w:szCs w:val="24"/>
                <w:highlight w:val="none"/>
                <w:lang w:val="zh-CN" w:eastAsia="zh-CN"/>
              </w:rPr>
              <w:t>站围墙外500m、输电线路</w:t>
            </w:r>
            <w:r>
              <w:rPr>
                <w:rFonts w:hint="default" w:ascii="Times New Roman" w:hAnsi="Times New Roman" w:eastAsia="宋体" w:cs="Times New Roman"/>
                <w:color w:val="auto"/>
                <w:sz w:val="24"/>
                <w:szCs w:val="24"/>
                <w:highlight w:val="none"/>
                <w:lang w:val="zh-CN"/>
              </w:rPr>
              <w:t>边导线地面投影外两侧各300m评价范围内</w:t>
            </w:r>
            <w:r>
              <w:rPr>
                <w:rFonts w:hint="default" w:ascii="Times New Roman" w:hAnsi="Times New Roman" w:eastAsia="宋体" w:cs="Times New Roman"/>
                <w:color w:val="auto"/>
                <w:sz w:val="24"/>
                <w:szCs w:val="24"/>
                <w:highlight w:val="none"/>
                <w:lang w:val="zh-CN" w:eastAsia="zh-CN"/>
              </w:rPr>
              <w:t>不涉及《环境影响评价技术导则</w:t>
            </w:r>
            <w:r>
              <w:rPr>
                <w:rFonts w:hint="eastAsia"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zh-CN" w:eastAsia="zh-CN"/>
              </w:rPr>
              <w:t>生态影响》</w:t>
            </w:r>
            <w:r>
              <w:rPr>
                <w:rFonts w:hint="eastAsia"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zh-CN"/>
              </w:rPr>
              <w:t>HJ19-2022</w:t>
            </w:r>
            <w:r>
              <w:rPr>
                <w:rFonts w:hint="eastAsia"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zh-CN" w:eastAsia="zh-CN"/>
              </w:rPr>
              <w:t>中定</w:t>
            </w:r>
            <w:r>
              <w:rPr>
                <w:rFonts w:hint="eastAsia" w:cs="Times New Roman"/>
                <w:color w:val="auto"/>
                <w:sz w:val="24"/>
                <w:szCs w:val="24"/>
                <w:highlight w:val="none"/>
                <w:lang w:val="zh-CN" w:eastAsia="zh-CN"/>
              </w:rPr>
              <w:t>义的</w:t>
            </w:r>
            <w:r>
              <w:rPr>
                <w:rFonts w:hint="default" w:ascii="Times New Roman" w:hAnsi="Times New Roman" w:eastAsia="宋体" w:cs="Times New Roman"/>
                <w:color w:val="auto"/>
                <w:sz w:val="24"/>
                <w:szCs w:val="24"/>
                <w:highlight w:val="none"/>
                <w:lang w:val="zh-CN"/>
              </w:rPr>
              <w:t>生态保护目标，包括生态敏感区和重要物种，其中生态敏感区包括：法定生态保护区域、重要生境以及其他具有重要生态功能、对保护生物多样性具有重要意义的区域；重要物种包括：受影响的重要物种、生态敏感区以及其他需要保护的物种、种群、生物群落及生态空间等</w:t>
            </w:r>
            <w:r>
              <w:rPr>
                <w:rFonts w:hint="default" w:ascii="Times New Roman" w:hAnsi="Times New Roman" w:eastAsia="宋体" w:cs="Times New Roman"/>
                <w:color w:val="auto"/>
                <w:kern w:val="2"/>
                <w:sz w:val="24"/>
                <w:szCs w:val="24"/>
                <w:highlight w:val="none"/>
                <w:lang w:val="en-US" w:eastAsia="zh-CN" w:bidi="ar"/>
              </w:rPr>
              <w:t>。</w:t>
            </w:r>
          </w:p>
          <w:p w14:paraId="434E7FA4">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b/>
                <w:color w:val="auto"/>
                <w:sz w:val="24"/>
                <w:szCs w:val="24"/>
                <w:highlight w:val="none"/>
              </w:rPr>
              <w:t>2</w:t>
            </w:r>
            <w:r>
              <w:rPr>
                <w:rFonts w:hint="default" w:ascii="Times New Roman" w:hAnsi="Times New Roman" w:cs="Times New Roman"/>
                <w:b/>
                <w:color w:val="auto"/>
                <w:sz w:val="24"/>
                <w:szCs w:val="24"/>
                <w:highlight w:val="none"/>
                <w:lang w:eastAsia="zh-CN"/>
              </w:rPr>
              <w:t>电磁环境敏感目标</w:t>
            </w:r>
          </w:p>
          <w:p w14:paraId="2F061DD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lang w:val="zh-CN"/>
              </w:rPr>
            </w:pPr>
            <w:r>
              <w:rPr>
                <w:rFonts w:hint="default" w:ascii="Times New Roman" w:hAnsi="Times New Roman" w:cs="Times New Roman"/>
                <w:color w:val="auto"/>
                <w:sz w:val="24"/>
                <w:szCs w:val="24"/>
                <w:highlight w:val="none"/>
                <w:lang w:val="en-US" w:eastAsia="zh-CN"/>
              </w:rPr>
              <w:t>根据《环境影响评价技术导则</w:t>
            </w:r>
            <w:r>
              <w:rPr>
                <w:rFonts w:hint="eastAsia"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输变电》(HJ24-2020)，22</w:t>
            </w:r>
            <w:r>
              <w:rPr>
                <w:rFonts w:hint="default" w:ascii="Times New Roman" w:hAnsi="Times New Roman" w:cs="Times New Roman"/>
                <w:color w:val="auto"/>
                <w:sz w:val="24"/>
                <w:szCs w:val="24"/>
                <w:highlight w:val="none"/>
              </w:rPr>
              <w:t>0kV</w:t>
            </w:r>
            <w:r>
              <w:rPr>
                <w:rFonts w:hint="default" w:ascii="Times New Roman" w:hAnsi="Times New Roman" w:cs="Times New Roman"/>
                <w:color w:val="auto"/>
                <w:sz w:val="24"/>
                <w:szCs w:val="24"/>
                <w:highlight w:val="none"/>
                <w:lang w:val="en-US" w:eastAsia="zh-CN"/>
              </w:rPr>
              <w:t>升压站电磁环境影响评价范围为站界外40m，22</w:t>
            </w:r>
            <w:r>
              <w:rPr>
                <w:rFonts w:hint="default" w:ascii="Times New Roman" w:hAnsi="Times New Roman" w:cs="Times New Roman"/>
                <w:color w:val="auto"/>
                <w:sz w:val="24"/>
                <w:szCs w:val="24"/>
                <w:highlight w:val="none"/>
              </w:rPr>
              <w:t>0kV架空线路电磁环境评价范围为边导线地面投影外两侧各</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0m范围内的区域</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电磁环境敏感目标为电磁环境影响评价需重点关注的对象。包括住宅、学校、医院、办公楼、工厂等有公众居住，工作或学习的建筑物。</w:t>
            </w:r>
            <w:r>
              <w:rPr>
                <w:rFonts w:hint="default" w:ascii="Times New Roman" w:hAnsi="Times New Roman" w:cs="Times New Roman"/>
                <w:color w:val="auto"/>
                <w:sz w:val="24"/>
                <w:szCs w:val="24"/>
                <w:highlight w:val="none"/>
              </w:rPr>
              <w:t>根据现场勘查，</w:t>
            </w:r>
            <w:r>
              <w:rPr>
                <w:rFonts w:hint="default" w:ascii="Times New Roman" w:hAnsi="Times New Roman" w:cs="Times New Roman"/>
                <w:color w:val="auto"/>
                <w:sz w:val="24"/>
                <w:szCs w:val="24"/>
                <w:highlight w:val="none"/>
                <w:lang w:eastAsia="zh-CN"/>
              </w:rPr>
              <w:t>本项目</w:t>
            </w:r>
            <w:r>
              <w:rPr>
                <w:rFonts w:hint="default" w:ascii="Times New Roman" w:hAnsi="Times New Roman" w:cs="Times New Roman"/>
                <w:color w:val="auto"/>
                <w:sz w:val="24"/>
                <w:szCs w:val="24"/>
                <w:highlight w:val="none"/>
                <w:lang w:val="en-US" w:eastAsia="zh-CN"/>
              </w:rPr>
              <w:t>拟建</w:t>
            </w:r>
            <w:r>
              <w:rPr>
                <w:rFonts w:hint="eastAsia" w:ascii="Times New Roman" w:hAnsi="Times New Roman" w:cs="Times New Roman"/>
                <w:color w:val="auto"/>
                <w:sz w:val="24"/>
                <w:szCs w:val="24"/>
                <w:highlight w:val="none"/>
                <w:lang w:val="en-US" w:eastAsia="zh-CN"/>
              </w:rPr>
              <w:t>升压站</w:t>
            </w:r>
            <w:r>
              <w:rPr>
                <w:rFonts w:hint="default" w:ascii="Times New Roman" w:hAnsi="Times New Roman" w:cs="Times New Roman"/>
                <w:color w:val="auto"/>
                <w:sz w:val="24"/>
                <w:szCs w:val="24"/>
                <w:highlight w:val="none"/>
                <w:lang w:val="en-US" w:eastAsia="zh-CN"/>
              </w:rPr>
              <w:t>和220kV送出线路电磁环境</w:t>
            </w:r>
            <w:r>
              <w:rPr>
                <w:rFonts w:hint="default" w:ascii="Times New Roman" w:hAnsi="Times New Roman" w:cs="Times New Roman"/>
                <w:color w:val="auto"/>
                <w:sz w:val="24"/>
                <w:szCs w:val="24"/>
                <w:highlight w:val="none"/>
              </w:rPr>
              <w:t>评价范围内无</w:t>
            </w:r>
            <w:r>
              <w:rPr>
                <w:rFonts w:hint="default" w:ascii="Times New Roman" w:hAnsi="Times New Roman" w:cs="Times New Roman"/>
                <w:color w:val="auto"/>
                <w:sz w:val="24"/>
                <w:szCs w:val="24"/>
                <w:highlight w:val="none"/>
                <w:lang w:eastAsia="zh-CN"/>
              </w:rPr>
              <w:t>电磁环境敏感目标</w:t>
            </w:r>
            <w:r>
              <w:rPr>
                <w:rFonts w:hint="default" w:ascii="Times New Roman" w:hAnsi="Times New Roman" w:cs="Times New Roman"/>
                <w:color w:val="auto"/>
                <w:sz w:val="24"/>
                <w:szCs w:val="24"/>
                <w:highlight w:val="none"/>
                <w:lang w:val="zh-CN"/>
              </w:rPr>
              <w:t>。</w:t>
            </w:r>
          </w:p>
          <w:p w14:paraId="7D383537">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color w:val="auto"/>
                <w:sz w:val="24"/>
                <w:szCs w:val="24"/>
                <w:highlight w:val="none"/>
              </w:rPr>
            </w:pPr>
            <w:r>
              <w:rPr>
                <w:rFonts w:hint="default" w:ascii="Times New Roman" w:hAnsi="Times New Roman" w:cs="Times New Roman"/>
                <w:b/>
                <w:color w:val="auto"/>
                <w:sz w:val="24"/>
                <w:szCs w:val="24"/>
                <w:highlight w:val="none"/>
              </w:rPr>
              <w:t>3声环境保护目标</w:t>
            </w:r>
          </w:p>
          <w:p w14:paraId="2BACA7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color w:val="0000FF"/>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
              </w:rPr>
              <w:t>根据《环境影响评价技术导则</w:t>
            </w:r>
            <w:r>
              <w:rPr>
                <w:rFonts w:hint="eastAsia" w:cs="Times New Roman"/>
                <w:color w:val="auto"/>
                <w:kern w:val="2"/>
                <w:sz w:val="24"/>
                <w:szCs w:val="24"/>
                <w:highlight w:val="non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声环境》(HJ2.4-2021)，</w:t>
            </w:r>
            <w:r>
              <w:rPr>
                <w:rFonts w:hint="default" w:ascii="Times New Roman" w:hAnsi="Times New Roman" w:eastAsia="宋体" w:cs="Times New Roman"/>
                <w:color w:val="auto"/>
                <w:sz w:val="24"/>
                <w:szCs w:val="21"/>
                <w:highlight w:val="none"/>
              </w:rPr>
              <w:t>声环境保护目标指依据</w:t>
            </w:r>
            <w:r>
              <w:rPr>
                <w:rFonts w:hint="eastAsia" w:cs="Times New Roman"/>
                <w:color w:val="auto"/>
                <w:sz w:val="24"/>
                <w:szCs w:val="21"/>
                <w:highlight w:val="none"/>
                <w:lang w:eastAsia="zh-CN"/>
              </w:rPr>
              <w:t>法律法规</w:t>
            </w:r>
            <w:r>
              <w:rPr>
                <w:rFonts w:hint="default" w:ascii="Times New Roman" w:hAnsi="Times New Roman" w:eastAsia="宋体" w:cs="Times New Roman"/>
                <w:color w:val="auto"/>
                <w:sz w:val="24"/>
                <w:szCs w:val="21"/>
                <w:highlight w:val="none"/>
              </w:rPr>
              <w:t>、标准政策等确定的需要保持安静的建筑物及建筑物集中区。</w:t>
            </w:r>
            <w:r>
              <w:rPr>
                <w:rFonts w:hint="default" w:ascii="Times New Roman" w:hAnsi="Times New Roman" w:eastAsia="宋体" w:cs="Times New Roman"/>
                <w:color w:val="auto"/>
                <w:kern w:val="2"/>
                <w:sz w:val="24"/>
                <w:szCs w:val="24"/>
                <w:highlight w:val="none"/>
                <w:lang w:val="en-US" w:eastAsia="zh-CN" w:bidi="ar"/>
              </w:rPr>
              <w:t>根据《环境影响评价技术导则</w:t>
            </w:r>
            <w:r>
              <w:rPr>
                <w:rFonts w:hint="eastAsia" w:cs="Times New Roman"/>
                <w:color w:val="auto"/>
                <w:kern w:val="2"/>
                <w:sz w:val="24"/>
                <w:szCs w:val="24"/>
                <w:highlight w:val="non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输变电》(HJ24-2020)，</w:t>
            </w:r>
            <w:r>
              <w:rPr>
                <w:rFonts w:hint="default" w:ascii="Times New Roman" w:hAnsi="Times New Roman" w:cs="Times New Roman"/>
                <w:color w:val="auto"/>
                <w:sz w:val="24"/>
                <w:szCs w:val="21"/>
                <w:highlight w:val="none"/>
                <w:lang w:val="en-US" w:eastAsia="zh-CN"/>
              </w:rPr>
              <w:t>22</w:t>
            </w:r>
            <w:r>
              <w:rPr>
                <w:rFonts w:hint="default" w:ascii="Times New Roman" w:hAnsi="Times New Roman" w:eastAsia="宋体" w:cs="Times New Roman"/>
                <w:color w:val="auto"/>
                <w:sz w:val="24"/>
                <w:szCs w:val="21"/>
                <w:highlight w:val="none"/>
              </w:rPr>
              <w:t>0kV架空线路</w:t>
            </w:r>
            <w:r>
              <w:rPr>
                <w:rFonts w:hint="default" w:ascii="Times New Roman" w:hAnsi="Times New Roman" w:eastAsia="宋体" w:cs="Times New Roman"/>
                <w:color w:val="auto"/>
                <w:sz w:val="24"/>
                <w:szCs w:val="21"/>
                <w:highlight w:val="none"/>
                <w:lang w:val="en-US" w:eastAsia="zh-CN"/>
              </w:rPr>
              <w:t>声</w:t>
            </w:r>
            <w:r>
              <w:rPr>
                <w:rFonts w:hint="default" w:ascii="Times New Roman" w:hAnsi="Times New Roman" w:eastAsia="宋体" w:cs="Times New Roman"/>
                <w:color w:val="auto"/>
                <w:sz w:val="24"/>
                <w:szCs w:val="21"/>
                <w:highlight w:val="none"/>
              </w:rPr>
              <w:t>环境评价范围为边导线地面投影外两侧各</w:t>
            </w:r>
            <w:r>
              <w:rPr>
                <w:rFonts w:hint="default" w:ascii="Times New Roman" w:hAnsi="Times New Roman" w:cs="Times New Roman"/>
                <w:color w:val="auto"/>
                <w:sz w:val="24"/>
                <w:szCs w:val="21"/>
                <w:highlight w:val="none"/>
                <w:lang w:val="en-US" w:eastAsia="zh-CN"/>
              </w:rPr>
              <w:t>4</w:t>
            </w:r>
            <w:r>
              <w:rPr>
                <w:rFonts w:hint="default" w:ascii="Times New Roman" w:hAnsi="Times New Roman" w:eastAsia="宋体" w:cs="Times New Roman"/>
                <w:color w:val="auto"/>
                <w:sz w:val="24"/>
                <w:szCs w:val="21"/>
                <w:highlight w:val="none"/>
              </w:rPr>
              <w:t>0m范围内的区域</w:t>
            </w:r>
            <w:r>
              <w:rPr>
                <w:rFonts w:hint="default" w:ascii="Times New Roman" w:hAnsi="Times New Roman" w:eastAsia="宋体" w:cs="Times New Roman"/>
                <w:color w:val="auto"/>
                <w:sz w:val="24"/>
                <w:szCs w:val="21"/>
                <w:highlight w:val="none"/>
                <w:lang w:eastAsia="zh-CN"/>
              </w:rPr>
              <w:t>，</w:t>
            </w:r>
            <w:r>
              <w:rPr>
                <w:rFonts w:hint="default" w:ascii="Times New Roman" w:hAnsi="Times New Roman" w:eastAsia="宋体" w:cs="Times New Roman"/>
                <w:color w:val="auto"/>
                <w:sz w:val="24"/>
                <w:szCs w:val="21"/>
                <w:highlight w:val="none"/>
                <w:lang w:val="en-US" w:eastAsia="zh-CN"/>
              </w:rPr>
              <w:t>根据《环境影响评价技术导则</w:t>
            </w:r>
            <w:r>
              <w:rPr>
                <w:rFonts w:hint="eastAsia" w:cs="Times New Roman"/>
                <w:color w:val="auto"/>
                <w:sz w:val="24"/>
                <w:szCs w:val="21"/>
                <w:highlight w:val="none"/>
                <w:lang w:val="en-US" w:eastAsia="zh-CN"/>
              </w:rPr>
              <w:t xml:space="preserve"> </w:t>
            </w:r>
            <w:r>
              <w:rPr>
                <w:rFonts w:hint="default" w:ascii="Times New Roman" w:hAnsi="Times New Roman" w:eastAsia="宋体" w:cs="Times New Roman"/>
                <w:color w:val="auto"/>
                <w:sz w:val="24"/>
                <w:szCs w:val="21"/>
                <w:highlight w:val="none"/>
                <w:lang w:val="en-US" w:eastAsia="zh-CN"/>
              </w:rPr>
              <w:t>声环境》</w:t>
            </w:r>
            <w:r>
              <w:rPr>
                <w:rFonts w:hint="eastAsia" w:cs="Times New Roman"/>
                <w:color w:val="auto"/>
                <w:sz w:val="24"/>
                <w:szCs w:val="21"/>
                <w:highlight w:val="none"/>
                <w:lang w:val="en-US" w:eastAsia="zh-CN"/>
              </w:rPr>
              <w:t>（</w:t>
            </w:r>
            <w:r>
              <w:rPr>
                <w:rFonts w:hint="default" w:ascii="Times New Roman" w:hAnsi="Times New Roman" w:eastAsia="宋体" w:cs="Times New Roman"/>
                <w:color w:val="auto"/>
                <w:sz w:val="24"/>
                <w:szCs w:val="21"/>
                <w:highlight w:val="none"/>
                <w:lang w:val="en-US" w:eastAsia="zh-CN"/>
              </w:rPr>
              <w:t>HJ2.4-2021</w:t>
            </w:r>
            <w:r>
              <w:rPr>
                <w:rFonts w:hint="eastAsia" w:cs="Times New Roman"/>
                <w:color w:val="auto"/>
                <w:sz w:val="24"/>
                <w:szCs w:val="21"/>
                <w:highlight w:val="none"/>
                <w:lang w:val="en-US" w:eastAsia="zh-CN"/>
              </w:rPr>
              <w:t>）</w:t>
            </w:r>
            <w:r>
              <w:rPr>
                <w:rFonts w:hint="eastAsia" w:ascii="Times New Roman" w:hAnsi="Times New Roman" w:cs="Times New Roman"/>
                <w:color w:val="auto"/>
                <w:sz w:val="24"/>
                <w:szCs w:val="21"/>
                <w:highlight w:val="none"/>
                <w:lang w:val="en-US" w:eastAsia="zh-CN"/>
              </w:rPr>
              <w:t>升压站</w:t>
            </w:r>
            <w:r>
              <w:rPr>
                <w:rFonts w:hint="default" w:ascii="Times New Roman" w:hAnsi="Times New Roman" w:eastAsia="宋体" w:cs="Times New Roman"/>
                <w:color w:val="auto"/>
                <w:sz w:val="24"/>
                <w:szCs w:val="21"/>
                <w:highlight w:val="none"/>
                <w:lang w:val="en-US" w:eastAsia="zh-CN"/>
              </w:rPr>
              <w:t>声环境评价范围为厂界外200</w:t>
            </w:r>
            <w:r>
              <w:rPr>
                <w:rFonts w:hint="default" w:ascii="Times New Roman" w:hAnsi="Times New Roman" w:cs="Times New Roman"/>
                <w:color w:val="auto"/>
                <w:sz w:val="24"/>
                <w:szCs w:val="21"/>
                <w:highlight w:val="none"/>
                <w:lang w:val="en-US" w:eastAsia="zh-CN"/>
              </w:rPr>
              <w:t>m</w:t>
            </w:r>
            <w:r>
              <w:rPr>
                <w:rFonts w:hint="default" w:ascii="Times New Roman" w:hAnsi="Times New Roman" w:eastAsia="宋体" w:cs="Times New Roman"/>
                <w:color w:val="auto"/>
                <w:sz w:val="24"/>
                <w:szCs w:val="21"/>
                <w:highlight w:val="none"/>
                <w:lang w:val="en-US" w:eastAsia="zh-CN"/>
              </w:rPr>
              <w:t>范围内的区域</w:t>
            </w:r>
            <w:r>
              <w:rPr>
                <w:rFonts w:hint="default" w:ascii="Times New Roman" w:hAnsi="Times New Roman" w:eastAsia="宋体" w:cs="Times New Roman"/>
                <w:color w:val="auto"/>
                <w:sz w:val="24"/>
                <w:szCs w:val="24"/>
                <w:highlight w:val="none"/>
              </w:rPr>
              <w:t>。根据现场勘查，</w:t>
            </w:r>
            <w:r>
              <w:rPr>
                <w:rFonts w:hint="default" w:ascii="Times New Roman" w:hAnsi="Times New Roman" w:eastAsia="宋体" w:cs="Times New Roman"/>
                <w:color w:val="auto"/>
                <w:sz w:val="24"/>
                <w:szCs w:val="24"/>
                <w:highlight w:val="none"/>
                <w:lang w:eastAsia="zh-CN"/>
              </w:rPr>
              <w:t>本项目</w:t>
            </w:r>
            <w:r>
              <w:rPr>
                <w:rFonts w:hint="default" w:ascii="Times New Roman" w:hAnsi="Times New Roman" w:cs="Times New Roman"/>
                <w:color w:val="auto"/>
                <w:sz w:val="24"/>
                <w:szCs w:val="24"/>
                <w:highlight w:val="none"/>
                <w:lang w:val="en-US" w:eastAsia="zh-CN"/>
              </w:rPr>
              <w:t>拟建</w:t>
            </w:r>
            <w:r>
              <w:rPr>
                <w:rFonts w:hint="eastAsia" w:ascii="Times New Roman" w:hAnsi="Times New Roman" w:cs="Times New Roman"/>
                <w:color w:val="auto"/>
                <w:sz w:val="24"/>
                <w:szCs w:val="24"/>
                <w:highlight w:val="none"/>
                <w:lang w:val="en-US" w:eastAsia="zh-CN"/>
              </w:rPr>
              <w:t>升压站</w:t>
            </w:r>
            <w:r>
              <w:rPr>
                <w:rFonts w:hint="default" w:ascii="Times New Roman" w:hAnsi="Times New Roman" w:eastAsia="宋体" w:cs="Times New Roman"/>
                <w:color w:val="auto"/>
                <w:sz w:val="24"/>
                <w:szCs w:val="24"/>
                <w:highlight w:val="none"/>
                <w:lang w:val="en-US" w:eastAsia="zh-CN"/>
              </w:rPr>
              <w:t>和</w:t>
            </w:r>
            <w:r>
              <w:rPr>
                <w:rFonts w:hint="default" w:ascii="Times New Roman" w:hAnsi="Times New Roman"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lang w:val="en-US" w:eastAsia="zh-CN"/>
              </w:rPr>
              <w:t>0kV送出线路</w:t>
            </w:r>
            <w:r>
              <w:rPr>
                <w:rFonts w:hint="default" w:ascii="Times New Roman" w:hAnsi="Times New Roman" w:cs="Times New Roman"/>
                <w:color w:val="auto"/>
                <w:sz w:val="24"/>
                <w:szCs w:val="24"/>
                <w:highlight w:val="none"/>
                <w:lang w:val="en-US" w:eastAsia="zh-CN"/>
              </w:rPr>
              <w:t>声环境</w:t>
            </w:r>
            <w:r>
              <w:rPr>
                <w:rFonts w:hint="default" w:ascii="Times New Roman" w:hAnsi="Times New Roman" w:eastAsia="宋体" w:cs="Times New Roman"/>
                <w:color w:val="auto"/>
                <w:sz w:val="24"/>
                <w:szCs w:val="24"/>
                <w:highlight w:val="none"/>
                <w:lang w:val="en-US" w:eastAsia="zh-CN"/>
              </w:rPr>
              <w:t>评价范围内</w:t>
            </w:r>
            <w:r>
              <w:rPr>
                <w:rFonts w:hint="default" w:ascii="Times New Roman" w:hAnsi="Times New Roman" w:cs="Times New Roman"/>
                <w:color w:val="auto"/>
                <w:sz w:val="24"/>
                <w:szCs w:val="24"/>
                <w:highlight w:val="none"/>
                <w:lang w:eastAsia="zh-CN"/>
              </w:rPr>
              <w:t>无</w:t>
            </w:r>
            <w:r>
              <w:rPr>
                <w:rFonts w:hint="default" w:ascii="Times New Roman" w:hAnsi="Times New Roman" w:eastAsia="宋体" w:cs="Times New Roman"/>
                <w:color w:val="auto"/>
                <w:sz w:val="24"/>
                <w:szCs w:val="24"/>
                <w:highlight w:val="none"/>
              </w:rPr>
              <w:t>声环境</w:t>
            </w:r>
            <w:r>
              <w:rPr>
                <w:rFonts w:hint="default" w:ascii="Times New Roman" w:hAnsi="Times New Roman" w:eastAsia="宋体" w:cs="Times New Roman"/>
                <w:color w:val="auto"/>
                <w:sz w:val="24"/>
                <w:szCs w:val="24"/>
                <w:highlight w:val="none"/>
                <w:lang w:val="en-US" w:eastAsia="zh-CN"/>
              </w:rPr>
              <w:t>保护</w:t>
            </w:r>
            <w:r>
              <w:rPr>
                <w:rFonts w:hint="default" w:ascii="Times New Roman" w:hAnsi="Times New Roman" w:eastAsia="宋体" w:cs="Times New Roman"/>
                <w:color w:val="auto"/>
                <w:sz w:val="24"/>
                <w:szCs w:val="24"/>
                <w:highlight w:val="none"/>
              </w:rPr>
              <w:t>目标。</w:t>
            </w:r>
          </w:p>
        </w:tc>
      </w:tr>
      <w:tr w14:paraId="6F657F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75" w:type="dxa"/>
            <w:noWrap w:val="0"/>
            <w:vAlign w:val="center"/>
          </w:tcPr>
          <w:p w14:paraId="6C9E5E3A">
            <w:pPr>
              <w:keepNext w:val="0"/>
              <w:keepLines w:val="0"/>
              <w:suppressLineNumbers w:val="0"/>
              <w:adjustRightInd w:val="0"/>
              <w:snapToGrid w:val="0"/>
              <w:spacing w:before="0" w:beforeAutospacing="0" w:after="0" w:afterAutospacing="0"/>
              <w:ind w:left="0" w:right="0"/>
              <w:jc w:val="center"/>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评价</w:t>
            </w:r>
          </w:p>
          <w:p w14:paraId="3F713D41">
            <w:pPr>
              <w:keepNext w:val="0"/>
              <w:keepLines w:val="0"/>
              <w:suppressLineNumbers w:val="0"/>
              <w:adjustRightInd w:val="0"/>
              <w:snapToGrid w:val="0"/>
              <w:spacing w:before="0" w:beforeAutospacing="0" w:after="0" w:afterAutospacing="0"/>
              <w:ind w:left="0" w:right="0"/>
              <w:jc w:val="center"/>
              <w:outlineLvl w:val="9"/>
              <w:rPr>
                <w:rFonts w:hint="default" w:ascii="Times New Roman" w:hAnsi="Times New Roman" w:eastAsia="宋体" w:cs="Times New Roman"/>
                <w:color w:val="0000FF"/>
                <w:kern w:val="0"/>
                <w:szCs w:val="21"/>
                <w:highlight w:val="none"/>
              </w:rPr>
            </w:pPr>
            <w:r>
              <w:rPr>
                <w:rFonts w:hint="default" w:ascii="Times New Roman" w:hAnsi="Times New Roman" w:eastAsia="宋体" w:cs="Times New Roman"/>
                <w:color w:val="auto"/>
                <w:kern w:val="0"/>
                <w:sz w:val="24"/>
                <w:szCs w:val="24"/>
                <w:highlight w:val="none"/>
              </w:rPr>
              <w:t>标准</w:t>
            </w:r>
          </w:p>
        </w:tc>
        <w:tc>
          <w:tcPr>
            <w:tcW w:w="7874" w:type="dxa"/>
            <w:noWrap w:val="0"/>
            <w:vAlign w:val="center"/>
          </w:tcPr>
          <w:p w14:paraId="615D58FE">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1环境质量标准</w:t>
            </w:r>
          </w:p>
          <w:p w14:paraId="5C987C8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1</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声环境：根据《声环境功能区划分技术规范》</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GB/T15190-2014</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中区划的划分次序，本项目属于a</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城市用地现状已形成一定规模或近期规划已明确主要功能的区域，用地性质符合以商业金融、集市贸易为主要功能，或者居住、商业、工业混杂；b</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划定0、1、3类声环境以外居住、商业、工业混杂区域。声环境执行《声环境质量标准》</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GB3096-2008</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中的2类标准限值：即昼间60dB(A)，夜间50dB(A)。</w:t>
            </w:r>
          </w:p>
          <w:p w14:paraId="0A3A786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2</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电磁环境：</w:t>
            </w:r>
            <w:r>
              <w:rPr>
                <w:rFonts w:hint="default" w:ascii="Times New Roman" w:hAnsi="Times New Roman" w:cs="Times New Roman"/>
                <w:color w:val="auto"/>
                <w:sz w:val="24"/>
                <w:szCs w:val="24"/>
                <w:highlight w:val="none"/>
              </w:rPr>
              <w:t>《电磁环境控制限值》</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GB8702-2014</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中的</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电场强度≤4000V/m；磁感应强度≤100μT</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w:t>
            </w:r>
            <w:r>
              <w:rPr>
                <w:rFonts w:hint="default" w:ascii="Times New Roman" w:hAnsi="Times New Roman" w:eastAsia="宋体" w:cs="Times New Roman"/>
                <w:b w:val="0"/>
                <w:bCs w:val="0"/>
                <w:color w:val="auto"/>
                <w:sz w:val="24"/>
                <w:szCs w:val="24"/>
              </w:rPr>
              <w:t>架空输电线路线下的耕地、园地、牧草地、畜禽饲养地、养殖水面、道路等场所，其频率50Hz的电场强度控制限值为10kV/m，且应给出警示和防护指示标志</w:t>
            </w:r>
            <w:r>
              <w:rPr>
                <w:rFonts w:hint="default" w:ascii="Times New Roman" w:hAnsi="Times New Roman" w:eastAsia="宋体" w:cs="Times New Roman"/>
                <w:color w:val="auto"/>
                <w:sz w:val="24"/>
                <w:szCs w:val="24"/>
              </w:rPr>
              <w:t>。</w:t>
            </w:r>
          </w:p>
          <w:p w14:paraId="78911A9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3</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大气环境：《环境空气质量标准》</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GB3095-2012</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中的二级标准及其修改单。</w:t>
            </w:r>
          </w:p>
          <w:p w14:paraId="1B36A355">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2污染物排放标准</w:t>
            </w:r>
          </w:p>
          <w:p w14:paraId="7357E99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1</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施工期噪声执行《建筑施工场界环境噪声排放标准》(GB12523-2011)，即昼间70dB(A)，夜间55dB(A)；</w:t>
            </w:r>
          </w:p>
          <w:p w14:paraId="2E3F016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yellow"/>
                <w:lang w:val="en-US" w:eastAsia="zh-CN"/>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2</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运营期</w:t>
            </w:r>
            <w:r>
              <w:rPr>
                <w:rFonts w:hint="default" w:ascii="Times New Roman" w:hAnsi="Times New Roman" w:cs="Times New Roman"/>
                <w:color w:val="auto"/>
                <w:sz w:val="24"/>
                <w:szCs w:val="24"/>
                <w:highlight w:val="none"/>
                <w:lang w:val="en-US" w:eastAsia="zh-CN"/>
              </w:rPr>
              <w:t>升压站</w:t>
            </w:r>
            <w:r>
              <w:rPr>
                <w:rFonts w:hint="eastAsia" w:cs="Times New Roman"/>
                <w:color w:val="auto"/>
                <w:sz w:val="24"/>
                <w:szCs w:val="24"/>
                <w:highlight w:val="none"/>
                <w:lang w:val="en-US" w:eastAsia="zh-CN"/>
              </w:rPr>
              <w:t>厂界</w:t>
            </w:r>
            <w:r>
              <w:rPr>
                <w:rFonts w:hint="default" w:ascii="Times New Roman" w:hAnsi="Times New Roman" w:cs="Times New Roman"/>
                <w:color w:val="auto"/>
                <w:sz w:val="24"/>
                <w:szCs w:val="24"/>
                <w:highlight w:val="none"/>
              </w:rPr>
              <w:t>噪声</w:t>
            </w:r>
            <w:r>
              <w:rPr>
                <w:rFonts w:hint="eastAsia" w:cs="Times New Roman"/>
                <w:color w:val="auto"/>
                <w:sz w:val="24"/>
                <w:szCs w:val="24"/>
                <w:highlight w:val="none"/>
                <w:lang w:val="en-US" w:eastAsia="zh-CN"/>
              </w:rPr>
              <w:t>和</w:t>
            </w:r>
            <w:r>
              <w:rPr>
                <w:rFonts w:hint="default" w:ascii="Times New Roman" w:hAnsi="Times New Roman" w:cs="Times New Roman"/>
                <w:color w:val="auto"/>
                <w:sz w:val="24"/>
                <w:szCs w:val="24"/>
                <w:highlight w:val="none"/>
                <w:lang w:val="en-US" w:eastAsia="zh-CN"/>
              </w:rPr>
              <w:t>大唐鄯善东220kV升压站间隔扩建端噪声执行《工业企业厂界环境噪声排放标准》(GB12348-2008)2类区域噪声限值，即昼间60dB(A)、夜间50dB(A)；</w:t>
            </w:r>
          </w:p>
          <w:p w14:paraId="45E3908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3</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一般固体废物执行《一般工业固体废物贮存和填埋污染控制标准》(GB18599-2020)；</w:t>
            </w:r>
          </w:p>
          <w:p w14:paraId="0459C08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4</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危险废物执行《危险废物贮存污染控制标准》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GB18597-20</w:t>
            </w:r>
            <w:r>
              <w:rPr>
                <w:rFonts w:hint="default" w:ascii="Times New Roman" w:hAnsi="Times New Roman" w:cs="Times New Roman"/>
                <w:color w:val="auto"/>
                <w:sz w:val="24"/>
                <w:szCs w:val="24"/>
                <w:highlight w:val="none"/>
                <w:lang w:val="en-US" w:eastAsia="zh-CN"/>
              </w:rPr>
              <w:t>23</w:t>
            </w:r>
            <w:bookmarkStart w:id="35" w:name="OLE_LINK23"/>
            <w:r>
              <w:rPr>
                <w:rFonts w:hint="default" w:ascii="Times New Roman" w:hAnsi="Times New Roman" w:cs="Times New Roman"/>
                <w:color w:val="auto"/>
                <w:sz w:val="24"/>
                <w:szCs w:val="24"/>
                <w:highlight w:val="none"/>
              </w:rPr>
              <w:t>)</w:t>
            </w:r>
            <w:bookmarkEnd w:id="35"/>
            <w:r>
              <w:rPr>
                <w:rFonts w:hint="default" w:ascii="Times New Roman" w:hAnsi="Times New Roman" w:cs="Times New Roman"/>
                <w:color w:val="auto"/>
                <w:sz w:val="24"/>
                <w:szCs w:val="24"/>
                <w:highlight w:val="none"/>
                <w:lang w:eastAsia="zh-CN"/>
              </w:rPr>
              <w:t>。</w:t>
            </w:r>
          </w:p>
          <w:p w14:paraId="60E0101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《农村生活污水处理排放标准》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DB654275-2019</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表2</w:t>
            </w:r>
            <w:r>
              <w:rPr>
                <w:rFonts w:hint="eastAsia" w:ascii="Times New Roman" w:hAnsi="Times New Roman" w:eastAsia="宋体" w:cs="Times New Roman"/>
                <w:color w:val="auto"/>
                <w:sz w:val="24"/>
                <w:szCs w:val="24"/>
                <w:highlight w:val="none"/>
                <w:lang w:val="en-US" w:eastAsia="zh-CN"/>
              </w:rPr>
              <w:t>中</w:t>
            </w:r>
            <w:r>
              <w:rPr>
                <w:rFonts w:hint="eastAsia" w:cs="Times New Roman"/>
                <w:color w:val="auto"/>
                <w:sz w:val="24"/>
                <w:szCs w:val="24"/>
                <w:highlight w:val="none"/>
                <w:lang w:val="en-US" w:eastAsia="zh-CN"/>
              </w:rPr>
              <w:t>B</w:t>
            </w:r>
            <w:r>
              <w:rPr>
                <w:rFonts w:hint="default" w:ascii="Times New Roman" w:hAnsi="Times New Roman" w:eastAsia="宋体" w:cs="Times New Roman"/>
                <w:color w:val="auto"/>
                <w:sz w:val="24"/>
                <w:szCs w:val="24"/>
                <w:highlight w:val="none"/>
              </w:rPr>
              <w:t>级</w:t>
            </w:r>
            <w:r>
              <w:rPr>
                <w:rFonts w:hint="default" w:ascii="Times New Roman" w:hAnsi="Times New Roman" w:eastAsia="宋体" w:cs="Times New Roman"/>
                <w:color w:val="auto"/>
                <w:sz w:val="24"/>
                <w:szCs w:val="24"/>
                <w:highlight w:val="none"/>
                <w:lang w:val="en-US" w:eastAsia="zh-CN"/>
              </w:rPr>
              <w:t>标准。</w:t>
            </w:r>
          </w:p>
          <w:p w14:paraId="6E41F680">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color w:val="0000FF"/>
                <w:highlight w:val="none"/>
                <w:lang w:val="en-US" w:eastAsia="zh-CN"/>
              </w:rPr>
            </w:pPr>
          </w:p>
        </w:tc>
      </w:tr>
      <w:tr w14:paraId="141942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775" w:type="dxa"/>
            <w:noWrap w:val="0"/>
            <w:vAlign w:val="center"/>
          </w:tcPr>
          <w:p w14:paraId="4D14E619">
            <w:pPr>
              <w:keepNext w:val="0"/>
              <w:keepLines w:val="0"/>
              <w:suppressLineNumbers w:val="0"/>
              <w:adjustRightInd w:val="0"/>
              <w:snapToGrid w:val="0"/>
              <w:spacing w:before="0" w:beforeAutospacing="0" w:after="0" w:afterAutospacing="0"/>
              <w:ind w:left="0" w:right="0"/>
              <w:jc w:val="center"/>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其他</w:t>
            </w:r>
          </w:p>
        </w:tc>
        <w:tc>
          <w:tcPr>
            <w:tcW w:w="7874" w:type="dxa"/>
            <w:noWrap w:val="0"/>
            <w:vAlign w:val="center"/>
          </w:tcPr>
          <w:p w14:paraId="28B9527C">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color w:val="auto"/>
                <w:kern w:val="0"/>
                <w:sz w:val="24"/>
                <w:highlight w:val="none"/>
                <w:lang w:val="en-US" w:eastAsia="zh-CN"/>
              </w:rPr>
            </w:pPr>
          </w:p>
          <w:p w14:paraId="6BF3236E">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无</w:t>
            </w:r>
          </w:p>
          <w:p w14:paraId="34EF77F1">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color w:val="auto"/>
                <w:kern w:val="0"/>
                <w:sz w:val="24"/>
                <w:highlight w:val="none"/>
                <w:lang w:val="en-US" w:eastAsia="zh-CN"/>
              </w:rPr>
            </w:pPr>
          </w:p>
          <w:p w14:paraId="13C3E901">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color w:val="auto"/>
                <w:kern w:val="0"/>
                <w:sz w:val="24"/>
                <w:highlight w:val="none"/>
                <w:lang w:val="en-US" w:eastAsia="zh-CN"/>
              </w:rPr>
            </w:pPr>
          </w:p>
        </w:tc>
      </w:tr>
    </w:tbl>
    <w:p w14:paraId="5FEB7A08">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15" w:lineRule="auto"/>
        <w:ind w:left="0" w:leftChars="0" w:right="0" w:rightChars="0" w:firstLine="0" w:firstLineChars="0"/>
        <w:jc w:val="center"/>
        <w:textAlignment w:val="auto"/>
        <w:outlineLvl w:val="9"/>
        <w:rPr>
          <w:rFonts w:hint="eastAsia" w:ascii="宋体" w:hAnsi="宋体" w:eastAsia="宋体" w:cs="宋体"/>
          <w:snapToGrid w:val="0"/>
          <w:color w:val="0000FF"/>
          <w:kern w:val="2"/>
          <w:sz w:val="36"/>
          <w:szCs w:val="36"/>
          <w:highlight w:val="none"/>
        </w:rPr>
      </w:pPr>
    </w:p>
    <w:p w14:paraId="77C7D595">
      <w:pPr>
        <w:pStyle w:val="29"/>
        <w:keepNext w:val="0"/>
        <w:keepLines w:val="0"/>
        <w:pageBreakBefore w:val="0"/>
        <w:widowControl/>
        <w:kinsoku/>
        <w:wordWrap/>
        <w:overflowPunct/>
        <w:topLinePunct w:val="0"/>
        <w:autoSpaceDE/>
        <w:autoSpaceDN/>
        <w:bidi w:val="0"/>
        <w:adjustRightInd/>
        <w:snapToGrid/>
        <w:spacing w:before="100" w:beforeAutospacing="1" w:after="100" w:afterAutospacing="1" w:line="240" w:lineRule="auto"/>
        <w:ind w:left="0" w:leftChars="0" w:right="0" w:rightChars="0" w:firstLine="0" w:firstLineChars="0"/>
        <w:jc w:val="center"/>
        <w:textAlignment w:val="auto"/>
        <w:outlineLvl w:val="9"/>
        <w:rPr>
          <w:rFonts w:hint="eastAsia" w:ascii="宋体" w:hAnsi="宋体" w:eastAsia="宋体" w:cs="宋体"/>
          <w:snapToGrid w:val="0"/>
          <w:color w:val="0000FF"/>
          <w:kern w:val="2"/>
          <w:sz w:val="36"/>
          <w:szCs w:val="36"/>
          <w:highlight w:val="none"/>
        </w:rPr>
        <w:sectPr>
          <w:footerReference r:id="rId4" w:type="default"/>
          <w:pgSz w:w="11906" w:h="16838"/>
          <w:pgMar w:top="1134" w:right="1800" w:bottom="1134" w:left="1800"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0A809C5F">
      <w:pPr>
        <w:pStyle w:val="29"/>
        <w:keepNext w:val="0"/>
        <w:keepLines w:val="0"/>
        <w:pageBreakBefore w:val="0"/>
        <w:widowControl/>
        <w:kinsoku/>
        <w:wordWrap/>
        <w:overflowPunct/>
        <w:topLinePunct w:val="0"/>
        <w:autoSpaceDE/>
        <w:autoSpaceDN/>
        <w:bidi w:val="0"/>
        <w:adjustRightInd/>
        <w:snapToGrid/>
        <w:spacing w:before="100" w:beforeAutospacing="1" w:after="100" w:afterAutospacing="1" w:line="240" w:lineRule="auto"/>
        <w:ind w:left="0" w:leftChars="0" w:right="0" w:rightChars="0" w:firstLine="0" w:firstLineChars="0"/>
        <w:jc w:val="center"/>
        <w:textAlignment w:val="auto"/>
        <w:outlineLvl w:val="0"/>
        <w:rPr>
          <w:rFonts w:hint="eastAsia" w:ascii="宋体" w:hAnsi="宋体" w:eastAsia="宋体" w:cs="宋体"/>
          <w:b/>
          <w:bCs/>
          <w:snapToGrid w:val="0"/>
          <w:color w:val="auto"/>
          <w:sz w:val="30"/>
          <w:szCs w:val="30"/>
          <w:highlight w:val="none"/>
        </w:rPr>
      </w:pPr>
      <w:bookmarkStart w:id="36" w:name="_Toc7617"/>
      <w:bookmarkStart w:id="37" w:name="_Toc28320"/>
      <w:bookmarkStart w:id="38" w:name="_Toc12128"/>
      <w:bookmarkStart w:id="39" w:name="_Toc12593"/>
      <w:bookmarkStart w:id="40" w:name="_Toc29081"/>
      <w:bookmarkStart w:id="41" w:name="_Toc32404"/>
      <w:bookmarkStart w:id="42" w:name="_Toc9300"/>
      <w:bookmarkStart w:id="43" w:name="_Toc1573"/>
      <w:bookmarkStart w:id="44" w:name="_Toc3852"/>
      <w:r>
        <w:rPr>
          <w:rFonts w:hint="eastAsia" w:ascii="宋体" w:hAnsi="宋体" w:eastAsia="宋体" w:cs="宋体"/>
          <w:b/>
          <w:bCs/>
          <w:snapToGrid w:val="0"/>
          <w:color w:val="auto"/>
          <w:sz w:val="30"/>
          <w:szCs w:val="30"/>
          <w:highlight w:val="none"/>
        </w:rPr>
        <w:t>四、生态环境影响分析</w:t>
      </w:r>
      <w:bookmarkEnd w:id="36"/>
      <w:bookmarkEnd w:id="37"/>
      <w:bookmarkEnd w:id="38"/>
      <w:bookmarkEnd w:id="39"/>
      <w:bookmarkEnd w:id="40"/>
      <w:bookmarkEnd w:id="41"/>
      <w:bookmarkEnd w:id="42"/>
      <w:bookmarkEnd w:id="43"/>
      <w:bookmarkEnd w:id="44"/>
    </w:p>
    <w:tbl>
      <w:tblPr>
        <w:tblStyle w:val="32"/>
        <w:tblW w:w="85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6"/>
        <w:gridCol w:w="7962"/>
      </w:tblGrid>
      <w:tr w14:paraId="66773F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6" w:type="dxa"/>
            <w:noWrap w:val="0"/>
            <w:tcMar>
              <w:left w:w="28" w:type="dxa"/>
              <w:right w:w="28" w:type="dxa"/>
            </w:tcMar>
            <w:vAlign w:val="center"/>
          </w:tcPr>
          <w:p w14:paraId="2DD0007F">
            <w:pPr>
              <w:pStyle w:val="29"/>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bCs/>
                <w:color w:val="0000FF"/>
                <w:kern w:val="2"/>
                <w:sz w:val="21"/>
                <w:szCs w:val="21"/>
                <w:highlight w:val="none"/>
                <w:lang w:val="en-US" w:eastAsia="zh-CN"/>
              </w:rPr>
            </w:pPr>
            <w:bookmarkStart w:id="45" w:name="_Hlk49796138"/>
            <w:r>
              <w:rPr>
                <w:rFonts w:hint="eastAsia" w:ascii="宋体" w:hAnsi="宋体" w:eastAsia="宋体" w:cs="宋体"/>
                <w:bCs/>
                <w:color w:val="auto"/>
                <w:spacing w:val="10"/>
                <w:kern w:val="2"/>
                <w:sz w:val="24"/>
                <w:szCs w:val="24"/>
                <w:highlight w:val="none"/>
                <w:lang w:val="en-US" w:eastAsia="zh-CN"/>
              </w:rPr>
              <w:t>施工期生态环境影响分析</w:t>
            </w:r>
            <w:bookmarkEnd w:id="45"/>
          </w:p>
        </w:tc>
        <w:tc>
          <w:tcPr>
            <w:tcW w:w="7962" w:type="dxa"/>
            <w:noWrap w:val="0"/>
            <w:vAlign w:val="top"/>
          </w:tcPr>
          <w:p w14:paraId="0F71BDD2">
            <w:pPr>
              <w:keepNext w:val="0"/>
              <w:keepLines w:val="0"/>
              <w:suppressLineNumbers w:val="0"/>
              <w:spacing w:before="0" w:beforeAutospacing="0" w:after="0" w:afterAutospacing="0" w:line="360" w:lineRule="auto"/>
              <w:ind w:left="0" w:right="0"/>
              <w:rPr>
                <w:rFonts w:hint="eastAsia" w:ascii="宋体" w:hAnsi="宋体" w:eastAsia="宋体" w:cs="宋体"/>
                <w:b/>
                <w:bCs/>
                <w:color w:val="auto"/>
                <w:sz w:val="24"/>
                <w:szCs w:val="21"/>
                <w:highlight w:val="none"/>
              </w:rPr>
            </w:pPr>
            <w:r>
              <w:rPr>
                <w:rFonts w:hint="eastAsia" w:ascii="宋体" w:hAnsi="宋体" w:eastAsia="宋体" w:cs="宋体"/>
                <w:b/>
                <w:bCs/>
                <w:color w:val="auto"/>
                <w:sz w:val="24"/>
                <w:szCs w:val="21"/>
                <w:highlight w:val="none"/>
              </w:rPr>
              <w:t>1环境空气影响分析</w:t>
            </w:r>
          </w:p>
          <w:p w14:paraId="74D441B2">
            <w:pPr>
              <w:keepNext w:val="0"/>
              <w:keepLines w:val="0"/>
              <w:suppressLineNumbers w:val="0"/>
              <w:spacing w:before="0" w:beforeAutospacing="0" w:after="0" w:afterAutospacing="0" w:line="360" w:lineRule="auto"/>
              <w:ind w:left="0" w:right="0"/>
              <w:rPr>
                <w:rFonts w:hint="eastAsia" w:ascii="宋体" w:hAnsi="宋体" w:eastAsia="宋体" w:cs="宋体"/>
                <w:b/>
                <w:bCs/>
                <w:color w:val="auto"/>
                <w:sz w:val="24"/>
                <w:szCs w:val="21"/>
                <w:highlight w:val="none"/>
              </w:rPr>
            </w:pPr>
            <w:r>
              <w:rPr>
                <w:rFonts w:hint="eastAsia" w:ascii="宋体" w:hAnsi="宋体" w:eastAsia="宋体" w:cs="宋体"/>
                <w:b/>
                <w:bCs/>
                <w:color w:val="auto"/>
                <w:sz w:val="24"/>
                <w:szCs w:val="21"/>
                <w:highlight w:val="none"/>
              </w:rPr>
              <w:t>1.1施工扬尘</w:t>
            </w:r>
          </w:p>
          <w:p w14:paraId="30EF971B">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施工期间，混凝土浇筑</w:t>
            </w:r>
            <w:r>
              <w:rPr>
                <w:rFonts w:hint="eastAsia" w:ascii="宋体" w:hAnsi="宋体" w:cs="宋体"/>
                <w:color w:val="auto"/>
                <w:sz w:val="24"/>
                <w:szCs w:val="21"/>
                <w:highlight w:val="none"/>
                <w:lang w:eastAsia="zh-CN"/>
              </w:rPr>
              <w:t>（</w:t>
            </w:r>
            <w:r>
              <w:rPr>
                <w:rFonts w:hint="eastAsia" w:ascii="宋体" w:hAnsi="宋体" w:eastAsia="宋体" w:cs="宋体"/>
                <w:color w:val="auto"/>
                <w:sz w:val="24"/>
                <w:szCs w:val="21"/>
                <w:highlight w:val="none"/>
              </w:rPr>
              <w:t>采用商砼</w:t>
            </w:r>
            <w:r>
              <w:rPr>
                <w:rFonts w:hint="eastAsia" w:ascii="宋体" w:hAnsi="宋体" w:cs="宋体"/>
                <w:color w:val="auto"/>
                <w:sz w:val="24"/>
                <w:szCs w:val="21"/>
                <w:highlight w:val="none"/>
                <w:lang w:eastAsia="zh-CN"/>
              </w:rPr>
              <w:t>）</w:t>
            </w:r>
            <w:r>
              <w:rPr>
                <w:rFonts w:hint="eastAsia" w:ascii="宋体" w:hAnsi="宋体" w:eastAsia="宋体" w:cs="宋体"/>
                <w:color w:val="auto"/>
                <w:sz w:val="24"/>
                <w:szCs w:val="21"/>
                <w:highlight w:val="none"/>
              </w:rPr>
              <w:t>、基础开挖、电缆沟、道路等工程建设时</w:t>
            </w:r>
            <w:r>
              <w:rPr>
                <w:rFonts w:hint="eastAsia" w:ascii="宋体" w:hAnsi="宋体" w:eastAsia="宋体" w:cs="宋体"/>
                <w:color w:val="auto"/>
                <w:sz w:val="24"/>
                <w:szCs w:val="21"/>
                <w:highlight w:val="none"/>
                <w:lang w:eastAsia="zh-CN"/>
              </w:rPr>
              <w:t>、</w:t>
            </w:r>
            <w:r>
              <w:rPr>
                <w:rFonts w:hint="eastAsia" w:ascii="宋体" w:hAnsi="宋体" w:eastAsia="宋体" w:cs="宋体"/>
                <w:color w:val="auto"/>
                <w:sz w:val="24"/>
                <w:szCs w:val="21"/>
                <w:highlight w:val="none"/>
              </w:rPr>
              <w:t>汽车运输过程材料洒落时及工程地基开挖造成地面的裸露所产生的扬尘</w:t>
            </w:r>
            <w:r>
              <w:rPr>
                <w:rFonts w:hint="eastAsia" w:ascii="宋体" w:hAnsi="宋体" w:eastAsia="宋体" w:cs="宋体"/>
                <w:color w:val="auto"/>
                <w:sz w:val="24"/>
                <w:szCs w:val="21"/>
                <w:highlight w:val="none"/>
                <w:lang w:eastAsia="zh-CN"/>
              </w:rPr>
              <w:t>、</w:t>
            </w:r>
            <w:r>
              <w:rPr>
                <w:rFonts w:hint="eastAsia" w:ascii="宋体" w:hAnsi="宋体" w:eastAsia="宋体" w:cs="宋体"/>
                <w:color w:val="auto"/>
                <w:sz w:val="24"/>
                <w:szCs w:val="21"/>
                <w:highlight w:val="none"/>
              </w:rPr>
              <w:t>施工机械和车辆运输产生的扬尘污染，会对大气环境产生不利的影响。</w:t>
            </w:r>
          </w:p>
          <w:p w14:paraId="732A9D9F">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由于建筑粉尘降尘较快，只要加强管理，文明施工，施工时通过对进场道路和施工场地进行洒水抑尘，避免在大风天气进行土地开挖和回填作业。为最大限度</w:t>
            </w:r>
            <w:r>
              <w:rPr>
                <w:rFonts w:hint="eastAsia" w:ascii="宋体" w:hAnsi="宋体" w:cs="宋体"/>
                <w:color w:val="auto"/>
                <w:sz w:val="24"/>
                <w:szCs w:val="21"/>
                <w:highlight w:val="none"/>
                <w:lang w:eastAsia="zh-CN"/>
              </w:rPr>
              <w:t>地</w:t>
            </w:r>
            <w:r>
              <w:rPr>
                <w:rFonts w:hint="eastAsia" w:ascii="宋体" w:hAnsi="宋体" w:eastAsia="宋体" w:cs="宋体"/>
                <w:color w:val="auto"/>
                <w:sz w:val="24"/>
                <w:szCs w:val="21"/>
                <w:highlight w:val="none"/>
              </w:rPr>
              <w:t>降低施工扬尘，要求在施工过程中贯彻文明施工的原则，加强施工管理；施工中的物料运输采用带篷布的汽车运输，以降低运输途中产生的二次扬尘。通过上述措施，可将施工扬尘对周围环境的影响</w:t>
            </w:r>
            <w:r>
              <w:rPr>
                <w:rFonts w:hint="eastAsia" w:ascii="宋体" w:hAnsi="宋体" w:cs="宋体"/>
                <w:color w:val="auto"/>
                <w:sz w:val="24"/>
                <w:szCs w:val="21"/>
                <w:highlight w:val="none"/>
                <w:lang w:eastAsia="zh-CN"/>
              </w:rPr>
              <w:t>降到最低</w:t>
            </w:r>
            <w:r>
              <w:rPr>
                <w:rFonts w:hint="eastAsia" w:ascii="宋体" w:hAnsi="宋体" w:eastAsia="宋体" w:cs="宋体"/>
                <w:color w:val="auto"/>
                <w:sz w:val="24"/>
                <w:szCs w:val="21"/>
                <w:highlight w:val="none"/>
              </w:rPr>
              <w:t>。</w:t>
            </w:r>
          </w:p>
          <w:p w14:paraId="33B0DDBD">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color w:val="auto"/>
                <w:sz w:val="24"/>
                <w:szCs w:val="21"/>
                <w:highlight w:val="none"/>
              </w:rPr>
            </w:pPr>
            <w:r>
              <w:rPr>
                <w:rFonts w:hint="eastAsia" w:ascii="宋体" w:hAnsi="宋体" w:eastAsia="宋体" w:cs="宋体"/>
                <w:b/>
                <w:bCs/>
                <w:color w:val="auto"/>
                <w:sz w:val="24"/>
                <w:szCs w:val="21"/>
                <w:highlight w:val="none"/>
              </w:rPr>
              <w:t>1.2设备燃油废气</w:t>
            </w:r>
          </w:p>
          <w:p w14:paraId="0990A542">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施工机械、运输车辆及现场小型发电机基本以燃油为主，燃烧尾气中含有CO、THC、NOx等大气污染物，影响施工区大气环境质量。鉴于项目排放的大气污染物相对较小，项目工程量小且施工期短，主要在施工区内，机械尾气排放与当地的大气容量相比很小，且具有流动性和间歇性的特点，废气产生后能迅速稀释扩散，对区域大气环境影响较小。</w:t>
            </w:r>
          </w:p>
          <w:p w14:paraId="348FB151">
            <w:pPr>
              <w:keepNext w:val="0"/>
              <w:keepLines w:val="0"/>
              <w:widowControl w:val="0"/>
              <w:suppressLineNumbers w:val="0"/>
              <w:spacing w:before="0" w:beforeAutospacing="0" w:after="120" w:afterAutospacing="0" w:line="360" w:lineRule="auto"/>
              <w:ind w:left="0" w:leftChars="0" w:right="0" w:firstLine="480" w:firstLineChars="200"/>
              <w:jc w:val="both"/>
              <w:rPr>
                <w:rFonts w:hint="eastAsia" w:ascii="Calibri" w:hAnsi="Calibri" w:eastAsia="宋体" w:cs="Calibri"/>
                <w:color w:val="auto"/>
                <w:kern w:val="2"/>
                <w:sz w:val="28"/>
                <w:szCs w:val="28"/>
                <w:lang w:val="en-US" w:eastAsia="zh-CN" w:bidi="ar-SA"/>
              </w:rPr>
            </w:pPr>
            <w:r>
              <w:rPr>
                <w:rFonts w:hint="eastAsia" w:ascii="宋体" w:hAnsi="宋体" w:eastAsia="宋体" w:cs="宋体"/>
                <w:color w:val="auto"/>
                <w:kern w:val="2"/>
                <w:sz w:val="24"/>
                <w:szCs w:val="24"/>
                <w:highlight w:val="none"/>
                <w:lang w:val="en-US" w:eastAsia="zh-CN" w:bidi="ar-SA"/>
              </w:rPr>
              <w:t>综上，施工废气大部分以无组织形式扩散，在做好上述防护措施的前提下，施工废气对区域空气环境的影响较小，且施工期造成的污染是短期的、局部的，随着施工的结束，这些影响也随之消失，不会对周边环境空气质量产生较大影响。</w:t>
            </w:r>
          </w:p>
          <w:p w14:paraId="63058874">
            <w:pPr>
              <w:keepNext w:val="0"/>
              <w:keepLines w:val="0"/>
              <w:suppressLineNumbers w:val="0"/>
              <w:spacing w:before="0" w:beforeAutospacing="0" w:after="0" w:afterAutospacing="0" w:line="360" w:lineRule="auto"/>
              <w:ind w:left="0" w:right="0"/>
              <w:rPr>
                <w:rFonts w:hint="eastAsia" w:ascii="宋体" w:hAnsi="宋体" w:eastAsia="宋体" w:cs="宋体"/>
                <w:b/>
                <w:bCs/>
                <w:color w:val="auto"/>
                <w:sz w:val="24"/>
                <w:szCs w:val="21"/>
                <w:highlight w:val="none"/>
              </w:rPr>
            </w:pPr>
            <w:r>
              <w:rPr>
                <w:rFonts w:hint="eastAsia" w:ascii="宋体" w:hAnsi="宋体" w:eastAsia="宋体" w:cs="宋体"/>
                <w:b/>
                <w:bCs/>
                <w:color w:val="auto"/>
                <w:sz w:val="24"/>
                <w:szCs w:val="21"/>
                <w:highlight w:val="none"/>
              </w:rPr>
              <w:t>2水环境影响分析</w:t>
            </w:r>
          </w:p>
          <w:p w14:paraId="07FD8BD0">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lang w:eastAsia="zh-CN"/>
              </w:rPr>
              <w:t>本项目</w:t>
            </w:r>
            <w:r>
              <w:rPr>
                <w:rFonts w:hint="eastAsia" w:ascii="宋体" w:hAnsi="宋体" w:eastAsia="宋体" w:cs="宋体"/>
                <w:color w:val="auto"/>
                <w:sz w:val="24"/>
                <w:szCs w:val="21"/>
                <w:highlight w:val="none"/>
              </w:rPr>
              <w:t>施工期间产生的废污水主要</w:t>
            </w:r>
            <w:r>
              <w:rPr>
                <w:rFonts w:hint="eastAsia" w:ascii="宋体" w:hAnsi="宋体" w:cs="宋体"/>
                <w:color w:val="auto"/>
                <w:sz w:val="24"/>
                <w:szCs w:val="21"/>
                <w:highlight w:val="none"/>
                <w:lang w:eastAsia="zh-CN"/>
              </w:rPr>
              <w:t>来自</w:t>
            </w:r>
            <w:r>
              <w:rPr>
                <w:rFonts w:hint="eastAsia" w:ascii="宋体" w:hAnsi="宋体" w:eastAsia="宋体" w:cs="宋体"/>
                <w:color w:val="auto"/>
                <w:sz w:val="24"/>
                <w:szCs w:val="21"/>
                <w:highlight w:val="none"/>
              </w:rPr>
              <w:t>施工废水及施工人员生活污水</w:t>
            </w:r>
            <w:r>
              <w:rPr>
                <w:rFonts w:hint="eastAsia" w:ascii="宋体" w:hAnsi="宋体" w:eastAsia="宋体" w:cs="宋体"/>
                <w:color w:val="auto"/>
                <w:sz w:val="24"/>
                <w:szCs w:val="21"/>
                <w:highlight w:val="none"/>
                <w:lang w:eastAsia="zh-CN"/>
              </w:rPr>
              <w:t>。施工废水主要为混</w:t>
            </w:r>
            <w:r>
              <w:rPr>
                <w:rFonts w:hint="eastAsia" w:ascii="宋体" w:hAnsi="宋体" w:cs="宋体"/>
                <w:color w:val="auto"/>
                <w:sz w:val="24"/>
                <w:szCs w:val="21"/>
                <w:highlight w:val="none"/>
                <w:lang w:val="en-US" w:eastAsia="zh-CN"/>
              </w:rPr>
              <w:t>凝</w:t>
            </w:r>
            <w:r>
              <w:rPr>
                <w:rFonts w:hint="eastAsia" w:ascii="宋体" w:hAnsi="宋体" w:eastAsia="宋体" w:cs="宋体"/>
                <w:color w:val="auto"/>
                <w:sz w:val="24"/>
                <w:szCs w:val="21"/>
                <w:highlight w:val="none"/>
                <w:lang w:eastAsia="zh-CN"/>
              </w:rPr>
              <w:t>土养护废水，量小自然蒸发可忽略</w:t>
            </w:r>
            <w:r>
              <w:rPr>
                <w:rFonts w:hint="eastAsia" w:ascii="宋体" w:hAnsi="宋体" w:eastAsia="宋体" w:cs="宋体"/>
                <w:color w:val="auto"/>
                <w:sz w:val="24"/>
                <w:szCs w:val="21"/>
                <w:highlight w:val="none"/>
              </w:rPr>
              <w:t>。</w:t>
            </w:r>
          </w:p>
          <w:p w14:paraId="5D210AA3">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0000FF"/>
                <w:sz w:val="24"/>
                <w:szCs w:val="21"/>
                <w:highlight w:val="none"/>
              </w:rPr>
            </w:pPr>
            <w:r>
              <w:rPr>
                <w:rFonts w:hint="eastAsia" w:ascii="宋体" w:hAnsi="宋体" w:eastAsia="宋体" w:cs="宋体"/>
                <w:color w:val="auto"/>
                <w:sz w:val="24"/>
                <w:szCs w:val="24"/>
                <w:highlight w:val="none"/>
                <w:lang w:eastAsia="zh-CN"/>
              </w:rPr>
              <w:t>本项目</w:t>
            </w:r>
            <w:r>
              <w:rPr>
                <w:rFonts w:hint="eastAsia" w:ascii="宋体" w:hAnsi="宋体" w:eastAsia="宋体" w:cs="宋体"/>
                <w:color w:val="auto"/>
                <w:sz w:val="24"/>
                <w:szCs w:val="24"/>
                <w:highlight w:val="none"/>
              </w:rPr>
              <w:t>每日施工人员约</w:t>
            </w:r>
            <w:r>
              <w:rPr>
                <w:rFonts w:hint="eastAsia" w:ascii="宋体" w:hAnsi="宋体" w:eastAsia="宋体" w:cs="宋体"/>
                <w:color w:val="auto"/>
                <w:sz w:val="24"/>
                <w:szCs w:val="24"/>
                <w:highlight w:val="none"/>
                <w:lang w:val="en-US" w:eastAsia="zh-CN"/>
              </w:rPr>
              <w:t>100</w:t>
            </w:r>
            <w:r>
              <w:rPr>
                <w:rFonts w:hint="eastAsia" w:ascii="宋体" w:hAnsi="宋体" w:eastAsia="宋体" w:cs="宋体"/>
                <w:color w:val="auto"/>
                <w:sz w:val="24"/>
                <w:szCs w:val="24"/>
                <w:highlight w:val="none"/>
              </w:rPr>
              <w:t>人，根据建设单位提供资料，拟建项目施工期按</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个月计算，每人每月用水量为1m</w:t>
            </w:r>
            <w:r>
              <w:rPr>
                <w:rFonts w:hint="eastAsia" w:ascii="宋体" w:hAnsi="宋体" w:eastAsia="宋体" w:cs="宋体"/>
                <w:color w:val="auto"/>
                <w:sz w:val="24"/>
                <w:szCs w:val="24"/>
                <w:highlight w:val="none"/>
                <w:vertAlign w:val="superscript"/>
              </w:rPr>
              <w:t>3</w:t>
            </w:r>
            <w:r>
              <w:rPr>
                <w:rFonts w:hint="eastAsia" w:ascii="宋体" w:hAnsi="宋体" w:eastAsia="宋体" w:cs="宋体"/>
                <w:color w:val="auto"/>
                <w:sz w:val="24"/>
                <w:szCs w:val="24"/>
                <w:highlight w:val="none"/>
              </w:rPr>
              <w:t>，污水量按用水量的80%计算，则施工期污水排放</w:t>
            </w:r>
            <w:r>
              <w:rPr>
                <w:rFonts w:hint="eastAsia" w:ascii="宋体" w:hAnsi="宋体" w:eastAsia="宋体" w:cs="宋体"/>
                <w:color w:val="auto"/>
                <w:sz w:val="24"/>
                <w:szCs w:val="24"/>
                <w:highlight w:val="none"/>
                <w:lang w:val="en-US" w:eastAsia="zh-CN"/>
              </w:rPr>
              <w:t>56</w:t>
            </w:r>
            <w:r>
              <w:rPr>
                <w:rFonts w:hint="eastAsia" w:ascii="宋体" w:hAnsi="宋体" w:eastAsia="宋体" w:cs="宋体"/>
                <w:color w:val="auto"/>
                <w:sz w:val="24"/>
                <w:szCs w:val="24"/>
                <w:highlight w:val="none"/>
              </w:rPr>
              <w:t>0m</w:t>
            </w:r>
            <w:r>
              <w:rPr>
                <w:rFonts w:hint="eastAsia" w:ascii="宋体" w:hAnsi="宋体" w:eastAsia="宋体" w:cs="宋体"/>
                <w:color w:val="auto"/>
                <w:sz w:val="24"/>
                <w:szCs w:val="24"/>
                <w:highlight w:val="none"/>
                <w:vertAlign w:val="superscript"/>
              </w:rPr>
              <w:t>3</w:t>
            </w:r>
            <w:r>
              <w:rPr>
                <w:rFonts w:hint="eastAsia" w:ascii="宋体" w:hAnsi="宋体" w:eastAsia="宋体" w:cs="宋体"/>
                <w:color w:val="auto"/>
                <w:sz w:val="24"/>
                <w:szCs w:val="24"/>
                <w:highlight w:val="none"/>
              </w:rPr>
              <w:t>，污水中主要污染物是SS、COD、BOD</w:t>
            </w:r>
            <w:r>
              <w:rPr>
                <w:rFonts w:hint="eastAsia" w:ascii="宋体" w:hAnsi="宋体" w:eastAsia="宋体" w:cs="宋体"/>
                <w:color w:val="auto"/>
                <w:sz w:val="24"/>
                <w:szCs w:val="24"/>
                <w:highlight w:val="none"/>
                <w:vertAlign w:val="subscript"/>
              </w:rPr>
              <w:t>5</w:t>
            </w:r>
            <w:r>
              <w:rPr>
                <w:rFonts w:hint="eastAsia" w:ascii="宋体" w:hAnsi="宋体" w:eastAsia="宋体" w:cs="宋体"/>
                <w:color w:val="auto"/>
                <w:sz w:val="24"/>
                <w:szCs w:val="24"/>
                <w:highlight w:val="none"/>
              </w:rPr>
              <w:t>和氨氮等，</w:t>
            </w:r>
            <w:r>
              <w:rPr>
                <w:rFonts w:hint="eastAsia" w:ascii="宋体" w:hAnsi="宋体" w:eastAsia="宋体" w:cs="Calibri"/>
                <w:snapToGrid w:val="0"/>
                <w:color w:val="auto"/>
                <w:kern w:val="24"/>
                <w:sz w:val="24"/>
                <w:szCs w:val="24"/>
                <w:highlight w:val="none"/>
              </w:rPr>
              <w:t>施工人员主要集中生活在施工营地内，</w:t>
            </w:r>
            <w:r>
              <w:rPr>
                <w:rFonts w:hint="eastAsia" w:ascii="Calibri" w:hAnsi="Calibri" w:eastAsia="宋体" w:cs="宋体"/>
                <w:color w:val="auto"/>
                <w:sz w:val="24"/>
                <w:szCs w:val="24"/>
                <w:highlight w:val="none"/>
              </w:rPr>
              <w:t>施工营地设置移动</w:t>
            </w:r>
            <w:r>
              <w:rPr>
                <w:rFonts w:hint="eastAsia" w:ascii="Calibri" w:hAnsi="Calibri" w:eastAsia="宋体" w:cs="宋体"/>
                <w:color w:val="auto"/>
                <w:sz w:val="24"/>
                <w:szCs w:val="24"/>
                <w:highlight w:val="none"/>
                <w:lang w:val="en-US" w:eastAsia="zh-CN"/>
              </w:rPr>
              <w:t>卫生厕所</w:t>
            </w:r>
            <w:r>
              <w:rPr>
                <w:rFonts w:hint="eastAsia" w:ascii="Calibri" w:hAnsi="Calibri" w:eastAsia="宋体" w:cs="宋体"/>
                <w:color w:val="auto"/>
                <w:sz w:val="24"/>
                <w:szCs w:val="24"/>
                <w:highlight w:val="none"/>
              </w:rPr>
              <w:t>和防渗污水收集池，</w:t>
            </w:r>
            <w:bookmarkStart w:id="46" w:name="OLE_LINK7"/>
            <w:bookmarkStart w:id="47" w:name="OLE_LINK5"/>
            <w:r>
              <w:rPr>
                <w:rFonts w:hint="eastAsia" w:ascii="宋体" w:hAnsi="宋体" w:eastAsia="宋体" w:cs="宋体"/>
                <w:color w:val="auto"/>
                <w:sz w:val="24"/>
                <w:szCs w:val="21"/>
                <w:highlight w:val="none"/>
              </w:rPr>
              <w:t>粪便排入</w:t>
            </w:r>
            <w:r>
              <w:rPr>
                <w:rFonts w:hint="eastAsia" w:ascii="宋体" w:hAnsi="宋体" w:eastAsia="宋体" w:cs="宋体"/>
                <w:color w:val="auto"/>
                <w:sz w:val="24"/>
                <w:szCs w:val="21"/>
                <w:highlight w:val="none"/>
                <w:lang w:eastAsia="zh-CN"/>
              </w:rPr>
              <w:t>移动卫生厕所</w:t>
            </w:r>
            <w:r>
              <w:rPr>
                <w:rFonts w:hint="eastAsia" w:ascii="宋体" w:hAnsi="宋体" w:eastAsia="宋体" w:cs="宋体"/>
                <w:color w:val="auto"/>
                <w:sz w:val="24"/>
                <w:szCs w:val="21"/>
                <w:highlight w:val="none"/>
              </w:rPr>
              <w:t>，营地</w:t>
            </w:r>
            <w:r>
              <w:rPr>
                <w:rFonts w:hint="eastAsia" w:ascii="宋体" w:hAnsi="宋体" w:cs="宋体"/>
                <w:color w:val="auto"/>
                <w:sz w:val="24"/>
                <w:szCs w:val="21"/>
                <w:highlight w:val="none"/>
                <w:lang w:val="en-US" w:eastAsia="zh-CN"/>
              </w:rPr>
              <w:t>生活污水</w:t>
            </w:r>
            <w:r>
              <w:rPr>
                <w:rFonts w:hint="eastAsia" w:ascii="宋体" w:hAnsi="宋体" w:eastAsia="宋体" w:cs="宋体"/>
                <w:color w:val="auto"/>
                <w:sz w:val="24"/>
                <w:szCs w:val="21"/>
                <w:highlight w:val="none"/>
              </w:rPr>
              <w:t>排入防渗污水收集池</w:t>
            </w:r>
            <w:r>
              <w:rPr>
                <w:rFonts w:hint="eastAsia" w:ascii="宋体" w:hAnsi="宋体" w:cs="宋体"/>
                <w:color w:val="auto"/>
                <w:sz w:val="24"/>
                <w:szCs w:val="21"/>
                <w:highlight w:val="none"/>
                <w:lang w:eastAsia="zh-CN"/>
              </w:rPr>
              <w:t>，</w:t>
            </w:r>
            <w:r>
              <w:rPr>
                <w:rFonts w:hint="eastAsia" w:ascii="宋体" w:hAnsi="宋体" w:eastAsia="宋体" w:cs="宋体"/>
                <w:color w:val="auto"/>
                <w:sz w:val="24"/>
                <w:szCs w:val="21"/>
                <w:highlight w:val="none"/>
              </w:rPr>
              <w:t>定期交由环卫部门拉运至</w:t>
            </w:r>
            <w:r>
              <w:rPr>
                <w:rFonts w:hint="eastAsia" w:ascii="宋体" w:hAnsi="宋体" w:eastAsia="宋体" w:cs="宋体"/>
                <w:color w:val="auto"/>
                <w:sz w:val="24"/>
                <w:szCs w:val="21"/>
                <w:highlight w:val="none"/>
                <w:lang w:val="en-US" w:eastAsia="zh-CN"/>
              </w:rPr>
              <w:t>就近</w:t>
            </w:r>
            <w:r>
              <w:rPr>
                <w:rFonts w:hint="eastAsia" w:ascii="宋体" w:hAnsi="宋体" w:eastAsia="宋体" w:cs="宋体"/>
                <w:color w:val="auto"/>
                <w:sz w:val="24"/>
                <w:szCs w:val="21"/>
                <w:highlight w:val="none"/>
              </w:rPr>
              <w:t>污水处理系统统一处理</w:t>
            </w:r>
            <w:bookmarkEnd w:id="46"/>
            <w:r>
              <w:rPr>
                <w:rFonts w:hint="eastAsia" w:ascii="宋体" w:hAnsi="宋体" w:eastAsia="宋体" w:cs="宋体"/>
                <w:color w:val="auto"/>
                <w:sz w:val="24"/>
                <w:szCs w:val="21"/>
                <w:highlight w:val="none"/>
              </w:rPr>
              <w:t>。</w:t>
            </w:r>
          </w:p>
          <w:bookmarkEnd w:id="47"/>
          <w:p w14:paraId="6544DD8F">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bCs/>
                <w:color w:val="auto"/>
                <w:sz w:val="24"/>
                <w:szCs w:val="21"/>
                <w:highlight w:val="none"/>
              </w:rPr>
            </w:pPr>
            <w:r>
              <w:rPr>
                <w:rFonts w:hint="eastAsia" w:ascii="宋体" w:hAnsi="宋体" w:eastAsia="宋体" w:cs="宋体"/>
                <w:color w:val="auto"/>
                <w:sz w:val="24"/>
                <w:szCs w:val="21"/>
                <w:highlight w:val="none"/>
              </w:rPr>
              <w:t>综上：本项目施工场地周围不涉及天然地表水体，项目的施工对地表水体无影响。施工期无废污水外排，通过严格实施各项污染防治措施后，本项目施工对当地水环境影响较小。</w:t>
            </w:r>
          </w:p>
          <w:p w14:paraId="174EAA8A">
            <w:pPr>
              <w:keepNext w:val="0"/>
              <w:keepLines w:val="0"/>
              <w:suppressLineNumbers w:val="0"/>
              <w:spacing w:before="0" w:beforeAutospacing="0" w:after="0" w:afterAutospacing="0" w:line="360" w:lineRule="auto"/>
              <w:ind w:left="0" w:right="0"/>
              <w:rPr>
                <w:rFonts w:hint="eastAsia" w:ascii="宋体" w:hAnsi="宋体" w:eastAsia="宋体" w:cs="宋体"/>
                <w:b/>
                <w:bCs/>
                <w:color w:val="auto"/>
                <w:sz w:val="24"/>
                <w:szCs w:val="21"/>
                <w:highlight w:val="none"/>
              </w:rPr>
            </w:pPr>
            <w:r>
              <w:rPr>
                <w:rFonts w:hint="eastAsia" w:ascii="宋体" w:hAnsi="宋体" w:eastAsia="宋体" w:cs="宋体"/>
                <w:b/>
                <w:bCs/>
                <w:color w:val="auto"/>
                <w:sz w:val="24"/>
                <w:szCs w:val="21"/>
                <w:highlight w:val="none"/>
              </w:rPr>
              <w:t>3噪声环境影响分析</w:t>
            </w:r>
          </w:p>
          <w:p w14:paraId="66BD6A82">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
              </w:rPr>
              <w:t>3.1噪声环境影响分析</w:t>
            </w:r>
          </w:p>
          <w:p w14:paraId="47494A9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施工期噪声主要为施工机械设备所产生的作业噪声，施工机械如推土机、载重汽车、挖掘机等。</w:t>
            </w:r>
          </w:p>
          <w:p w14:paraId="766D2D8E">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
              </w:rPr>
              <w:t>3.2噪声预测模式</w:t>
            </w:r>
          </w:p>
          <w:p w14:paraId="578D1B9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施工期各种噪声源为多点源，根据点声源噪声衰减模式，可估算其施工期间离噪声源不同距离处的噪声值，预测模式如下：</w:t>
            </w:r>
          </w:p>
          <w:p w14:paraId="6560ACD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L</w:t>
            </w:r>
            <w:r>
              <w:rPr>
                <w:rFonts w:hint="eastAsia" w:ascii="宋体" w:hAnsi="宋体" w:eastAsia="宋体" w:cs="宋体"/>
                <w:color w:val="auto"/>
                <w:kern w:val="0"/>
                <w:sz w:val="24"/>
                <w:szCs w:val="24"/>
                <w:highlight w:val="none"/>
                <w:vertAlign w:val="subscript"/>
                <w:lang w:val="en-US" w:eastAsia="zh-CN" w:bidi="ar"/>
              </w:rPr>
              <w:t>P</w:t>
            </w:r>
            <w:r>
              <w:rPr>
                <w:rFonts w:hint="eastAsia" w:ascii="宋体" w:hAnsi="宋体" w:eastAsia="宋体" w:cs="宋体"/>
                <w:color w:val="auto"/>
                <w:kern w:val="0"/>
                <w:sz w:val="24"/>
                <w:szCs w:val="24"/>
                <w:highlight w:val="none"/>
                <w:lang w:val="en-US" w:eastAsia="zh-CN" w:bidi="ar"/>
              </w:rPr>
              <w:t>(r)=L</w:t>
            </w:r>
            <w:r>
              <w:rPr>
                <w:rFonts w:hint="eastAsia" w:ascii="宋体" w:hAnsi="宋体" w:eastAsia="宋体" w:cs="宋体"/>
                <w:color w:val="auto"/>
                <w:kern w:val="0"/>
                <w:sz w:val="24"/>
                <w:szCs w:val="24"/>
                <w:highlight w:val="none"/>
                <w:vertAlign w:val="subscript"/>
                <w:lang w:val="en-US" w:eastAsia="zh-CN" w:bidi="ar"/>
              </w:rPr>
              <w:t>P</w:t>
            </w:r>
            <w:r>
              <w:rPr>
                <w:rFonts w:hint="eastAsia" w:ascii="宋体" w:hAnsi="宋体" w:eastAsia="宋体" w:cs="宋体"/>
                <w:color w:val="auto"/>
                <w:kern w:val="0"/>
                <w:sz w:val="24"/>
                <w:szCs w:val="24"/>
                <w:highlight w:val="none"/>
                <w:lang w:val="en-US" w:eastAsia="zh-CN" w:bidi="ar"/>
              </w:rPr>
              <w:t>(r</w:t>
            </w:r>
            <w:r>
              <w:rPr>
                <w:rFonts w:hint="eastAsia" w:ascii="宋体" w:hAnsi="宋体" w:eastAsia="宋体" w:cs="宋体"/>
                <w:color w:val="auto"/>
                <w:kern w:val="0"/>
                <w:sz w:val="24"/>
                <w:szCs w:val="24"/>
                <w:highlight w:val="none"/>
                <w:vertAlign w:val="subscript"/>
                <w:lang w:val="en-US" w:eastAsia="zh-CN" w:bidi="ar"/>
              </w:rPr>
              <w:t>0</w:t>
            </w:r>
            <w:r>
              <w:rPr>
                <w:rFonts w:hint="eastAsia" w:ascii="宋体" w:hAnsi="宋体" w:eastAsia="宋体" w:cs="宋体"/>
                <w:color w:val="auto"/>
                <w:kern w:val="0"/>
                <w:sz w:val="24"/>
                <w:szCs w:val="24"/>
                <w:highlight w:val="none"/>
                <w:lang w:val="en-US" w:eastAsia="zh-CN" w:bidi="ar"/>
              </w:rPr>
              <w:t>)-20lg(r/r</w:t>
            </w:r>
            <w:r>
              <w:rPr>
                <w:rFonts w:hint="eastAsia" w:ascii="宋体" w:hAnsi="宋体" w:eastAsia="宋体" w:cs="宋体"/>
                <w:color w:val="auto"/>
                <w:kern w:val="0"/>
                <w:sz w:val="24"/>
                <w:szCs w:val="24"/>
                <w:highlight w:val="none"/>
                <w:vertAlign w:val="subscript"/>
                <w:lang w:val="en-US" w:eastAsia="zh-CN" w:bidi="ar"/>
              </w:rPr>
              <w:t>0</w:t>
            </w:r>
            <w:r>
              <w:rPr>
                <w:rFonts w:hint="eastAsia" w:ascii="宋体" w:hAnsi="宋体" w:eastAsia="宋体" w:cs="宋体"/>
                <w:color w:val="auto"/>
                <w:kern w:val="0"/>
                <w:sz w:val="24"/>
                <w:szCs w:val="24"/>
                <w:highlight w:val="none"/>
                <w:lang w:val="en-US" w:eastAsia="zh-CN" w:bidi="ar"/>
              </w:rPr>
              <w:t>)-△L</w:t>
            </w:r>
          </w:p>
          <w:p w14:paraId="3F9B723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式中：L</w:t>
            </w:r>
            <w:r>
              <w:rPr>
                <w:rFonts w:hint="eastAsia" w:ascii="宋体" w:hAnsi="宋体" w:eastAsia="宋体" w:cs="宋体"/>
                <w:color w:val="auto"/>
                <w:kern w:val="0"/>
                <w:sz w:val="24"/>
                <w:szCs w:val="24"/>
                <w:highlight w:val="none"/>
                <w:vertAlign w:val="subscript"/>
                <w:lang w:val="en-US" w:eastAsia="zh-CN" w:bidi="ar"/>
              </w:rPr>
              <w:t>P</w:t>
            </w:r>
            <w:r>
              <w:rPr>
                <w:rFonts w:hint="eastAsia" w:ascii="宋体" w:hAnsi="宋体" w:eastAsia="宋体" w:cs="宋体"/>
                <w:color w:val="auto"/>
                <w:kern w:val="0"/>
                <w:sz w:val="24"/>
                <w:szCs w:val="24"/>
                <w:highlight w:val="none"/>
                <w:lang w:val="en-US" w:eastAsia="zh-CN" w:bidi="ar"/>
              </w:rPr>
              <w:t>(r)——距离声源r处的声级dB(A)；</w:t>
            </w:r>
          </w:p>
          <w:p w14:paraId="67FBCBB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L</w:t>
            </w:r>
            <w:r>
              <w:rPr>
                <w:rFonts w:hint="eastAsia" w:ascii="宋体" w:hAnsi="宋体" w:eastAsia="宋体" w:cs="宋体"/>
                <w:color w:val="auto"/>
                <w:kern w:val="0"/>
                <w:sz w:val="24"/>
                <w:szCs w:val="24"/>
                <w:highlight w:val="none"/>
                <w:vertAlign w:val="subscript"/>
                <w:lang w:val="en-US" w:eastAsia="zh-CN" w:bidi="ar"/>
              </w:rPr>
              <w:t>P</w:t>
            </w:r>
            <w:r>
              <w:rPr>
                <w:rFonts w:hint="eastAsia" w:ascii="宋体" w:hAnsi="宋体" w:eastAsia="宋体" w:cs="宋体"/>
                <w:color w:val="auto"/>
                <w:kern w:val="0"/>
                <w:sz w:val="24"/>
                <w:szCs w:val="24"/>
                <w:highlight w:val="none"/>
                <w:lang w:val="en-US" w:eastAsia="zh-CN" w:bidi="ar"/>
              </w:rPr>
              <w:t>(r</w:t>
            </w:r>
            <w:r>
              <w:rPr>
                <w:rFonts w:hint="eastAsia" w:ascii="宋体" w:hAnsi="宋体" w:eastAsia="宋体" w:cs="宋体"/>
                <w:color w:val="auto"/>
                <w:kern w:val="0"/>
                <w:sz w:val="24"/>
                <w:szCs w:val="24"/>
                <w:highlight w:val="none"/>
                <w:vertAlign w:val="subscript"/>
                <w:lang w:val="en-US" w:eastAsia="zh-CN" w:bidi="ar"/>
              </w:rPr>
              <w:t>0</w:t>
            </w:r>
            <w:r>
              <w:rPr>
                <w:rFonts w:hint="eastAsia" w:ascii="宋体" w:hAnsi="宋体" w:eastAsia="宋体" w:cs="宋体"/>
                <w:color w:val="auto"/>
                <w:kern w:val="0"/>
                <w:sz w:val="24"/>
                <w:szCs w:val="24"/>
                <w:highlight w:val="none"/>
                <w:lang w:val="en-US" w:eastAsia="zh-CN" w:bidi="ar"/>
              </w:rPr>
              <w:t>)——距离声源r</w:t>
            </w:r>
            <w:r>
              <w:rPr>
                <w:rFonts w:hint="eastAsia" w:ascii="宋体" w:hAnsi="宋体" w:eastAsia="宋体" w:cs="宋体"/>
                <w:color w:val="auto"/>
                <w:kern w:val="0"/>
                <w:sz w:val="24"/>
                <w:szCs w:val="24"/>
                <w:highlight w:val="none"/>
                <w:vertAlign w:val="subscript"/>
                <w:lang w:val="en-US" w:eastAsia="zh-CN" w:bidi="ar"/>
              </w:rPr>
              <w:t>0</w:t>
            </w:r>
            <w:r>
              <w:rPr>
                <w:rFonts w:hint="eastAsia" w:ascii="宋体" w:hAnsi="宋体" w:eastAsia="宋体" w:cs="宋体"/>
                <w:color w:val="auto"/>
                <w:kern w:val="0"/>
                <w:sz w:val="24"/>
                <w:szCs w:val="24"/>
                <w:highlight w:val="none"/>
                <w:lang w:val="en-US" w:eastAsia="zh-CN" w:bidi="ar"/>
              </w:rPr>
              <w:t>处的声级dB(A)；</w:t>
            </w:r>
          </w:p>
          <w:p w14:paraId="5D2BD03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r——预测点与声源之间的距离，m；</w:t>
            </w:r>
          </w:p>
          <w:p w14:paraId="6F10644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r</w:t>
            </w:r>
            <w:r>
              <w:rPr>
                <w:rFonts w:hint="eastAsia" w:ascii="宋体" w:hAnsi="宋体" w:eastAsia="宋体" w:cs="宋体"/>
                <w:color w:val="auto"/>
                <w:kern w:val="0"/>
                <w:sz w:val="24"/>
                <w:szCs w:val="24"/>
                <w:highlight w:val="none"/>
                <w:vertAlign w:val="subscript"/>
                <w:lang w:val="en-US" w:eastAsia="zh-CN" w:bidi="ar"/>
              </w:rPr>
              <w:t>0</w:t>
            </w:r>
            <w:r>
              <w:rPr>
                <w:rFonts w:hint="eastAsia" w:ascii="宋体" w:hAnsi="宋体" w:eastAsia="宋体" w:cs="宋体"/>
                <w:color w:val="auto"/>
                <w:kern w:val="0"/>
                <w:sz w:val="24"/>
                <w:szCs w:val="24"/>
                <w:highlight w:val="none"/>
                <w:lang w:val="en-US" w:eastAsia="zh-CN" w:bidi="ar"/>
              </w:rPr>
              <w:t>——监测点与声源之间的距离，m；</w:t>
            </w:r>
          </w:p>
          <w:p w14:paraId="20AE4FC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△L——几何发散、声屏障等引起的噪声衰减量dB(A)</w:t>
            </w:r>
          </w:p>
          <w:p w14:paraId="248E582D">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
              </w:rPr>
              <w:t>3.3噪声预测及评价</w:t>
            </w:r>
          </w:p>
          <w:p w14:paraId="03108ABE">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
              </w:rPr>
              <w:t>根据《环境噪声与振动控制工程技术导则》(HJ2034-2013)，本项目在选用低噪声设备的情况下，施工机械噪声声压级</w:t>
            </w:r>
            <w:r>
              <w:rPr>
                <w:rFonts w:hint="eastAsia" w:ascii="宋体" w:hAnsi="宋体" w:cs="宋体"/>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距声源5m处</w:t>
            </w:r>
            <w:r>
              <w:rPr>
                <w:rFonts w:hint="eastAsia" w:ascii="宋体" w:hAnsi="宋体" w:cs="宋体"/>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为82～93dB(A)。</w:t>
            </w:r>
            <w:r>
              <w:rPr>
                <w:rFonts w:hint="eastAsia" w:ascii="宋体" w:hAnsi="宋体" w:eastAsia="宋体" w:cs="宋体"/>
                <w:color w:val="auto"/>
                <w:kern w:val="0"/>
                <w:sz w:val="24"/>
                <w:szCs w:val="24"/>
                <w:highlight w:val="none"/>
                <w:lang w:val="en-US" w:eastAsia="zh-CN" w:bidi="ar"/>
              </w:rPr>
              <w:t>根据各种施工机械噪声值，施工时不同类型机械在不同距离处的噪声预测值见表4-1。</w:t>
            </w:r>
          </w:p>
          <w:p w14:paraId="19F6ACC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2" w:firstLineChars="200"/>
              <w:jc w:val="center"/>
              <w:textAlignment w:val="auto"/>
              <w:rPr>
                <w:rFonts w:hint="eastAsia"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lang w:val="en-US" w:eastAsia="zh-CN" w:bidi="ar"/>
              </w:rPr>
              <w:t>表4-1</w:t>
            </w:r>
            <w:r>
              <w:rPr>
                <w:rFonts w:hint="eastAsia" w:ascii="宋体" w:hAnsi="宋体" w:cs="宋体"/>
                <w:b/>
                <w:color w:val="auto"/>
                <w:kern w:val="2"/>
                <w:sz w:val="24"/>
                <w:szCs w:val="24"/>
                <w:highlight w:val="none"/>
                <w:lang w:val="en-US" w:eastAsia="zh-CN" w:bidi="ar"/>
              </w:rPr>
              <w:t xml:space="preserve">    </w:t>
            </w:r>
            <w:r>
              <w:rPr>
                <w:rFonts w:hint="eastAsia" w:ascii="宋体" w:hAnsi="宋体" w:eastAsia="宋体" w:cs="宋体"/>
                <w:b/>
                <w:color w:val="auto"/>
                <w:kern w:val="2"/>
                <w:sz w:val="24"/>
                <w:szCs w:val="24"/>
                <w:highlight w:val="none"/>
                <w:lang w:val="en-US" w:eastAsia="zh-CN" w:bidi="ar"/>
              </w:rPr>
              <w:t>距各种施工机械不同距离的噪声值单位：dB(A)</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85"/>
              <w:gridCol w:w="1327"/>
              <w:gridCol w:w="1095"/>
              <w:gridCol w:w="1260"/>
              <w:gridCol w:w="615"/>
              <w:gridCol w:w="1365"/>
              <w:gridCol w:w="1466"/>
            </w:tblGrid>
            <w:tr w14:paraId="3D8C70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88" w:hRule="atLeast"/>
                <w:jc w:val="center"/>
              </w:trPr>
              <w:tc>
                <w:tcPr>
                  <w:tcW w:w="379" w:type="pct"/>
                  <w:vMerge w:val="restart"/>
                  <w:tcBorders>
                    <w:top w:val="single" w:color="auto" w:sz="12" w:space="0"/>
                    <w:left w:val="single" w:color="auto" w:sz="12" w:space="0"/>
                    <w:bottom w:val="single" w:color="auto" w:sz="6" w:space="0"/>
                    <w:right w:val="single" w:color="auto" w:sz="4" w:space="0"/>
                  </w:tcBorders>
                  <w:noWrap w:val="0"/>
                  <w:vAlign w:val="center"/>
                </w:tcPr>
                <w:p w14:paraId="6EC7FB6E">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序号</w:t>
                  </w:r>
                </w:p>
              </w:tc>
              <w:tc>
                <w:tcPr>
                  <w:tcW w:w="860" w:type="pct"/>
                  <w:vMerge w:val="restart"/>
                  <w:tcBorders>
                    <w:top w:val="single" w:color="auto" w:sz="12" w:space="0"/>
                    <w:left w:val="nil"/>
                    <w:bottom w:val="single" w:color="auto" w:sz="6" w:space="0"/>
                    <w:right w:val="single" w:color="auto" w:sz="4" w:space="0"/>
                  </w:tcBorders>
                  <w:noWrap w:val="0"/>
                  <w:vAlign w:val="center"/>
                </w:tcPr>
                <w:p w14:paraId="3E4706B2">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声源名称</w:t>
                  </w:r>
                </w:p>
              </w:tc>
              <w:tc>
                <w:tcPr>
                  <w:tcW w:w="1526" w:type="pct"/>
                  <w:gridSpan w:val="2"/>
                  <w:tcBorders>
                    <w:top w:val="single" w:color="auto" w:sz="12" w:space="0"/>
                    <w:left w:val="nil"/>
                    <w:bottom w:val="single" w:color="auto" w:sz="4" w:space="0"/>
                    <w:right w:val="single" w:color="auto" w:sz="6" w:space="0"/>
                  </w:tcBorders>
                  <w:noWrap w:val="0"/>
                  <w:vAlign w:val="center"/>
                </w:tcPr>
                <w:p w14:paraId="6EDBE233">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声</w:t>
                  </w:r>
                  <w:r>
                    <w:rPr>
                      <w:rFonts w:hint="eastAsia" w:cs="宋体"/>
                      <w:color w:val="auto"/>
                      <w:kern w:val="2"/>
                      <w:sz w:val="21"/>
                      <w:szCs w:val="21"/>
                      <w:highlight w:val="none"/>
                      <w:lang w:eastAsia="zh-CN"/>
                    </w:rPr>
                    <w:t>源</w:t>
                  </w:r>
                  <w:r>
                    <w:rPr>
                      <w:rFonts w:hint="eastAsia" w:ascii="宋体" w:hAnsi="宋体" w:eastAsia="宋体" w:cs="宋体"/>
                      <w:color w:val="auto"/>
                      <w:kern w:val="2"/>
                      <w:sz w:val="21"/>
                      <w:szCs w:val="21"/>
                      <w:highlight w:val="none"/>
                    </w:rPr>
                    <w:t>强</w:t>
                  </w:r>
                </w:p>
              </w:tc>
              <w:tc>
                <w:tcPr>
                  <w:tcW w:w="398" w:type="pct"/>
                  <w:vMerge w:val="restart"/>
                  <w:tcBorders>
                    <w:top w:val="single" w:color="auto" w:sz="12" w:space="0"/>
                    <w:left w:val="single" w:color="auto" w:sz="6" w:space="0"/>
                    <w:bottom w:val="single" w:color="auto" w:sz="6" w:space="0"/>
                    <w:right w:val="single" w:color="auto" w:sz="4" w:space="0"/>
                  </w:tcBorders>
                  <w:noWrap w:val="0"/>
                  <w:vAlign w:val="center"/>
                </w:tcPr>
                <w:p w14:paraId="22591DEC">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运行时段</w:t>
                  </w:r>
                </w:p>
              </w:tc>
              <w:tc>
                <w:tcPr>
                  <w:tcW w:w="884" w:type="pct"/>
                  <w:vMerge w:val="restart"/>
                  <w:tcBorders>
                    <w:top w:val="single" w:color="auto" w:sz="12" w:space="0"/>
                    <w:left w:val="nil"/>
                    <w:bottom w:val="single" w:color="auto" w:sz="6" w:space="0"/>
                    <w:right w:val="single" w:color="auto" w:sz="4" w:space="0"/>
                  </w:tcBorders>
                  <w:noWrap w:val="0"/>
                  <w:vAlign w:val="center"/>
                </w:tcPr>
                <w:p w14:paraId="7C6E38FF">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声源控制措施</w:t>
                  </w:r>
                </w:p>
              </w:tc>
              <w:tc>
                <w:tcPr>
                  <w:tcW w:w="950" w:type="pct"/>
                  <w:vMerge w:val="restart"/>
                  <w:tcBorders>
                    <w:top w:val="single" w:color="auto" w:sz="12" w:space="0"/>
                    <w:left w:val="nil"/>
                    <w:bottom w:val="single" w:color="auto" w:sz="6" w:space="0"/>
                    <w:right w:val="single" w:color="auto" w:sz="12" w:space="0"/>
                  </w:tcBorders>
                  <w:noWrap w:val="0"/>
                  <w:vAlign w:val="center"/>
                </w:tcPr>
                <w:p w14:paraId="5E3994E0">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数据来源</w:t>
                  </w:r>
                </w:p>
              </w:tc>
            </w:tr>
            <w:tr w14:paraId="1699DB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3" w:hRule="atLeast"/>
                <w:jc w:val="center"/>
              </w:trPr>
              <w:tc>
                <w:tcPr>
                  <w:tcW w:w="379" w:type="pct"/>
                  <w:vMerge w:val="continue"/>
                  <w:tcBorders>
                    <w:top w:val="single" w:color="auto" w:sz="12" w:space="0"/>
                    <w:left w:val="single" w:color="auto" w:sz="12" w:space="0"/>
                    <w:bottom w:val="single" w:color="auto" w:sz="6" w:space="0"/>
                    <w:right w:val="single" w:color="auto" w:sz="4" w:space="0"/>
                  </w:tcBorders>
                  <w:noWrap w:val="0"/>
                  <w:vAlign w:val="center"/>
                </w:tcPr>
                <w:p w14:paraId="44ADA6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highlight w:val="none"/>
                    </w:rPr>
                  </w:pPr>
                </w:p>
              </w:tc>
              <w:tc>
                <w:tcPr>
                  <w:tcW w:w="860" w:type="pct"/>
                  <w:vMerge w:val="continue"/>
                  <w:tcBorders>
                    <w:top w:val="single" w:color="auto" w:sz="12" w:space="0"/>
                    <w:left w:val="nil"/>
                    <w:bottom w:val="single" w:color="auto" w:sz="6" w:space="0"/>
                    <w:right w:val="single" w:color="auto" w:sz="4" w:space="0"/>
                  </w:tcBorders>
                  <w:noWrap w:val="0"/>
                  <w:vAlign w:val="center"/>
                </w:tcPr>
                <w:p w14:paraId="5334AE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highlight w:val="none"/>
                    </w:rPr>
                  </w:pPr>
                </w:p>
              </w:tc>
              <w:tc>
                <w:tcPr>
                  <w:tcW w:w="709" w:type="pct"/>
                  <w:tcBorders>
                    <w:top w:val="single" w:color="auto" w:sz="4" w:space="0"/>
                    <w:left w:val="nil"/>
                    <w:bottom w:val="single" w:color="auto" w:sz="6" w:space="0"/>
                    <w:right w:val="single" w:color="auto" w:sz="4" w:space="0"/>
                  </w:tcBorders>
                  <w:noWrap w:val="0"/>
                  <w:vAlign w:val="center"/>
                </w:tcPr>
                <w:p w14:paraId="53EE168D">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数据来源[dB(A)]</w:t>
                  </w:r>
                </w:p>
              </w:tc>
              <w:tc>
                <w:tcPr>
                  <w:tcW w:w="816" w:type="pct"/>
                  <w:tcBorders>
                    <w:top w:val="single" w:color="auto" w:sz="4" w:space="0"/>
                    <w:left w:val="nil"/>
                    <w:bottom w:val="single" w:color="auto" w:sz="6" w:space="0"/>
                    <w:right w:val="single" w:color="auto" w:sz="6" w:space="0"/>
                  </w:tcBorders>
                  <w:noWrap w:val="0"/>
                  <w:vAlign w:val="center"/>
                </w:tcPr>
                <w:p w14:paraId="7EDD0855">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距声源距离</w:t>
                  </w:r>
                  <w:r>
                    <w:rPr>
                      <w:rFonts w:hint="eastAsia" w:cs="宋体"/>
                      <w:color w:val="auto"/>
                      <w:kern w:val="2"/>
                      <w:sz w:val="21"/>
                      <w:szCs w:val="21"/>
                      <w:highlight w:val="none"/>
                      <w:lang w:eastAsia="zh-CN"/>
                    </w:rPr>
                    <w:t>（</w:t>
                  </w:r>
                  <w:r>
                    <w:rPr>
                      <w:rFonts w:hint="eastAsia" w:ascii="宋体" w:hAnsi="宋体" w:eastAsia="宋体" w:cs="宋体"/>
                      <w:color w:val="auto"/>
                      <w:kern w:val="2"/>
                      <w:sz w:val="21"/>
                      <w:szCs w:val="21"/>
                      <w:highlight w:val="none"/>
                    </w:rPr>
                    <w:t>m</w:t>
                  </w:r>
                  <w:r>
                    <w:rPr>
                      <w:rFonts w:hint="eastAsia" w:cs="宋体"/>
                      <w:color w:val="auto"/>
                      <w:kern w:val="2"/>
                      <w:sz w:val="21"/>
                      <w:szCs w:val="21"/>
                      <w:highlight w:val="none"/>
                      <w:lang w:eastAsia="zh-CN"/>
                    </w:rPr>
                    <w:t>）</w:t>
                  </w:r>
                </w:p>
              </w:tc>
              <w:tc>
                <w:tcPr>
                  <w:tcW w:w="398" w:type="pct"/>
                  <w:vMerge w:val="continue"/>
                  <w:tcBorders>
                    <w:top w:val="single" w:color="auto" w:sz="12" w:space="0"/>
                    <w:left w:val="single" w:color="auto" w:sz="6" w:space="0"/>
                    <w:bottom w:val="single" w:color="auto" w:sz="6" w:space="0"/>
                    <w:right w:val="single" w:color="auto" w:sz="4" w:space="0"/>
                  </w:tcBorders>
                  <w:noWrap w:val="0"/>
                  <w:vAlign w:val="center"/>
                </w:tcPr>
                <w:p w14:paraId="3E4FA5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highlight w:val="none"/>
                    </w:rPr>
                  </w:pPr>
                </w:p>
              </w:tc>
              <w:tc>
                <w:tcPr>
                  <w:tcW w:w="884" w:type="pct"/>
                  <w:vMerge w:val="continue"/>
                  <w:tcBorders>
                    <w:top w:val="single" w:color="auto" w:sz="12" w:space="0"/>
                    <w:left w:val="nil"/>
                    <w:bottom w:val="single" w:color="auto" w:sz="6" w:space="0"/>
                    <w:right w:val="single" w:color="auto" w:sz="4" w:space="0"/>
                  </w:tcBorders>
                  <w:noWrap w:val="0"/>
                  <w:vAlign w:val="center"/>
                </w:tcPr>
                <w:p w14:paraId="732A05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highlight w:val="none"/>
                    </w:rPr>
                  </w:pPr>
                </w:p>
              </w:tc>
              <w:tc>
                <w:tcPr>
                  <w:tcW w:w="950" w:type="pct"/>
                  <w:vMerge w:val="continue"/>
                  <w:tcBorders>
                    <w:top w:val="single" w:color="auto" w:sz="12" w:space="0"/>
                    <w:left w:val="nil"/>
                    <w:bottom w:val="single" w:color="auto" w:sz="6" w:space="0"/>
                    <w:right w:val="single" w:color="auto" w:sz="12" w:space="0"/>
                  </w:tcBorders>
                  <w:noWrap w:val="0"/>
                  <w:vAlign w:val="center"/>
                </w:tcPr>
                <w:p w14:paraId="2E1A46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highlight w:val="none"/>
                    </w:rPr>
                  </w:pPr>
                </w:p>
              </w:tc>
            </w:tr>
            <w:tr w14:paraId="75B555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79" w:type="pct"/>
                  <w:tcBorders>
                    <w:top w:val="single" w:color="auto" w:sz="6" w:space="0"/>
                    <w:left w:val="single" w:color="auto" w:sz="12" w:space="0"/>
                    <w:bottom w:val="single" w:color="auto" w:sz="6" w:space="0"/>
                    <w:right w:val="single" w:color="auto" w:sz="4" w:space="0"/>
                  </w:tcBorders>
                  <w:noWrap w:val="0"/>
                  <w:vAlign w:val="center"/>
                </w:tcPr>
                <w:p w14:paraId="612684C9">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w:t>
                  </w:r>
                </w:p>
              </w:tc>
              <w:tc>
                <w:tcPr>
                  <w:tcW w:w="860" w:type="pct"/>
                  <w:tcBorders>
                    <w:top w:val="single" w:color="auto" w:sz="6" w:space="0"/>
                    <w:left w:val="nil"/>
                    <w:bottom w:val="single" w:color="auto" w:sz="6" w:space="0"/>
                    <w:right w:val="single" w:color="auto" w:sz="4" w:space="0"/>
                  </w:tcBorders>
                  <w:noWrap w:val="0"/>
                  <w:vAlign w:val="center"/>
                </w:tcPr>
                <w:p w14:paraId="34BA7593">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液压挖掘机</w:t>
                  </w:r>
                </w:p>
              </w:tc>
              <w:tc>
                <w:tcPr>
                  <w:tcW w:w="709" w:type="pct"/>
                  <w:tcBorders>
                    <w:top w:val="single" w:color="auto" w:sz="6" w:space="0"/>
                    <w:left w:val="nil"/>
                    <w:bottom w:val="single" w:color="auto" w:sz="6" w:space="0"/>
                    <w:right w:val="single" w:color="auto" w:sz="4" w:space="0"/>
                  </w:tcBorders>
                  <w:noWrap w:val="0"/>
                  <w:vAlign w:val="center"/>
                </w:tcPr>
                <w:p w14:paraId="0EF162D7">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82</w:t>
                  </w:r>
                </w:p>
              </w:tc>
              <w:tc>
                <w:tcPr>
                  <w:tcW w:w="816" w:type="pct"/>
                  <w:tcBorders>
                    <w:top w:val="single" w:color="auto" w:sz="6" w:space="0"/>
                    <w:left w:val="nil"/>
                    <w:bottom w:val="single" w:color="auto" w:sz="6" w:space="0"/>
                    <w:right w:val="single" w:color="auto" w:sz="6" w:space="0"/>
                  </w:tcBorders>
                  <w:noWrap w:val="0"/>
                  <w:vAlign w:val="center"/>
                </w:tcPr>
                <w:p w14:paraId="53687741">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w:t>
                  </w:r>
                </w:p>
              </w:tc>
              <w:tc>
                <w:tcPr>
                  <w:tcW w:w="398" w:type="pct"/>
                  <w:tcBorders>
                    <w:top w:val="single" w:color="auto" w:sz="6" w:space="0"/>
                    <w:left w:val="single" w:color="auto" w:sz="6" w:space="0"/>
                    <w:bottom w:val="single" w:color="auto" w:sz="6" w:space="0"/>
                    <w:right w:val="single" w:color="auto" w:sz="4" w:space="0"/>
                  </w:tcBorders>
                  <w:noWrap w:val="0"/>
                  <w:vAlign w:val="center"/>
                </w:tcPr>
                <w:p w14:paraId="6D08E350">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昼间</w:t>
                  </w:r>
                </w:p>
              </w:tc>
              <w:tc>
                <w:tcPr>
                  <w:tcW w:w="884" w:type="pct"/>
                  <w:vMerge w:val="restart"/>
                  <w:tcBorders>
                    <w:top w:val="single" w:color="auto" w:sz="6" w:space="0"/>
                    <w:left w:val="nil"/>
                    <w:right w:val="single" w:color="auto" w:sz="4" w:space="0"/>
                  </w:tcBorders>
                  <w:noWrap w:val="0"/>
                  <w:vAlign w:val="center"/>
                </w:tcPr>
                <w:p w14:paraId="1D7CA9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选用低噪声设备取最小值</w:t>
                  </w:r>
                </w:p>
              </w:tc>
              <w:tc>
                <w:tcPr>
                  <w:tcW w:w="950" w:type="pct"/>
                  <w:vMerge w:val="restart"/>
                  <w:tcBorders>
                    <w:top w:val="single" w:color="auto" w:sz="6" w:space="0"/>
                    <w:left w:val="nil"/>
                    <w:bottom w:val="single" w:color="auto" w:sz="6" w:space="0"/>
                    <w:right w:val="single" w:color="auto" w:sz="12" w:space="0"/>
                  </w:tcBorders>
                  <w:noWrap w:val="0"/>
                  <w:vAlign w:val="center"/>
                </w:tcPr>
                <w:p w14:paraId="3CB04C6D">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《环境噪声与振动控制工程技术导则》(HJ2034-2013)</w:t>
                  </w:r>
                </w:p>
              </w:tc>
            </w:tr>
            <w:tr w14:paraId="0F7F8D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79" w:type="pct"/>
                  <w:tcBorders>
                    <w:top w:val="single" w:color="auto" w:sz="6" w:space="0"/>
                    <w:left w:val="single" w:color="auto" w:sz="12" w:space="0"/>
                    <w:bottom w:val="single" w:color="auto" w:sz="6" w:space="0"/>
                    <w:right w:val="single" w:color="auto" w:sz="4" w:space="0"/>
                  </w:tcBorders>
                  <w:noWrap w:val="0"/>
                  <w:vAlign w:val="center"/>
                </w:tcPr>
                <w:p w14:paraId="3807751A">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w:t>
                  </w:r>
                </w:p>
              </w:tc>
              <w:tc>
                <w:tcPr>
                  <w:tcW w:w="860" w:type="pct"/>
                  <w:tcBorders>
                    <w:top w:val="single" w:color="auto" w:sz="6" w:space="0"/>
                    <w:left w:val="nil"/>
                    <w:bottom w:val="single" w:color="auto" w:sz="6" w:space="0"/>
                    <w:right w:val="single" w:color="auto" w:sz="4" w:space="0"/>
                  </w:tcBorders>
                  <w:noWrap w:val="0"/>
                  <w:vAlign w:val="center"/>
                </w:tcPr>
                <w:p w14:paraId="56B2F21E">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推土机</w:t>
                  </w:r>
                </w:p>
              </w:tc>
              <w:tc>
                <w:tcPr>
                  <w:tcW w:w="709" w:type="pct"/>
                  <w:tcBorders>
                    <w:top w:val="single" w:color="auto" w:sz="6" w:space="0"/>
                    <w:left w:val="nil"/>
                    <w:bottom w:val="single" w:color="auto" w:sz="6" w:space="0"/>
                    <w:right w:val="single" w:color="auto" w:sz="4" w:space="0"/>
                  </w:tcBorders>
                  <w:noWrap w:val="0"/>
                  <w:vAlign w:val="center"/>
                </w:tcPr>
                <w:p w14:paraId="753B0A41">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83</w:t>
                  </w:r>
                </w:p>
              </w:tc>
              <w:tc>
                <w:tcPr>
                  <w:tcW w:w="816" w:type="pct"/>
                  <w:tcBorders>
                    <w:top w:val="single" w:color="auto" w:sz="6" w:space="0"/>
                    <w:left w:val="nil"/>
                    <w:bottom w:val="single" w:color="auto" w:sz="6" w:space="0"/>
                    <w:right w:val="single" w:color="auto" w:sz="6" w:space="0"/>
                  </w:tcBorders>
                  <w:noWrap w:val="0"/>
                  <w:vAlign w:val="center"/>
                </w:tcPr>
                <w:p w14:paraId="2BA58FBE">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w:t>
                  </w:r>
                </w:p>
              </w:tc>
              <w:tc>
                <w:tcPr>
                  <w:tcW w:w="398" w:type="pct"/>
                  <w:tcBorders>
                    <w:top w:val="single" w:color="auto" w:sz="6" w:space="0"/>
                    <w:left w:val="single" w:color="auto" w:sz="6" w:space="0"/>
                    <w:bottom w:val="single" w:color="auto" w:sz="6" w:space="0"/>
                    <w:right w:val="single" w:color="auto" w:sz="4" w:space="0"/>
                  </w:tcBorders>
                  <w:noWrap w:val="0"/>
                  <w:vAlign w:val="center"/>
                </w:tcPr>
                <w:p w14:paraId="100DE9FF">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昼间</w:t>
                  </w:r>
                </w:p>
              </w:tc>
              <w:tc>
                <w:tcPr>
                  <w:tcW w:w="884" w:type="pct"/>
                  <w:vMerge w:val="continue"/>
                  <w:tcBorders>
                    <w:left w:val="nil"/>
                    <w:right w:val="single" w:color="auto" w:sz="4" w:space="0"/>
                  </w:tcBorders>
                  <w:noWrap w:val="0"/>
                  <w:vAlign w:val="center"/>
                </w:tcPr>
                <w:p w14:paraId="01878F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color w:val="auto"/>
                      <w:kern w:val="2"/>
                      <w:sz w:val="21"/>
                      <w:szCs w:val="21"/>
                      <w:highlight w:val="none"/>
                    </w:rPr>
                  </w:pPr>
                </w:p>
              </w:tc>
              <w:tc>
                <w:tcPr>
                  <w:tcW w:w="950" w:type="pct"/>
                  <w:vMerge w:val="continue"/>
                  <w:tcBorders>
                    <w:top w:val="single" w:color="auto" w:sz="6" w:space="0"/>
                    <w:left w:val="nil"/>
                    <w:bottom w:val="single" w:color="auto" w:sz="6" w:space="0"/>
                    <w:right w:val="single" w:color="auto" w:sz="12" w:space="0"/>
                  </w:tcBorders>
                  <w:noWrap w:val="0"/>
                  <w:vAlign w:val="center"/>
                </w:tcPr>
                <w:p w14:paraId="5E9736A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highlight w:val="none"/>
                    </w:rPr>
                  </w:pPr>
                </w:p>
              </w:tc>
            </w:tr>
            <w:tr w14:paraId="68AE8D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79" w:type="pct"/>
                  <w:tcBorders>
                    <w:top w:val="single" w:color="auto" w:sz="6" w:space="0"/>
                    <w:left w:val="single" w:color="auto" w:sz="12" w:space="0"/>
                    <w:bottom w:val="single" w:color="auto" w:sz="6" w:space="0"/>
                    <w:right w:val="single" w:color="auto" w:sz="4" w:space="0"/>
                  </w:tcBorders>
                  <w:noWrap w:val="0"/>
                  <w:vAlign w:val="center"/>
                </w:tcPr>
                <w:p w14:paraId="06C15849">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w:t>
                  </w:r>
                </w:p>
              </w:tc>
              <w:tc>
                <w:tcPr>
                  <w:tcW w:w="860" w:type="pct"/>
                  <w:tcBorders>
                    <w:top w:val="single" w:color="auto" w:sz="6" w:space="0"/>
                    <w:left w:val="nil"/>
                    <w:bottom w:val="single" w:color="auto" w:sz="6" w:space="0"/>
                    <w:right w:val="single" w:color="auto" w:sz="4" w:space="0"/>
                  </w:tcBorders>
                  <w:noWrap w:val="0"/>
                  <w:vAlign w:val="center"/>
                </w:tcPr>
                <w:p w14:paraId="38E8D855">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重型运输车</w:t>
                  </w:r>
                </w:p>
              </w:tc>
              <w:tc>
                <w:tcPr>
                  <w:tcW w:w="709" w:type="pct"/>
                  <w:tcBorders>
                    <w:top w:val="single" w:color="auto" w:sz="6" w:space="0"/>
                    <w:left w:val="nil"/>
                    <w:bottom w:val="single" w:color="auto" w:sz="6" w:space="0"/>
                    <w:right w:val="single" w:color="auto" w:sz="4" w:space="0"/>
                  </w:tcBorders>
                  <w:noWrap w:val="0"/>
                  <w:vAlign w:val="center"/>
                </w:tcPr>
                <w:p w14:paraId="7AFF0637">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82</w:t>
                  </w:r>
                </w:p>
              </w:tc>
              <w:tc>
                <w:tcPr>
                  <w:tcW w:w="816" w:type="pct"/>
                  <w:tcBorders>
                    <w:top w:val="single" w:color="auto" w:sz="6" w:space="0"/>
                    <w:left w:val="nil"/>
                    <w:bottom w:val="single" w:color="auto" w:sz="6" w:space="0"/>
                    <w:right w:val="single" w:color="auto" w:sz="6" w:space="0"/>
                  </w:tcBorders>
                  <w:noWrap w:val="0"/>
                  <w:vAlign w:val="center"/>
                </w:tcPr>
                <w:p w14:paraId="28B77307">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w:t>
                  </w:r>
                </w:p>
              </w:tc>
              <w:tc>
                <w:tcPr>
                  <w:tcW w:w="398" w:type="pct"/>
                  <w:tcBorders>
                    <w:top w:val="single" w:color="auto" w:sz="6" w:space="0"/>
                    <w:left w:val="single" w:color="auto" w:sz="6" w:space="0"/>
                    <w:bottom w:val="single" w:color="auto" w:sz="6" w:space="0"/>
                    <w:right w:val="single" w:color="auto" w:sz="4" w:space="0"/>
                  </w:tcBorders>
                  <w:noWrap w:val="0"/>
                  <w:vAlign w:val="center"/>
                </w:tcPr>
                <w:p w14:paraId="68773BE0">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昼间</w:t>
                  </w:r>
                </w:p>
              </w:tc>
              <w:tc>
                <w:tcPr>
                  <w:tcW w:w="884" w:type="pct"/>
                  <w:vMerge w:val="continue"/>
                  <w:tcBorders>
                    <w:left w:val="nil"/>
                    <w:right w:val="single" w:color="auto" w:sz="4" w:space="0"/>
                  </w:tcBorders>
                  <w:noWrap w:val="0"/>
                  <w:vAlign w:val="center"/>
                </w:tcPr>
                <w:p w14:paraId="49DDF2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color w:val="auto"/>
                      <w:kern w:val="2"/>
                      <w:sz w:val="21"/>
                      <w:szCs w:val="21"/>
                      <w:highlight w:val="none"/>
                    </w:rPr>
                  </w:pPr>
                </w:p>
              </w:tc>
              <w:tc>
                <w:tcPr>
                  <w:tcW w:w="950" w:type="pct"/>
                  <w:vMerge w:val="continue"/>
                  <w:tcBorders>
                    <w:top w:val="single" w:color="auto" w:sz="6" w:space="0"/>
                    <w:left w:val="nil"/>
                    <w:bottom w:val="single" w:color="auto" w:sz="6" w:space="0"/>
                    <w:right w:val="single" w:color="auto" w:sz="12" w:space="0"/>
                  </w:tcBorders>
                  <w:noWrap w:val="0"/>
                  <w:vAlign w:val="center"/>
                </w:tcPr>
                <w:p w14:paraId="01B4CFD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highlight w:val="none"/>
                    </w:rPr>
                  </w:pPr>
                </w:p>
              </w:tc>
            </w:tr>
            <w:tr w14:paraId="6345CA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79" w:type="pct"/>
                  <w:tcBorders>
                    <w:top w:val="single" w:color="auto" w:sz="6" w:space="0"/>
                    <w:left w:val="single" w:color="auto" w:sz="12" w:space="0"/>
                    <w:bottom w:val="single" w:color="auto" w:sz="6" w:space="0"/>
                    <w:right w:val="single" w:color="auto" w:sz="4" w:space="0"/>
                  </w:tcBorders>
                  <w:noWrap w:val="0"/>
                  <w:vAlign w:val="center"/>
                </w:tcPr>
                <w:p w14:paraId="5247A91E">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w:t>
                  </w:r>
                </w:p>
              </w:tc>
              <w:tc>
                <w:tcPr>
                  <w:tcW w:w="860" w:type="pct"/>
                  <w:tcBorders>
                    <w:top w:val="single" w:color="auto" w:sz="6" w:space="0"/>
                    <w:left w:val="nil"/>
                    <w:bottom w:val="single" w:color="auto" w:sz="6" w:space="0"/>
                    <w:right w:val="single" w:color="auto" w:sz="4" w:space="0"/>
                  </w:tcBorders>
                  <w:noWrap w:val="0"/>
                  <w:vAlign w:val="center"/>
                </w:tcPr>
                <w:p w14:paraId="3DFFD9FF">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电锯</w:t>
                  </w:r>
                </w:p>
              </w:tc>
              <w:tc>
                <w:tcPr>
                  <w:tcW w:w="709" w:type="pct"/>
                  <w:tcBorders>
                    <w:top w:val="single" w:color="auto" w:sz="6" w:space="0"/>
                    <w:left w:val="nil"/>
                    <w:bottom w:val="single" w:color="auto" w:sz="6" w:space="0"/>
                    <w:right w:val="single" w:color="auto" w:sz="4" w:space="0"/>
                  </w:tcBorders>
                  <w:noWrap w:val="0"/>
                  <w:vAlign w:val="center"/>
                </w:tcPr>
                <w:p w14:paraId="245ADE5C">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93</w:t>
                  </w:r>
                </w:p>
              </w:tc>
              <w:tc>
                <w:tcPr>
                  <w:tcW w:w="816" w:type="pct"/>
                  <w:tcBorders>
                    <w:top w:val="single" w:color="auto" w:sz="6" w:space="0"/>
                    <w:left w:val="nil"/>
                    <w:bottom w:val="single" w:color="auto" w:sz="6" w:space="0"/>
                    <w:right w:val="single" w:color="auto" w:sz="6" w:space="0"/>
                  </w:tcBorders>
                  <w:noWrap w:val="0"/>
                  <w:vAlign w:val="center"/>
                </w:tcPr>
                <w:p w14:paraId="35200311">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w:t>
                  </w:r>
                </w:p>
              </w:tc>
              <w:tc>
                <w:tcPr>
                  <w:tcW w:w="398" w:type="pct"/>
                  <w:tcBorders>
                    <w:top w:val="single" w:color="auto" w:sz="6" w:space="0"/>
                    <w:left w:val="single" w:color="auto" w:sz="6" w:space="0"/>
                    <w:bottom w:val="single" w:color="auto" w:sz="6" w:space="0"/>
                    <w:right w:val="single" w:color="auto" w:sz="4" w:space="0"/>
                  </w:tcBorders>
                  <w:noWrap w:val="0"/>
                  <w:vAlign w:val="center"/>
                </w:tcPr>
                <w:p w14:paraId="09564578">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昼间</w:t>
                  </w:r>
                </w:p>
              </w:tc>
              <w:tc>
                <w:tcPr>
                  <w:tcW w:w="884" w:type="pct"/>
                  <w:vMerge w:val="continue"/>
                  <w:tcBorders>
                    <w:left w:val="nil"/>
                    <w:right w:val="single" w:color="auto" w:sz="4" w:space="0"/>
                  </w:tcBorders>
                  <w:noWrap w:val="0"/>
                  <w:vAlign w:val="center"/>
                </w:tcPr>
                <w:p w14:paraId="426E14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color w:val="auto"/>
                      <w:kern w:val="2"/>
                      <w:sz w:val="21"/>
                      <w:szCs w:val="21"/>
                      <w:highlight w:val="none"/>
                    </w:rPr>
                  </w:pPr>
                </w:p>
              </w:tc>
              <w:tc>
                <w:tcPr>
                  <w:tcW w:w="950" w:type="pct"/>
                  <w:vMerge w:val="continue"/>
                  <w:tcBorders>
                    <w:top w:val="single" w:color="auto" w:sz="6" w:space="0"/>
                    <w:left w:val="nil"/>
                    <w:bottom w:val="single" w:color="auto" w:sz="6" w:space="0"/>
                    <w:right w:val="single" w:color="auto" w:sz="12" w:space="0"/>
                  </w:tcBorders>
                  <w:noWrap w:val="0"/>
                  <w:vAlign w:val="center"/>
                </w:tcPr>
                <w:p w14:paraId="204142F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highlight w:val="none"/>
                    </w:rPr>
                  </w:pPr>
                </w:p>
              </w:tc>
            </w:tr>
            <w:tr w14:paraId="430012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79" w:type="pct"/>
                  <w:tcBorders>
                    <w:top w:val="single" w:color="auto" w:sz="6" w:space="0"/>
                    <w:left w:val="single" w:color="auto" w:sz="12" w:space="0"/>
                    <w:bottom w:val="single" w:color="auto" w:sz="6" w:space="0"/>
                    <w:right w:val="single" w:color="auto" w:sz="4" w:space="0"/>
                  </w:tcBorders>
                  <w:noWrap w:val="0"/>
                  <w:vAlign w:val="center"/>
                </w:tcPr>
                <w:p w14:paraId="3DD3F10B">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w:t>
                  </w:r>
                </w:p>
              </w:tc>
              <w:tc>
                <w:tcPr>
                  <w:tcW w:w="860" w:type="pct"/>
                  <w:tcBorders>
                    <w:top w:val="single" w:color="auto" w:sz="6" w:space="0"/>
                    <w:left w:val="nil"/>
                    <w:bottom w:val="single" w:color="auto" w:sz="6" w:space="0"/>
                    <w:right w:val="single" w:color="auto" w:sz="4" w:space="0"/>
                  </w:tcBorders>
                  <w:noWrap w:val="0"/>
                  <w:vAlign w:val="center"/>
                </w:tcPr>
                <w:p w14:paraId="6DD25977">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混凝土输送泵</w:t>
                  </w:r>
                </w:p>
              </w:tc>
              <w:tc>
                <w:tcPr>
                  <w:tcW w:w="709" w:type="pct"/>
                  <w:tcBorders>
                    <w:top w:val="single" w:color="auto" w:sz="6" w:space="0"/>
                    <w:left w:val="nil"/>
                    <w:bottom w:val="single" w:color="auto" w:sz="6" w:space="0"/>
                    <w:right w:val="single" w:color="auto" w:sz="4" w:space="0"/>
                  </w:tcBorders>
                  <w:noWrap w:val="0"/>
                  <w:vAlign w:val="center"/>
                </w:tcPr>
                <w:p w14:paraId="6802E302">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88</w:t>
                  </w:r>
                </w:p>
              </w:tc>
              <w:tc>
                <w:tcPr>
                  <w:tcW w:w="816" w:type="pct"/>
                  <w:tcBorders>
                    <w:top w:val="single" w:color="auto" w:sz="6" w:space="0"/>
                    <w:left w:val="nil"/>
                    <w:bottom w:val="single" w:color="auto" w:sz="6" w:space="0"/>
                    <w:right w:val="single" w:color="auto" w:sz="6" w:space="0"/>
                  </w:tcBorders>
                  <w:noWrap w:val="0"/>
                  <w:vAlign w:val="center"/>
                </w:tcPr>
                <w:p w14:paraId="532DDD8F">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w:t>
                  </w:r>
                </w:p>
              </w:tc>
              <w:tc>
                <w:tcPr>
                  <w:tcW w:w="398" w:type="pct"/>
                  <w:tcBorders>
                    <w:top w:val="single" w:color="auto" w:sz="6" w:space="0"/>
                    <w:left w:val="single" w:color="auto" w:sz="6" w:space="0"/>
                    <w:bottom w:val="single" w:color="auto" w:sz="6" w:space="0"/>
                    <w:right w:val="single" w:color="auto" w:sz="4" w:space="0"/>
                  </w:tcBorders>
                  <w:noWrap w:val="0"/>
                  <w:vAlign w:val="center"/>
                </w:tcPr>
                <w:p w14:paraId="69D748A5">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昼间</w:t>
                  </w:r>
                </w:p>
              </w:tc>
              <w:tc>
                <w:tcPr>
                  <w:tcW w:w="884" w:type="pct"/>
                  <w:vMerge w:val="continue"/>
                  <w:tcBorders>
                    <w:left w:val="nil"/>
                    <w:right w:val="single" w:color="auto" w:sz="4" w:space="0"/>
                  </w:tcBorders>
                  <w:noWrap w:val="0"/>
                  <w:vAlign w:val="center"/>
                </w:tcPr>
                <w:p w14:paraId="449F6E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color w:val="auto"/>
                      <w:kern w:val="2"/>
                      <w:sz w:val="21"/>
                      <w:szCs w:val="21"/>
                      <w:highlight w:val="none"/>
                    </w:rPr>
                  </w:pPr>
                </w:p>
              </w:tc>
              <w:tc>
                <w:tcPr>
                  <w:tcW w:w="950" w:type="pct"/>
                  <w:vMerge w:val="continue"/>
                  <w:tcBorders>
                    <w:top w:val="single" w:color="auto" w:sz="6" w:space="0"/>
                    <w:left w:val="nil"/>
                    <w:bottom w:val="single" w:color="auto" w:sz="6" w:space="0"/>
                    <w:right w:val="single" w:color="auto" w:sz="12" w:space="0"/>
                  </w:tcBorders>
                  <w:noWrap w:val="0"/>
                  <w:vAlign w:val="center"/>
                </w:tcPr>
                <w:p w14:paraId="72E1E20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highlight w:val="none"/>
                    </w:rPr>
                  </w:pPr>
                </w:p>
              </w:tc>
            </w:tr>
            <w:tr w14:paraId="0053C3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79" w:type="pct"/>
                  <w:tcBorders>
                    <w:top w:val="single" w:color="auto" w:sz="6" w:space="0"/>
                    <w:left w:val="single" w:color="auto" w:sz="12" w:space="0"/>
                    <w:bottom w:val="single" w:color="auto" w:sz="12" w:space="0"/>
                    <w:right w:val="single" w:color="auto" w:sz="4" w:space="0"/>
                  </w:tcBorders>
                  <w:noWrap w:val="0"/>
                  <w:vAlign w:val="center"/>
                </w:tcPr>
                <w:p w14:paraId="71D1FE9F">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6</w:t>
                  </w:r>
                </w:p>
              </w:tc>
              <w:tc>
                <w:tcPr>
                  <w:tcW w:w="860" w:type="pct"/>
                  <w:tcBorders>
                    <w:top w:val="single" w:color="auto" w:sz="6" w:space="0"/>
                    <w:left w:val="nil"/>
                    <w:bottom w:val="single" w:color="auto" w:sz="12" w:space="0"/>
                    <w:right w:val="single" w:color="auto" w:sz="4" w:space="0"/>
                  </w:tcBorders>
                  <w:noWrap w:val="0"/>
                  <w:vAlign w:val="center"/>
                </w:tcPr>
                <w:p w14:paraId="72E91000">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空压机</w:t>
                  </w:r>
                </w:p>
              </w:tc>
              <w:tc>
                <w:tcPr>
                  <w:tcW w:w="709" w:type="pct"/>
                  <w:tcBorders>
                    <w:top w:val="single" w:color="auto" w:sz="6" w:space="0"/>
                    <w:left w:val="nil"/>
                    <w:bottom w:val="single" w:color="auto" w:sz="12" w:space="0"/>
                    <w:right w:val="single" w:color="auto" w:sz="4" w:space="0"/>
                  </w:tcBorders>
                  <w:noWrap w:val="0"/>
                  <w:vAlign w:val="center"/>
                </w:tcPr>
                <w:p w14:paraId="6B95C64D">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88</w:t>
                  </w:r>
                </w:p>
              </w:tc>
              <w:tc>
                <w:tcPr>
                  <w:tcW w:w="816" w:type="pct"/>
                  <w:tcBorders>
                    <w:top w:val="single" w:color="auto" w:sz="6" w:space="0"/>
                    <w:left w:val="nil"/>
                    <w:bottom w:val="single" w:color="auto" w:sz="12" w:space="0"/>
                    <w:right w:val="single" w:color="auto" w:sz="6" w:space="0"/>
                  </w:tcBorders>
                  <w:noWrap w:val="0"/>
                  <w:vAlign w:val="center"/>
                </w:tcPr>
                <w:p w14:paraId="67DE13B8">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w:t>
                  </w:r>
                </w:p>
              </w:tc>
              <w:tc>
                <w:tcPr>
                  <w:tcW w:w="398" w:type="pct"/>
                  <w:tcBorders>
                    <w:top w:val="single" w:color="auto" w:sz="6" w:space="0"/>
                    <w:left w:val="single" w:color="auto" w:sz="6" w:space="0"/>
                    <w:bottom w:val="single" w:color="auto" w:sz="12" w:space="0"/>
                    <w:right w:val="single" w:color="auto" w:sz="4" w:space="0"/>
                  </w:tcBorders>
                  <w:noWrap w:val="0"/>
                  <w:vAlign w:val="center"/>
                </w:tcPr>
                <w:p w14:paraId="2BD302BE">
                  <w:pPr>
                    <w:pStyle w:val="10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昼间</w:t>
                  </w:r>
                </w:p>
              </w:tc>
              <w:tc>
                <w:tcPr>
                  <w:tcW w:w="884" w:type="pct"/>
                  <w:vMerge w:val="continue"/>
                  <w:tcBorders>
                    <w:left w:val="nil"/>
                    <w:bottom w:val="single" w:color="auto" w:sz="12" w:space="0"/>
                    <w:right w:val="single" w:color="auto" w:sz="4" w:space="0"/>
                  </w:tcBorders>
                  <w:noWrap w:val="0"/>
                  <w:vAlign w:val="center"/>
                </w:tcPr>
                <w:p w14:paraId="03FF6F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color w:val="auto"/>
                      <w:kern w:val="2"/>
                      <w:sz w:val="21"/>
                      <w:szCs w:val="21"/>
                      <w:highlight w:val="none"/>
                    </w:rPr>
                  </w:pPr>
                </w:p>
              </w:tc>
              <w:tc>
                <w:tcPr>
                  <w:tcW w:w="950" w:type="pct"/>
                  <w:vMerge w:val="continue"/>
                  <w:tcBorders>
                    <w:top w:val="single" w:color="auto" w:sz="6" w:space="0"/>
                    <w:left w:val="nil"/>
                    <w:bottom w:val="single" w:color="000000" w:sz="12" w:space="0"/>
                    <w:right w:val="single" w:color="auto" w:sz="12" w:space="0"/>
                  </w:tcBorders>
                  <w:noWrap w:val="0"/>
                  <w:vAlign w:val="center"/>
                </w:tcPr>
                <w:p w14:paraId="5C06D38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highlight w:val="none"/>
                    </w:rPr>
                  </w:pPr>
                </w:p>
              </w:tc>
            </w:tr>
          </w:tbl>
          <w:p w14:paraId="5638CC3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施工期噪声评价标准采用《建筑施工场界环境噪声排放标准》(GB12523-2011)，具体标准限值，见下表。</w:t>
            </w:r>
          </w:p>
          <w:p w14:paraId="5F87E1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lang w:val="en-US" w:eastAsia="zh-CN" w:bidi="ar"/>
              </w:rPr>
              <w:t>表4-2</w:t>
            </w:r>
            <w:r>
              <w:rPr>
                <w:rFonts w:hint="eastAsia" w:ascii="宋体" w:hAnsi="宋体" w:cs="宋体"/>
                <w:b/>
                <w:color w:val="auto"/>
                <w:kern w:val="2"/>
                <w:sz w:val="24"/>
                <w:szCs w:val="24"/>
                <w:highlight w:val="none"/>
                <w:lang w:val="en-US" w:eastAsia="zh-CN" w:bidi="ar"/>
              </w:rPr>
              <w:t xml:space="preserve">    </w:t>
            </w:r>
            <w:r>
              <w:rPr>
                <w:rFonts w:hint="eastAsia" w:ascii="宋体" w:hAnsi="宋体" w:eastAsia="宋体" w:cs="宋体"/>
                <w:b/>
                <w:color w:val="auto"/>
                <w:kern w:val="2"/>
                <w:sz w:val="24"/>
                <w:szCs w:val="24"/>
                <w:highlight w:val="none"/>
                <w:lang w:val="en-US" w:eastAsia="zh-CN" w:bidi="ar"/>
              </w:rPr>
              <w:t>建筑施工场界环境噪声排放标准</w:t>
            </w:r>
            <w:r>
              <w:rPr>
                <w:rFonts w:hint="eastAsia" w:ascii="宋体" w:hAnsi="宋体" w:cs="宋体"/>
                <w:b/>
                <w:color w:val="auto"/>
                <w:kern w:val="2"/>
                <w:sz w:val="24"/>
                <w:szCs w:val="24"/>
                <w:highlight w:val="none"/>
                <w:lang w:val="en-US" w:eastAsia="zh-CN" w:bidi="ar"/>
              </w:rPr>
              <w:t>（</w:t>
            </w:r>
            <w:r>
              <w:rPr>
                <w:rFonts w:hint="eastAsia" w:ascii="宋体" w:hAnsi="宋体" w:eastAsia="宋体" w:cs="宋体"/>
                <w:b/>
                <w:color w:val="auto"/>
                <w:kern w:val="2"/>
                <w:sz w:val="24"/>
                <w:szCs w:val="24"/>
                <w:highlight w:val="none"/>
                <w:lang w:val="en-US" w:eastAsia="zh-CN" w:bidi="ar"/>
              </w:rPr>
              <w:t>GB12523-2011</w:t>
            </w:r>
            <w:r>
              <w:rPr>
                <w:rFonts w:hint="eastAsia" w:ascii="宋体" w:hAnsi="宋体" w:cs="宋体"/>
                <w:b/>
                <w:color w:val="auto"/>
                <w:kern w:val="2"/>
                <w:sz w:val="24"/>
                <w:szCs w:val="24"/>
                <w:highlight w:val="none"/>
                <w:lang w:val="en-US" w:eastAsia="zh-CN" w:bidi="ar"/>
              </w:rPr>
              <w:t>）</w:t>
            </w:r>
            <w:r>
              <w:rPr>
                <w:rFonts w:hint="eastAsia" w:ascii="宋体" w:hAnsi="宋体" w:eastAsia="宋体" w:cs="宋体"/>
                <w:b/>
                <w:color w:val="auto"/>
                <w:kern w:val="2"/>
                <w:sz w:val="24"/>
                <w:szCs w:val="24"/>
                <w:highlight w:val="none"/>
                <w:lang w:val="en-US" w:eastAsia="zh-CN" w:bidi="ar"/>
              </w:rPr>
              <w:t>单位：dB(A)</w:t>
            </w:r>
          </w:p>
          <w:tbl>
            <w:tblPr>
              <w:tblStyle w:val="32"/>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56"/>
              <w:gridCol w:w="3858"/>
            </w:tblGrid>
            <w:tr w14:paraId="04091D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9" w:type="pct"/>
                  <w:tcBorders>
                    <w:top w:val="single" w:color="auto" w:sz="12" w:space="0"/>
                    <w:left w:val="single" w:color="auto" w:sz="12" w:space="0"/>
                    <w:bottom w:val="single" w:color="auto" w:sz="4" w:space="0"/>
                    <w:right w:val="single" w:color="auto" w:sz="4" w:space="0"/>
                  </w:tcBorders>
                  <w:noWrap w:val="0"/>
                  <w:vAlign w:val="center"/>
                </w:tcPr>
                <w:p w14:paraId="580C59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lang w:val="en-US" w:eastAsia="zh-CN" w:bidi="ar"/>
                    </w:rPr>
                    <w:t>昼间</w:t>
                  </w:r>
                </w:p>
              </w:tc>
              <w:tc>
                <w:tcPr>
                  <w:tcW w:w="2500" w:type="pct"/>
                  <w:tcBorders>
                    <w:top w:val="single" w:color="auto" w:sz="12" w:space="0"/>
                    <w:left w:val="single" w:color="auto" w:sz="4" w:space="0"/>
                    <w:bottom w:val="single" w:color="auto" w:sz="4" w:space="0"/>
                    <w:right w:val="single" w:color="auto" w:sz="12" w:space="0"/>
                  </w:tcBorders>
                  <w:noWrap w:val="0"/>
                  <w:vAlign w:val="center"/>
                </w:tcPr>
                <w:p w14:paraId="3E6255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lang w:val="en-US" w:eastAsia="zh-CN" w:bidi="ar"/>
                    </w:rPr>
                    <w:t>夜间</w:t>
                  </w:r>
                </w:p>
              </w:tc>
            </w:tr>
            <w:tr w14:paraId="0945FB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9" w:type="pct"/>
                  <w:tcBorders>
                    <w:top w:val="single" w:color="auto" w:sz="4" w:space="0"/>
                    <w:left w:val="single" w:color="auto" w:sz="12" w:space="0"/>
                    <w:bottom w:val="single" w:color="auto" w:sz="12" w:space="0"/>
                    <w:right w:val="single" w:color="auto" w:sz="4" w:space="0"/>
                  </w:tcBorders>
                  <w:noWrap w:val="0"/>
                  <w:vAlign w:val="center"/>
                </w:tcPr>
                <w:p w14:paraId="39EC55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70</w:t>
                  </w:r>
                </w:p>
              </w:tc>
              <w:tc>
                <w:tcPr>
                  <w:tcW w:w="2500" w:type="pct"/>
                  <w:tcBorders>
                    <w:top w:val="single" w:color="auto" w:sz="4" w:space="0"/>
                    <w:left w:val="single" w:color="auto" w:sz="4" w:space="0"/>
                    <w:bottom w:val="single" w:color="auto" w:sz="12" w:space="0"/>
                    <w:right w:val="single" w:color="auto" w:sz="12" w:space="0"/>
                  </w:tcBorders>
                  <w:noWrap w:val="0"/>
                  <w:vAlign w:val="center"/>
                </w:tcPr>
                <w:p w14:paraId="263DEA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55</w:t>
                  </w:r>
                </w:p>
              </w:tc>
            </w:tr>
          </w:tbl>
          <w:p w14:paraId="68640F6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p>
          <w:p w14:paraId="38EFFB29">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各类建筑施工机械在不同距离处的噪声预测施工噪声在厂界外随距离衰减的情况，见表4-3。</w:t>
            </w:r>
          </w:p>
          <w:p w14:paraId="6F1F1814">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施工对环境噪声的影响随着工程进度</w:t>
            </w:r>
            <w:r>
              <w:rPr>
                <w:rFonts w:hint="eastAsia" w:ascii="宋体" w:hAnsi="宋体" w:cs="宋体"/>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即不同的施工设备投入</w:t>
            </w:r>
            <w:r>
              <w:rPr>
                <w:rFonts w:hint="eastAsia" w:ascii="宋体" w:hAnsi="宋体" w:cs="宋体"/>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有所不同。在施工初期，运输车辆的行驶、施工设备的运转都是分散的，噪声影响具有流动性和不稳定性；随后搅拌机等固定声源增多，功率大，运行时间长，对周围环境将有明显影响，其影响程度主要取决于施工机械与敏感点的距离，以及施工机械与敏感点间的屏障物等因素。</w:t>
            </w:r>
          </w:p>
          <w:p w14:paraId="6EE159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lang w:val="en-US" w:eastAsia="zh-CN" w:bidi="ar"/>
              </w:rPr>
              <w:t>表4-3</w:t>
            </w:r>
            <w:r>
              <w:rPr>
                <w:rFonts w:hint="eastAsia" w:ascii="宋体" w:hAnsi="宋体" w:cs="宋体"/>
                <w:b/>
                <w:color w:val="auto"/>
                <w:kern w:val="2"/>
                <w:sz w:val="24"/>
                <w:szCs w:val="24"/>
                <w:highlight w:val="none"/>
                <w:lang w:val="en-US" w:eastAsia="zh-CN" w:bidi="ar"/>
              </w:rPr>
              <w:t xml:space="preserve">    </w:t>
            </w:r>
            <w:r>
              <w:rPr>
                <w:rFonts w:hint="eastAsia" w:ascii="宋体" w:hAnsi="宋体" w:eastAsia="宋体" w:cs="宋体"/>
                <w:b/>
                <w:color w:val="auto"/>
                <w:kern w:val="2"/>
                <w:sz w:val="24"/>
                <w:szCs w:val="24"/>
                <w:highlight w:val="none"/>
                <w:lang w:val="en-US" w:eastAsia="zh-CN" w:bidi="ar"/>
              </w:rPr>
              <w:t>各类建筑施工机械在不同距离处的噪声预测值表</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91"/>
              <w:gridCol w:w="881"/>
              <w:gridCol w:w="1117"/>
              <w:gridCol w:w="759"/>
              <w:gridCol w:w="508"/>
              <w:gridCol w:w="551"/>
              <w:gridCol w:w="551"/>
              <w:gridCol w:w="551"/>
              <w:gridCol w:w="551"/>
              <w:gridCol w:w="551"/>
              <w:gridCol w:w="589"/>
              <w:gridCol w:w="613"/>
            </w:tblGrid>
            <w:tr w14:paraId="6D8140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9" w:type="pct"/>
                  <w:vMerge w:val="restart"/>
                  <w:tcBorders>
                    <w:top w:val="single" w:color="auto" w:sz="12" w:space="0"/>
                    <w:left w:val="single" w:color="auto" w:sz="12" w:space="0"/>
                    <w:bottom w:val="single" w:color="auto" w:sz="6" w:space="0"/>
                    <w:right w:val="single" w:color="auto" w:sz="4" w:space="0"/>
                  </w:tcBorders>
                  <w:noWrap w:val="0"/>
                  <w:tcMar>
                    <w:left w:w="28" w:type="dxa"/>
                    <w:right w:w="28" w:type="dxa"/>
                  </w:tcMar>
                  <w:vAlign w:val="center"/>
                </w:tcPr>
                <w:p w14:paraId="2715B2F6">
                  <w:pPr>
                    <w:pStyle w:val="103"/>
                    <w:widowControl/>
                    <w:rPr>
                      <w:rFonts w:hint="eastAsia" w:ascii="宋体" w:hAnsi="宋体" w:eastAsia="宋体" w:cs="宋体"/>
                      <w:color w:val="auto"/>
                      <w:kern w:val="2"/>
                      <w:sz w:val="21"/>
                      <w:szCs w:val="21"/>
                      <w:highlight w:val="none"/>
                    </w:rPr>
                  </w:pPr>
                  <w:bookmarkStart w:id="48" w:name="_Ref81211397"/>
                  <w:r>
                    <w:rPr>
                      <w:rFonts w:hint="eastAsia" w:ascii="宋体" w:hAnsi="宋体" w:eastAsia="宋体" w:cs="宋体"/>
                      <w:color w:val="auto"/>
                      <w:kern w:val="2"/>
                      <w:sz w:val="21"/>
                      <w:szCs w:val="21"/>
                      <w:highlight w:val="none"/>
                    </w:rPr>
                    <w:t>序号</w:t>
                  </w:r>
                  <w:bookmarkEnd w:id="48"/>
                </w:p>
              </w:tc>
              <w:tc>
                <w:tcPr>
                  <w:tcW w:w="571" w:type="pct"/>
                  <w:vMerge w:val="restart"/>
                  <w:tcBorders>
                    <w:top w:val="single" w:color="auto" w:sz="12" w:space="0"/>
                    <w:left w:val="nil"/>
                    <w:bottom w:val="single" w:color="auto" w:sz="6" w:space="0"/>
                    <w:right w:val="single" w:color="auto" w:sz="4" w:space="0"/>
                  </w:tcBorders>
                  <w:noWrap w:val="0"/>
                  <w:tcMar>
                    <w:left w:w="28" w:type="dxa"/>
                    <w:right w:w="28" w:type="dxa"/>
                  </w:tcMar>
                  <w:vAlign w:val="center"/>
                </w:tcPr>
                <w:p w14:paraId="11694708">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声源名称</w:t>
                  </w:r>
                </w:p>
              </w:tc>
              <w:tc>
                <w:tcPr>
                  <w:tcW w:w="1216" w:type="pct"/>
                  <w:gridSpan w:val="2"/>
                  <w:tcBorders>
                    <w:top w:val="single" w:color="auto" w:sz="12" w:space="0"/>
                    <w:left w:val="nil"/>
                    <w:bottom w:val="single" w:color="auto" w:sz="6" w:space="0"/>
                    <w:right w:val="single" w:color="auto" w:sz="6" w:space="0"/>
                  </w:tcBorders>
                  <w:noWrap w:val="0"/>
                  <w:tcMar>
                    <w:left w:w="28" w:type="dxa"/>
                    <w:right w:w="28" w:type="dxa"/>
                  </w:tcMar>
                  <w:vAlign w:val="center"/>
                </w:tcPr>
                <w:p w14:paraId="76773E14">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声</w:t>
                  </w:r>
                  <w:r>
                    <w:rPr>
                      <w:rFonts w:hint="eastAsia" w:cs="宋体"/>
                      <w:color w:val="auto"/>
                      <w:kern w:val="2"/>
                      <w:sz w:val="21"/>
                      <w:szCs w:val="21"/>
                      <w:highlight w:val="none"/>
                      <w:lang w:eastAsia="zh-CN"/>
                    </w:rPr>
                    <w:t>源</w:t>
                  </w:r>
                  <w:r>
                    <w:rPr>
                      <w:rFonts w:hint="eastAsia" w:ascii="宋体" w:hAnsi="宋体" w:eastAsia="宋体" w:cs="宋体"/>
                      <w:color w:val="auto"/>
                      <w:kern w:val="2"/>
                      <w:sz w:val="21"/>
                      <w:szCs w:val="21"/>
                      <w:highlight w:val="none"/>
                    </w:rPr>
                    <w:t>强</w:t>
                  </w:r>
                </w:p>
              </w:tc>
              <w:tc>
                <w:tcPr>
                  <w:tcW w:w="2893" w:type="pct"/>
                  <w:gridSpan w:val="8"/>
                  <w:tcBorders>
                    <w:top w:val="single" w:color="auto" w:sz="12" w:space="0"/>
                    <w:left w:val="single" w:color="auto" w:sz="6" w:space="0"/>
                    <w:bottom w:val="single" w:color="auto" w:sz="6" w:space="0"/>
                    <w:right w:val="single" w:color="auto" w:sz="12" w:space="0"/>
                  </w:tcBorders>
                  <w:noWrap w:val="0"/>
                  <w:tcMar>
                    <w:left w:w="28" w:type="dxa"/>
                    <w:right w:w="28" w:type="dxa"/>
                  </w:tcMar>
                  <w:vAlign w:val="center"/>
                </w:tcPr>
                <w:p w14:paraId="6828DBFC">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噪声预测值</w:t>
                  </w:r>
                  <w:r>
                    <w:rPr>
                      <w:rFonts w:hint="eastAsia" w:cs="宋体"/>
                      <w:color w:val="auto"/>
                      <w:kern w:val="2"/>
                      <w:sz w:val="21"/>
                      <w:szCs w:val="21"/>
                      <w:highlight w:val="none"/>
                      <w:lang w:eastAsia="zh-CN"/>
                    </w:rPr>
                    <w:t>（</w:t>
                  </w:r>
                  <w:r>
                    <w:rPr>
                      <w:rFonts w:hint="eastAsia" w:ascii="宋体" w:hAnsi="宋体" w:eastAsia="宋体" w:cs="宋体"/>
                      <w:color w:val="auto"/>
                      <w:kern w:val="2"/>
                      <w:sz w:val="21"/>
                      <w:szCs w:val="21"/>
                      <w:highlight w:val="none"/>
                    </w:rPr>
                    <w:t>dBA</w:t>
                  </w:r>
                  <w:r>
                    <w:rPr>
                      <w:rFonts w:hint="eastAsia" w:cs="宋体"/>
                      <w:color w:val="auto"/>
                      <w:kern w:val="2"/>
                      <w:sz w:val="21"/>
                      <w:szCs w:val="21"/>
                      <w:highlight w:val="none"/>
                      <w:lang w:eastAsia="zh-CN"/>
                    </w:rPr>
                    <w:t>）</w:t>
                  </w:r>
                </w:p>
              </w:tc>
            </w:tr>
            <w:tr w14:paraId="00AB66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9" w:type="pct"/>
                  <w:vMerge w:val="continue"/>
                  <w:tcBorders>
                    <w:top w:val="single" w:color="auto" w:sz="12" w:space="0"/>
                    <w:left w:val="single" w:color="auto" w:sz="12" w:space="0"/>
                    <w:bottom w:val="single" w:color="auto" w:sz="6" w:space="0"/>
                    <w:right w:val="single" w:color="auto" w:sz="4" w:space="0"/>
                  </w:tcBorders>
                  <w:noWrap w:val="0"/>
                  <w:tcMar>
                    <w:left w:w="28" w:type="dxa"/>
                    <w:right w:w="28" w:type="dxa"/>
                  </w:tcMar>
                  <w:vAlign w:val="center"/>
                </w:tcPr>
                <w:p w14:paraId="6EE7CD3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highlight w:val="none"/>
                    </w:rPr>
                  </w:pPr>
                </w:p>
              </w:tc>
              <w:tc>
                <w:tcPr>
                  <w:tcW w:w="571" w:type="pct"/>
                  <w:vMerge w:val="continue"/>
                  <w:tcBorders>
                    <w:top w:val="single" w:color="auto" w:sz="12" w:space="0"/>
                    <w:left w:val="nil"/>
                    <w:bottom w:val="single" w:color="auto" w:sz="6" w:space="0"/>
                    <w:right w:val="single" w:color="auto" w:sz="4" w:space="0"/>
                  </w:tcBorders>
                  <w:noWrap w:val="0"/>
                  <w:tcMar>
                    <w:left w:w="28" w:type="dxa"/>
                    <w:right w:w="28" w:type="dxa"/>
                  </w:tcMar>
                  <w:vAlign w:val="center"/>
                </w:tcPr>
                <w:p w14:paraId="32EA5CD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highlight w:val="none"/>
                    </w:rPr>
                  </w:pPr>
                </w:p>
              </w:tc>
              <w:tc>
                <w:tcPr>
                  <w:tcW w:w="724" w:type="pct"/>
                  <w:tcBorders>
                    <w:top w:val="single" w:color="auto" w:sz="4" w:space="0"/>
                    <w:left w:val="nil"/>
                    <w:bottom w:val="single" w:color="auto" w:sz="6" w:space="0"/>
                    <w:right w:val="single" w:color="auto" w:sz="4" w:space="0"/>
                  </w:tcBorders>
                  <w:noWrap w:val="0"/>
                  <w:tcMar>
                    <w:left w:w="28" w:type="dxa"/>
                    <w:right w:w="28" w:type="dxa"/>
                  </w:tcMar>
                  <w:vAlign w:val="center"/>
                </w:tcPr>
                <w:p w14:paraId="3344B20D">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声压级数据来源[dB(A)]</w:t>
                  </w:r>
                </w:p>
              </w:tc>
              <w:tc>
                <w:tcPr>
                  <w:tcW w:w="492" w:type="pct"/>
                  <w:tcBorders>
                    <w:top w:val="single" w:color="auto" w:sz="4" w:space="0"/>
                    <w:left w:val="nil"/>
                    <w:bottom w:val="single" w:color="auto" w:sz="6" w:space="0"/>
                    <w:right w:val="single" w:color="auto" w:sz="6" w:space="0"/>
                  </w:tcBorders>
                  <w:noWrap w:val="0"/>
                  <w:tcMar>
                    <w:left w:w="28" w:type="dxa"/>
                    <w:right w:w="28" w:type="dxa"/>
                  </w:tcMar>
                  <w:vAlign w:val="center"/>
                </w:tcPr>
                <w:p w14:paraId="0A835D01">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距声源距离</w:t>
                  </w:r>
                  <w:r>
                    <w:rPr>
                      <w:rFonts w:hint="eastAsia" w:cs="宋体"/>
                      <w:color w:val="auto"/>
                      <w:kern w:val="2"/>
                      <w:sz w:val="21"/>
                      <w:szCs w:val="21"/>
                      <w:highlight w:val="none"/>
                      <w:lang w:eastAsia="zh-CN"/>
                    </w:rPr>
                    <w:t>（</w:t>
                  </w:r>
                  <w:r>
                    <w:rPr>
                      <w:rFonts w:hint="eastAsia" w:ascii="宋体" w:hAnsi="宋体" w:eastAsia="宋体" w:cs="宋体"/>
                      <w:color w:val="auto"/>
                      <w:kern w:val="2"/>
                      <w:sz w:val="21"/>
                      <w:szCs w:val="21"/>
                      <w:highlight w:val="none"/>
                    </w:rPr>
                    <w:t>m</w:t>
                  </w:r>
                  <w:r>
                    <w:rPr>
                      <w:rFonts w:hint="eastAsia" w:cs="宋体"/>
                      <w:color w:val="auto"/>
                      <w:kern w:val="2"/>
                      <w:sz w:val="21"/>
                      <w:szCs w:val="21"/>
                      <w:highlight w:val="none"/>
                      <w:lang w:eastAsia="zh-CN"/>
                    </w:rPr>
                    <w:t>）</w:t>
                  </w:r>
                </w:p>
              </w:tc>
              <w:tc>
                <w:tcPr>
                  <w:tcW w:w="329" w:type="pct"/>
                  <w:tcBorders>
                    <w:top w:val="single" w:color="auto" w:sz="4" w:space="0"/>
                    <w:left w:val="single" w:color="auto" w:sz="6" w:space="0"/>
                    <w:bottom w:val="single" w:color="auto" w:sz="6" w:space="0"/>
                    <w:right w:val="single" w:color="auto" w:sz="4" w:space="0"/>
                  </w:tcBorders>
                  <w:noWrap w:val="0"/>
                  <w:tcMar>
                    <w:left w:w="28" w:type="dxa"/>
                    <w:right w:w="28" w:type="dxa"/>
                  </w:tcMar>
                  <w:vAlign w:val="center"/>
                </w:tcPr>
                <w:p w14:paraId="7CE072E6">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6m</w:t>
                  </w:r>
                </w:p>
              </w:tc>
              <w:tc>
                <w:tcPr>
                  <w:tcW w:w="357" w:type="pct"/>
                  <w:tcBorders>
                    <w:top w:val="single" w:color="auto" w:sz="4" w:space="0"/>
                    <w:left w:val="nil"/>
                    <w:bottom w:val="single" w:color="auto" w:sz="6" w:space="0"/>
                    <w:right w:val="single" w:color="auto" w:sz="6" w:space="0"/>
                  </w:tcBorders>
                  <w:noWrap w:val="0"/>
                  <w:tcMar>
                    <w:left w:w="28" w:type="dxa"/>
                    <w:right w:w="28" w:type="dxa"/>
                  </w:tcMar>
                  <w:vAlign w:val="center"/>
                </w:tcPr>
                <w:p w14:paraId="57A60CEE">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10m</w:t>
                  </w:r>
                </w:p>
              </w:tc>
              <w:tc>
                <w:tcPr>
                  <w:tcW w:w="357"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56512ED8">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20m</w:t>
                  </w:r>
                </w:p>
              </w:tc>
              <w:tc>
                <w:tcPr>
                  <w:tcW w:w="357"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772E2C1D">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40m</w:t>
                  </w:r>
                </w:p>
              </w:tc>
              <w:tc>
                <w:tcPr>
                  <w:tcW w:w="357"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3FABDBDD">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80m</w:t>
                  </w:r>
                </w:p>
              </w:tc>
              <w:tc>
                <w:tcPr>
                  <w:tcW w:w="357"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7C8D2DEC">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96m</w:t>
                  </w:r>
                </w:p>
              </w:tc>
              <w:tc>
                <w:tcPr>
                  <w:tcW w:w="382"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1EDC9D8E">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150m</w:t>
                  </w:r>
                </w:p>
              </w:tc>
              <w:tc>
                <w:tcPr>
                  <w:tcW w:w="395" w:type="pct"/>
                  <w:tcBorders>
                    <w:top w:val="single" w:color="auto" w:sz="6" w:space="0"/>
                    <w:left w:val="single" w:color="auto" w:sz="6" w:space="0"/>
                    <w:bottom w:val="single" w:color="auto" w:sz="6" w:space="0"/>
                    <w:right w:val="single" w:color="auto" w:sz="12" w:space="0"/>
                  </w:tcBorders>
                  <w:noWrap w:val="0"/>
                  <w:tcMar>
                    <w:left w:w="28" w:type="dxa"/>
                    <w:right w:w="28" w:type="dxa"/>
                  </w:tcMar>
                  <w:vAlign w:val="center"/>
                </w:tcPr>
                <w:p w14:paraId="27A16DE5">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200m</w:t>
                  </w:r>
                </w:p>
              </w:tc>
            </w:tr>
            <w:tr w14:paraId="41E2AA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9" w:type="pct"/>
                  <w:tcBorders>
                    <w:top w:val="single" w:color="auto" w:sz="6" w:space="0"/>
                    <w:left w:val="single" w:color="auto" w:sz="12" w:space="0"/>
                    <w:bottom w:val="single" w:color="auto" w:sz="6" w:space="0"/>
                    <w:right w:val="single" w:color="auto" w:sz="4" w:space="0"/>
                  </w:tcBorders>
                  <w:noWrap w:val="0"/>
                  <w:tcMar>
                    <w:left w:w="28" w:type="dxa"/>
                    <w:right w:w="28" w:type="dxa"/>
                  </w:tcMar>
                  <w:vAlign w:val="center"/>
                </w:tcPr>
                <w:p w14:paraId="6F592CE0">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w:t>
                  </w:r>
                </w:p>
              </w:tc>
              <w:tc>
                <w:tcPr>
                  <w:tcW w:w="571" w:type="pct"/>
                  <w:tcBorders>
                    <w:top w:val="single" w:color="auto" w:sz="6" w:space="0"/>
                    <w:left w:val="nil"/>
                    <w:bottom w:val="single" w:color="auto" w:sz="6" w:space="0"/>
                    <w:right w:val="single" w:color="auto" w:sz="4" w:space="0"/>
                  </w:tcBorders>
                  <w:noWrap w:val="0"/>
                  <w:tcMar>
                    <w:left w:w="28" w:type="dxa"/>
                    <w:right w:w="28" w:type="dxa"/>
                  </w:tcMar>
                  <w:vAlign w:val="center"/>
                </w:tcPr>
                <w:p w14:paraId="53B7A216">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液压挖掘机</w:t>
                  </w:r>
                </w:p>
              </w:tc>
              <w:tc>
                <w:tcPr>
                  <w:tcW w:w="724" w:type="pct"/>
                  <w:tcBorders>
                    <w:top w:val="single" w:color="auto" w:sz="6" w:space="0"/>
                    <w:left w:val="nil"/>
                    <w:bottom w:val="single" w:color="auto" w:sz="6" w:space="0"/>
                    <w:right w:val="single" w:color="auto" w:sz="4" w:space="0"/>
                  </w:tcBorders>
                  <w:noWrap w:val="0"/>
                  <w:tcMar>
                    <w:left w:w="28" w:type="dxa"/>
                    <w:right w:w="28" w:type="dxa"/>
                  </w:tcMar>
                  <w:vAlign w:val="center"/>
                </w:tcPr>
                <w:p w14:paraId="0D50BE18">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82</w:t>
                  </w:r>
                </w:p>
              </w:tc>
              <w:tc>
                <w:tcPr>
                  <w:tcW w:w="492" w:type="pct"/>
                  <w:tcBorders>
                    <w:top w:val="single" w:color="auto" w:sz="6" w:space="0"/>
                    <w:left w:val="nil"/>
                    <w:bottom w:val="single" w:color="auto" w:sz="6" w:space="0"/>
                    <w:right w:val="single" w:color="auto" w:sz="6" w:space="0"/>
                  </w:tcBorders>
                  <w:noWrap w:val="0"/>
                  <w:tcMar>
                    <w:left w:w="28" w:type="dxa"/>
                    <w:right w:w="28" w:type="dxa"/>
                  </w:tcMar>
                  <w:vAlign w:val="center"/>
                </w:tcPr>
                <w:p w14:paraId="1440EEAA">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w:t>
                  </w:r>
                </w:p>
              </w:tc>
              <w:tc>
                <w:tcPr>
                  <w:tcW w:w="329" w:type="pct"/>
                  <w:tcBorders>
                    <w:top w:val="single" w:color="auto" w:sz="6" w:space="0"/>
                    <w:left w:val="single" w:color="auto" w:sz="6" w:space="0"/>
                    <w:bottom w:val="single" w:color="auto" w:sz="6" w:space="0"/>
                    <w:right w:val="single" w:color="auto" w:sz="4" w:space="0"/>
                  </w:tcBorders>
                  <w:noWrap w:val="0"/>
                  <w:tcMar>
                    <w:left w:w="28" w:type="dxa"/>
                    <w:right w:w="28" w:type="dxa"/>
                  </w:tcMar>
                  <w:vAlign w:val="center"/>
                </w:tcPr>
                <w:p w14:paraId="6AA5DA23">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80</w:t>
                  </w:r>
                </w:p>
              </w:tc>
              <w:tc>
                <w:tcPr>
                  <w:tcW w:w="357" w:type="pct"/>
                  <w:tcBorders>
                    <w:top w:val="single" w:color="auto" w:sz="6" w:space="0"/>
                    <w:left w:val="nil"/>
                    <w:bottom w:val="single" w:color="auto" w:sz="6" w:space="0"/>
                    <w:right w:val="single" w:color="auto" w:sz="6" w:space="0"/>
                  </w:tcBorders>
                  <w:noWrap w:val="0"/>
                  <w:tcMar>
                    <w:left w:w="28" w:type="dxa"/>
                    <w:right w:w="28" w:type="dxa"/>
                  </w:tcMar>
                  <w:vAlign w:val="center"/>
                </w:tcPr>
                <w:p w14:paraId="1A0126CE">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76</w:t>
                  </w:r>
                </w:p>
              </w:tc>
              <w:tc>
                <w:tcPr>
                  <w:tcW w:w="357"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047A6751">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70</w:t>
                  </w:r>
                </w:p>
              </w:tc>
              <w:tc>
                <w:tcPr>
                  <w:tcW w:w="357"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088C257E">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64</w:t>
                  </w:r>
                </w:p>
              </w:tc>
              <w:tc>
                <w:tcPr>
                  <w:tcW w:w="357"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4AFE2FE4">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58</w:t>
                  </w:r>
                </w:p>
              </w:tc>
              <w:tc>
                <w:tcPr>
                  <w:tcW w:w="357"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7A0E1137">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56</w:t>
                  </w:r>
                </w:p>
              </w:tc>
              <w:tc>
                <w:tcPr>
                  <w:tcW w:w="382"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66976062">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52</w:t>
                  </w:r>
                </w:p>
              </w:tc>
              <w:tc>
                <w:tcPr>
                  <w:tcW w:w="395" w:type="pct"/>
                  <w:tcBorders>
                    <w:top w:val="single" w:color="auto" w:sz="6" w:space="0"/>
                    <w:left w:val="single" w:color="auto" w:sz="6" w:space="0"/>
                    <w:bottom w:val="single" w:color="auto" w:sz="6" w:space="0"/>
                    <w:right w:val="single" w:color="auto" w:sz="12" w:space="0"/>
                  </w:tcBorders>
                  <w:noWrap w:val="0"/>
                  <w:tcMar>
                    <w:left w:w="28" w:type="dxa"/>
                    <w:right w:w="28" w:type="dxa"/>
                  </w:tcMar>
                  <w:vAlign w:val="center"/>
                </w:tcPr>
                <w:p w14:paraId="115A2300">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50</w:t>
                  </w:r>
                </w:p>
              </w:tc>
            </w:tr>
            <w:tr w14:paraId="2B0C65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9" w:type="pct"/>
                  <w:tcBorders>
                    <w:top w:val="single" w:color="auto" w:sz="6" w:space="0"/>
                    <w:left w:val="single" w:color="auto" w:sz="12" w:space="0"/>
                    <w:bottom w:val="single" w:color="auto" w:sz="6" w:space="0"/>
                    <w:right w:val="single" w:color="auto" w:sz="4" w:space="0"/>
                  </w:tcBorders>
                  <w:noWrap w:val="0"/>
                  <w:tcMar>
                    <w:left w:w="28" w:type="dxa"/>
                    <w:right w:w="28" w:type="dxa"/>
                  </w:tcMar>
                  <w:vAlign w:val="center"/>
                </w:tcPr>
                <w:p w14:paraId="19BF8125">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w:t>
                  </w:r>
                </w:p>
              </w:tc>
              <w:tc>
                <w:tcPr>
                  <w:tcW w:w="571" w:type="pct"/>
                  <w:tcBorders>
                    <w:top w:val="single" w:color="auto" w:sz="6" w:space="0"/>
                    <w:left w:val="nil"/>
                    <w:bottom w:val="single" w:color="auto" w:sz="6" w:space="0"/>
                    <w:right w:val="single" w:color="auto" w:sz="4" w:space="0"/>
                  </w:tcBorders>
                  <w:noWrap w:val="0"/>
                  <w:tcMar>
                    <w:left w:w="28" w:type="dxa"/>
                    <w:right w:w="28" w:type="dxa"/>
                  </w:tcMar>
                  <w:vAlign w:val="center"/>
                </w:tcPr>
                <w:p w14:paraId="2C83BBAD">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推土机</w:t>
                  </w:r>
                </w:p>
              </w:tc>
              <w:tc>
                <w:tcPr>
                  <w:tcW w:w="724" w:type="pct"/>
                  <w:tcBorders>
                    <w:top w:val="single" w:color="auto" w:sz="6" w:space="0"/>
                    <w:left w:val="nil"/>
                    <w:bottom w:val="single" w:color="auto" w:sz="6" w:space="0"/>
                    <w:right w:val="single" w:color="auto" w:sz="4" w:space="0"/>
                  </w:tcBorders>
                  <w:noWrap w:val="0"/>
                  <w:tcMar>
                    <w:left w:w="28" w:type="dxa"/>
                    <w:right w:w="28" w:type="dxa"/>
                  </w:tcMar>
                  <w:vAlign w:val="center"/>
                </w:tcPr>
                <w:p w14:paraId="5204F0E6">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83</w:t>
                  </w:r>
                </w:p>
              </w:tc>
              <w:tc>
                <w:tcPr>
                  <w:tcW w:w="492" w:type="pct"/>
                  <w:tcBorders>
                    <w:top w:val="single" w:color="auto" w:sz="6" w:space="0"/>
                    <w:left w:val="nil"/>
                    <w:bottom w:val="single" w:color="auto" w:sz="6" w:space="0"/>
                    <w:right w:val="single" w:color="auto" w:sz="6" w:space="0"/>
                  </w:tcBorders>
                  <w:noWrap w:val="0"/>
                  <w:tcMar>
                    <w:left w:w="28" w:type="dxa"/>
                    <w:right w:w="28" w:type="dxa"/>
                  </w:tcMar>
                  <w:vAlign w:val="center"/>
                </w:tcPr>
                <w:p w14:paraId="6A30280C">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w:t>
                  </w:r>
                </w:p>
              </w:tc>
              <w:tc>
                <w:tcPr>
                  <w:tcW w:w="329" w:type="pct"/>
                  <w:tcBorders>
                    <w:top w:val="single" w:color="auto" w:sz="6" w:space="0"/>
                    <w:left w:val="single" w:color="auto" w:sz="6" w:space="0"/>
                    <w:bottom w:val="single" w:color="auto" w:sz="6" w:space="0"/>
                    <w:right w:val="single" w:color="auto" w:sz="4" w:space="0"/>
                  </w:tcBorders>
                  <w:noWrap w:val="0"/>
                  <w:tcMar>
                    <w:left w:w="28" w:type="dxa"/>
                    <w:right w:w="28" w:type="dxa"/>
                  </w:tcMar>
                  <w:vAlign w:val="center"/>
                </w:tcPr>
                <w:p w14:paraId="7DF036E7">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81</w:t>
                  </w:r>
                </w:p>
              </w:tc>
              <w:tc>
                <w:tcPr>
                  <w:tcW w:w="357" w:type="pct"/>
                  <w:tcBorders>
                    <w:top w:val="single" w:color="auto" w:sz="6" w:space="0"/>
                    <w:left w:val="nil"/>
                    <w:bottom w:val="single" w:color="auto" w:sz="6" w:space="0"/>
                    <w:right w:val="single" w:color="auto" w:sz="6" w:space="0"/>
                  </w:tcBorders>
                  <w:noWrap w:val="0"/>
                  <w:tcMar>
                    <w:left w:w="28" w:type="dxa"/>
                    <w:right w:w="28" w:type="dxa"/>
                  </w:tcMar>
                  <w:vAlign w:val="center"/>
                </w:tcPr>
                <w:p w14:paraId="69F0396C">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77</w:t>
                  </w:r>
                </w:p>
              </w:tc>
              <w:tc>
                <w:tcPr>
                  <w:tcW w:w="357"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01B65206">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71</w:t>
                  </w:r>
                </w:p>
              </w:tc>
              <w:tc>
                <w:tcPr>
                  <w:tcW w:w="357"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238444FA">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65</w:t>
                  </w:r>
                </w:p>
              </w:tc>
              <w:tc>
                <w:tcPr>
                  <w:tcW w:w="357"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6B232796">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59</w:t>
                  </w:r>
                </w:p>
              </w:tc>
              <w:tc>
                <w:tcPr>
                  <w:tcW w:w="357"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15B6A7CE">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57</w:t>
                  </w:r>
                </w:p>
              </w:tc>
              <w:tc>
                <w:tcPr>
                  <w:tcW w:w="382"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0E469C9A">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53</w:t>
                  </w:r>
                </w:p>
              </w:tc>
              <w:tc>
                <w:tcPr>
                  <w:tcW w:w="395" w:type="pct"/>
                  <w:tcBorders>
                    <w:top w:val="single" w:color="auto" w:sz="6" w:space="0"/>
                    <w:left w:val="single" w:color="auto" w:sz="6" w:space="0"/>
                    <w:bottom w:val="single" w:color="auto" w:sz="6" w:space="0"/>
                    <w:right w:val="single" w:color="auto" w:sz="12" w:space="0"/>
                  </w:tcBorders>
                  <w:noWrap w:val="0"/>
                  <w:tcMar>
                    <w:left w:w="28" w:type="dxa"/>
                    <w:right w:w="28" w:type="dxa"/>
                  </w:tcMar>
                  <w:vAlign w:val="center"/>
                </w:tcPr>
                <w:p w14:paraId="11DCED02">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51</w:t>
                  </w:r>
                </w:p>
              </w:tc>
            </w:tr>
            <w:tr w14:paraId="5C1127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9" w:type="pct"/>
                  <w:tcBorders>
                    <w:top w:val="single" w:color="auto" w:sz="6" w:space="0"/>
                    <w:left w:val="single" w:color="auto" w:sz="12" w:space="0"/>
                    <w:bottom w:val="single" w:color="auto" w:sz="6" w:space="0"/>
                    <w:right w:val="single" w:color="auto" w:sz="4" w:space="0"/>
                  </w:tcBorders>
                  <w:noWrap w:val="0"/>
                  <w:tcMar>
                    <w:left w:w="28" w:type="dxa"/>
                    <w:right w:w="28" w:type="dxa"/>
                  </w:tcMar>
                  <w:vAlign w:val="center"/>
                </w:tcPr>
                <w:p w14:paraId="34D640E4">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w:t>
                  </w:r>
                </w:p>
              </w:tc>
              <w:tc>
                <w:tcPr>
                  <w:tcW w:w="571" w:type="pct"/>
                  <w:tcBorders>
                    <w:top w:val="single" w:color="auto" w:sz="6" w:space="0"/>
                    <w:left w:val="nil"/>
                    <w:bottom w:val="single" w:color="auto" w:sz="6" w:space="0"/>
                    <w:right w:val="single" w:color="auto" w:sz="4" w:space="0"/>
                  </w:tcBorders>
                  <w:noWrap w:val="0"/>
                  <w:tcMar>
                    <w:left w:w="28" w:type="dxa"/>
                    <w:right w:w="28" w:type="dxa"/>
                  </w:tcMar>
                  <w:vAlign w:val="center"/>
                </w:tcPr>
                <w:p w14:paraId="5130CCC6">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重型运输车</w:t>
                  </w:r>
                </w:p>
              </w:tc>
              <w:tc>
                <w:tcPr>
                  <w:tcW w:w="724" w:type="pct"/>
                  <w:tcBorders>
                    <w:top w:val="single" w:color="auto" w:sz="6" w:space="0"/>
                    <w:left w:val="nil"/>
                    <w:bottom w:val="single" w:color="auto" w:sz="6" w:space="0"/>
                    <w:right w:val="single" w:color="auto" w:sz="4" w:space="0"/>
                  </w:tcBorders>
                  <w:noWrap w:val="0"/>
                  <w:tcMar>
                    <w:left w:w="28" w:type="dxa"/>
                    <w:right w:w="28" w:type="dxa"/>
                  </w:tcMar>
                  <w:vAlign w:val="center"/>
                </w:tcPr>
                <w:p w14:paraId="003C6EA3">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82</w:t>
                  </w:r>
                </w:p>
              </w:tc>
              <w:tc>
                <w:tcPr>
                  <w:tcW w:w="492" w:type="pct"/>
                  <w:tcBorders>
                    <w:top w:val="single" w:color="auto" w:sz="6" w:space="0"/>
                    <w:left w:val="nil"/>
                    <w:bottom w:val="single" w:color="auto" w:sz="6" w:space="0"/>
                    <w:right w:val="single" w:color="auto" w:sz="6" w:space="0"/>
                  </w:tcBorders>
                  <w:noWrap w:val="0"/>
                  <w:tcMar>
                    <w:left w:w="28" w:type="dxa"/>
                    <w:right w:w="28" w:type="dxa"/>
                  </w:tcMar>
                  <w:vAlign w:val="center"/>
                </w:tcPr>
                <w:p w14:paraId="0EEC79E9">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w:t>
                  </w:r>
                </w:p>
              </w:tc>
              <w:tc>
                <w:tcPr>
                  <w:tcW w:w="329" w:type="pct"/>
                  <w:tcBorders>
                    <w:top w:val="single" w:color="auto" w:sz="6" w:space="0"/>
                    <w:left w:val="single" w:color="auto" w:sz="6" w:space="0"/>
                    <w:bottom w:val="single" w:color="auto" w:sz="6" w:space="0"/>
                    <w:right w:val="single" w:color="auto" w:sz="4" w:space="0"/>
                  </w:tcBorders>
                  <w:noWrap w:val="0"/>
                  <w:tcMar>
                    <w:left w:w="28" w:type="dxa"/>
                    <w:right w:w="28" w:type="dxa"/>
                  </w:tcMar>
                  <w:vAlign w:val="center"/>
                </w:tcPr>
                <w:p w14:paraId="35B190A5">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80</w:t>
                  </w:r>
                </w:p>
              </w:tc>
              <w:tc>
                <w:tcPr>
                  <w:tcW w:w="357" w:type="pct"/>
                  <w:tcBorders>
                    <w:top w:val="single" w:color="auto" w:sz="6" w:space="0"/>
                    <w:left w:val="nil"/>
                    <w:bottom w:val="single" w:color="auto" w:sz="6" w:space="0"/>
                    <w:right w:val="single" w:color="auto" w:sz="6" w:space="0"/>
                  </w:tcBorders>
                  <w:noWrap w:val="0"/>
                  <w:tcMar>
                    <w:left w:w="28" w:type="dxa"/>
                    <w:right w:w="28" w:type="dxa"/>
                  </w:tcMar>
                  <w:vAlign w:val="center"/>
                </w:tcPr>
                <w:p w14:paraId="47A54A0A">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76</w:t>
                  </w:r>
                </w:p>
              </w:tc>
              <w:tc>
                <w:tcPr>
                  <w:tcW w:w="357"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62A3F078">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70</w:t>
                  </w:r>
                </w:p>
              </w:tc>
              <w:tc>
                <w:tcPr>
                  <w:tcW w:w="357"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4E281314">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64</w:t>
                  </w:r>
                </w:p>
              </w:tc>
              <w:tc>
                <w:tcPr>
                  <w:tcW w:w="357"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65B426D9">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58</w:t>
                  </w:r>
                </w:p>
              </w:tc>
              <w:tc>
                <w:tcPr>
                  <w:tcW w:w="357"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00FE949C">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56</w:t>
                  </w:r>
                </w:p>
              </w:tc>
              <w:tc>
                <w:tcPr>
                  <w:tcW w:w="382"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7BA177AD">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52</w:t>
                  </w:r>
                </w:p>
              </w:tc>
              <w:tc>
                <w:tcPr>
                  <w:tcW w:w="395" w:type="pct"/>
                  <w:tcBorders>
                    <w:top w:val="single" w:color="auto" w:sz="6" w:space="0"/>
                    <w:left w:val="single" w:color="auto" w:sz="6" w:space="0"/>
                    <w:bottom w:val="single" w:color="auto" w:sz="6" w:space="0"/>
                    <w:right w:val="single" w:color="auto" w:sz="12" w:space="0"/>
                  </w:tcBorders>
                  <w:noWrap w:val="0"/>
                  <w:tcMar>
                    <w:left w:w="28" w:type="dxa"/>
                    <w:right w:w="28" w:type="dxa"/>
                  </w:tcMar>
                  <w:vAlign w:val="center"/>
                </w:tcPr>
                <w:p w14:paraId="4C808042">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50</w:t>
                  </w:r>
                </w:p>
              </w:tc>
            </w:tr>
            <w:tr w14:paraId="197B68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9" w:type="pct"/>
                  <w:tcBorders>
                    <w:top w:val="single" w:color="auto" w:sz="6" w:space="0"/>
                    <w:left w:val="single" w:color="auto" w:sz="12" w:space="0"/>
                    <w:bottom w:val="single" w:color="auto" w:sz="6" w:space="0"/>
                    <w:right w:val="single" w:color="auto" w:sz="4" w:space="0"/>
                  </w:tcBorders>
                  <w:noWrap w:val="0"/>
                  <w:tcMar>
                    <w:left w:w="28" w:type="dxa"/>
                    <w:right w:w="28" w:type="dxa"/>
                  </w:tcMar>
                  <w:vAlign w:val="center"/>
                </w:tcPr>
                <w:p w14:paraId="43FE98B2">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w:t>
                  </w:r>
                </w:p>
              </w:tc>
              <w:tc>
                <w:tcPr>
                  <w:tcW w:w="571" w:type="pct"/>
                  <w:tcBorders>
                    <w:top w:val="single" w:color="auto" w:sz="6" w:space="0"/>
                    <w:left w:val="nil"/>
                    <w:bottom w:val="single" w:color="auto" w:sz="6" w:space="0"/>
                    <w:right w:val="single" w:color="auto" w:sz="4" w:space="0"/>
                  </w:tcBorders>
                  <w:noWrap w:val="0"/>
                  <w:tcMar>
                    <w:left w:w="28" w:type="dxa"/>
                    <w:right w:w="28" w:type="dxa"/>
                  </w:tcMar>
                  <w:vAlign w:val="center"/>
                </w:tcPr>
                <w:p w14:paraId="0542411D">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电锯</w:t>
                  </w:r>
                </w:p>
              </w:tc>
              <w:tc>
                <w:tcPr>
                  <w:tcW w:w="724" w:type="pct"/>
                  <w:tcBorders>
                    <w:top w:val="single" w:color="auto" w:sz="6" w:space="0"/>
                    <w:left w:val="nil"/>
                    <w:bottom w:val="single" w:color="auto" w:sz="6" w:space="0"/>
                    <w:right w:val="single" w:color="auto" w:sz="4" w:space="0"/>
                  </w:tcBorders>
                  <w:noWrap w:val="0"/>
                  <w:tcMar>
                    <w:left w:w="28" w:type="dxa"/>
                    <w:right w:w="28" w:type="dxa"/>
                  </w:tcMar>
                  <w:vAlign w:val="center"/>
                </w:tcPr>
                <w:p w14:paraId="6823FC93">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93</w:t>
                  </w:r>
                </w:p>
              </w:tc>
              <w:tc>
                <w:tcPr>
                  <w:tcW w:w="492" w:type="pct"/>
                  <w:tcBorders>
                    <w:top w:val="single" w:color="auto" w:sz="6" w:space="0"/>
                    <w:left w:val="nil"/>
                    <w:bottom w:val="single" w:color="auto" w:sz="6" w:space="0"/>
                    <w:right w:val="single" w:color="auto" w:sz="6" w:space="0"/>
                  </w:tcBorders>
                  <w:noWrap w:val="0"/>
                  <w:tcMar>
                    <w:left w:w="28" w:type="dxa"/>
                    <w:right w:w="28" w:type="dxa"/>
                  </w:tcMar>
                  <w:vAlign w:val="center"/>
                </w:tcPr>
                <w:p w14:paraId="04C7A309">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w:t>
                  </w:r>
                </w:p>
              </w:tc>
              <w:tc>
                <w:tcPr>
                  <w:tcW w:w="329" w:type="pct"/>
                  <w:tcBorders>
                    <w:top w:val="single" w:color="auto" w:sz="6" w:space="0"/>
                    <w:left w:val="single" w:color="auto" w:sz="6" w:space="0"/>
                    <w:bottom w:val="single" w:color="auto" w:sz="6" w:space="0"/>
                    <w:right w:val="single" w:color="auto" w:sz="4" w:space="0"/>
                  </w:tcBorders>
                  <w:noWrap w:val="0"/>
                  <w:tcMar>
                    <w:left w:w="28" w:type="dxa"/>
                    <w:right w:w="28" w:type="dxa"/>
                  </w:tcMar>
                  <w:vAlign w:val="center"/>
                </w:tcPr>
                <w:p w14:paraId="31724506">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91</w:t>
                  </w:r>
                </w:p>
              </w:tc>
              <w:tc>
                <w:tcPr>
                  <w:tcW w:w="357" w:type="pct"/>
                  <w:tcBorders>
                    <w:top w:val="single" w:color="auto" w:sz="6" w:space="0"/>
                    <w:left w:val="nil"/>
                    <w:bottom w:val="single" w:color="auto" w:sz="6" w:space="0"/>
                    <w:right w:val="single" w:color="auto" w:sz="6" w:space="0"/>
                  </w:tcBorders>
                  <w:noWrap w:val="0"/>
                  <w:tcMar>
                    <w:left w:w="28" w:type="dxa"/>
                    <w:right w:w="28" w:type="dxa"/>
                  </w:tcMar>
                  <w:vAlign w:val="center"/>
                </w:tcPr>
                <w:p w14:paraId="66B41AC2">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87</w:t>
                  </w:r>
                </w:p>
              </w:tc>
              <w:tc>
                <w:tcPr>
                  <w:tcW w:w="357"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63C5203F">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81</w:t>
                  </w:r>
                </w:p>
              </w:tc>
              <w:tc>
                <w:tcPr>
                  <w:tcW w:w="357"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386E0E88">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75</w:t>
                  </w:r>
                </w:p>
              </w:tc>
              <w:tc>
                <w:tcPr>
                  <w:tcW w:w="357"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7CDB3643">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69</w:t>
                  </w:r>
                </w:p>
              </w:tc>
              <w:tc>
                <w:tcPr>
                  <w:tcW w:w="357"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407309C5">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67</w:t>
                  </w:r>
                </w:p>
              </w:tc>
              <w:tc>
                <w:tcPr>
                  <w:tcW w:w="382"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71B04ED2">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63</w:t>
                  </w:r>
                </w:p>
              </w:tc>
              <w:tc>
                <w:tcPr>
                  <w:tcW w:w="395" w:type="pct"/>
                  <w:tcBorders>
                    <w:top w:val="single" w:color="auto" w:sz="6" w:space="0"/>
                    <w:left w:val="single" w:color="auto" w:sz="6" w:space="0"/>
                    <w:bottom w:val="single" w:color="auto" w:sz="6" w:space="0"/>
                    <w:right w:val="single" w:color="auto" w:sz="12" w:space="0"/>
                  </w:tcBorders>
                  <w:noWrap w:val="0"/>
                  <w:tcMar>
                    <w:left w:w="28" w:type="dxa"/>
                    <w:right w:w="28" w:type="dxa"/>
                  </w:tcMar>
                  <w:vAlign w:val="center"/>
                </w:tcPr>
                <w:p w14:paraId="56948073">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61</w:t>
                  </w:r>
                </w:p>
              </w:tc>
            </w:tr>
            <w:tr w14:paraId="6394FB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9" w:type="pct"/>
                  <w:tcBorders>
                    <w:top w:val="single" w:color="auto" w:sz="6" w:space="0"/>
                    <w:left w:val="single" w:color="auto" w:sz="12" w:space="0"/>
                    <w:bottom w:val="single" w:color="auto" w:sz="6" w:space="0"/>
                    <w:right w:val="single" w:color="auto" w:sz="4" w:space="0"/>
                  </w:tcBorders>
                  <w:noWrap w:val="0"/>
                  <w:tcMar>
                    <w:left w:w="28" w:type="dxa"/>
                    <w:right w:w="28" w:type="dxa"/>
                  </w:tcMar>
                  <w:vAlign w:val="center"/>
                </w:tcPr>
                <w:p w14:paraId="65DB2430">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w:t>
                  </w:r>
                </w:p>
              </w:tc>
              <w:tc>
                <w:tcPr>
                  <w:tcW w:w="571" w:type="pct"/>
                  <w:tcBorders>
                    <w:top w:val="single" w:color="auto" w:sz="6" w:space="0"/>
                    <w:left w:val="nil"/>
                    <w:bottom w:val="single" w:color="auto" w:sz="6" w:space="0"/>
                    <w:right w:val="single" w:color="auto" w:sz="4" w:space="0"/>
                  </w:tcBorders>
                  <w:noWrap w:val="0"/>
                  <w:tcMar>
                    <w:left w:w="28" w:type="dxa"/>
                    <w:right w:w="28" w:type="dxa"/>
                  </w:tcMar>
                  <w:vAlign w:val="center"/>
                </w:tcPr>
                <w:p w14:paraId="0A000749">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混凝土输送泵</w:t>
                  </w:r>
                </w:p>
              </w:tc>
              <w:tc>
                <w:tcPr>
                  <w:tcW w:w="724" w:type="pct"/>
                  <w:tcBorders>
                    <w:top w:val="single" w:color="auto" w:sz="6" w:space="0"/>
                    <w:left w:val="nil"/>
                    <w:bottom w:val="single" w:color="auto" w:sz="6" w:space="0"/>
                    <w:right w:val="single" w:color="auto" w:sz="4" w:space="0"/>
                  </w:tcBorders>
                  <w:noWrap w:val="0"/>
                  <w:tcMar>
                    <w:left w:w="28" w:type="dxa"/>
                    <w:right w:w="28" w:type="dxa"/>
                  </w:tcMar>
                  <w:vAlign w:val="center"/>
                </w:tcPr>
                <w:p w14:paraId="12109239">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88</w:t>
                  </w:r>
                </w:p>
              </w:tc>
              <w:tc>
                <w:tcPr>
                  <w:tcW w:w="492" w:type="pct"/>
                  <w:tcBorders>
                    <w:top w:val="single" w:color="auto" w:sz="6" w:space="0"/>
                    <w:left w:val="nil"/>
                    <w:bottom w:val="single" w:color="auto" w:sz="6" w:space="0"/>
                    <w:right w:val="single" w:color="auto" w:sz="6" w:space="0"/>
                  </w:tcBorders>
                  <w:noWrap w:val="0"/>
                  <w:tcMar>
                    <w:left w:w="28" w:type="dxa"/>
                    <w:right w:w="28" w:type="dxa"/>
                  </w:tcMar>
                  <w:vAlign w:val="center"/>
                </w:tcPr>
                <w:p w14:paraId="58CFB9DF">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w:t>
                  </w:r>
                </w:p>
              </w:tc>
              <w:tc>
                <w:tcPr>
                  <w:tcW w:w="329" w:type="pct"/>
                  <w:tcBorders>
                    <w:top w:val="single" w:color="auto" w:sz="6" w:space="0"/>
                    <w:left w:val="single" w:color="auto" w:sz="6" w:space="0"/>
                    <w:bottom w:val="single" w:color="auto" w:sz="6" w:space="0"/>
                    <w:right w:val="single" w:color="auto" w:sz="4" w:space="0"/>
                  </w:tcBorders>
                  <w:noWrap w:val="0"/>
                  <w:tcMar>
                    <w:left w:w="28" w:type="dxa"/>
                    <w:right w:w="28" w:type="dxa"/>
                  </w:tcMar>
                  <w:vAlign w:val="center"/>
                </w:tcPr>
                <w:p w14:paraId="33E023A6">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86</w:t>
                  </w:r>
                </w:p>
              </w:tc>
              <w:tc>
                <w:tcPr>
                  <w:tcW w:w="357" w:type="pct"/>
                  <w:tcBorders>
                    <w:top w:val="single" w:color="auto" w:sz="6" w:space="0"/>
                    <w:left w:val="nil"/>
                    <w:bottom w:val="single" w:color="auto" w:sz="6" w:space="0"/>
                    <w:right w:val="single" w:color="auto" w:sz="6" w:space="0"/>
                  </w:tcBorders>
                  <w:noWrap w:val="0"/>
                  <w:tcMar>
                    <w:left w:w="28" w:type="dxa"/>
                    <w:right w:w="28" w:type="dxa"/>
                  </w:tcMar>
                  <w:vAlign w:val="center"/>
                </w:tcPr>
                <w:p w14:paraId="7A43A00F">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82</w:t>
                  </w:r>
                </w:p>
              </w:tc>
              <w:tc>
                <w:tcPr>
                  <w:tcW w:w="357"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0A7D0025">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76</w:t>
                  </w:r>
                </w:p>
              </w:tc>
              <w:tc>
                <w:tcPr>
                  <w:tcW w:w="357"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30733B40">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70</w:t>
                  </w:r>
                </w:p>
              </w:tc>
              <w:tc>
                <w:tcPr>
                  <w:tcW w:w="357"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3F15B92F">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64</w:t>
                  </w:r>
                </w:p>
              </w:tc>
              <w:tc>
                <w:tcPr>
                  <w:tcW w:w="357"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35923AB0">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62</w:t>
                  </w:r>
                </w:p>
              </w:tc>
              <w:tc>
                <w:tcPr>
                  <w:tcW w:w="382"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14114611">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58</w:t>
                  </w:r>
                </w:p>
              </w:tc>
              <w:tc>
                <w:tcPr>
                  <w:tcW w:w="395" w:type="pct"/>
                  <w:tcBorders>
                    <w:top w:val="single" w:color="auto" w:sz="6" w:space="0"/>
                    <w:left w:val="single" w:color="auto" w:sz="6" w:space="0"/>
                    <w:bottom w:val="single" w:color="auto" w:sz="6" w:space="0"/>
                    <w:right w:val="single" w:color="auto" w:sz="12" w:space="0"/>
                  </w:tcBorders>
                  <w:noWrap w:val="0"/>
                  <w:tcMar>
                    <w:left w:w="28" w:type="dxa"/>
                    <w:right w:w="28" w:type="dxa"/>
                  </w:tcMar>
                  <w:vAlign w:val="center"/>
                </w:tcPr>
                <w:p w14:paraId="55F465E9">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56</w:t>
                  </w:r>
                </w:p>
              </w:tc>
            </w:tr>
            <w:tr w14:paraId="4E9708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9" w:type="pct"/>
                  <w:tcBorders>
                    <w:top w:val="single" w:color="auto" w:sz="6" w:space="0"/>
                    <w:left w:val="single" w:color="auto" w:sz="12" w:space="0"/>
                    <w:bottom w:val="single" w:color="auto" w:sz="6" w:space="0"/>
                    <w:right w:val="single" w:color="auto" w:sz="4" w:space="0"/>
                  </w:tcBorders>
                  <w:noWrap w:val="0"/>
                  <w:tcMar>
                    <w:left w:w="28" w:type="dxa"/>
                    <w:right w:w="28" w:type="dxa"/>
                  </w:tcMar>
                  <w:vAlign w:val="center"/>
                </w:tcPr>
                <w:p w14:paraId="470344E6">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6</w:t>
                  </w:r>
                </w:p>
              </w:tc>
              <w:tc>
                <w:tcPr>
                  <w:tcW w:w="571" w:type="pct"/>
                  <w:tcBorders>
                    <w:top w:val="single" w:color="auto" w:sz="6" w:space="0"/>
                    <w:left w:val="nil"/>
                    <w:bottom w:val="single" w:color="auto" w:sz="6" w:space="0"/>
                    <w:right w:val="single" w:color="auto" w:sz="4" w:space="0"/>
                  </w:tcBorders>
                  <w:noWrap w:val="0"/>
                  <w:tcMar>
                    <w:left w:w="28" w:type="dxa"/>
                    <w:right w:w="28" w:type="dxa"/>
                  </w:tcMar>
                  <w:vAlign w:val="center"/>
                </w:tcPr>
                <w:p w14:paraId="19825CC3">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空压机</w:t>
                  </w:r>
                </w:p>
              </w:tc>
              <w:tc>
                <w:tcPr>
                  <w:tcW w:w="724" w:type="pct"/>
                  <w:tcBorders>
                    <w:top w:val="single" w:color="auto" w:sz="6" w:space="0"/>
                    <w:left w:val="nil"/>
                    <w:bottom w:val="single" w:color="auto" w:sz="6" w:space="0"/>
                    <w:right w:val="single" w:color="auto" w:sz="4" w:space="0"/>
                  </w:tcBorders>
                  <w:noWrap w:val="0"/>
                  <w:tcMar>
                    <w:left w:w="28" w:type="dxa"/>
                    <w:right w:w="28" w:type="dxa"/>
                  </w:tcMar>
                  <w:vAlign w:val="center"/>
                </w:tcPr>
                <w:p w14:paraId="3BF729C6">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88</w:t>
                  </w:r>
                </w:p>
              </w:tc>
              <w:tc>
                <w:tcPr>
                  <w:tcW w:w="492" w:type="pct"/>
                  <w:tcBorders>
                    <w:top w:val="single" w:color="auto" w:sz="6" w:space="0"/>
                    <w:left w:val="nil"/>
                    <w:bottom w:val="single" w:color="auto" w:sz="6" w:space="0"/>
                    <w:right w:val="single" w:color="auto" w:sz="6" w:space="0"/>
                  </w:tcBorders>
                  <w:noWrap w:val="0"/>
                  <w:tcMar>
                    <w:left w:w="28" w:type="dxa"/>
                    <w:right w:w="28" w:type="dxa"/>
                  </w:tcMar>
                  <w:vAlign w:val="center"/>
                </w:tcPr>
                <w:p w14:paraId="23FDFF5C">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w:t>
                  </w:r>
                </w:p>
              </w:tc>
              <w:tc>
                <w:tcPr>
                  <w:tcW w:w="329" w:type="pct"/>
                  <w:tcBorders>
                    <w:top w:val="single" w:color="auto" w:sz="6" w:space="0"/>
                    <w:left w:val="single" w:color="auto" w:sz="6" w:space="0"/>
                    <w:bottom w:val="single" w:color="auto" w:sz="6" w:space="0"/>
                    <w:right w:val="single" w:color="auto" w:sz="4" w:space="0"/>
                  </w:tcBorders>
                  <w:noWrap w:val="0"/>
                  <w:tcMar>
                    <w:left w:w="28" w:type="dxa"/>
                    <w:right w:w="28" w:type="dxa"/>
                  </w:tcMar>
                  <w:vAlign w:val="center"/>
                </w:tcPr>
                <w:p w14:paraId="0EA3468C">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86</w:t>
                  </w:r>
                </w:p>
              </w:tc>
              <w:tc>
                <w:tcPr>
                  <w:tcW w:w="357" w:type="pct"/>
                  <w:tcBorders>
                    <w:top w:val="single" w:color="auto" w:sz="6" w:space="0"/>
                    <w:left w:val="nil"/>
                    <w:bottom w:val="single" w:color="auto" w:sz="6" w:space="0"/>
                    <w:right w:val="single" w:color="auto" w:sz="6" w:space="0"/>
                  </w:tcBorders>
                  <w:noWrap w:val="0"/>
                  <w:tcMar>
                    <w:left w:w="28" w:type="dxa"/>
                    <w:right w:w="28" w:type="dxa"/>
                  </w:tcMar>
                  <w:vAlign w:val="center"/>
                </w:tcPr>
                <w:p w14:paraId="769C1CD8">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82</w:t>
                  </w:r>
                </w:p>
              </w:tc>
              <w:tc>
                <w:tcPr>
                  <w:tcW w:w="357"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5172CA7C">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76</w:t>
                  </w:r>
                </w:p>
              </w:tc>
              <w:tc>
                <w:tcPr>
                  <w:tcW w:w="357"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06C47350">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70</w:t>
                  </w:r>
                </w:p>
              </w:tc>
              <w:tc>
                <w:tcPr>
                  <w:tcW w:w="357"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0476AE18">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64</w:t>
                  </w:r>
                </w:p>
              </w:tc>
              <w:tc>
                <w:tcPr>
                  <w:tcW w:w="357"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5EFAA67E">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62</w:t>
                  </w:r>
                </w:p>
              </w:tc>
              <w:tc>
                <w:tcPr>
                  <w:tcW w:w="382" w:type="pct"/>
                  <w:tcBorders>
                    <w:top w:val="single" w:color="auto" w:sz="6" w:space="0"/>
                    <w:left w:val="single" w:color="auto" w:sz="6" w:space="0"/>
                    <w:bottom w:val="single" w:color="auto" w:sz="6" w:space="0"/>
                    <w:right w:val="single" w:color="auto" w:sz="6" w:space="0"/>
                  </w:tcBorders>
                  <w:noWrap w:val="0"/>
                  <w:tcMar>
                    <w:left w:w="28" w:type="dxa"/>
                    <w:right w:w="28" w:type="dxa"/>
                  </w:tcMar>
                  <w:vAlign w:val="center"/>
                </w:tcPr>
                <w:p w14:paraId="184FE38E">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58</w:t>
                  </w:r>
                </w:p>
              </w:tc>
              <w:tc>
                <w:tcPr>
                  <w:tcW w:w="395" w:type="pct"/>
                  <w:tcBorders>
                    <w:top w:val="single" w:color="auto" w:sz="6" w:space="0"/>
                    <w:left w:val="single" w:color="auto" w:sz="6" w:space="0"/>
                    <w:bottom w:val="single" w:color="auto" w:sz="6" w:space="0"/>
                    <w:right w:val="single" w:color="auto" w:sz="12" w:space="0"/>
                  </w:tcBorders>
                  <w:noWrap w:val="0"/>
                  <w:tcMar>
                    <w:left w:w="28" w:type="dxa"/>
                    <w:right w:w="28" w:type="dxa"/>
                  </w:tcMar>
                  <w:vAlign w:val="center"/>
                </w:tcPr>
                <w:p w14:paraId="60C83966">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56</w:t>
                  </w:r>
                </w:p>
              </w:tc>
            </w:tr>
            <w:tr w14:paraId="63F4AA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9" w:type="pct"/>
                  <w:tcBorders>
                    <w:top w:val="single" w:color="auto" w:sz="6" w:space="0"/>
                    <w:left w:val="single" w:color="auto" w:sz="12" w:space="0"/>
                    <w:bottom w:val="single" w:color="auto" w:sz="12" w:space="0"/>
                    <w:right w:val="single" w:color="auto" w:sz="4" w:space="0"/>
                  </w:tcBorders>
                  <w:noWrap w:val="0"/>
                  <w:tcMar>
                    <w:left w:w="28" w:type="dxa"/>
                    <w:right w:w="28" w:type="dxa"/>
                  </w:tcMar>
                  <w:vAlign w:val="center"/>
                </w:tcPr>
                <w:p w14:paraId="29CAFE17">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7</w:t>
                  </w:r>
                </w:p>
              </w:tc>
              <w:tc>
                <w:tcPr>
                  <w:tcW w:w="571" w:type="pct"/>
                  <w:tcBorders>
                    <w:top w:val="single" w:color="auto" w:sz="6" w:space="0"/>
                    <w:left w:val="nil"/>
                    <w:bottom w:val="single" w:color="auto" w:sz="12" w:space="0"/>
                    <w:right w:val="single" w:color="auto" w:sz="4" w:space="0"/>
                  </w:tcBorders>
                  <w:noWrap w:val="0"/>
                  <w:tcMar>
                    <w:left w:w="28" w:type="dxa"/>
                    <w:right w:w="28" w:type="dxa"/>
                  </w:tcMar>
                  <w:vAlign w:val="center"/>
                </w:tcPr>
                <w:p w14:paraId="50CB3849">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6台叠加</w:t>
                  </w:r>
                </w:p>
              </w:tc>
              <w:tc>
                <w:tcPr>
                  <w:tcW w:w="724" w:type="pct"/>
                  <w:tcBorders>
                    <w:top w:val="single" w:color="auto" w:sz="6" w:space="0"/>
                    <w:left w:val="nil"/>
                    <w:bottom w:val="single" w:color="auto" w:sz="12" w:space="0"/>
                    <w:right w:val="single" w:color="auto" w:sz="4" w:space="0"/>
                  </w:tcBorders>
                  <w:noWrap w:val="0"/>
                  <w:tcMar>
                    <w:left w:w="28" w:type="dxa"/>
                    <w:right w:w="28" w:type="dxa"/>
                  </w:tcMar>
                  <w:vAlign w:val="center"/>
                </w:tcPr>
                <w:p w14:paraId="39A71D51">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p>
              </w:tc>
              <w:tc>
                <w:tcPr>
                  <w:tcW w:w="492" w:type="pct"/>
                  <w:tcBorders>
                    <w:top w:val="single" w:color="auto" w:sz="6" w:space="0"/>
                    <w:left w:val="nil"/>
                    <w:bottom w:val="single" w:color="auto" w:sz="12" w:space="0"/>
                    <w:right w:val="single" w:color="auto" w:sz="6" w:space="0"/>
                  </w:tcBorders>
                  <w:noWrap w:val="0"/>
                  <w:tcMar>
                    <w:left w:w="28" w:type="dxa"/>
                    <w:right w:w="28" w:type="dxa"/>
                  </w:tcMar>
                  <w:vAlign w:val="center"/>
                </w:tcPr>
                <w:p w14:paraId="63E7B6F1">
                  <w:pPr>
                    <w:pStyle w:val="103"/>
                    <w:widowControl/>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w:t>
                  </w:r>
                </w:p>
              </w:tc>
              <w:tc>
                <w:tcPr>
                  <w:tcW w:w="329" w:type="pct"/>
                  <w:tcBorders>
                    <w:top w:val="single" w:color="auto" w:sz="6" w:space="0"/>
                    <w:left w:val="single" w:color="auto" w:sz="6" w:space="0"/>
                    <w:bottom w:val="single" w:color="auto" w:sz="12" w:space="0"/>
                    <w:right w:val="single" w:color="auto" w:sz="4" w:space="0"/>
                  </w:tcBorders>
                  <w:noWrap w:val="0"/>
                  <w:tcMar>
                    <w:left w:w="28" w:type="dxa"/>
                    <w:right w:w="28" w:type="dxa"/>
                  </w:tcMar>
                  <w:vAlign w:val="center"/>
                </w:tcPr>
                <w:p w14:paraId="103BEAF1">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94</w:t>
                  </w:r>
                </w:p>
              </w:tc>
              <w:tc>
                <w:tcPr>
                  <w:tcW w:w="357" w:type="pct"/>
                  <w:tcBorders>
                    <w:top w:val="single" w:color="auto" w:sz="6" w:space="0"/>
                    <w:left w:val="nil"/>
                    <w:bottom w:val="single" w:color="auto" w:sz="12" w:space="0"/>
                    <w:right w:val="single" w:color="auto" w:sz="6" w:space="0"/>
                  </w:tcBorders>
                  <w:noWrap w:val="0"/>
                  <w:tcMar>
                    <w:left w:w="28" w:type="dxa"/>
                    <w:right w:w="28" w:type="dxa"/>
                  </w:tcMar>
                  <w:vAlign w:val="center"/>
                </w:tcPr>
                <w:p w14:paraId="683C25BC">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90</w:t>
                  </w:r>
                </w:p>
              </w:tc>
              <w:tc>
                <w:tcPr>
                  <w:tcW w:w="357" w:type="pct"/>
                  <w:tcBorders>
                    <w:top w:val="single" w:color="auto" w:sz="6" w:space="0"/>
                    <w:left w:val="single" w:color="auto" w:sz="6" w:space="0"/>
                    <w:bottom w:val="single" w:color="auto" w:sz="12" w:space="0"/>
                    <w:right w:val="single" w:color="auto" w:sz="6" w:space="0"/>
                  </w:tcBorders>
                  <w:noWrap w:val="0"/>
                  <w:tcMar>
                    <w:left w:w="28" w:type="dxa"/>
                    <w:right w:w="28" w:type="dxa"/>
                  </w:tcMar>
                  <w:vAlign w:val="center"/>
                </w:tcPr>
                <w:p w14:paraId="36C96F75">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84</w:t>
                  </w:r>
                </w:p>
              </w:tc>
              <w:tc>
                <w:tcPr>
                  <w:tcW w:w="357" w:type="pct"/>
                  <w:tcBorders>
                    <w:top w:val="single" w:color="auto" w:sz="6" w:space="0"/>
                    <w:left w:val="single" w:color="auto" w:sz="6" w:space="0"/>
                    <w:bottom w:val="single" w:color="auto" w:sz="12" w:space="0"/>
                    <w:right w:val="single" w:color="auto" w:sz="6" w:space="0"/>
                  </w:tcBorders>
                  <w:noWrap w:val="0"/>
                  <w:tcMar>
                    <w:left w:w="28" w:type="dxa"/>
                    <w:right w:w="28" w:type="dxa"/>
                  </w:tcMar>
                  <w:vAlign w:val="center"/>
                </w:tcPr>
                <w:p w14:paraId="4E86BD02">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78</w:t>
                  </w:r>
                </w:p>
              </w:tc>
              <w:tc>
                <w:tcPr>
                  <w:tcW w:w="357" w:type="pct"/>
                  <w:tcBorders>
                    <w:top w:val="single" w:color="auto" w:sz="6" w:space="0"/>
                    <w:left w:val="single" w:color="auto" w:sz="6" w:space="0"/>
                    <w:bottom w:val="single" w:color="auto" w:sz="12" w:space="0"/>
                    <w:right w:val="single" w:color="auto" w:sz="6" w:space="0"/>
                  </w:tcBorders>
                  <w:noWrap w:val="0"/>
                  <w:tcMar>
                    <w:left w:w="28" w:type="dxa"/>
                    <w:right w:w="28" w:type="dxa"/>
                  </w:tcMar>
                  <w:vAlign w:val="center"/>
                </w:tcPr>
                <w:p w14:paraId="095996C3">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71</w:t>
                  </w:r>
                </w:p>
              </w:tc>
              <w:tc>
                <w:tcPr>
                  <w:tcW w:w="357" w:type="pct"/>
                  <w:tcBorders>
                    <w:top w:val="single" w:color="auto" w:sz="6" w:space="0"/>
                    <w:left w:val="single" w:color="auto" w:sz="6" w:space="0"/>
                    <w:bottom w:val="single" w:color="auto" w:sz="12" w:space="0"/>
                    <w:right w:val="single" w:color="auto" w:sz="6" w:space="0"/>
                  </w:tcBorders>
                  <w:noWrap w:val="0"/>
                  <w:tcMar>
                    <w:left w:w="28" w:type="dxa"/>
                    <w:right w:w="28" w:type="dxa"/>
                  </w:tcMar>
                  <w:vAlign w:val="center"/>
                </w:tcPr>
                <w:p w14:paraId="71F9BFF8">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70</w:t>
                  </w:r>
                </w:p>
              </w:tc>
              <w:tc>
                <w:tcPr>
                  <w:tcW w:w="382" w:type="pct"/>
                  <w:tcBorders>
                    <w:top w:val="single" w:color="auto" w:sz="6" w:space="0"/>
                    <w:left w:val="single" w:color="auto" w:sz="6" w:space="0"/>
                    <w:bottom w:val="single" w:color="auto" w:sz="12" w:space="0"/>
                    <w:right w:val="single" w:color="auto" w:sz="6" w:space="0"/>
                  </w:tcBorders>
                  <w:noWrap w:val="0"/>
                  <w:tcMar>
                    <w:left w:w="28" w:type="dxa"/>
                    <w:right w:w="28" w:type="dxa"/>
                  </w:tcMar>
                  <w:vAlign w:val="center"/>
                </w:tcPr>
                <w:p w14:paraId="5367C803">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66</w:t>
                  </w:r>
                </w:p>
              </w:tc>
              <w:tc>
                <w:tcPr>
                  <w:tcW w:w="395" w:type="pct"/>
                  <w:tcBorders>
                    <w:top w:val="single" w:color="auto" w:sz="6" w:space="0"/>
                    <w:left w:val="single" w:color="auto" w:sz="6" w:space="0"/>
                    <w:bottom w:val="single" w:color="auto" w:sz="12" w:space="0"/>
                    <w:right w:val="single" w:color="auto" w:sz="12" w:space="0"/>
                  </w:tcBorders>
                  <w:noWrap w:val="0"/>
                  <w:tcMar>
                    <w:left w:w="28" w:type="dxa"/>
                    <w:right w:w="28" w:type="dxa"/>
                  </w:tcMar>
                  <w:vAlign w:val="center"/>
                </w:tcPr>
                <w:p w14:paraId="5136309F">
                  <w:pPr>
                    <w:pStyle w:val="103"/>
                    <w:widowControl/>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64</w:t>
                  </w:r>
                </w:p>
              </w:tc>
            </w:tr>
          </w:tbl>
          <w:p w14:paraId="27E51D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color w:val="0000FF"/>
                <w:kern w:val="2"/>
                <w:sz w:val="21"/>
                <w:szCs w:val="21"/>
                <w:highlight w:val="none"/>
              </w:rPr>
            </w:pPr>
            <w:r>
              <w:rPr>
                <w:rFonts w:hint="eastAsia" w:ascii="宋体" w:hAnsi="宋体" w:eastAsia="宋体" w:cs="宋体"/>
                <w:color w:val="auto"/>
                <w:kern w:val="2"/>
                <w:sz w:val="21"/>
                <w:szCs w:val="21"/>
                <w:highlight w:val="none"/>
                <w:lang w:val="en-US" w:eastAsia="zh-CN" w:bidi="ar"/>
              </w:rPr>
              <w:t>注：按最不利情况假设施工设备距场界5m布置，叠加时按不利情况下6种设备各1台，集中紧邻同时施工时考虑。</w:t>
            </w:r>
          </w:p>
          <w:p w14:paraId="78639EB6">
            <w:pPr>
              <w:keepNext w:val="0"/>
              <w:keepLines w:val="0"/>
              <w:pageBreakBefore w:val="0"/>
              <w:widowControl w:val="0"/>
              <w:suppressLineNumbers w:val="0"/>
              <w:kinsoku/>
              <w:wordWrap/>
              <w:overflowPunct/>
              <w:topLinePunct w:val="0"/>
              <w:autoSpaceDE w:val="0"/>
              <w:autoSpaceDN/>
              <w:bidi w:val="0"/>
              <w:adjustRightInd/>
              <w:snapToGrid/>
              <w:spacing w:before="313" w:beforeLines="100" w:beforeAutospacing="0" w:after="0" w:afterAutospacing="0" w:line="360" w:lineRule="auto"/>
              <w:ind w:left="0" w:right="0" w:firstLine="480" w:firstLineChars="200"/>
              <w:jc w:val="both"/>
              <w:textAlignment w:val="auto"/>
              <w:rPr>
                <w:rFonts w:hint="eastAsia" w:ascii="宋体" w:hAnsi="宋体" w:eastAsia="宋体" w:cs="宋体"/>
                <w:b/>
                <w:bCs/>
                <w:color w:val="auto"/>
                <w:sz w:val="24"/>
                <w:szCs w:val="21"/>
                <w:highlight w:val="none"/>
              </w:rPr>
            </w:pPr>
            <w:r>
              <w:rPr>
                <w:rFonts w:hint="eastAsia" w:ascii="宋体" w:hAnsi="宋体" w:eastAsia="宋体" w:cs="宋体"/>
                <w:color w:val="auto"/>
                <w:kern w:val="2"/>
                <w:sz w:val="24"/>
                <w:szCs w:val="24"/>
                <w:highlight w:val="none"/>
                <w:lang w:val="en-US" w:eastAsia="zh-CN" w:bidi="ar"/>
              </w:rPr>
              <w:t>《建筑施工场界环境噪声排放标准》</w:t>
            </w:r>
            <w:r>
              <w:rPr>
                <w:rFonts w:hint="eastAsia" w:ascii="宋体" w:hAnsi="宋体" w:cs="宋体"/>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GB12523-2011</w:t>
            </w:r>
            <w:r>
              <w:rPr>
                <w:rFonts w:hint="eastAsia" w:ascii="宋体" w:hAnsi="宋体" w:cs="宋体"/>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适用范围为建筑施工场地周围有噪声保护目标的噪声排放的管理、评价及控制。由于</w:t>
            </w:r>
            <w:r>
              <w:rPr>
                <w:rFonts w:hint="eastAsia" w:ascii="宋体" w:hAnsi="宋体" w:cs="宋体"/>
                <w:color w:val="auto"/>
                <w:kern w:val="2"/>
                <w:sz w:val="24"/>
                <w:szCs w:val="24"/>
                <w:highlight w:val="none"/>
                <w:lang w:val="en-US" w:eastAsia="zh-CN" w:bidi="ar"/>
              </w:rPr>
              <w:t>输变电项目</w:t>
            </w:r>
            <w:r>
              <w:rPr>
                <w:rFonts w:hint="eastAsia" w:ascii="宋体" w:hAnsi="宋体" w:eastAsia="宋体" w:cs="宋体"/>
                <w:color w:val="auto"/>
                <w:kern w:val="2"/>
                <w:sz w:val="24"/>
                <w:szCs w:val="24"/>
                <w:highlight w:val="none"/>
                <w:lang w:val="en-US" w:eastAsia="zh-CN" w:bidi="ar"/>
              </w:rPr>
              <w:t>施工范围小，工程量小，高噪声设备数量少，不会有超过6台高噪声设备紧邻且同时施工，按最不利情况，6台高噪声设备紧邻且同时施工时离声源96m之外均可衰减至70dB</w:t>
            </w:r>
            <w:r>
              <w:rPr>
                <w:rFonts w:hint="eastAsia" w:ascii="宋体" w:hAnsi="宋体" w:cs="宋体"/>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A</w:t>
            </w:r>
            <w:r>
              <w:rPr>
                <w:rFonts w:hint="eastAsia" w:ascii="宋体" w:hAnsi="宋体" w:cs="宋体"/>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以下。声环境影响主要由施工机械噪声引起，夜间禁止使用噪声较大的施工机械</w:t>
            </w:r>
            <w:r>
              <w:rPr>
                <w:rFonts w:hint="eastAsia" w:ascii="宋体" w:hAnsi="宋体" w:cs="宋体"/>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如混凝土输送泵等</w:t>
            </w:r>
            <w:r>
              <w:rPr>
                <w:rFonts w:hint="eastAsia" w:ascii="宋体" w:hAnsi="宋体" w:cs="宋体"/>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，昼间施工时也应尽量合理安排，缩短高噪声设备的使用时间，本</w:t>
            </w:r>
            <w:r>
              <w:rPr>
                <w:rFonts w:hint="eastAsia" w:ascii="宋体" w:hAnsi="宋体" w:cs="宋体"/>
                <w:color w:val="auto"/>
                <w:kern w:val="2"/>
                <w:sz w:val="24"/>
                <w:szCs w:val="24"/>
                <w:highlight w:val="none"/>
                <w:lang w:val="en-US" w:eastAsia="zh-CN" w:bidi="ar"/>
              </w:rPr>
              <w:t>项目</w:t>
            </w:r>
            <w:r>
              <w:rPr>
                <w:rFonts w:hint="eastAsia" w:ascii="宋体" w:hAnsi="宋体" w:eastAsia="宋体" w:cs="宋体"/>
                <w:color w:val="auto"/>
                <w:kern w:val="2"/>
                <w:sz w:val="24"/>
                <w:szCs w:val="24"/>
                <w:highlight w:val="none"/>
                <w:lang w:val="en-US" w:eastAsia="zh-CN" w:bidi="ar"/>
              </w:rPr>
              <w:t>升压站外噪声评价范围内无声环境保护目标分布，故其建设对周围声环境影响很小。施工噪声影响具有暂时性特点，一旦施工活动结束，施工噪声影响也就随之消除。</w:t>
            </w:r>
          </w:p>
          <w:p w14:paraId="78EBC3BE">
            <w:pPr>
              <w:keepNext w:val="0"/>
              <w:keepLines w:val="0"/>
              <w:suppressLineNumbers w:val="0"/>
              <w:spacing w:before="0" w:beforeAutospacing="0" w:after="0" w:afterAutospacing="0" w:line="360" w:lineRule="auto"/>
              <w:ind w:left="0" w:right="0"/>
              <w:rPr>
                <w:rFonts w:hint="eastAsia" w:ascii="宋体" w:hAnsi="宋体" w:eastAsia="宋体" w:cs="宋体"/>
                <w:b/>
                <w:bCs/>
                <w:color w:val="auto"/>
                <w:sz w:val="24"/>
                <w:szCs w:val="21"/>
                <w:highlight w:val="none"/>
              </w:rPr>
            </w:pPr>
            <w:r>
              <w:rPr>
                <w:rFonts w:hint="eastAsia" w:ascii="宋体" w:hAnsi="宋体" w:eastAsia="宋体" w:cs="宋体"/>
                <w:b/>
                <w:bCs/>
                <w:color w:val="auto"/>
                <w:sz w:val="24"/>
                <w:szCs w:val="21"/>
                <w:highlight w:val="none"/>
              </w:rPr>
              <w:t>4固体废物对环境的影响</w:t>
            </w:r>
          </w:p>
          <w:p w14:paraId="15A22877">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施工期间将产生固体废物，主要包括施工土石方、生活垃圾、各类建材包装箱袋以及设备安装包装物等。</w:t>
            </w:r>
          </w:p>
          <w:p w14:paraId="490AAE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64" w:firstLineChars="200"/>
              <w:textAlignment w:val="auto"/>
              <w:rPr>
                <w:rFonts w:hint="eastAsia" w:ascii="宋体" w:hAnsi="宋体" w:eastAsia="宋体" w:cs="宋体"/>
                <w:color w:val="auto"/>
                <w:spacing w:val="-4"/>
                <w:sz w:val="24"/>
                <w:szCs w:val="21"/>
                <w:highlight w:val="none"/>
              </w:rPr>
            </w:pPr>
            <w:r>
              <w:rPr>
                <w:rFonts w:hint="eastAsia" w:ascii="Times New Roman" w:hAnsi="Times New Roman" w:eastAsia="宋体" w:cs="Times New Roman"/>
                <w:color w:val="auto"/>
                <w:spacing w:val="-4"/>
                <w:sz w:val="24"/>
                <w:highlight w:val="none"/>
                <w:lang w:val="en-US" w:eastAsia="zh-CN"/>
              </w:rPr>
              <w:t>本项目</w:t>
            </w:r>
            <w:r>
              <w:rPr>
                <w:rFonts w:hint="eastAsia" w:cs="Times New Roman"/>
                <w:color w:val="auto"/>
                <w:spacing w:val="-4"/>
                <w:sz w:val="24"/>
                <w:highlight w:val="none"/>
                <w:lang w:val="en-US" w:eastAsia="zh-CN"/>
              </w:rPr>
              <w:t>大唐</w:t>
            </w:r>
            <w:r>
              <w:rPr>
                <w:rFonts w:hint="eastAsia" w:asciiTheme="minorEastAsia" w:hAnsiTheme="minorEastAsia" w:eastAsiaTheme="minorEastAsia" w:cstheme="minorEastAsia"/>
                <w:color w:val="auto"/>
                <w:spacing w:val="-4"/>
                <w:sz w:val="24"/>
                <w:highlight w:val="none"/>
                <w:lang w:val="en-US" w:eastAsia="zh-CN"/>
              </w:rPr>
              <w:t>鄯善东220kV变电站扩建1个220千伏出线间隔，施工期产生土方量较少，用于变电站场地平整。施工期土石方施工活动主要为拟建升压站基础以及输电线路塔基施工过程中的土石方开挖回填。根据可研，本项目升压站挖方量</w:t>
            </w:r>
            <w:r>
              <w:rPr>
                <w:rFonts w:hint="eastAsia" w:asciiTheme="minorEastAsia" w:hAnsiTheme="minorEastAsia" w:eastAsiaTheme="minorEastAsia" w:cstheme="minorEastAsia"/>
                <w:snapToGrid w:val="0"/>
                <w:color w:val="auto"/>
                <w:kern w:val="0"/>
                <w:sz w:val="24"/>
                <w:szCs w:val="21"/>
                <w:highlight w:val="none"/>
                <w:lang w:val="en-US" w:eastAsia="zh-CN"/>
              </w:rPr>
              <w:t>约11700m</w:t>
            </w:r>
            <w:r>
              <w:rPr>
                <w:rFonts w:hint="eastAsia" w:asciiTheme="minorEastAsia" w:hAnsiTheme="minorEastAsia" w:eastAsiaTheme="minorEastAsia" w:cstheme="minorEastAsia"/>
                <w:snapToGrid w:val="0"/>
                <w:color w:val="auto"/>
                <w:kern w:val="0"/>
                <w:sz w:val="24"/>
                <w:szCs w:val="21"/>
                <w:highlight w:val="none"/>
                <w:vertAlign w:val="superscript"/>
                <w:lang w:val="en-US" w:eastAsia="zh-CN"/>
              </w:rPr>
              <w:t>3</w:t>
            </w:r>
            <w:r>
              <w:rPr>
                <w:rFonts w:hint="eastAsia" w:asciiTheme="minorEastAsia" w:hAnsiTheme="minorEastAsia" w:eastAsiaTheme="minorEastAsia" w:cstheme="minorEastAsia"/>
                <w:snapToGrid w:val="0"/>
                <w:color w:val="auto"/>
                <w:kern w:val="0"/>
                <w:sz w:val="24"/>
                <w:szCs w:val="21"/>
                <w:highlight w:val="none"/>
                <w:lang w:val="en-US" w:eastAsia="zh-CN"/>
              </w:rPr>
              <w:t>，填方量约30420万m</w:t>
            </w:r>
            <w:r>
              <w:rPr>
                <w:rFonts w:hint="eastAsia" w:asciiTheme="minorEastAsia" w:hAnsiTheme="minorEastAsia" w:eastAsiaTheme="minorEastAsia" w:cstheme="minorEastAsia"/>
                <w:snapToGrid w:val="0"/>
                <w:color w:val="auto"/>
                <w:kern w:val="0"/>
                <w:sz w:val="24"/>
                <w:szCs w:val="21"/>
                <w:highlight w:val="none"/>
                <w:vertAlign w:val="superscript"/>
                <w:lang w:val="en-US" w:eastAsia="zh-CN"/>
              </w:rPr>
              <w:t>3</w:t>
            </w:r>
            <w:r>
              <w:rPr>
                <w:rFonts w:hint="eastAsia" w:asciiTheme="minorEastAsia" w:hAnsiTheme="minorEastAsia" w:eastAsiaTheme="minorEastAsia" w:cstheme="minorEastAsia"/>
                <w:snapToGrid w:val="0"/>
                <w:color w:val="auto"/>
                <w:kern w:val="0"/>
                <w:sz w:val="24"/>
                <w:szCs w:val="21"/>
                <w:highlight w:val="none"/>
                <w:lang w:val="en-US" w:eastAsia="zh-CN"/>
              </w:rPr>
              <w:t>，还需外购土石方18720m</w:t>
            </w:r>
            <w:r>
              <w:rPr>
                <w:rFonts w:hint="eastAsia" w:asciiTheme="minorEastAsia" w:hAnsiTheme="minorEastAsia" w:eastAsiaTheme="minorEastAsia" w:cstheme="minorEastAsia"/>
                <w:snapToGrid w:val="0"/>
                <w:color w:val="auto"/>
                <w:kern w:val="0"/>
                <w:sz w:val="24"/>
                <w:szCs w:val="21"/>
                <w:highlight w:val="none"/>
                <w:vertAlign w:val="superscript"/>
                <w:lang w:val="en-US" w:eastAsia="zh-CN"/>
              </w:rPr>
              <w:t>3</w:t>
            </w:r>
            <w:r>
              <w:rPr>
                <w:rFonts w:hint="eastAsia" w:asciiTheme="minorEastAsia" w:hAnsiTheme="minorEastAsia" w:eastAsiaTheme="minorEastAsia" w:cstheme="minorEastAsia"/>
                <w:color w:val="auto"/>
                <w:spacing w:val="-4"/>
                <w:sz w:val="24"/>
                <w:highlight w:val="none"/>
                <w:lang w:val="en-US" w:eastAsia="zh-CN"/>
              </w:rPr>
              <w:t>。本项目全线共计29基铁塔，每基铁塔开挖量60</w:t>
            </w:r>
            <w:r>
              <w:rPr>
                <w:rFonts w:hint="eastAsia" w:asciiTheme="minorEastAsia" w:hAnsiTheme="minorEastAsia" w:eastAsiaTheme="minorEastAsia" w:cstheme="minorEastAsia"/>
                <w:color w:val="auto"/>
                <w:spacing w:val="-4"/>
                <w:sz w:val="24"/>
                <w:highlight w:val="none"/>
              </w:rPr>
              <w:t>m</w:t>
            </w:r>
            <w:r>
              <w:rPr>
                <w:rFonts w:hint="eastAsia" w:asciiTheme="minorEastAsia" w:hAnsiTheme="minorEastAsia" w:eastAsiaTheme="minorEastAsia" w:cstheme="minorEastAsia"/>
                <w:color w:val="auto"/>
                <w:spacing w:val="-4"/>
                <w:sz w:val="24"/>
                <w:highlight w:val="none"/>
                <w:vertAlign w:val="superscript"/>
              </w:rPr>
              <w:t>3</w:t>
            </w:r>
            <w:r>
              <w:rPr>
                <w:rFonts w:hint="eastAsia" w:asciiTheme="minorEastAsia" w:hAnsiTheme="minorEastAsia" w:eastAsiaTheme="minorEastAsia" w:cstheme="minorEastAsia"/>
                <w:color w:val="auto"/>
                <w:spacing w:val="-4"/>
                <w:sz w:val="24"/>
                <w:highlight w:val="none"/>
                <w:lang w:val="en-US" w:eastAsia="zh-CN"/>
              </w:rPr>
              <w:t>计，总挖方量1740</w:t>
            </w:r>
            <w:r>
              <w:rPr>
                <w:rFonts w:hint="eastAsia" w:asciiTheme="minorEastAsia" w:hAnsiTheme="minorEastAsia" w:eastAsiaTheme="minorEastAsia" w:cstheme="minorEastAsia"/>
                <w:color w:val="auto"/>
                <w:spacing w:val="-4"/>
                <w:sz w:val="24"/>
                <w:highlight w:val="none"/>
              </w:rPr>
              <w:t>m</w:t>
            </w:r>
            <w:r>
              <w:rPr>
                <w:rFonts w:hint="eastAsia" w:asciiTheme="minorEastAsia" w:hAnsiTheme="minorEastAsia" w:eastAsiaTheme="minorEastAsia" w:cstheme="minorEastAsia"/>
                <w:color w:val="auto"/>
                <w:spacing w:val="-4"/>
                <w:sz w:val="24"/>
                <w:highlight w:val="none"/>
                <w:vertAlign w:val="superscript"/>
              </w:rPr>
              <w:t>3</w:t>
            </w:r>
            <w:r>
              <w:rPr>
                <w:rFonts w:hint="eastAsia" w:asciiTheme="minorEastAsia" w:hAnsiTheme="minorEastAsia" w:eastAsiaTheme="minorEastAsia" w:cstheme="minorEastAsia"/>
                <w:color w:val="auto"/>
                <w:spacing w:val="-4"/>
                <w:sz w:val="24"/>
                <w:highlight w:val="none"/>
                <w:lang w:val="en-US" w:eastAsia="zh-CN"/>
              </w:rPr>
              <w:t>。塔基施工结束后回填方量1160</w:t>
            </w:r>
            <w:r>
              <w:rPr>
                <w:rFonts w:hint="eastAsia" w:asciiTheme="minorEastAsia" w:hAnsiTheme="minorEastAsia" w:eastAsiaTheme="minorEastAsia" w:cstheme="minorEastAsia"/>
                <w:color w:val="auto"/>
                <w:spacing w:val="-4"/>
                <w:sz w:val="24"/>
                <w:highlight w:val="none"/>
              </w:rPr>
              <w:t>m</w:t>
            </w:r>
            <w:r>
              <w:rPr>
                <w:rFonts w:hint="eastAsia" w:asciiTheme="minorEastAsia" w:hAnsiTheme="minorEastAsia" w:eastAsiaTheme="minorEastAsia" w:cstheme="minorEastAsia"/>
                <w:color w:val="auto"/>
                <w:spacing w:val="-4"/>
                <w:sz w:val="24"/>
                <w:highlight w:val="none"/>
                <w:vertAlign w:val="superscript"/>
              </w:rPr>
              <w:t>3</w:t>
            </w:r>
            <w:r>
              <w:rPr>
                <w:rFonts w:hint="eastAsia" w:asciiTheme="minorEastAsia" w:hAnsiTheme="minorEastAsia" w:eastAsiaTheme="minorEastAsia" w:cstheme="minorEastAsia"/>
                <w:color w:val="auto"/>
                <w:spacing w:val="-4"/>
                <w:sz w:val="24"/>
                <w:highlight w:val="none"/>
                <w:lang w:val="en-US" w:eastAsia="zh-CN"/>
              </w:rPr>
              <w:t>，剩余580</w:t>
            </w:r>
            <w:r>
              <w:rPr>
                <w:rFonts w:hint="eastAsia" w:asciiTheme="minorEastAsia" w:hAnsiTheme="minorEastAsia" w:eastAsiaTheme="minorEastAsia" w:cstheme="minorEastAsia"/>
                <w:color w:val="auto"/>
                <w:spacing w:val="-4"/>
                <w:sz w:val="24"/>
                <w:highlight w:val="none"/>
              </w:rPr>
              <w:t>m</w:t>
            </w:r>
            <w:r>
              <w:rPr>
                <w:rFonts w:hint="eastAsia" w:asciiTheme="minorEastAsia" w:hAnsiTheme="minorEastAsia" w:eastAsiaTheme="minorEastAsia" w:cstheme="minorEastAsia"/>
                <w:color w:val="auto"/>
                <w:spacing w:val="-4"/>
                <w:sz w:val="24"/>
                <w:highlight w:val="none"/>
                <w:vertAlign w:val="superscript"/>
              </w:rPr>
              <w:t>3</w:t>
            </w:r>
            <w:r>
              <w:rPr>
                <w:rFonts w:hint="eastAsia" w:asciiTheme="minorEastAsia" w:hAnsiTheme="minorEastAsia" w:eastAsiaTheme="minorEastAsia" w:cstheme="minorEastAsia"/>
                <w:color w:val="auto"/>
                <w:spacing w:val="-4"/>
                <w:sz w:val="24"/>
                <w:highlight w:val="none"/>
                <w:lang w:val="en-US" w:eastAsia="zh-CN"/>
              </w:rPr>
              <w:t>土方用于塔基护坡基平整。因此，本项目</w:t>
            </w:r>
            <w:r>
              <w:rPr>
                <w:rFonts w:hint="eastAsia" w:asciiTheme="minorEastAsia" w:hAnsiTheme="minorEastAsia" w:eastAsiaTheme="minorEastAsia" w:cstheme="minorEastAsia"/>
                <w:snapToGrid w:val="0"/>
                <w:color w:val="auto"/>
                <w:kern w:val="0"/>
                <w:sz w:val="24"/>
                <w:szCs w:val="21"/>
                <w:highlight w:val="none"/>
                <w:lang w:val="en-US" w:eastAsia="zh-CN"/>
              </w:rPr>
              <w:t>无永久弃方，不设置弃渣场。</w:t>
            </w:r>
          </w:p>
          <w:p w14:paraId="1BC344DE">
            <w:pPr>
              <w:keepNext w:val="0"/>
              <w:keepLines w:val="0"/>
              <w:suppressLineNumbers w:val="0"/>
              <w:spacing w:before="0" w:beforeAutospacing="0" w:after="0" w:afterAutospacing="0" w:line="360" w:lineRule="auto"/>
              <w:ind w:left="0" w:right="0" w:firstLine="464" w:firstLineChars="200"/>
              <w:rPr>
                <w:rFonts w:hint="eastAsia" w:ascii="宋体" w:hAnsi="宋体" w:eastAsia="宋体" w:cs="宋体"/>
                <w:b/>
                <w:bCs/>
                <w:color w:val="auto"/>
                <w:sz w:val="24"/>
                <w:szCs w:val="21"/>
                <w:highlight w:val="yellow"/>
              </w:rPr>
            </w:pPr>
            <w:r>
              <w:rPr>
                <w:rFonts w:hint="eastAsia" w:ascii="宋体" w:hAnsi="宋体" w:eastAsia="宋体" w:cs="Calibri"/>
                <w:color w:val="auto"/>
                <w:spacing w:val="-4"/>
                <w:sz w:val="24"/>
                <w:szCs w:val="21"/>
                <w:highlight w:val="none"/>
                <w:lang w:val="en-US" w:eastAsia="zh-CN"/>
              </w:rPr>
              <w:t>项目</w:t>
            </w:r>
            <w:r>
              <w:rPr>
                <w:rFonts w:hint="eastAsia" w:ascii="宋体" w:hAnsi="宋体" w:eastAsia="宋体" w:cs="Calibri"/>
                <w:color w:val="auto"/>
                <w:spacing w:val="-4"/>
                <w:sz w:val="24"/>
                <w:szCs w:val="21"/>
                <w:highlight w:val="none"/>
              </w:rPr>
              <w:t>施工完毕后及时对扰动地表进行平整恢复</w:t>
            </w:r>
            <w:r>
              <w:rPr>
                <w:rFonts w:hint="eastAsia" w:ascii="宋体" w:hAnsi="宋体" w:eastAsia="宋体" w:cs="Calibri"/>
                <w:color w:val="auto"/>
                <w:sz w:val="24"/>
                <w:szCs w:val="21"/>
                <w:highlight w:val="none"/>
              </w:rPr>
              <w:t>，减少水土流失。</w:t>
            </w:r>
            <w:r>
              <w:rPr>
                <w:rFonts w:hint="eastAsia" w:ascii="宋体" w:hAnsi="宋体" w:eastAsia="宋体" w:cs="宋体"/>
                <w:color w:val="auto"/>
                <w:sz w:val="24"/>
                <w:szCs w:val="24"/>
                <w:highlight w:val="none"/>
              </w:rPr>
              <w:t>对于各类建材安装或使用后产生的废弃包装箱</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袋</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统一回收后外卖给废品收购站综合利用。</w:t>
            </w:r>
            <w:r>
              <w:rPr>
                <w:rFonts w:hint="eastAsia" w:ascii="宋体" w:hAnsi="宋体" w:eastAsia="宋体" w:cs="宋体"/>
                <w:color w:val="auto"/>
                <w:sz w:val="24"/>
                <w:szCs w:val="24"/>
                <w:highlight w:val="none"/>
                <w:lang w:eastAsia="zh-CN"/>
              </w:rPr>
              <w:t>本项目</w:t>
            </w:r>
            <w:r>
              <w:rPr>
                <w:rFonts w:hint="eastAsia" w:ascii="宋体" w:hAnsi="宋体" w:eastAsia="宋体" w:cs="宋体"/>
                <w:color w:val="auto"/>
                <w:sz w:val="24"/>
                <w:szCs w:val="24"/>
                <w:highlight w:val="none"/>
              </w:rPr>
              <w:t>施工人员约</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0人，施工期为</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个月，</w:t>
            </w:r>
            <w:r>
              <w:rPr>
                <w:rFonts w:hint="eastAsia" w:ascii="宋体" w:hAnsi="宋体" w:eastAsia="宋体" w:cs="宋体"/>
                <w:color w:val="auto"/>
                <w:kern w:val="24"/>
                <w:sz w:val="24"/>
                <w:szCs w:val="24"/>
                <w:highlight w:val="none"/>
              </w:rPr>
              <w:t>生活垃圾按</w:t>
            </w:r>
            <w:r>
              <w:rPr>
                <w:rFonts w:hint="eastAsia" w:ascii="宋体" w:hAnsi="宋体" w:eastAsia="宋体" w:cs="宋体"/>
                <w:color w:val="auto"/>
                <w:sz w:val="24"/>
                <w:szCs w:val="24"/>
                <w:highlight w:val="none"/>
              </w:rPr>
              <w:t>0.2kg/人·d计算，则施工期产生的垃圾总量约</w:t>
            </w: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t。施工前应对施工人员进行宣传和教育，要求施工中产生的生活垃圾，如饭盒，矿泉水瓶等应集中收集放置在施工营地带盖垃圾箱，</w:t>
            </w:r>
            <w:r>
              <w:rPr>
                <w:rFonts w:hint="eastAsia" w:ascii="宋体" w:hAnsi="宋体" w:cs="宋体"/>
                <w:color w:val="auto"/>
                <w:sz w:val="24"/>
                <w:szCs w:val="24"/>
                <w:highlight w:val="none"/>
                <w:lang w:val="en-US" w:eastAsia="zh-CN"/>
              </w:rPr>
              <w:t>集中收集后委托环卫部门统一清运至鄯善县生活垃圾填埋场</w:t>
            </w:r>
            <w:r>
              <w:rPr>
                <w:rFonts w:hint="eastAsia" w:ascii="宋体" w:hAnsi="宋体" w:eastAsia="宋体" w:cs="宋体"/>
                <w:color w:val="auto"/>
                <w:kern w:val="0"/>
                <w:sz w:val="24"/>
                <w:szCs w:val="24"/>
                <w:highlight w:val="none"/>
              </w:rPr>
              <w:t>处置。</w:t>
            </w:r>
          </w:p>
          <w:p w14:paraId="7F7CA279">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b/>
                <w:bCs/>
                <w:color w:val="auto"/>
                <w:sz w:val="24"/>
                <w:szCs w:val="21"/>
                <w:highlight w:val="none"/>
              </w:rPr>
            </w:pPr>
            <w:r>
              <w:rPr>
                <w:rFonts w:hint="eastAsia" w:ascii="宋体" w:hAnsi="宋体" w:eastAsia="宋体" w:cs="宋体"/>
                <w:b/>
                <w:bCs/>
                <w:color w:val="auto"/>
                <w:sz w:val="24"/>
                <w:szCs w:val="21"/>
                <w:highlight w:val="none"/>
              </w:rPr>
              <w:t>5生态环境影响分析</w:t>
            </w:r>
          </w:p>
          <w:p w14:paraId="31AD6C61">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b/>
                <w:bCs/>
                <w:color w:val="auto"/>
                <w:sz w:val="24"/>
                <w:szCs w:val="21"/>
                <w:highlight w:val="none"/>
              </w:rPr>
            </w:pPr>
            <w:r>
              <w:rPr>
                <w:rFonts w:hint="eastAsia" w:ascii="宋体" w:hAnsi="宋体" w:eastAsia="宋体" w:cs="宋体"/>
                <w:b/>
                <w:bCs/>
                <w:color w:val="auto"/>
                <w:sz w:val="24"/>
                <w:szCs w:val="21"/>
                <w:highlight w:val="none"/>
              </w:rPr>
              <w:t>5.1土地利用的影响</w:t>
            </w:r>
          </w:p>
          <w:p w14:paraId="19434A61">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lang w:eastAsia="zh-CN"/>
              </w:rPr>
              <w:t>本项目</w:t>
            </w:r>
            <w:r>
              <w:rPr>
                <w:rFonts w:hint="eastAsia" w:ascii="宋体" w:hAnsi="宋体" w:eastAsia="宋体" w:cs="宋体"/>
                <w:color w:val="auto"/>
                <w:sz w:val="24"/>
                <w:szCs w:val="21"/>
                <w:highlight w:val="none"/>
              </w:rPr>
              <w:t>施工过程中的基础开挖对土地造成扰动影响，堆填土石方等工程可能引起水土流失。</w:t>
            </w:r>
            <w:r>
              <w:rPr>
                <w:rFonts w:hint="eastAsia" w:ascii="宋体" w:hAnsi="宋体" w:cs="宋体"/>
                <w:color w:val="auto"/>
                <w:sz w:val="24"/>
                <w:szCs w:val="21"/>
                <w:highlight w:val="none"/>
                <w:lang w:eastAsia="zh-CN"/>
              </w:rPr>
              <w:t>基坑开挖</w:t>
            </w:r>
            <w:r>
              <w:rPr>
                <w:rFonts w:hint="eastAsia" w:ascii="宋体" w:hAnsi="宋体" w:eastAsia="宋体" w:cs="宋体"/>
                <w:color w:val="auto"/>
                <w:sz w:val="24"/>
                <w:szCs w:val="21"/>
                <w:highlight w:val="none"/>
              </w:rPr>
              <w:t>占地等临时占地，将破坏原有地表形态，引起水土流失量增加。要求在电缆沟开挖过程中尽量减少对周围土地的扰动，临时弃土合理堆放，尽量减少水土流失量。</w:t>
            </w:r>
          </w:p>
          <w:p w14:paraId="34A00A50">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lang w:val="en-US" w:eastAsia="zh-CN"/>
              </w:rPr>
              <w:t>本项目</w:t>
            </w:r>
            <w:r>
              <w:rPr>
                <w:rFonts w:hint="eastAsia" w:ascii="宋体" w:hAnsi="宋体" w:eastAsia="宋体" w:cs="宋体"/>
                <w:color w:val="auto"/>
                <w:sz w:val="24"/>
                <w:szCs w:val="21"/>
                <w:highlight w:val="none"/>
              </w:rPr>
              <w:t>施工结束后施工临时建筑及施工期环保设施全部拆除，经采取恢复保护措施使其恢复至原有土地利用功能。因此，</w:t>
            </w:r>
            <w:r>
              <w:rPr>
                <w:rFonts w:hint="eastAsia" w:ascii="宋体" w:hAnsi="宋体" w:eastAsia="宋体" w:cs="宋体"/>
                <w:color w:val="auto"/>
                <w:sz w:val="24"/>
                <w:szCs w:val="21"/>
                <w:highlight w:val="none"/>
                <w:lang w:eastAsia="zh-CN"/>
              </w:rPr>
              <w:t>本项目</w:t>
            </w:r>
            <w:r>
              <w:rPr>
                <w:rFonts w:hint="eastAsia" w:ascii="宋体" w:hAnsi="宋体" w:eastAsia="宋体" w:cs="宋体"/>
                <w:color w:val="auto"/>
                <w:sz w:val="24"/>
                <w:szCs w:val="21"/>
                <w:highlight w:val="none"/>
              </w:rPr>
              <w:t>施工期对土地利用功能影响不大。</w:t>
            </w:r>
          </w:p>
          <w:p w14:paraId="4C9EA1A3">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施工活动严格控制在征地范围内，尽可能减少对周围土地的破坏，施工道路</w:t>
            </w:r>
            <w:r>
              <w:rPr>
                <w:rFonts w:hint="eastAsia" w:ascii="宋体" w:hAnsi="宋体" w:eastAsia="宋体" w:cs="宋体"/>
                <w:color w:val="auto"/>
                <w:sz w:val="24"/>
                <w:szCs w:val="21"/>
                <w:highlight w:val="none"/>
                <w:lang w:val="en-US" w:eastAsia="zh-CN"/>
              </w:rPr>
              <w:t>与风电场</w:t>
            </w:r>
            <w:r>
              <w:rPr>
                <w:rFonts w:hint="eastAsia" w:ascii="宋体" w:hAnsi="宋体" w:eastAsia="宋体" w:cs="宋体"/>
                <w:color w:val="auto"/>
                <w:sz w:val="24"/>
                <w:szCs w:val="21"/>
                <w:highlight w:val="none"/>
              </w:rPr>
              <w:t>进行一次性规划，施工道路不再单独临时征用土地；施工道路应有固定路线，不要随意向两边拓展或</w:t>
            </w:r>
            <w:r>
              <w:rPr>
                <w:rFonts w:hint="eastAsia" w:ascii="宋体" w:hAnsi="宋体" w:cs="宋体"/>
                <w:color w:val="auto"/>
                <w:sz w:val="24"/>
                <w:szCs w:val="21"/>
                <w:highlight w:val="none"/>
                <w:lang w:eastAsia="zh-CN"/>
              </w:rPr>
              <w:t>单独</w:t>
            </w:r>
            <w:r>
              <w:rPr>
                <w:rFonts w:hint="eastAsia" w:ascii="宋体" w:hAnsi="宋体" w:eastAsia="宋体" w:cs="宋体"/>
                <w:color w:val="auto"/>
                <w:sz w:val="24"/>
                <w:szCs w:val="21"/>
                <w:highlight w:val="none"/>
              </w:rPr>
              <w:t>开道，减少对土地的破坏、占用；电气设备必须严格</w:t>
            </w:r>
            <w:r>
              <w:rPr>
                <w:rFonts w:hint="eastAsia" w:ascii="宋体" w:hAnsi="宋体" w:cs="宋体"/>
                <w:color w:val="auto"/>
                <w:sz w:val="24"/>
                <w:szCs w:val="21"/>
                <w:highlight w:val="none"/>
                <w:lang w:eastAsia="zh-CN"/>
              </w:rPr>
              <w:t>按照</w:t>
            </w:r>
            <w:r>
              <w:rPr>
                <w:rFonts w:hint="eastAsia" w:ascii="宋体" w:hAnsi="宋体" w:eastAsia="宋体" w:cs="宋体"/>
                <w:color w:val="auto"/>
                <w:sz w:val="24"/>
                <w:szCs w:val="21"/>
                <w:highlight w:val="none"/>
              </w:rPr>
              <w:t>设计规划指定位置来放置，各施工机械和设备不得随意堆放，以便能有效</w:t>
            </w:r>
            <w:r>
              <w:rPr>
                <w:rFonts w:hint="eastAsia" w:ascii="宋体" w:hAnsi="宋体" w:cs="宋体"/>
                <w:color w:val="auto"/>
                <w:sz w:val="24"/>
                <w:szCs w:val="21"/>
                <w:highlight w:val="none"/>
                <w:lang w:eastAsia="zh-CN"/>
              </w:rPr>
              <w:t>地</w:t>
            </w:r>
            <w:r>
              <w:rPr>
                <w:rFonts w:hint="eastAsia" w:ascii="宋体" w:hAnsi="宋体" w:eastAsia="宋体" w:cs="宋体"/>
                <w:color w:val="auto"/>
                <w:sz w:val="24"/>
                <w:szCs w:val="21"/>
                <w:highlight w:val="none"/>
              </w:rPr>
              <w:t>控制占地面积，更好</w:t>
            </w:r>
            <w:r>
              <w:rPr>
                <w:rFonts w:hint="eastAsia" w:ascii="宋体" w:hAnsi="宋体" w:cs="宋体"/>
                <w:color w:val="auto"/>
                <w:sz w:val="24"/>
                <w:szCs w:val="21"/>
                <w:highlight w:val="none"/>
                <w:lang w:eastAsia="zh-CN"/>
              </w:rPr>
              <w:t>地</w:t>
            </w:r>
            <w:r>
              <w:rPr>
                <w:rFonts w:hint="eastAsia" w:ascii="宋体" w:hAnsi="宋体" w:eastAsia="宋体" w:cs="宋体"/>
                <w:color w:val="auto"/>
                <w:sz w:val="24"/>
                <w:szCs w:val="21"/>
                <w:highlight w:val="none"/>
              </w:rPr>
              <w:t>保护原地貌。</w:t>
            </w:r>
          </w:p>
          <w:p w14:paraId="060C352D">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b/>
                <w:bCs/>
                <w:color w:val="auto"/>
                <w:sz w:val="24"/>
                <w:szCs w:val="21"/>
                <w:highlight w:val="none"/>
              </w:rPr>
            </w:pPr>
            <w:r>
              <w:rPr>
                <w:rFonts w:hint="eastAsia" w:ascii="宋体" w:hAnsi="宋体" w:eastAsia="宋体" w:cs="宋体"/>
                <w:b/>
                <w:bCs/>
                <w:color w:val="auto"/>
                <w:sz w:val="24"/>
                <w:szCs w:val="21"/>
                <w:highlight w:val="none"/>
              </w:rPr>
              <w:t>5.2植被影响分析</w:t>
            </w:r>
          </w:p>
          <w:p w14:paraId="51D4150B">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Calibri"/>
                <w:color w:val="auto"/>
                <w:sz w:val="24"/>
                <w:szCs w:val="21"/>
                <w:highlight w:val="yellow"/>
              </w:rPr>
            </w:pPr>
            <w:r>
              <w:rPr>
                <w:rFonts w:hint="eastAsia" w:ascii="宋体" w:hAnsi="宋体" w:eastAsia="宋体" w:cs="Calibri"/>
                <w:color w:val="auto"/>
                <w:sz w:val="24"/>
                <w:szCs w:val="21"/>
                <w:highlight w:val="none"/>
                <w:lang w:val="en-US" w:eastAsia="zh-CN"/>
              </w:rPr>
              <w:t>永久占地占用的植被不能恢复，对临时占地，结合当地条件，进行砾石覆盖、自然恢复等措施，尽量减少生物量损失</w:t>
            </w:r>
            <w:r>
              <w:rPr>
                <w:rFonts w:hint="eastAsia" w:ascii="Calibri" w:hAnsi="Calibri" w:eastAsia="宋体" w:cs="宋体"/>
                <w:color w:val="auto"/>
                <w:spacing w:val="-4"/>
                <w:kern w:val="0"/>
                <w:sz w:val="24"/>
                <w:szCs w:val="24"/>
                <w:highlight w:val="none"/>
              </w:rPr>
              <w:t>。</w:t>
            </w:r>
            <w:r>
              <w:rPr>
                <w:rFonts w:hint="eastAsia" w:cs="Calibri"/>
                <w:color w:val="auto"/>
                <w:sz w:val="24"/>
                <w:szCs w:val="21"/>
                <w:highlight w:val="none"/>
                <w:lang w:val="en-US" w:eastAsia="zh-CN"/>
              </w:rPr>
              <w:t>升压站</w:t>
            </w:r>
            <w:r>
              <w:rPr>
                <w:rFonts w:hint="eastAsia" w:ascii="Times New Roman" w:hAnsi="Times New Roman" w:eastAsia="宋体" w:cs="Calibri"/>
                <w:color w:val="auto"/>
                <w:sz w:val="24"/>
                <w:szCs w:val="21"/>
                <w:highlight w:val="none"/>
              </w:rPr>
              <w:t>、</w:t>
            </w:r>
            <w:r>
              <w:rPr>
                <w:rFonts w:hint="eastAsia" w:ascii="Times New Roman" w:hAnsi="Times New Roman" w:eastAsia="宋体" w:cs="Calibri"/>
                <w:color w:val="auto"/>
                <w:sz w:val="24"/>
                <w:szCs w:val="21"/>
                <w:highlight w:val="none"/>
                <w:lang w:val="en-US" w:eastAsia="zh-CN"/>
              </w:rPr>
              <w:t>送出</w:t>
            </w:r>
            <w:r>
              <w:rPr>
                <w:rFonts w:hint="eastAsia" w:ascii="Times New Roman" w:hAnsi="Times New Roman" w:eastAsia="宋体" w:cs="Calibri"/>
                <w:color w:val="auto"/>
                <w:sz w:val="24"/>
                <w:szCs w:val="21"/>
                <w:highlight w:val="none"/>
              </w:rPr>
              <w:t>线路塔基施工需要清理表土，会造成植被破坏，临时占地、施工道路的建设会破坏植被，牵张场不清理表土，但会对植被产生占压影响。</w:t>
            </w:r>
          </w:p>
          <w:p w14:paraId="09F1333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宋体" w:hAnsi="宋体" w:eastAsia="宋体" w:cs="Times New Roman"/>
                <w:color w:val="auto"/>
                <w:sz w:val="24"/>
                <w:szCs w:val="24"/>
              </w:rPr>
            </w:pPr>
            <w:r>
              <w:rPr>
                <w:rFonts w:hint="eastAsia" w:ascii="宋体" w:hAnsi="宋体"/>
                <w:color w:val="auto"/>
                <w:sz w:val="24"/>
                <w:szCs w:val="24"/>
                <w:lang w:val="en-US" w:eastAsia="zh-CN"/>
              </w:rPr>
              <w:t>项目占用天然牧草地生物损失量估算：根据现场调查，本项目占地植被覆盖度约为10%，参考《天然草原等级评定技术规范》，项目选址为其他草地，草地等级按</w:t>
            </w:r>
            <w:r>
              <w:rPr>
                <w:rFonts w:hint="eastAsia" w:ascii="宋体" w:hAnsi="宋体"/>
                <w:color w:val="auto"/>
                <w:sz w:val="24"/>
                <w:szCs w:val="24"/>
                <w:highlight w:val="none"/>
                <w:lang w:val="en-US" w:eastAsia="zh-CN"/>
              </w:rPr>
              <w:t>五级考虑，每公顷产鲜草750kg计算，本项目天然牧草地永久占地面积约25400m</w:t>
            </w:r>
            <w:r>
              <w:rPr>
                <w:rFonts w:hint="eastAsia" w:ascii="宋体" w:hAnsi="宋体"/>
                <w:color w:val="auto"/>
                <w:sz w:val="24"/>
                <w:szCs w:val="24"/>
                <w:highlight w:val="none"/>
                <w:vertAlign w:val="superscript"/>
                <w:lang w:val="en-US" w:eastAsia="zh-CN"/>
              </w:rPr>
              <w:t>2</w:t>
            </w:r>
            <w:r>
              <w:rPr>
                <w:rFonts w:hint="eastAsia" w:ascii="宋体" w:hAnsi="宋体"/>
                <w:color w:val="auto"/>
                <w:sz w:val="24"/>
                <w:szCs w:val="24"/>
                <w:highlight w:val="none"/>
                <w:lang w:val="en-US" w:eastAsia="zh-CN"/>
              </w:rPr>
              <w:t>，则运行期永久占地每年的生物损失量约1.91t，天然牧草地临时占地为34000hm</w:t>
            </w:r>
            <w:r>
              <w:rPr>
                <w:rFonts w:hint="eastAsia" w:ascii="宋体" w:hAnsi="宋体"/>
                <w:color w:val="auto"/>
                <w:sz w:val="24"/>
                <w:szCs w:val="24"/>
                <w:highlight w:val="none"/>
                <w:vertAlign w:val="superscript"/>
                <w:lang w:val="en-US" w:eastAsia="zh-CN"/>
              </w:rPr>
              <w:t>2</w:t>
            </w:r>
            <w:r>
              <w:rPr>
                <w:rFonts w:hint="eastAsia" w:ascii="宋体" w:hAnsi="宋体"/>
                <w:color w:val="auto"/>
                <w:sz w:val="24"/>
                <w:szCs w:val="24"/>
                <w:highlight w:val="none"/>
                <w:lang w:val="en-US" w:eastAsia="zh-CN"/>
              </w:rPr>
              <w:t>，施工期临时占地施工期生物损失量约2.55t。</w:t>
            </w:r>
            <w:r>
              <w:rPr>
                <w:rFonts w:hint="eastAsia" w:ascii="宋体" w:hAnsi="宋体" w:eastAsia="宋体" w:cs="Times New Roman"/>
                <w:color w:val="auto"/>
                <w:sz w:val="24"/>
                <w:szCs w:val="24"/>
                <w:highlight w:val="none"/>
                <w:lang w:val="en-US" w:eastAsia="zh-CN"/>
              </w:rPr>
              <w:t>本项目建</w:t>
            </w:r>
            <w:r>
              <w:rPr>
                <w:rFonts w:hint="eastAsia" w:ascii="宋体" w:hAnsi="宋体" w:eastAsia="宋体" w:cs="Times New Roman"/>
                <w:color w:val="auto"/>
                <w:sz w:val="24"/>
                <w:szCs w:val="24"/>
                <w:lang w:val="en-US" w:eastAsia="zh-CN"/>
              </w:rPr>
              <w:t>设造成的生物损失量很小。</w:t>
            </w:r>
            <w:r>
              <w:rPr>
                <w:rFonts w:hint="eastAsia" w:ascii="宋体" w:hAnsi="宋体" w:eastAsia="宋体" w:cs="Times New Roman"/>
                <w:color w:val="auto"/>
                <w:sz w:val="24"/>
                <w:szCs w:val="24"/>
              </w:rPr>
              <w:t>工程建设完成后，永久占地变为几乎没有生产能力的用地，临时占地植被</w:t>
            </w:r>
            <w:r>
              <w:rPr>
                <w:rFonts w:hint="eastAsia" w:ascii="宋体" w:hAnsi="宋体" w:eastAsia="宋体" w:cs="Times New Roman"/>
                <w:color w:val="auto"/>
                <w:sz w:val="24"/>
                <w:szCs w:val="24"/>
                <w:lang w:val="en-US" w:eastAsia="zh-CN"/>
              </w:rPr>
              <w:t>可自然</w:t>
            </w:r>
            <w:r>
              <w:rPr>
                <w:rFonts w:hint="eastAsia" w:ascii="宋体" w:hAnsi="宋体" w:eastAsia="宋体" w:cs="Times New Roman"/>
                <w:color w:val="auto"/>
                <w:sz w:val="24"/>
                <w:szCs w:val="24"/>
              </w:rPr>
              <w:t>恢复。</w:t>
            </w:r>
          </w:p>
          <w:p w14:paraId="3E4EA81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综上</w:t>
            </w:r>
            <w:r>
              <w:rPr>
                <w:rFonts w:hint="eastAsia" w:ascii="宋体" w:hAnsi="宋体" w:eastAsia="宋体" w:cs="Times New Roman"/>
                <w:color w:val="auto"/>
                <w:sz w:val="24"/>
                <w:szCs w:val="24"/>
                <w:highlight w:val="none"/>
                <w:lang w:val="en-US" w:eastAsia="zh-CN"/>
              </w:rPr>
              <w:t>，由于线路塔基间距较远，建设</w:t>
            </w:r>
            <w:r>
              <w:rPr>
                <w:rFonts w:hint="eastAsia" w:ascii="宋体" w:hAnsi="宋体" w:eastAsia="宋体" w:cs="Times New Roman"/>
                <w:color w:val="auto"/>
                <w:sz w:val="24"/>
                <w:szCs w:val="24"/>
                <w:lang w:val="en-US" w:eastAsia="zh-CN"/>
              </w:rPr>
              <w:t>分段进行，本项目建设会造成植被数量减少，损坏的植被不会</w:t>
            </w:r>
            <w:r>
              <w:rPr>
                <w:rFonts w:hint="eastAsia" w:ascii="宋体" w:hAnsi="宋体" w:cs="Times New Roman"/>
                <w:color w:val="auto"/>
                <w:sz w:val="24"/>
                <w:szCs w:val="24"/>
                <w:lang w:val="en-US" w:eastAsia="zh-CN"/>
              </w:rPr>
              <w:t>影响</w:t>
            </w:r>
            <w:r>
              <w:rPr>
                <w:rFonts w:hint="eastAsia" w:ascii="宋体" w:hAnsi="宋体" w:eastAsia="宋体" w:cs="Times New Roman"/>
                <w:color w:val="auto"/>
                <w:sz w:val="24"/>
                <w:szCs w:val="24"/>
                <w:lang w:val="en-US" w:eastAsia="zh-CN"/>
              </w:rPr>
              <w:t>植被群落整体的结构和功能，也不会影响沿线生态系统的稳定性，对于植物群落的多样性影响极其有限；植被连续性、生态系统空间结构完整性及生物多样性不会受到明显破坏，在严格按照环保措施进行施工建设的情况下，不会对当地自然生态产生明显影响。</w:t>
            </w:r>
          </w:p>
          <w:p w14:paraId="7EE04814">
            <w:pPr>
              <w:keepNext w:val="0"/>
              <w:keepLines w:val="0"/>
              <w:widowControl w:val="0"/>
              <w:suppressLineNumbers w:val="0"/>
              <w:spacing w:before="0" w:beforeAutospacing="0" w:after="0" w:afterAutospacing="0" w:line="360" w:lineRule="auto"/>
              <w:ind w:left="0" w:leftChars="0" w:right="0" w:firstLine="0" w:firstLineChars="0"/>
              <w:jc w:val="both"/>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5.3野生动物影响分析</w:t>
            </w:r>
          </w:p>
          <w:p w14:paraId="07A8D706">
            <w:pPr>
              <w:keepNext w:val="0"/>
              <w:keepLines w:val="0"/>
              <w:widowControl w:val="0"/>
              <w:suppressLineNumbers w:val="0"/>
              <w:spacing w:before="0" w:beforeAutospacing="0" w:after="0" w:afterAutospacing="0" w:line="360" w:lineRule="auto"/>
              <w:ind w:left="0" w:leftChars="0" w:right="0"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施工机械噪声和人类活动噪声是影响野生动物的主要因素，各种施工机械如运输车辆、推土机、振捣棒等均可能产生较强的噪声。虽然这些施工机械属非连续性间歇排放，但由于噪声源相对集中，且多为裸露声源，故其有一定辐射范围。预计在施工期，本区的野生动物都将产生规避反应，迁往附近同类环境，动物迁徙能力强，且同类生境易于在附近找寻，故物种种群与数量不会受到明显影响。本项目所在区域无大型野生动物，主要是鼠、兔等小型动物。因此，施工期对野生动物的影响很小。</w:t>
            </w:r>
          </w:p>
          <w:p w14:paraId="7453A628">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color w:val="auto"/>
                <w:sz w:val="24"/>
                <w:szCs w:val="21"/>
                <w:highlight w:val="none"/>
              </w:rPr>
            </w:pPr>
            <w:r>
              <w:rPr>
                <w:rFonts w:hint="eastAsia" w:ascii="宋体" w:hAnsi="宋体" w:eastAsia="宋体" w:cs="宋体"/>
                <w:b/>
                <w:bCs/>
                <w:color w:val="auto"/>
                <w:sz w:val="24"/>
                <w:szCs w:val="21"/>
                <w:highlight w:val="none"/>
              </w:rPr>
              <w:t>5.</w:t>
            </w:r>
            <w:r>
              <w:rPr>
                <w:rFonts w:hint="eastAsia" w:ascii="宋体" w:hAnsi="宋体" w:eastAsia="宋体" w:cs="宋体"/>
                <w:b/>
                <w:bCs/>
                <w:color w:val="auto"/>
                <w:sz w:val="24"/>
                <w:szCs w:val="21"/>
                <w:highlight w:val="none"/>
                <w:lang w:val="en-US" w:eastAsia="zh-CN"/>
              </w:rPr>
              <w:t>4</w:t>
            </w:r>
            <w:r>
              <w:rPr>
                <w:rFonts w:hint="eastAsia" w:ascii="宋体" w:hAnsi="宋体" w:eastAsia="宋体" w:cs="宋体"/>
                <w:b/>
                <w:bCs/>
                <w:color w:val="auto"/>
                <w:sz w:val="24"/>
                <w:szCs w:val="21"/>
                <w:highlight w:val="none"/>
              </w:rPr>
              <w:t>水土流失影响分析</w:t>
            </w:r>
          </w:p>
          <w:p w14:paraId="5DFD9CF1">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lang w:eastAsia="zh-CN"/>
              </w:rPr>
              <w:t>本项目</w:t>
            </w:r>
            <w:r>
              <w:rPr>
                <w:rFonts w:hint="eastAsia" w:ascii="宋体" w:hAnsi="宋体" w:eastAsia="宋体" w:cs="宋体"/>
                <w:color w:val="auto"/>
                <w:sz w:val="24"/>
                <w:szCs w:val="21"/>
                <w:highlight w:val="none"/>
              </w:rPr>
              <w:t>的水土流失产生时段主要集中在施工期，水土流失产生区域为</w:t>
            </w:r>
            <w:r>
              <w:rPr>
                <w:rFonts w:hint="eastAsia" w:ascii="宋体" w:hAnsi="宋体" w:cs="宋体"/>
                <w:color w:val="auto"/>
                <w:sz w:val="24"/>
                <w:szCs w:val="21"/>
                <w:highlight w:val="none"/>
                <w:lang w:eastAsia="zh-CN"/>
              </w:rPr>
              <w:t>升压站</w:t>
            </w:r>
            <w:r>
              <w:rPr>
                <w:rFonts w:hint="eastAsia" w:ascii="宋体" w:hAnsi="宋体" w:eastAsia="宋体" w:cs="宋体"/>
                <w:color w:val="auto"/>
                <w:sz w:val="24"/>
                <w:szCs w:val="21"/>
                <w:highlight w:val="none"/>
              </w:rPr>
              <w:t>区域。在建设过程中由于扰动原地貌、破坏土壤结构情况的发生，可能造成水土流失，破坏周边生态环境，引发一系列的环境问题。</w:t>
            </w:r>
          </w:p>
          <w:p w14:paraId="0D1E40EA">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0000FF"/>
                <w:kern w:val="2"/>
                <w:sz w:val="24"/>
                <w:szCs w:val="24"/>
                <w:highlight w:val="none"/>
                <w:lang w:val="en-US" w:eastAsia="zh-CN" w:bidi="ar-SA"/>
              </w:rPr>
            </w:pPr>
            <w:r>
              <w:rPr>
                <w:rFonts w:hint="eastAsia" w:ascii="宋体" w:hAnsi="宋体" w:eastAsia="宋体" w:cs="宋体"/>
                <w:color w:val="auto"/>
                <w:sz w:val="24"/>
                <w:szCs w:val="21"/>
                <w:highlight w:val="none"/>
              </w:rPr>
              <w:t>为保护项目区水土资源，减少和治理工程建设中的水土流失，</w:t>
            </w:r>
            <w:r>
              <w:rPr>
                <w:rFonts w:hint="eastAsia" w:ascii="宋体" w:hAnsi="宋体" w:eastAsia="宋体" w:cs="宋体"/>
                <w:color w:val="auto"/>
                <w:sz w:val="24"/>
                <w:szCs w:val="21"/>
                <w:highlight w:val="none"/>
                <w:lang w:eastAsia="zh-CN"/>
              </w:rPr>
              <w:t>本项目</w:t>
            </w:r>
            <w:r>
              <w:rPr>
                <w:rFonts w:hint="eastAsia" w:ascii="宋体" w:hAnsi="宋体" w:eastAsia="宋体" w:cs="宋体"/>
                <w:color w:val="auto"/>
                <w:sz w:val="24"/>
                <w:szCs w:val="21"/>
                <w:highlight w:val="none"/>
              </w:rPr>
              <w:t>的水土保持工程措施主要有：地基开挖表土堆存采取临时毡盖措施，防止遇风扬尘产生；施工完毕后进行土地整治，返还表土，应尽量做到挖方、填方基本平衡等，有效治理因工程建设引起的水土流失，不会引起较大的水土流失影响。</w:t>
            </w:r>
          </w:p>
        </w:tc>
      </w:tr>
      <w:tr w14:paraId="2ADD1E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6" w:hRule="atLeast"/>
          <w:jc w:val="center"/>
        </w:trPr>
        <w:tc>
          <w:tcPr>
            <w:tcW w:w="546" w:type="dxa"/>
            <w:noWrap w:val="0"/>
            <w:tcMar>
              <w:left w:w="28" w:type="dxa"/>
              <w:right w:w="28" w:type="dxa"/>
            </w:tcMar>
            <w:vAlign w:val="center"/>
          </w:tcPr>
          <w:p w14:paraId="237C09FC">
            <w:pPr>
              <w:pStyle w:val="29"/>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bCs/>
                <w:color w:val="0000FF"/>
                <w:kern w:val="2"/>
                <w:sz w:val="21"/>
                <w:szCs w:val="21"/>
                <w:highlight w:val="none"/>
                <w:lang w:val="en-US" w:eastAsia="zh-CN"/>
              </w:rPr>
            </w:pPr>
            <w:r>
              <w:rPr>
                <w:rFonts w:hint="eastAsia" w:ascii="宋体" w:hAnsi="宋体" w:eastAsia="宋体" w:cs="宋体"/>
                <w:bCs/>
                <w:color w:val="auto"/>
                <w:spacing w:val="10"/>
                <w:kern w:val="2"/>
                <w:sz w:val="24"/>
                <w:szCs w:val="24"/>
                <w:highlight w:val="none"/>
                <w:lang w:val="en-US" w:eastAsia="zh-CN"/>
              </w:rPr>
              <w:t>运营期生态环境影响分析</w:t>
            </w:r>
          </w:p>
        </w:tc>
        <w:tc>
          <w:tcPr>
            <w:tcW w:w="7962" w:type="dxa"/>
            <w:noWrap w:val="0"/>
            <w:vAlign w:val="top"/>
          </w:tcPr>
          <w:p w14:paraId="081E5037">
            <w:pPr>
              <w:pStyle w:val="8"/>
              <w:keepNext w:val="0"/>
              <w:keepLines w:val="0"/>
              <w:suppressLineNumbers w:val="0"/>
              <w:adjustRightInd/>
              <w:snapToGrid/>
              <w:spacing w:before="0" w:beforeAutospacing="0" w:after="0" w:afterAutospacing="0" w:line="360" w:lineRule="auto"/>
              <w:ind w:left="0" w:right="0" w:firstLine="0" w:firstLineChars="0"/>
              <w:outlineLvl w:val="9"/>
              <w:rPr>
                <w:rFonts w:hint="eastAsia" w:ascii="宋体" w:hAnsi="宋体" w:eastAsia="宋体" w:cs="宋体"/>
                <w:color w:val="auto"/>
                <w:sz w:val="24"/>
                <w:highlight w:val="none"/>
                <w:lang w:val="en-US" w:eastAsia="zh-CN"/>
              </w:rPr>
            </w:pPr>
            <w:r>
              <w:rPr>
                <w:rFonts w:hint="eastAsia" w:ascii="宋体" w:hAnsi="宋体" w:eastAsia="宋体" w:cs="宋体"/>
                <w:b/>
                <w:color w:val="auto"/>
                <w:sz w:val="24"/>
                <w:highlight w:val="none"/>
              </w:rPr>
              <w:t>1运营期生态环境影响分析</w:t>
            </w:r>
          </w:p>
          <w:p w14:paraId="51599E4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kern w:val="0"/>
                <w:sz w:val="24"/>
                <w:szCs w:val="24"/>
                <w:lang w:val="en-US" w:eastAsia="zh-CN" w:bidi="ar"/>
              </w:rPr>
            </w:pPr>
            <w:r>
              <w:rPr>
                <w:rFonts w:hint="eastAsia" w:ascii="Times New Roman" w:hAnsi="Times New Roman" w:cs="Times New Roman"/>
                <w:color w:val="auto"/>
                <w:sz w:val="24"/>
                <w:highlight w:val="none"/>
                <w:lang w:val="en-US" w:eastAsia="zh-CN"/>
              </w:rPr>
              <w:t>升压站</w:t>
            </w:r>
            <w:r>
              <w:rPr>
                <w:rFonts w:hint="default" w:ascii="Times New Roman" w:hAnsi="Times New Roman" w:cs="Times New Roman"/>
                <w:color w:val="auto"/>
                <w:sz w:val="24"/>
                <w:highlight w:val="none"/>
                <w:lang w:val="en-US" w:eastAsia="zh-CN"/>
              </w:rPr>
              <w:t>运行期各项生产活动主要集中在</w:t>
            </w:r>
            <w:r>
              <w:rPr>
                <w:rFonts w:hint="default" w:ascii="Times New Roman" w:hAnsi="Times New Roman" w:eastAsia="宋体" w:cs="Times New Roman"/>
                <w:color w:val="auto"/>
                <w:sz w:val="24"/>
                <w:highlight w:val="none"/>
                <w:lang w:val="en-US" w:eastAsia="zh-CN"/>
              </w:rPr>
              <w:t>升压站围墙范围内，</w:t>
            </w:r>
            <w:r>
              <w:rPr>
                <w:rFonts w:hint="default" w:ascii="Times New Roman" w:hAnsi="Times New Roman" w:cs="Times New Roman"/>
                <w:color w:val="auto"/>
                <w:sz w:val="24"/>
                <w:szCs w:val="24"/>
                <w:lang w:eastAsia="zh-CN"/>
              </w:rPr>
              <w:t>对</w:t>
            </w:r>
            <w:r>
              <w:rPr>
                <w:rFonts w:hint="default" w:ascii="Times New Roman" w:hAnsi="Times New Roman" w:cs="Times New Roman"/>
                <w:color w:val="auto"/>
                <w:sz w:val="24"/>
                <w:szCs w:val="24"/>
                <w:lang w:val="en-US" w:eastAsia="zh-CN"/>
              </w:rPr>
              <w:t>站址</w:t>
            </w:r>
            <w:r>
              <w:rPr>
                <w:rFonts w:hint="eastAsia" w:ascii="Times New Roman" w:hAnsi="Times New Roman" w:cs="Times New Roman"/>
                <w:color w:val="auto"/>
                <w:sz w:val="24"/>
                <w:szCs w:val="24"/>
                <w:lang w:val="en-US" w:eastAsia="zh-CN"/>
              </w:rPr>
              <w:t>周边</w:t>
            </w:r>
            <w:r>
              <w:rPr>
                <w:rFonts w:hint="default" w:ascii="Times New Roman" w:hAnsi="Times New Roman" w:cs="Times New Roman"/>
                <w:color w:val="auto"/>
                <w:sz w:val="24"/>
                <w:szCs w:val="24"/>
                <w:lang w:eastAsia="zh-CN"/>
              </w:rPr>
              <w:t>生态</w:t>
            </w:r>
            <w:r>
              <w:rPr>
                <w:rFonts w:hint="default" w:ascii="Times New Roman" w:hAnsi="Times New Roman" w:cs="Times New Roman"/>
                <w:color w:val="auto"/>
                <w:sz w:val="24"/>
                <w:szCs w:val="24"/>
                <w:lang w:val="en-US" w:eastAsia="zh-CN"/>
              </w:rPr>
              <w:t>环境基本</w:t>
            </w:r>
            <w:r>
              <w:rPr>
                <w:rFonts w:hint="default" w:ascii="Times New Roman" w:hAnsi="Times New Roman" w:cs="Times New Roman"/>
                <w:color w:val="auto"/>
                <w:sz w:val="24"/>
                <w:szCs w:val="24"/>
                <w:lang w:eastAsia="zh-CN"/>
              </w:rPr>
              <w:t>无影响</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运营期</w:t>
            </w:r>
            <w:r>
              <w:rPr>
                <w:rFonts w:hint="eastAsia" w:ascii="宋体" w:hAnsi="宋体" w:eastAsia="宋体" w:cs="宋体"/>
                <w:color w:val="auto"/>
                <w:kern w:val="0"/>
                <w:sz w:val="24"/>
                <w:szCs w:val="24"/>
                <w:lang w:val="en-US" w:eastAsia="zh-CN" w:bidi="ar"/>
              </w:rPr>
              <w:t>对</w:t>
            </w:r>
            <w:r>
              <w:rPr>
                <w:rFonts w:hint="eastAsia" w:ascii="宋体" w:hAnsi="宋体" w:cs="宋体"/>
                <w:color w:val="auto"/>
                <w:kern w:val="0"/>
                <w:sz w:val="24"/>
                <w:szCs w:val="24"/>
                <w:lang w:val="en-US" w:eastAsia="zh-CN" w:bidi="ar"/>
              </w:rPr>
              <w:t>生态环境影响</w:t>
            </w:r>
            <w:r>
              <w:rPr>
                <w:rFonts w:hint="eastAsia" w:ascii="宋体" w:hAnsi="宋体" w:eastAsia="宋体" w:cs="宋体"/>
                <w:color w:val="auto"/>
                <w:kern w:val="0"/>
                <w:sz w:val="24"/>
                <w:szCs w:val="24"/>
                <w:lang w:val="en-US" w:eastAsia="zh-CN" w:bidi="ar"/>
              </w:rPr>
              <w:t>主要表现在</w:t>
            </w:r>
            <w:r>
              <w:rPr>
                <w:rFonts w:hint="eastAsia" w:ascii="宋体" w:hAnsi="宋体" w:cs="宋体"/>
                <w:color w:val="auto"/>
                <w:kern w:val="0"/>
                <w:sz w:val="24"/>
                <w:szCs w:val="24"/>
                <w:lang w:val="en-US" w:eastAsia="zh-CN" w:bidi="ar"/>
              </w:rPr>
              <w:t>升压站和输电线路</w:t>
            </w:r>
            <w:r>
              <w:rPr>
                <w:rFonts w:hint="eastAsia" w:ascii="宋体" w:hAnsi="宋体" w:eastAsia="宋体" w:cs="宋体"/>
                <w:color w:val="auto"/>
                <w:kern w:val="0"/>
                <w:sz w:val="24"/>
                <w:szCs w:val="24"/>
                <w:lang w:val="en-US" w:eastAsia="zh-CN" w:bidi="ar"/>
              </w:rPr>
              <w:t>架设对自然景观影响</w:t>
            </w:r>
            <w:r>
              <w:rPr>
                <w:rFonts w:hint="eastAsia" w:ascii="宋体" w:hAnsi="宋体" w:cs="宋体"/>
                <w:color w:val="auto"/>
                <w:kern w:val="0"/>
                <w:sz w:val="24"/>
                <w:szCs w:val="24"/>
                <w:lang w:val="en-US" w:eastAsia="zh-CN" w:bidi="ar"/>
              </w:rPr>
              <w:t>以及线路巡检对生态环境的影响</w:t>
            </w:r>
            <w:r>
              <w:rPr>
                <w:rFonts w:hint="eastAsia" w:ascii="宋体" w:hAnsi="宋体" w:eastAsia="宋体" w:cs="宋体"/>
                <w:color w:val="auto"/>
                <w:kern w:val="0"/>
                <w:sz w:val="24"/>
                <w:szCs w:val="24"/>
                <w:lang w:val="en-US" w:eastAsia="zh-CN" w:bidi="ar"/>
              </w:rPr>
              <w:t>。本项目运营期利用已有道路作为巡检道路，运行期巡检便道不需要另行修建，运行期巡检对生态环境影响很小。</w:t>
            </w:r>
          </w:p>
          <w:p w14:paraId="46B74466">
            <w:pPr>
              <w:pStyle w:val="8"/>
              <w:keepNext w:val="0"/>
              <w:keepLines w:val="0"/>
              <w:suppressLineNumbers w:val="0"/>
              <w:adjustRightInd/>
              <w:snapToGrid/>
              <w:spacing w:before="0" w:beforeAutospacing="0" w:after="0" w:afterAutospacing="0" w:line="360" w:lineRule="auto"/>
              <w:ind w:left="0" w:right="0" w:firstLine="0" w:firstLineChars="0"/>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2运营期</w:t>
            </w:r>
            <w:r>
              <w:rPr>
                <w:rFonts w:hint="eastAsia" w:ascii="宋体" w:hAnsi="宋体" w:eastAsia="宋体" w:cs="宋体"/>
                <w:b/>
                <w:color w:val="auto"/>
                <w:sz w:val="24"/>
                <w:highlight w:val="none"/>
                <w:lang w:val="en-US" w:eastAsia="zh-CN"/>
              </w:rPr>
              <w:t>废气</w:t>
            </w:r>
            <w:r>
              <w:rPr>
                <w:rFonts w:hint="eastAsia" w:ascii="宋体" w:hAnsi="宋体" w:eastAsia="宋体" w:cs="宋体"/>
                <w:b/>
                <w:color w:val="auto"/>
                <w:sz w:val="24"/>
                <w:highlight w:val="none"/>
              </w:rPr>
              <w:t>环境影响分析</w:t>
            </w:r>
          </w:p>
          <w:p w14:paraId="46E79F6C">
            <w:pPr>
              <w:keepNext w:val="0"/>
              <w:keepLines w:val="0"/>
              <w:suppressLineNumbers w:val="0"/>
              <w:autoSpaceDE w:val="0"/>
              <w:autoSpaceDN w:val="0"/>
              <w:adjustRightInd w:val="0"/>
              <w:snapToGrid w:val="0"/>
              <w:spacing w:before="0" w:beforeAutospacing="0" w:after="0" w:afterAutospacing="0" w:line="360" w:lineRule="auto"/>
              <w:ind w:left="0" w:right="0" w:firstLine="480"/>
              <w:rPr>
                <w:rFonts w:hint="eastAsia" w:ascii="宋体" w:hAnsi="宋体" w:cs="宋体"/>
                <w:b/>
                <w:sz w:val="24"/>
              </w:rPr>
            </w:pPr>
            <w:r>
              <w:rPr>
                <w:rFonts w:hint="eastAsia" w:ascii="宋体" w:hAnsi="宋体"/>
                <w:sz w:val="24"/>
                <w:lang w:eastAsia="zh-CN"/>
              </w:rPr>
              <w:t>本项目</w:t>
            </w:r>
            <w:r>
              <w:rPr>
                <w:rFonts w:hint="eastAsia" w:ascii="宋体" w:hAnsi="宋体"/>
                <w:sz w:val="24"/>
              </w:rPr>
              <w:t>运营期间，运行人员全部集中在</w:t>
            </w:r>
            <w:r>
              <w:rPr>
                <w:rFonts w:hint="eastAsia" w:hAnsi="宋体"/>
                <w:sz w:val="24"/>
                <w:lang w:eastAsia="zh-CN"/>
              </w:rPr>
              <w:t>升压站</w:t>
            </w:r>
            <w:r>
              <w:rPr>
                <w:rFonts w:hint="eastAsia" w:ascii="宋体" w:hAnsi="宋体"/>
                <w:sz w:val="24"/>
              </w:rPr>
              <w:t>项目场区内，厨房炉灶为液化燃气炉灶，产生的大气污染物主要为厨房油烟。场区内厨房炉灶均为液化燃气炉灶，大气污染物主要为厨房油烟，</w:t>
            </w:r>
            <w:r>
              <w:rPr>
                <w:rFonts w:hint="eastAsia" w:ascii="宋体" w:hAnsi="宋体" w:cs="宋体"/>
                <w:sz w:val="24"/>
              </w:rPr>
              <w:t>油烟排放的废气中主要污染物为</w:t>
            </w:r>
            <w:r>
              <w:rPr>
                <w:rFonts w:hint="eastAsia" w:ascii="宋体" w:hAnsi="宋体" w:cs="宋体"/>
                <w:sz w:val="24"/>
                <w:lang w:eastAsia="zh-CN"/>
              </w:rPr>
              <w:t>烹饪</w:t>
            </w:r>
            <w:r>
              <w:rPr>
                <w:rFonts w:hint="eastAsia" w:ascii="宋体" w:hAnsi="宋体" w:cs="宋体"/>
                <w:sz w:val="24"/>
              </w:rPr>
              <w:t>、加工过程中挥发的油脂、有机质及加热分解或裂解产物。</w:t>
            </w:r>
            <w:r>
              <w:rPr>
                <w:rFonts w:hint="default" w:ascii="宋体" w:hAnsi="宋体"/>
                <w:spacing w:val="-6"/>
                <w:sz w:val="24"/>
              </w:rPr>
              <w:t>对</w:t>
            </w:r>
            <w:r>
              <w:rPr>
                <w:rFonts w:hint="eastAsia" w:ascii="宋体" w:hAnsi="宋体"/>
                <w:spacing w:val="-6"/>
                <w:sz w:val="24"/>
              </w:rPr>
              <w:t>厨房</w:t>
            </w:r>
            <w:r>
              <w:rPr>
                <w:rFonts w:hint="default" w:ascii="宋体" w:hAnsi="宋体"/>
                <w:spacing w:val="-6"/>
                <w:sz w:val="24"/>
              </w:rPr>
              <w:t>烹调产生的油烟，经</w:t>
            </w:r>
            <w:r>
              <w:rPr>
                <w:rFonts w:hint="eastAsia" w:hAnsi="宋体"/>
                <w:spacing w:val="-6"/>
                <w:sz w:val="24"/>
                <w:lang w:val="en-US" w:eastAsia="zh-CN"/>
              </w:rPr>
              <w:t>油烟机</w:t>
            </w:r>
            <w:r>
              <w:rPr>
                <w:rFonts w:hint="default" w:ascii="宋体" w:hAnsi="宋体"/>
                <w:spacing w:val="-6"/>
                <w:sz w:val="24"/>
              </w:rPr>
              <w:t>排放</w:t>
            </w:r>
            <w:r>
              <w:rPr>
                <w:rFonts w:hint="eastAsia" w:ascii="宋体" w:hAnsi="宋体"/>
                <w:spacing w:val="-6"/>
                <w:sz w:val="24"/>
              </w:rPr>
              <w:t>，对环境影响较小</w:t>
            </w:r>
            <w:r>
              <w:rPr>
                <w:rFonts w:hint="eastAsia" w:ascii="宋体" w:hAnsi="宋体" w:cs="宋体"/>
                <w:sz w:val="24"/>
              </w:rPr>
              <w:t>。</w:t>
            </w:r>
          </w:p>
          <w:p w14:paraId="3B6733E3">
            <w:pPr>
              <w:pStyle w:val="8"/>
              <w:keepNext w:val="0"/>
              <w:keepLines w:val="0"/>
              <w:suppressLineNumbers w:val="0"/>
              <w:adjustRightInd/>
              <w:snapToGrid/>
              <w:spacing w:before="0" w:beforeAutospacing="0" w:after="0" w:afterAutospacing="0" w:line="360" w:lineRule="auto"/>
              <w:ind w:left="0" w:right="0" w:firstLine="0" w:firstLineChars="0"/>
              <w:outlineLvl w:val="9"/>
              <w:rPr>
                <w:rFonts w:hint="eastAsia" w:ascii="宋体" w:hAnsi="宋体" w:eastAsia="宋体" w:cs="宋体"/>
                <w:b/>
                <w:color w:val="auto"/>
                <w:sz w:val="24"/>
              </w:rPr>
            </w:pPr>
            <w:r>
              <w:rPr>
                <w:rFonts w:hint="eastAsia" w:ascii="宋体" w:hAnsi="宋体" w:eastAsia="宋体" w:cs="宋体"/>
                <w:b/>
                <w:color w:val="auto"/>
                <w:sz w:val="24"/>
                <w:lang w:val="en-US" w:eastAsia="zh-CN"/>
              </w:rPr>
              <w:t>3</w:t>
            </w:r>
            <w:r>
              <w:rPr>
                <w:rFonts w:hint="eastAsia" w:ascii="宋体" w:hAnsi="宋体" w:eastAsia="宋体" w:cs="宋体"/>
                <w:b/>
                <w:color w:val="auto"/>
                <w:sz w:val="24"/>
              </w:rPr>
              <w:t>运营期</w:t>
            </w:r>
            <w:r>
              <w:rPr>
                <w:rFonts w:hint="eastAsia" w:ascii="宋体" w:hAnsi="宋体" w:eastAsia="宋体" w:cs="宋体"/>
                <w:b/>
                <w:color w:val="auto"/>
                <w:sz w:val="24"/>
                <w:lang w:val="en-US" w:eastAsia="zh-CN"/>
              </w:rPr>
              <w:t>废水</w:t>
            </w:r>
            <w:r>
              <w:rPr>
                <w:rFonts w:hint="eastAsia" w:ascii="宋体" w:hAnsi="宋体" w:eastAsia="宋体" w:cs="宋体"/>
                <w:b/>
                <w:color w:val="auto"/>
                <w:sz w:val="24"/>
              </w:rPr>
              <w:t>环境影响分析</w:t>
            </w:r>
          </w:p>
          <w:p w14:paraId="6473E1A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eastAsia" w:ascii="宋体" w:hAnsi="宋体" w:cs="宋体"/>
                <w:color w:val="auto"/>
                <w:kern w:val="2"/>
                <w:sz w:val="24"/>
                <w:szCs w:val="24"/>
                <w:highlight w:val="none"/>
                <w:lang w:val="en-US" w:eastAsia="zh-CN"/>
              </w:rPr>
              <w:t>运营期废水主要为升压站</w:t>
            </w:r>
            <w:r>
              <w:rPr>
                <w:rFonts w:hint="eastAsia" w:ascii="宋体" w:hAnsi="宋体" w:eastAsia="宋体" w:cs="宋体"/>
                <w:color w:val="auto"/>
                <w:kern w:val="2"/>
                <w:sz w:val="24"/>
                <w:szCs w:val="24"/>
                <w:highlight w:val="none"/>
              </w:rPr>
              <w:t>内人员的生活污水，按</w:t>
            </w:r>
            <w:r>
              <w:rPr>
                <w:rFonts w:hint="eastAsia" w:ascii="宋体" w:hAnsi="宋体" w:cs="宋体"/>
                <w:color w:val="auto"/>
                <w:kern w:val="2"/>
                <w:sz w:val="24"/>
                <w:szCs w:val="24"/>
                <w:highlight w:val="none"/>
                <w:lang w:val="en-US" w:eastAsia="zh-CN"/>
              </w:rPr>
              <w:t>8人</w:t>
            </w:r>
            <w:r>
              <w:rPr>
                <w:rFonts w:hint="eastAsia" w:ascii="宋体" w:hAnsi="宋体" w:eastAsia="宋体" w:cs="宋体"/>
                <w:color w:val="auto"/>
                <w:kern w:val="2"/>
                <w:sz w:val="24"/>
                <w:szCs w:val="24"/>
                <w:highlight w:val="none"/>
              </w:rPr>
              <w:t>计，用水量约为0.1m</w:t>
            </w:r>
            <w:r>
              <w:rPr>
                <w:rFonts w:hint="eastAsia" w:ascii="宋体" w:hAnsi="宋体" w:eastAsia="宋体" w:cs="宋体"/>
                <w:color w:val="auto"/>
                <w:kern w:val="2"/>
                <w:sz w:val="24"/>
                <w:szCs w:val="24"/>
                <w:highlight w:val="none"/>
                <w:vertAlign w:val="superscript"/>
              </w:rPr>
              <w:t>3</w:t>
            </w:r>
            <w:r>
              <w:rPr>
                <w:rFonts w:hint="eastAsia" w:ascii="宋体" w:hAnsi="宋体" w:eastAsia="宋体" w:cs="宋体"/>
                <w:color w:val="auto"/>
                <w:kern w:val="2"/>
                <w:sz w:val="24"/>
                <w:szCs w:val="24"/>
                <w:highlight w:val="none"/>
              </w:rPr>
              <w:t>/</w:t>
            </w:r>
            <w:r>
              <w:rPr>
                <w:rFonts w:hint="eastAsia" w:ascii="宋体" w:hAnsi="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人·d</w:t>
            </w:r>
            <w:r>
              <w:rPr>
                <w:rFonts w:hint="eastAsia" w:ascii="宋体" w:hAnsi="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，生活污水</w:t>
            </w:r>
            <w:r>
              <w:rPr>
                <w:rFonts w:hint="eastAsia" w:ascii="宋体" w:hAnsi="宋体" w:cs="宋体"/>
                <w:color w:val="auto"/>
                <w:kern w:val="2"/>
                <w:sz w:val="24"/>
                <w:szCs w:val="24"/>
                <w:highlight w:val="none"/>
                <w:lang w:val="en-US" w:eastAsia="zh-CN"/>
              </w:rPr>
              <w:t>产污</w:t>
            </w:r>
            <w:r>
              <w:rPr>
                <w:rFonts w:hint="eastAsia" w:ascii="宋体" w:hAnsi="宋体" w:eastAsia="宋体" w:cs="宋体"/>
                <w:color w:val="auto"/>
                <w:kern w:val="2"/>
                <w:sz w:val="24"/>
                <w:szCs w:val="24"/>
                <w:highlight w:val="none"/>
              </w:rPr>
              <w:t>系数取0.8，年</w:t>
            </w:r>
            <w:r>
              <w:rPr>
                <w:rFonts w:hint="eastAsia" w:ascii="宋体" w:hAnsi="宋体" w:cs="宋体"/>
                <w:color w:val="auto"/>
                <w:kern w:val="2"/>
                <w:sz w:val="24"/>
                <w:szCs w:val="24"/>
                <w:highlight w:val="none"/>
                <w:lang w:val="en-US" w:eastAsia="zh-CN"/>
              </w:rPr>
              <w:t>产生生活污水</w:t>
            </w:r>
            <w:r>
              <w:rPr>
                <w:rFonts w:hint="eastAsia" w:ascii="宋体" w:hAnsi="宋体" w:eastAsia="宋体" w:cs="宋体"/>
                <w:color w:val="auto"/>
                <w:kern w:val="2"/>
                <w:sz w:val="24"/>
                <w:szCs w:val="24"/>
                <w:highlight w:val="none"/>
              </w:rPr>
              <w:t>量约</w:t>
            </w:r>
            <w:r>
              <w:rPr>
                <w:rFonts w:hint="eastAsia" w:ascii="宋体" w:hAnsi="宋体" w:cs="宋体"/>
                <w:color w:val="auto"/>
                <w:kern w:val="2"/>
                <w:sz w:val="24"/>
                <w:szCs w:val="24"/>
                <w:highlight w:val="none"/>
                <w:lang w:val="en-US" w:eastAsia="zh-CN"/>
              </w:rPr>
              <w:t>233.6</w:t>
            </w:r>
            <w:r>
              <w:rPr>
                <w:rFonts w:hint="eastAsia" w:ascii="宋体" w:hAnsi="宋体" w:eastAsia="宋体" w:cs="宋体"/>
                <w:color w:val="auto"/>
                <w:kern w:val="2"/>
                <w:sz w:val="24"/>
                <w:szCs w:val="24"/>
                <w:highlight w:val="none"/>
              </w:rPr>
              <w:t>m</w:t>
            </w:r>
            <w:r>
              <w:rPr>
                <w:rFonts w:hint="eastAsia" w:ascii="宋体" w:hAnsi="宋体" w:eastAsia="宋体" w:cs="宋体"/>
                <w:color w:val="auto"/>
                <w:kern w:val="2"/>
                <w:sz w:val="24"/>
                <w:szCs w:val="24"/>
                <w:highlight w:val="none"/>
                <w:vertAlign w:val="superscript"/>
              </w:rPr>
              <w:t>3</w:t>
            </w:r>
            <w:r>
              <w:rPr>
                <w:rFonts w:hint="eastAsia" w:ascii="宋体" w:hAnsi="宋体" w:eastAsia="宋体" w:cs="宋体"/>
                <w:color w:val="auto"/>
                <w:kern w:val="2"/>
                <w:sz w:val="24"/>
                <w:szCs w:val="24"/>
                <w:highlight w:val="none"/>
              </w:rPr>
              <w:t>/a</w:t>
            </w:r>
            <w:r>
              <w:rPr>
                <w:rFonts w:hint="eastAsia" w:ascii="宋体" w:hAnsi="宋体" w:cs="宋体"/>
                <w:color w:val="auto"/>
                <w:kern w:val="2"/>
                <w:sz w:val="24"/>
                <w:szCs w:val="24"/>
                <w:highlight w:val="none"/>
                <w:lang w:eastAsia="zh-CN"/>
              </w:rPr>
              <w:t>。</w:t>
            </w:r>
            <w:r>
              <w:rPr>
                <w:rFonts w:hint="eastAsia" w:ascii="宋体" w:hAnsi="宋体" w:eastAsia="宋体" w:cs="宋体"/>
                <w:color w:val="auto"/>
                <w:kern w:val="0"/>
                <w:sz w:val="24"/>
                <w:szCs w:val="24"/>
                <w:highlight w:val="none"/>
                <w:lang w:eastAsia="zh-CN"/>
              </w:rPr>
              <w:t>生活污水含有污染物主要为COD</w:t>
            </w:r>
            <w:r>
              <w:rPr>
                <w:rFonts w:hint="eastAsia" w:ascii="宋体" w:hAnsi="宋体" w:eastAsia="宋体" w:cs="宋体"/>
                <w:color w:val="auto"/>
                <w:kern w:val="0"/>
                <w:sz w:val="24"/>
                <w:szCs w:val="24"/>
                <w:highlight w:val="none"/>
                <w:vertAlign w:val="subscript"/>
                <w:lang w:eastAsia="zh-CN"/>
              </w:rPr>
              <w:t>cr</w:t>
            </w:r>
            <w:r>
              <w:rPr>
                <w:rFonts w:hint="eastAsia" w:ascii="宋体" w:hAnsi="宋体" w:eastAsia="宋体" w:cs="宋体"/>
                <w:color w:val="auto"/>
                <w:kern w:val="0"/>
                <w:sz w:val="24"/>
                <w:szCs w:val="24"/>
                <w:highlight w:val="none"/>
                <w:lang w:eastAsia="zh-CN"/>
              </w:rPr>
              <w:t>、BOD</w:t>
            </w:r>
            <w:r>
              <w:rPr>
                <w:rFonts w:hint="eastAsia" w:ascii="宋体" w:hAnsi="宋体" w:eastAsia="宋体" w:cs="宋体"/>
                <w:color w:val="auto"/>
                <w:kern w:val="0"/>
                <w:sz w:val="24"/>
                <w:szCs w:val="24"/>
                <w:highlight w:val="none"/>
                <w:vertAlign w:val="subscript"/>
                <w:lang w:eastAsia="zh-CN"/>
              </w:rPr>
              <w:t>5</w:t>
            </w:r>
            <w:r>
              <w:rPr>
                <w:rFonts w:hint="eastAsia" w:ascii="宋体" w:hAnsi="宋体" w:eastAsia="宋体" w:cs="宋体"/>
                <w:color w:val="auto"/>
                <w:kern w:val="0"/>
                <w:sz w:val="24"/>
                <w:szCs w:val="24"/>
                <w:highlight w:val="none"/>
                <w:lang w:eastAsia="zh-CN"/>
              </w:rPr>
              <w:t>、SS、NH</w:t>
            </w:r>
            <w:r>
              <w:rPr>
                <w:rFonts w:hint="eastAsia" w:ascii="宋体" w:hAnsi="宋体" w:eastAsia="宋体" w:cs="宋体"/>
                <w:color w:val="auto"/>
                <w:kern w:val="0"/>
                <w:sz w:val="24"/>
                <w:szCs w:val="24"/>
                <w:highlight w:val="none"/>
                <w:vertAlign w:val="subscript"/>
                <w:lang w:eastAsia="zh-CN"/>
              </w:rPr>
              <w:t>4</w:t>
            </w:r>
            <w:r>
              <w:rPr>
                <w:rFonts w:hint="eastAsia" w:ascii="宋体" w:hAnsi="宋体" w:eastAsia="宋体" w:cs="宋体"/>
                <w:color w:val="auto"/>
                <w:kern w:val="0"/>
                <w:sz w:val="24"/>
                <w:szCs w:val="24"/>
                <w:highlight w:val="none"/>
                <w:lang w:eastAsia="zh-CN"/>
              </w:rPr>
              <w:t>等</w:t>
            </w:r>
            <w:r>
              <w:rPr>
                <w:rFonts w:hint="eastAsia" w:ascii="宋体" w:hAnsi="宋体" w:cs="宋体"/>
                <w:color w:val="auto"/>
                <w:kern w:val="0"/>
                <w:sz w:val="24"/>
                <w:szCs w:val="24"/>
                <w:highlight w:val="none"/>
                <w:lang w:eastAsia="zh-CN"/>
              </w:rPr>
              <w:t>，</w:t>
            </w:r>
            <w:r>
              <w:rPr>
                <w:rFonts w:hint="default" w:ascii="Times New Roman" w:hAnsi="Times New Roman" w:cs="Times New Roman"/>
                <w:color w:val="auto"/>
                <w:kern w:val="0"/>
                <w:sz w:val="24"/>
                <w:szCs w:val="24"/>
                <w:highlight w:val="none"/>
              </w:rPr>
              <w:t>经</w:t>
            </w:r>
            <w:r>
              <w:rPr>
                <w:rFonts w:hint="eastAsia" w:cs="Times New Roman"/>
                <w:color w:val="auto"/>
                <w:kern w:val="0"/>
                <w:sz w:val="24"/>
                <w:szCs w:val="24"/>
                <w:highlight w:val="none"/>
                <w:lang w:val="en-US" w:eastAsia="zh-CN"/>
              </w:rPr>
              <w:t>地埋式</w:t>
            </w:r>
            <w:r>
              <w:rPr>
                <w:rFonts w:hint="default" w:ascii="Times New Roman" w:hAnsi="Times New Roman" w:cs="Times New Roman"/>
                <w:color w:val="auto"/>
                <w:kern w:val="0"/>
                <w:sz w:val="24"/>
                <w:szCs w:val="24"/>
                <w:highlight w:val="none"/>
              </w:rPr>
              <w:t>一体化污水处理设备处理达到《农村生活污水处理排放标准》</w:t>
            </w:r>
            <w:r>
              <w:rPr>
                <w:rFonts w:hint="eastAsia"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DB65 4275</w:t>
            </w:r>
            <w:r>
              <w:rPr>
                <w:rFonts w:hint="default" w:ascii="Times New Roman" w:hAnsi="Times New Roman"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rPr>
              <w:t>2019</w:t>
            </w:r>
            <w:r>
              <w:rPr>
                <w:rFonts w:hint="eastAsia" w:cs="Times New Roman"/>
                <w:color w:val="auto"/>
                <w:kern w:val="0"/>
                <w:sz w:val="24"/>
                <w:szCs w:val="24"/>
                <w:highlight w:val="none"/>
                <w:lang w:eastAsia="zh-CN"/>
              </w:rPr>
              <w:t>）</w:t>
            </w:r>
            <w:r>
              <w:rPr>
                <w:rFonts w:hint="eastAsia" w:cs="Times New Roman"/>
                <w:color w:val="auto"/>
                <w:kern w:val="0"/>
                <w:sz w:val="24"/>
                <w:szCs w:val="24"/>
                <w:highlight w:val="none"/>
                <w:lang w:val="en-US" w:eastAsia="zh-CN"/>
              </w:rPr>
              <w:t>表2中的B</w:t>
            </w:r>
            <w:r>
              <w:rPr>
                <w:rFonts w:hint="default" w:ascii="Times New Roman" w:hAnsi="Times New Roman" w:cs="Times New Roman"/>
                <w:color w:val="auto"/>
                <w:kern w:val="0"/>
                <w:sz w:val="24"/>
                <w:szCs w:val="24"/>
                <w:highlight w:val="none"/>
              </w:rPr>
              <w:t>级标准要求</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lang w:val="en-US" w:eastAsia="zh-CN"/>
              </w:rPr>
              <w:t>处理后</w:t>
            </w:r>
            <w:r>
              <w:rPr>
                <w:rFonts w:hint="eastAsia" w:cs="Times New Roman"/>
                <w:color w:val="auto"/>
                <w:kern w:val="0"/>
                <w:sz w:val="24"/>
                <w:szCs w:val="24"/>
                <w:highlight w:val="none"/>
                <w:lang w:val="en-US" w:eastAsia="zh-CN"/>
              </w:rPr>
              <w:t>回用于场区绿化，</w:t>
            </w:r>
            <w:r>
              <w:rPr>
                <w:rFonts w:hint="default" w:ascii="Times New Roman" w:hAnsi="Times New Roman" w:cs="Times New Roman"/>
                <w:color w:val="auto"/>
                <w:kern w:val="0"/>
                <w:sz w:val="24"/>
                <w:szCs w:val="24"/>
                <w:highlight w:val="none"/>
              </w:rPr>
              <w:t>冬季存储于</w:t>
            </w:r>
            <w:r>
              <w:rPr>
                <w:rFonts w:hint="eastAsia" w:ascii="Times New Roman" w:hAnsi="Times New Roman" w:cs="Times New Roman"/>
                <w:color w:val="auto"/>
                <w:kern w:val="0"/>
                <w:sz w:val="24"/>
                <w:szCs w:val="24"/>
                <w:highlight w:val="none"/>
                <w:lang w:val="en-US" w:eastAsia="zh-CN"/>
              </w:rPr>
              <w:t>150</w:t>
            </w:r>
            <w:r>
              <w:rPr>
                <w:rFonts w:hint="default" w:ascii="Times New Roman" w:hAnsi="Times New Roman" w:cs="Times New Roman"/>
                <w:color w:val="auto"/>
                <w:kern w:val="0"/>
                <w:sz w:val="24"/>
                <w:szCs w:val="24"/>
                <w:highlight w:val="none"/>
              </w:rPr>
              <w:t>m</w:t>
            </w:r>
            <w:r>
              <w:rPr>
                <w:rFonts w:hint="default" w:ascii="Times New Roman" w:hAnsi="Times New Roman" w:cs="Times New Roman"/>
                <w:color w:val="auto"/>
                <w:kern w:val="0"/>
                <w:sz w:val="24"/>
                <w:szCs w:val="24"/>
                <w:highlight w:val="none"/>
                <w:vertAlign w:val="superscript"/>
              </w:rPr>
              <w:t>3</w:t>
            </w:r>
            <w:r>
              <w:rPr>
                <w:rFonts w:hint="default" w:ascii="Times New Roman" w:hAnsi="Times New Roman" w:cs="Times New Roman"/>
                <w:color w:val="auto"/>
                <w:kern w:val="0"/>
                <w:sz w:val="24"/>
                <w:szCs w:val="24"/>
                <w:highlight w:val="none"/>
              </w:rPr>
              <w:t>集水池中翌年再用，不外排</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lang w:val="en-US" w:eastAsia="zh-CN"/>
              </w:rPr>
              <w:t>冬季按6个月计</w:t>
            </w:r>
            <w:r>
              <w:rPr>
                <w:rFonts w:hint="eastAsia"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rPr>
              <w:t>最不利情况</w:t>
            </w:r>
            <w:r>
              <w:rPr>
                <w:rFonts w:hint="eastAsia"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rPr>
              <w:t>，则污水</w:t>
            </w:r>
            <w:r>
              <w:rPr>
                <w:rFonts w:hint="default" w:ascii="Times New Roman" w:hAnsi="Times New Roman" w:cs="Times New Roman"/>
                <w:color w:val="auto"/>
                <w:kern w:val="0"/>
                <w:sz w:val="24"/>
                <w:szCs w:val="24"/>
                <w:highlight w:val="none"/>
              </w:rPr>
              <w:t>存储</w:t>
            </w:r>
            <w:r>
              <w:rPr>
                <w:rFonts w:hint="default" w:ascii="Times New Roman" w:hAnsi="Times New Roman" w:cs="Times New Roman"/>
                <w:color w:val="auto"/>
                <w:kern w:val="0"/>
                <w:sz w:val="24"/>
                <w:szCs w:val="24"/>
                <w:highlight w:val="none"/>
                <w:lang w:val="en-US" w:eastAsia="zh-CN"/>
              </w:rPr>
              <w:t>量约为</w:t>
            </w:r>
            <w:r>
              <w:rPr>
                <w:rFonts w:hint="eastAsia" w:ascii="Times New Roman" w:hAnsi="Times New Roman" w:cs="Times New Roman"/>
                <w:color w:val="auto"/>
                <w:kern w:val="0"/>
                <w:sz w:val="24"/>
                <w:szCs w:val="24"/>
                <w:highlight w:val="none"/>
                <w:lang w:val="en-US" w:eastAsia="zh-CN"/>
              </w:rPr>
              <w:t>117</w:t>
            </w:r>
            <w:r>
              <w:rPr>
                <w:rFonts w:hint="default" w:ascii="Times New Roman" w:hAnsi="Times New Roman" w:cs="Times New Roman"/>
                <w:color w:val="auto"/>
                <w:kern w:val="0"/>
                <w:sz w:val="24"/>
                <w:szCs w:val="24"/>
                <w:highlight w:val="none"/>
              </w:rPr>
              <w:t>m</w:t>
            </w:r>
            <w:r>
              <w:rPr>
                <w:rFonts w:hint="default" w:ascii="Times New Roman" w:hAnsi="Times New Roman" w:cs="Times New Roman"/>
                <w:color w:val="auto"/>
                <w:kern w:val="0"/>
                <w:sz w:val="24"/>
                <w:szCs w:val="24"/>
                <w:highlight w:val="none"/>
                <w:vertAlign w:val="superscript"/>
              </w:rPr>
              <w:t>3</w:t>
            </w:r>
            <w:r>
              <w:rPr>
                <w:rFonts w:hint="default" w:ascii="Times New Roman" w:hAnsi="Times New Roman"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rPr>
              <w:t>集水池</w:t>
            </w:r>
            <w:r>
              <w:rPr>
                <w:rFonts w:hint="default" w:ascii="Times New Roman" w:hAnsi="Times New Roman" w:cs="Times New Roman"/>
                <w:color w:val="auto"/>
                <w:kern w:val="0"/>
                <w:sz w:val="24"/>
                <w:szCs w:val="24"/>
                <w:highlight w:val="none"/>
                <w:lang w:val="en-US" w:eastAsia="zh-CN"/>
              </w:rPr>
              <w:t>可满足污水</w:t>
            </w:r>
            <w:r>
              <w:rPr>
                <w:rFonts w:hint="default" w:ascii="Times New Roman" w:hAnsi="Times New Roman" w:cs="Times New Roman"/>
                <w:color w:val="auto"/>
                <w:kern w:val="0"/>
                <w:sz w:val="24"/>
                <w:szCs w:val="24"/>
                <w:highlight w:val="none"/>
              </w:rPr>
              <w:t>存储</w:t>
            </w:r>
            <w:r>
              <w:rPr>
                <w:rFonts w:hint="default" w:ascii="Times New Roman" w:hAnsi="Times New Roman" w:cs="Times New Roman"/>
                <w:color w:val="auto"/>
                <w:kern w:val="0"/>
                <w:sz w:val="24"/>
                <w:szCs w:val="24"/>
                <w:highlight w:val="none"/>
                <w:lang w:val="en-US" w:eastAsia="zh-CN"/>
              </w:rPr>
              <w:t>需求。</w:t>
            </w:r>
          </w:p>
          <w:p w14:paraId="0E8ACA02">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4"/>
                <w:highlight w:val="none"/>
              </w:rPr>
            </w:pPr>
            <w:r>
              <w:rPr>
                <w:rFonts w:hint="eastAsia" w:ascii="Times New Roman" w:hAnsi="Times New Roman" w:cs="Times New Roman"/>
                <w:color w:val="auto"/>
                <w:kern w:val="0"/>
                <w:sz w:val="24"/>
                <w:szCs w:val="24"/>
                <w:highlight w:val="none"/>
                <w:lang w:val="en-US" w:eastAsia="zh-CN"/>
              </w:rPr>
              <w:t>项目</w:t>
            </w:r>
            <w:r>
              <w:rPr>
                <w:rFonts w:hint="default" w:ascii="Times New Roman" w:hAnsi="Times New Roman" w:cs="Times New Roman"/>
                <w:color w:val="auto"/>
                <w:kern w:val="0"/>
                <w:sz w:val="24"/>
                <w:szCs w:val="24"/>
                <w:highlight w:val="none"/>
              </w:rPr>
              <w:t>周边无地表水体，不会对地表水环境产生影响。</w:t>
            </w:r>
          </w:p>
          <w:p w14:paraId="1DE86E0B">
            <w:pPr>
              <w:pStyle w:val="8"/>
              <w:keepNext w:val="0"/>
              <w:keepLines w:val="0"/>
              <w:suppressLineNumbers w:val="0"/>
              <w:adjustRightInd/>
              <w:snapToGrid/>
              <w:spacing w:before="0" w:beforeAutospacing="0" w:after="0" w:afterAutospacing="0" w:line="360" w:lineRule="auto"/>
              <w:ind w:left="0" w:right="0" w:firstLine="0" w:firstLineChars="0"/>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4</w:t>
            </w:r>
            <w:r>
              <w:rPr>
                <w:rFonts w:hint="eastAsia" w:ascii="宋体" w:hAnsi="宋体" w:eastAsia="宋体" w:cs="宋体"/>
                <w:b/>
                <w:color w:val="auto"/>
                <w:sz w:val="24"/>
                <w:highlight w:val="none"/>
              </w:rPr>
              <w:t>运营期噪声环境影响分析</w:t>
            </w:r>
          </w:p>
          <w:p w14:paraId="6929AB1E">
            <w:pPr>
              <w:keepNext w:val="0"/>
              <w:keepLines w:val="0"/>
              <w:widowControl/>
              <w:suppressLineNumbers w:val="0"/>
              <w:autoSpaceDE w:val="0"/>
              <w:autoSpaceDN/>
              <w:snapToGrid w:val="0"/>
              <w:spacing w:before="0" w:beforeAutospacing="0" w:after="0" w:afterAutospacing="0" w:line="360" w:lineRule="auto"/>
              <w:ind w:left="0" w:right="0" w:rightChars="0"/>
              <w:jc w:val="both"/>
              <w:rPr>
                <w:rFonts w:hint="default" w:ascii="宋体" w:hAnsi="宋体" w:eastAsia="宋体" w:cs="宋体"/>
                <w:b/>
                <w:bCs/>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4</w:t>
            </w:r>
            <w:r>
              <w:rPr>
                <w:rFonts w:hint="eastAsia" w:ascii="宋体" w:hAnsi="宋体" w:eastAsia="宋体" w:cs="宋体"/>
                <w:b/>
                <w:bCs/>
                <w:color w:val="auto"/>
                <w:kern w:val="0"/>
                <w:sz w:val="24"/>
                <w:szCs w:val="24"/>
                <w:highlight w:val="none"/>
                <w:lang w:val="en-US" w:eastAsia="zh-CN" w:bidi="ar"/>
              </w:rPr>
              <w:t>.1</w:t>
            </w:r>
            <w:r>
              <w:rPr>
                <w:rFonts w:hint="eastAsia" w:ascii="宋体" w:hAnsi="宋体" w:cs="宋体"/>
                <w:b/>
                <w:bCs/>
                <w:color w:val="auto"/>
                <w:kern w:val="0"/>
                <w:sz w:val="24"/>
                <w:szCs w:val="24"/>
                <w:highlight w:val="none"/>
                <w:lang w:val="en-US" w:eastAsia="zh-CN" w:bidi="ar"/>
              </w:rPr>
              <w:t>升压站</w:t>
            </w:r>
          </w:p>
          <w:p w14:paraId="2CF08CAD">
            <w:pPr>
              <w:keepNext w:val="0"/>
              <w:keepLines w:val="0"/>
              <w:widowControl/>
              <w:suppressLineNumbers w:val="0"/>
              <w:autoSpaceDE w:val="0"/>
              <w:autoSpaceDN/>
              <w:snapToGrid w:val="0"/>
              <w:spacing w:before="0" w:beforeAutospacing="0" w:after="0" w:afterAutospacing="0" w:line="360" w:lineRule="auto"/>
              <w:ind w:left="0" w:leftChars="0" w:right="0" w:rightChars="0" w:firstLine="480" w:firstLineChars="200"/>
              <w:jc w:val="both"/>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1</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计算模式</w:t>
            </w:r>
          </w:p>
          <w:p w14:paraId="3E812C72">
            <w:pPr>
              <w:keepNext w:val="0"/>
              <w:keepLines w:val="0"/>
              <w:widowControl/>
              <w:suppressLineNumbers w:val="0"/>
              <w:autoSpaceDE w:val="0"/>
              <w:autoSpaceDN/>
              <w:snapToGrid w:val="0"/>
              <w:spacing w:before="0" w:beforeAutospacing="0" w:after="0" w:afterAutospacing="0" w:line="360" w:lineRule="auto"/>
              <w:ind w:left="0" w:leftChars="0" w:right="0" w:rightChars="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本项目根据《环境影响评价技术导则</w:t>
            </w:r>
            <w:r>
              <w:rPr>
                <w:rFonts w:hint="eastAsia" w:ascii="宋体" w:hAnsi="宋体" w:cs="宋体"/>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声环境》</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HJ2.4-2021</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规定的噪声贡献值为预测时间段内的声源运行时间的连续等效A声级，工业噪声预测模式采用德国CadnaA环境噪声模拟软件，预测升压站主要噪声源的噪声贡献值，并按5dB的等声级线间隔绘制地面1.2m高度处的等声级线图，然后与环境标准对比进行评价。</w:t>
            </w:r>
          </w:p>
          <w:p w14:paraId="1F6010B8">
            <w:pPr>
              <w:keepNext w:val="0"/>
              <w:keepLines w:val="0"/>
              <w:widowControl/>
              <w:suppressLineNumbers w:val="0"/>
              <w:autoSpaceDE w:val="0"/>
              <w:autoSpaceDN/>
              <w:snapToGrid w:val="0"/>
              <w:spacing w:before="0" w:beforeAutospacing="0" w:after="0" w:afterAutospacing="0" w:line="360" w:lineRule="auto"/>
              <w:ind w:left="0" w:leftChars="0" w:right="0" w:rightChars="0" w:firstLine="480" w:firstLineChars="200"/>
              <w:jc w:val="both"/>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2</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计算条件</w:t>
            </w:r>
          </w:p>
          <w:p w14:paraId="47F891AF">
            <w:pPr>
              <w:keepNext w:val="0"/>
              <w:keepLines w:val="0"/>
              <w:widowControl/>
              <w:suppressLineNumbers w:val="0"/>
              <w:autoSpaceDE w:val="0"/>
              <w:autoSpaceDN/>
              <w:snapToGrid w:val="0"/>
              <w:spacing w:before="0" w:beforeAutospacing="0" w:after="0" w:afterAutospacing="0" w:line="360" w:lineRule="auto"/>
              <w:ind w:left="0" w:leftChars="0" w:right="0" w:rightChars="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①预测时段</w:t>
            </w:r>
          </w:p>
          <w:p w14:paraId="784A881F">
            <w:pPr>
              <w:keepNext w:val="0"/>
              <w:keepLines w:val="0"/>
              <w:widowControl/>
              <w:suppressLineNumbers w:val="0"/>
              <w:autoSpaceDE w:val="0"/>
              <w:autoSpaceDN/>
              <w:snapToGrid w:val="0"/>
              <w:spacing w:before="0" w:beforeAutospacing="0" w:after="0" w:afterAutospacing="0" w:line="360" w:lineRule="auto"/>
              <w:ind w:left="0" w:leftChars="0" w:right="0" w:rightChars="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升压站主变一般为24h连续运行，噪声源稳定，对周围声环境的贡献值昼夜基本相同。</w:t>
            </w:r>
          </w:p>
          <w:p w14:paraId="1CE3F0CE">
            <w:pPr>
              <w:keepNext w:val="0"/>
              <w:keepLines w:val="0"/>
              <w:widowControl/>
              <w:suppressLineNumbers w:val="0"/>
              <w:autoSpaceDE w:val="0"/>
              <w:autoSpaceDN/>
              <w:snapToGrid w:val="0"/>
              <w:spacing w:before="0" w:beforeAutospacing="0" w:after="0" w:afterAutospacing="0" w:line="360" w:lineRule="auto"/>
              <w:ind w:left="0" w:leftChars="0" w:right="0" w:rightChars="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②衰减因素选取</w:t>
            </w:r>
          </w:p>
          <w:p w14:paraId="421A3351">
            <w:pPr>
              <w:keepNext w:val="0"/>
              <w:keepLines w:val="0"/>
              <w:widowControl/>
              <w:suppressLineNumbers w:val="0"/>
              <w:autoSpaceDE w:val="0"/>
              <w:autoSpaceDN/>
              <w:snapToGrid w:val="0"/>
              <w:spacing w:before="0" w:beforeAutospacing="0" w:after="0" w:afterAutospacing="0" w:line="360" w:lineRule="auto"/>
              <w:ind w:left="0" w:leftChars="0" w:right="0" w:rightChars="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预测计算时，在满足工程所需精度的前提下，采用了较为保守的考虑，在噪声衰减时考虑了配电室等站内建筑物的遮挡屏蔽效应。</w:t>
            </w:r>
          </w:p>
          <w:p w14:paraId="2DB23FA6">
            <w:pPr>
              <w:keepNext w:val="0"/>
              <w:keepLines w:val="0"/>
              <w:widowControl/>
              <w:suppressLineNumbers w:val="0"/>
              <w:autoSpaceDE w:val="0"/>
              <w:autoSpaceDN/>
              <w:snapToGrid w:val="0"/>
              <w:spacing w:before="0" w:beforeAutospacing="0" w:after="0" w:afterAutospacing="0" w:line="360" w:lineRule="auto"/>
              <w:ind w:left="0" w:leftChars="0" w:right="0" w:rightChars="0" w:firstLine="480" w:firstLineChars="200"/>
              <w:jc w:val="both"/>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3</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预测软件及参数</w:t>
            </w:r>
          </w:p>
          <w:p w14:paraId="20FE55E8">
            <w:pPr>
              <w:keepNext w:val="0"/>
              <w:keepLines w:val="0"/>
              <w:widowControl/>
              <w:suppressLineNumbers w:val="0"/>
              <w:autoSpaceDE w:val="0"/>
              <w:autoSpaceDN/>
              <w:snapToGrid w:val="0"/>
              <w:spacing w:before="0" w:beforeAutospacing="0" w:after="0" w:afterAutospacing="0" w:line="360" w:lineRule="auto"/>
              <w:ind w:left="0" w:leftChars="0" w:right="0" w:rightChars="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本次升压站噪声预测采用德国CadnaA环境噪声模拟软件，该软件通过了原国家环境保护总局环境评估中心鉴定。</w:t>
            </w:r>
          </w:p>
          <w:p w14:paraId="0B0A9350">
            <w:pPr>
              <w:keepNext w:val="0"/>
              <w:keepLines w:val="0"/>
              <w:pageBreakBefore w:val="0"/>
              <w:widowControl/>
              <w:suppressLineNumbers w:val="0"/>
              <w:kinsoku/>
              <w:wordWrap/>
              <w:overflowPunct/>
              <w:topLinePunct w:val="0"/>
              <w:autoSpaceDE w:val="0"/>
              <w:autoSpaceDN/>
              <w:bidi w:val="0"/>
              <w:adjustRightInd/>
              <w:snapToGrid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根据对本项目运行期的噪声源分析，升压站运行期间的噪声主要是变压器产生，</w:t>
            </w:r>
            <w:r>
              <w:rPr>
                <w:rFonts w:hint="eastAsia" w:ascii="宋体" w:hAnsi="宋体" w:cs="宋体"/>
                <w:color w:val="auto"/>
                <w:kern w:val="0"/>
                <w:sz w:val="24"/>
                <w:szCs w:val="24"/>
                <w:highlight w:val="none"/>
                <w:lang w:val="en-US" w:eastAsia="zh-CN" w:bidi="ar"/>
              </w:rPr>
              <w:t>升压站内本期仅</w:t>
            </w:r>
            <w:r>
              <w:rPr>
                <w:rFonts w:hint="eastAsia" w:ascii="宋体" w:hAnsi="宋体" w:eastAsia="宋体" w:cs="宋体"/>
                <w:color w:val="auto"/>
                <w:kern w:val="0"/>
                <w:sz w:val="24"/>
                <w:szCs w:val="24"/>
                <w:highlight w:val="none"/>
                <w:lang w:val="en-US" w:eastAsia="zh-CN" w:bidi="ar"/>
              </w:rPr>
              <w:t>设置</w:t>
            </w:r>
            <w:r>
              <w:rPr>
                <w:rFonts w:hint="eastAsia" w:ascii="宋体" w:hAnsi="宋体" w:cs="宋体"/>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台主变，结合搜集的同类工程铭牌数据以及类比监测数据，工程预测单台噪声源强按照</w:t>
            </w:r>
            <w:r>
              <w:rPr>
                <w:rFonts w:hint="eastAsia" w:ascii="宋体" w:hAnsi="宋体" w:cs="宋体"/>
                <w:color w:val="auto"/>
                <w:kern w:val="0"/>
                <w:sz w:val="24"/>
                <w:szCs w:val="24"/>
                <w:highlight w:val="none"/>
                <w:lang w:val="en-US" w:eastAsia="zh-CN" w:bidi="ar"/>
              </w:rPr>
              <w:t>70</w:t>
            </w:r>
            <w:r>
              <w:rPr>
                <w:rFonts w:hint="eastAsia" w:ascii="宋体" w:hAnsi="宋体" w:eastAsia="宋体" w:cs="宋体"/>
                <w:color w:val="auto"/>
                <w:kern w:val="0"/>
                <w:sz w:val="24"/>
                <w:szCs w:val="24"/>
                <w:highlight w:val="none"/>
                <w:lang w:val="en-US" w:eastAsia="zh-CN" w:bidi="ar"/>
              </w:rPr>
              <w:t>dB(A)；主变压器为户外布置，一年四季持续运行。同时，工程站界噪声以工程噪声贡献值作为评价量。升压站中其他电气设备因声源源强值较低未列入《变电站噪声控制技术导则》</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DL/T1518-2016</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附录B中作为声源源强，本次预测不</w:t>
            </w:r>
            <w:r>
              <w:rPr>
                <w:rFonts w:hint="eastAsia" w:ascii="宋体" w:hAnsi="宋体" w:cs="宋体"/>
                <w:color w:val="auto"/>
                <w:kern w:val="0"/>
                <w:sz w:val="24"/>
                <w:szCs w:val="24"/>
                <w:highlight w:val="none"/>
                <w:lang w:val="en-US" w:eastAsia="zh-CN" w:bidi="ar"/>
              </w:rPr>
              <w:t>作</w:t>
            </w:r>
            <w:r>
              <w:rPr>
                <w:rFonts w:hint="eastAsia" w:ascii="宋体" w:hAnsi="宋体" w:eastAsia="宋体" w:cs="宋体"/>
                <w:color w:val="auto"/>
                <w:kern w:val="0"/>
                <w:sz w:val="24"/>
                <w:szCs w:val="24"/>
                <w:highlight w:val="none"/>
                <w:lang w:val="en-US" w:eastAsia="zh-CN" w:bidi="ar"/>
              </w:rPr>
              <w:t>考虑。工程站界噪声以工程噪声贡献值作为评价量。工程运行后噪声预测结果，见表4-4、图4-1。</w:t>
            </w:r>
          </w:p>
          <w:p w14:paraId="489E5101">
            <w:pPr>
              <w:pStyle w:val="39"/>
              <w:keepNext w:val="0"/>
              <w:keepLines w:val="0"/>
              <w:suppressLineNumbers w:val="0"/>
              <w:spacing w:before="0" w:beforeAutospacing="0" w:after="0" w:afterAutospacing="0"/>
              <w:ind w:left="0" w:right="0"/>
              <w:rPr>
                <w:rFonts w:hint="eastAsia" w:ascii="宋体" w:hAnsi="宋体" w:eastAsia="宋体" w:cs="宋体"/>
                <w:color w:val="auto"/>
                <w:kern w:val="0"/>
                <w:sz w:val="24"/>
                <w:szCs w:val="24"/>
                <w:highlight w:val="none"/>
                <w:lang w:val="en-US" w:eastAsia="zh-CN" w:bidi="ar"/>
              </w:rPr>
            </w:pPr>
          </w:p>
          <w:p w14:paraId="1243C0E0">
            <w:pPr>
              <w:keepNext w:val="0"/>
              <w:keepLines w:val="0"/>
              <w:suppressLineNumbers w:val="0"/>
              <w:spacing w:before="0" w:beforeAutospacing="0" w:after="0" w:afterAutospacing="0"/>
              <w:ind w:left="0" w:right="0"/>
              <w:rPr>
                <w:rFonts w:hint="eastAsia"/>
                <w:lang w:val="en-US" w:eastAsia="zh-CN"/>
              </w:rPr>
            </w:pPr>
          </w:p>
          <w:p w14:paraId="45931ABB">
            <w:pPr>
              <w:pStyle w:val="39"/>
              <w:keepNext w:val="0"/>
              <w:keepLines w:val="0"/>
              <w:suppressLineNumbers w:val="0"/>
              <w:spacing w:before="0" w:beforeAutospacing="0" w:after="0" w:afterAutospacing="0"/>
              <w:ind w:left="0" w:right="0"/>
              <w:rPr>
                <w:rFonts w:hint="eastAsia"/>
                <w:lang w:val="en-US" w:eastAsia="zh-CN"/>
              </w:rPr>
            </w:pPr>
          </w:p>
          <w:p w14:paraId="51C43FC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firstLine="241" w:firstLineChars="100"/>
              <w:jc w:val="center"/>
              <w:textAlignment w:val="auto"/>
              <w:rPr>
                <w:rFonts w:hint="eastAsia" w:ascii="宋体" w:hAnsi="宋体" w:eastAsia="宋体" w:cs="宋体"/>
                <w:b/>
                <w:color w:val="auto"/>
                <w:kern w:val="0"/>
                <w:sz w:val="24"/>
                <w:szCs w:val="24"/>
                <w:highlight w:val="none"/>
                <w:lang w:val="en-US" w:eastAsia="zh-CN" w:bidi="ar"/>
              </w:rPr>
            </w:pPr>
          </w:p>
          <w:p w14:paraId="4EA44C3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firstLine="241" w:firstLineChars="100"/>
              <w:jc w:val="center"/>
              <w:textAlignment w:val="auto"/>
              <w:rPr>
                <w:rFonts w:hint="eastAsia" w:ascii="宋体" w:hAnsi="宋体" w:eastAsia="宋体" w:cs="宋体"/>
                <w:b/>
                <w:color w:val="auto"/>
                <w:kern w:val="0"/>
                <w:sz w:val="24"/>
                <w:szCs w:val="24"/>
                <w:highlight w:val="none"/>
                <w:lang w:val="en-US" w:eastAsia="zh-CN" w:bidi="ar"/>
              </w:rPr>
            </w:pPr>
          </w:p>
          <w:p w14:paraId="69B2BCB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firstLine="241" w:firstLineChars="100"/>
              <w:jc w:val="center"/>
              <w:textAlignment w:val="auto"/>
              <w:rPr>
                <w:rFonts w:hint="eastAsia" w:ascii="Times New Roman" w:hAnsi="Times New Roman" w:eastAsia="宋体" w:cs="宋体"/>
                <w:color w:val="auto"/>
                <w:kern w:val="2"/>
                <w:sz w:val="28"/>
                <w:szCs w:val="28"/>
                <w:highlight w:val="none"/>
                <w:lang w:val="en-US" w:eastAsia="zh-CN" w:bidi="ar-SA"/>
              </w:rPr>
            </w:pPr>
            <w:r>
              <w:rPr>
                <w:rFonts w:hint="eastAsia" w:ascii="宋体" w:hAnsi="宋体" w:eastAsia="宋体" w:cs="宋体"/>
                <w:b/>
                <w:color w:val="auto"/>
                <w:kern w:val="0"/>
                <w:sz w:val="24"/>
                <w:szCs w:val="24"/>
                <w:highlight w:val="none"/>
                <w:lang w:val="en-US" w:eastAsia="zh-CN" w:bidi="ar"/>
              </w:rPr>
              <w:t>表4-4</w:t>
            </w:r>
            <w:r>
              <w:rPr>
                <w:rFonts w:hint="eastAsia" w:ascii="宋体" w:hAnsi="宋体" w:cs="宋体"/>
                <w:b/>
                <w:color w:val="auto"/>
                <w:kern w:val="0"/>
                <w:sz w:val="24"/>
                <w:szCs w:val="24"/>
                <w:highlight w:val="none"/>
                <w:lang w:val="en-US" w:eastAsia="zh-CN" w:bidi="ar"/>
              </w:rPr>
              <w:t xml:space="preserve">    </w:t>
            </w:r>
            <w:r>
              <w:rPr>
                <w:rFonts w:hint="eastAsia" w:ascii="宋体" w:hAnsi="宋体" w:eastAsia="宋体" w:cs="宋体"/>
                <w:b/>
                <w:color w:val="auto"/>
                <w:kern w:val="0"/>
                <w:sz w:val="24"/>
                <w:szCs w:val="24"/>
                <w:highlight w:val="none"/>
                <w:lang w:val="en-US" w:eastAsia="zh-CN" w:bidi="ar"/>
              </w:rPr>
              <w:t>本项目升压站噪声预测结果单位：dB(A)</w:t>
            </w:r>
          </w:p>
          <w:tbl>
            <w:tblPr>
              <w:tblStyle w:val="3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805"/>
              <w:gridCol w:w="3750"/>
              <w:gridCol w:w="867"/>
              <w:gridCol w:w="2335"/>
            </w:tblGrid>
            <w:tr w14:paraId="7D2009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41" w:hRule="atLeast"/>
                <w:jc w:val="center"/>
              </w:trPr>
              <w:tc>
                <w:tcPr>
                  <w:tcW w:w="805" w:type="dxa"/>
                  <w:tcBorders>
                    <w:tl2br w:val="nil"/>
                    <w:tr2bl w:val="nil"/>
                  </w:tcBorders>
                  <w:noWrap w:val="0"/>
                  <w:tcMar>
                    <w:top w:w="0" w:type="dxa"/>
                    <w:left w:w="108" w:type="dxa"/>
                    <w:bottom w:w="0" w:type="dxa"/>
                    <w:right w:w="108" w:type="dxa"/>
                  </w:tcMar>
                  <w:vAlign w:val="center"/>
                </w:tcPr>
                <w:p w14:paraId="2AEF29B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序号</w:t>
                  </w:r>
                </w:p>
              </w:tc>
              <w:tc>
                <w:tcPr>
                  <w:tcW w:w="3750" w:type="dxa"/>
                  <w:tcBorders>
                    <w:tl2br w:val="nil"/>
                    <w:tr2bl w:val="nil"/>
                  </w:tcBorders>
                  <w:noWrap w:val="0"/>
                  <w:tcMar>
                    <w:top w:w="0" w:type="dxa"/>
                    <w:left w:w="108" w:type="dxa"/>
                    <w:bottom w:w="0" w:type="dxa"/>
                    <w:right w:w="108" w:type="dxa"/>
                  </w:tcMar>
                  <w:vAlign w:val="center"/>
                </w:tcPr>
                <w:p w14:paraId="00BA1B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预测点</w:t>
                  </w:r>
                </w:p>
              </w:tc>
              <w:tc>
                <w:tcPr>
                  <w:tcW w:w="867" w:type="dxa"/>
                  <w:tcBorders>
                    <w:tl2br w:val="nil"/>
                    <w:tr2bl w:val="nil"/>
                  </w:tcBorders>
                  <w:noWrap w:val="0"/>
                  <w:tcMar>
                    <w:top w:w="0" w:type="dxa"/>
                    <w:left w:w="108" w:type="dxa"/>
                    <w:bottom w:w="0" w:type="dxa"/>
                    <w:right w:w="108" w:type="dxa"/>
                  </w:tcMar>
                  <w:vAlign w:val="center"/>
                </w:tcPr>
                <w:p w14:paraId="0CC91E3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贡献值</w:t>
                  </w:r>
                </w:p>
              </w:tc>
              <w:tc>
                <w:tcPr>
                  <w:tcW w:w="2335" w:type="dxa"/>
                  <w:tcBorders>
                    <w:tl2br w:val="nil"/>
                    <w:tr2bl w:val="nil"/>
                  </w:tcBorders>
                  <w:noWrap w:val="0"/>
                  <w:tcMar>
                    <w:top w:w="0" w:type="dxa"/>
                    <w:left w:w="108" w:type="dxa"/>
                    <w:bottom w:w="0" w:type="dxa"/>
                    <w:right w:w="108" w:type="dxa"/>
                  </w:tcMar>
                  <w:vAlign w:val="center"/>
                </w:tcPr>
                <w:p w14:paraId="6AD247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噪声排放2类标准限值</w:t>
                  </w:r>
                </w:p>
              </w:tc>
            </w:tr>
            <w:tr w14:paraId="048EAF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04" w:hRule="atLeast"/>
                <w:jc w:val="center"/>
              </w:trPr>
              <w:tc>
                <w:tcPr>
                  <w:tcW w:w="805" w:type="dxa"/>
                  <w:tcBorders>
                    <w:tl2br w:val="nil"/>
                    <w:tr2bl w:val="nil"/>
                  </w:tcBorders>
                  <w:noWrap w:val="0"/>
                  <w:tcMar>
                    <w:top w:w="0" w:type="dxa"/>
                    <w:left w:w="108" w:type="dxa"/>
                    <w:bottom w:w="0" w:type="dxa"/>
                    <w:right w:w="108" w:type="dxa"/>
                  </w:tcMar>
                  <w:vAlign w:val="center"/>
                </w:tcPr>
                <w:p w14:paraId="3560E67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w:t>
                  </w:r>
                </w:p>
              </w:tc>
              <w:tc>
                <w:tcPr>
                  <w:tcW w:w="3750" w:type="dxa"/>
                  <w:tcBorders>
                    <w:tl2br w:val="nil"/>
                    <w:tr2bl w:val="nil"/>
                  </w:tcBorders>
                  <w:noWrap w:val="0"/>
                  <w:tcMar>
                    <w:top w:w="0" w:type="dxa"/>
                    <w:left w:w="108" w:type="dxa"/>
                    <w:bottom w:w="0" w:type="dxa"/>
                    <w:right w:w="108" w:type="dxa"/>
                  </w:tcMar>
                  <w:vAlign w:val="center"/>
                </w:tcPr>
                <w:p w14:paraId="6E490D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bidi="ar"/>
                    </w:rPr>
                    <w:t>升压站</w:t>
                  </w:r>
                  <w:r>
                    <w:rPr>
                      <w:rFonts w:hint="eastAsia" w:ascii="宋体" w:hAnsi="宋体" w:eastAsia="宋体" w:cs="宋体"/>
                      <w:color w:val="auto"/>
                      <w:kern w:val="0"/>
                      <w:sz w:val="21"/>
                      <w:szCs w:val="21"/>
                      <w:highlight w:val="none"/>
                      <w:lang w:val="en-US" w:eastAsia="zh-CN" w:bidi="ar"/>
                    </w:rPr>
                    <w:t>北侧</w:t>
                  </w:r>
                  <w:r>
                    <w:rPr>
                      <w:rFonts w:hint="eastAsia" w:ascii="宋体" w:hAnsi="宋体" w:eastAsia="宋体" w:cs="宋体"/>
                      <w:color w:val="auto"/>
                      <w:kern w:val="2"/>
                      <w:sz w:val="21"/>
                      <w:szCs w:val="21"/>
                      <w:highlight w:val="none"/>
                      <w:lang w:val="en-US" w:eastAsia="zh-CN" w:bidi="ar"/>
                    </w:rPr>
                    <w:t>站界墙外1m</w:t>
                  </w:r>
                </w:p>
              </w:tc>
              <w:tc>
                <w:tcPr>
                  <w:tcW w:w="867" w:type="dxa"/>
                  <w:tcBorders>
                    <w:tl2br w:val="nil"/>
                    <w:tr2bl w:val="nil"/>
                  </w:tcBorders>
                  <w:noWrap w:val="0"/>
                  <w:tcMar>
                    <w:top w:w="0" w:type="dxa"/>
                    <w:left w:w="108" w:type="dxa"/>
                    <w:bottom w:w="0" w:type="dxa"/>
                    <w:right w:w="108" w:type="dxa"/>
                  </w:tcMar>
                  <w:vAlign w:val="center"/>
                </w:tcPr>
                <w:p w14:paraId="2BD00F2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auto"/>
                      <w:kern w:val="0"/>
                      <w:sz w:val="21"/>
                      <w:szCs w:val="21"/>
                      <w:highlight w:val="none"/>
                      <w:lang w:val="en-US"/>
                    </w:rPr>
                  </w:pPr>
                  <w:r>
                    <w:rPr>
                      <w:rFonts w:hint="eastAsia" w:ascii="宋体" w:hAnsi="宋体" w:cs="宋体"/>
                      <w:color w:val="auto"/>
                      <w:kern w:val="0"/>
                      <w:sz w:val="21"/>
                      <w:szCs w:val="21"/>
                      <w:highlight w:val="none"/>
                      <w:lang w:val="en-US" w:eastAsia="zh-CN" w:bidi="ar"/>
                    </w:rPr>
                    <w:t>38.1</w:t>
                  </w:r>
                </w:p>
              </w:tc>
              <w:tc>
                <w:tcPr>
                  <w:tcW w:w="2335" w:type="dxa"/>
                  <w:vMerge w:val="restart"/>
                  <w:tcBorders>
                    <w:tl2br w:val="nil"/>
                    <w:tr2bl w:val="nil"/>
                  </w:tcBorders>
                  <w:noWrap w:val="0"/>
                  <w:tcMar>
                    <w:top w:w="0" w:type="dxa"/>
                    <w:left w:w="108" w:type="dxa"/>
                    <w:bottom w:w="0" w:type="dxa"/>
                    <w:right w:w="108" w:type="dxa"/>
                  </w:tcMar>
                  <w:vAlign w:val="center"/>
                </w:tcPr>
                <w:p w14:paraId="2294CB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昼60/夜50</w:t>
                  </w:r>
                </w:p>
              </w:tc>
            </w:tr>
            <w:tr w14:paraId="41A4D3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02" w:hRule="atLeast"/>
                <w:jc w:val="center"/>
              </w:trPr>
              <w:tc>
                <w:tcPr>
                  <w:tcW w:w="805" w:type="dxa"/>
                  <w:tcBorders>
                    <w:tl2br w:val="nil"/>
                    <w:tr2bl w:val="nil"/>
                  </w:tcBorders>
                  <w:noWrap w:val="0"/>
                  <w:tcMar>
                    <w:top w:w="0" w:type="dxa"/>
                    <w:left w:w="108" w:type="dxa"/>
                    <w:bottom w:w="0" w:type="dxa"/>
                    <w:right w:w="108" w:type="dxa"/>
                  </w:tcMar>
                  <w:vAlign w:val="center"/>
                </w:tcPr>
                <w:p w14:paraId="393113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w:t>
                  </w:r>
                </w:p>
              </w:tc>
              <w:tc>
                <w:tcPr>
                  <w:tcW w:w="3750" w:type="dxa"/>
                  <w:tcBorders>
                    <w:tl2br w:val="nil"/>
                    <w:tr2bl w:val="nil"/>
                  </w:tcBorders>
                  <w:noWrap w:val="0"/>
                  <w:tcMar>
                    <w:top w:w="0" w:type="dxa"/>
                    <w:left w:w="108" w:type="dxa"/>
                    <w:bottom w:w="0" w:type="dxa"/>
                    <w:right w:w="108" w:type="dxa"/>
                  </w:tcMar>
                  <w:vAlign w:val="center"/>
                </w:tcPr>
                <w:p w14:paraId="1474AD6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bidi="ar"/>
                    </w:rPr>
                    <w:t>升压站</w:t>
                  </w:r>
                  <w:r>
                    <w:rPr>
                      <w:rFonts w:hint="eastAsia" w:ascii="宋体" w:hAnsi="宋体" w:eastAsia="宋体" w:cs="宋体"/>
                      <w:color w:val="auto"/>
                      <w:kern w:val="0"/>
                      <w:sz w:val="21"/>
                      <w:szCs w:val="21"/>
                      <w:highlight w:val="none"/>
                      <w:lang w:val="en-US" w:eastAsia="zh-CN" w:bidi="ar"/>
                    </w:rPr>
                    <w:t>南侧</w:t>
                  </w:r>
                  <w:r>
                    <w:rPr>
                      <w:rFonts w:hint="eastAsia" w:ascii="宋体" w:hAnsi="宋体" w:eastAsia="宋体" w:cs="宋体"/>
                      <w:color w:val="auto"/>
                      <w:kern w:val="2"/>
                      <w:sz w:val="21"/>
                      <w:szCs w:val="21"/>
                      <w:highlight w:val="none"/>
                      <w:lang w:val="en-US" w:eastAsia="zh-CN" w:bidi="ar"/>
                    </w:rPr>
                    <w:t>站界墙外1m</w:t>
                  </w:r>
                </w:p>
              </w:tc>
              <w:tc>
                <w:tcPr>
                  <w:tcW w:w="867" w:type="dxa"/>
                  <w:tcBorders>
                    <w:tl2br w:val="nil"/>
                    <w:tr2bl w:val="nil"/>
                  </w:tcBorders>
                  <w:noWrap w:val="0"/>
                  <w:tcMar>
                    <w:top w:w="0" w:type="dxa"/>
                    <w:left w:w="108" w:type="dxa"/>
                    <w:bottom w:w="0" w:type="dxa"/>
                    <w:right w:w="108" w:type="dxa"/>
                  </w:tcMar>
                  <w:vAlign w:val="center"/>
                </w:tcPr>
                <w:p w14:paraId="01F8E8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auto"/>
                      <w:kern w:val="0"/>
                      <w:sz w:val="21"/>
                      <w:szCs w:val="21"/>
                      <w:highlight w:val="none"/>
                      <w:lang w:val="en-US"/>
                    </w:rPr>
                  </w:pPr>
                  <w:r>
                    <w:rPr>
                      <w:rFonts w:hint="eastAsia" w:ascii="宋体" w:hAnsi="宋体" w:cs="宋体"/>
                      <w:color w:val="auto"/>
                      <w:kern w:val="0"/>
                      <w:sz w:val="21"/>
                      <w:szCs w:val="21"/>
                      <w:highlight w:val="none"/>
                      <w:lang w:val="en-US" w:eastAsia="zh-CN" w:bidi="ar"/>
                    </w:rPr>
                    <w:t>36.7</w:t>
                  </w:r>
                </w:p>
              </w:tc>
              <w:tc>
                <w:tcPr>
                  <w:tcW w:w="2335" w:type="dxa"/>
                  <w:vMerge w:val="continue"/>
                  <w:tcBorders>
                    <w:tl2br w:val="nil"/>
                    <w:tr2bl w:val="nil"/>
                  </w:tcBorders>
                  <w:noWrap w:val="0"/>
                  <w:tcMar>
                    <w:top w:w="0" w:type="dxa"/>
                    <w:left w:w="108" w:type="dxa"/>
                    <w:bottom w:w="0" w:type="dxa"/>
                    <w:right w:w="108" w:type="dxa"/>
                  </w:tcMar>
                  <w:vAlign w:val="center"/>
                </w:tcPr>
                <w:p w14:paraId="32BEA04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default" w:ascii="Times New Roman" w:hAnsi="Times New Roman" w:cs="Times New Roman"/>
                      <w:color w:val="auto"/>
                      <w:sz w:val="20"/>
                      <w:szCs w:val="20"/>
                      <w:highlight w:val="none"/>
                    </w:rPr>
                  </w:pPr>
                </w:p>
              </w:tc>
            </w:tr>
            <w:tr w14:paraId="52DBC2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160" w:hRule="atLeast"/>
                <w:jc w:val="center"/>
              </w:trPr>
              <w:tc>
                <w:tcPr>
                  <w:tcW w:w="805" w:type="dxa"/>
                  <w:tcBorders>
                    <w:tl2br w:val="nil"/>
                    <w:tr2bl w:val="nil"/>
                  </w:tcBorders>
                  <w:noWrap w:val="0"/>
                  <w:tcMar>
                    <w:top w:w="0" w:type="dxa"/>
                    <w:left w:w="108" w:type="dxa"/>
                    <w:bottom w:w="0" w:type="dxa"/>
                    <w:right w:w="108" w:type="dxa"/>
                  </w:tcMar>
                  <w:vAlign w:val="center"/>
                </w:tcPr>
                <w:p w14:paraId="36589C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w:t>
                  </w:r>
                </w:p>
              </w:tc>
              <w:tc>
                <w:tcPr>
                  <w:tcW w:w="3750" w:type="dxa"/>
                  <w:tcBorders>
                    <w:tl2br w:val="nil"/>
                    <w:tr2bl w:val="nil"/>
                  </w:tcBorders>
                  <w:noWrap w:val="0"/>
                  <w:tcMar>
                    <w:top w:w="0" w:type="dxa"/>
                    <w:left w:w="108" w:type="dxa"/>
                    <w:bottom w:w="0" w:type="dxa"/>
                    <w:right w:w="108" w:type="dxa"/>
                  </w:tcMar>
                  <w:vAlign w:val="center"/>
                </w:tcPr>
                <w:p w14:paraId="3C0C351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bidi="ar"/>
                    </w:rPr>
                    <w:t>升压站</w:t>
                  </w:r>
                  <w:r>
                    <w:rPr>
                      <w:rFonts w:hint="eastAsia" w:ascii="宋体" w:hAnsi="宋体" w:eastAsia="宋体" w:cs="宋体"/>
                      <w:color w:val="auto"/>
                      <w:kern w:val="0"/>
                      <w:sz w:val="21"/>
                      <w:szCs w:val="21"/>
                      <w:highlight w:val="none"/>
                      <w:lang w:val="en-US" w:eastAsia="zh-CN" w:bidi="ar"/>
                    </w:rPr>
                    <w:t>西侧</w:t>
                  </w:r>
                  <w:r>
                    <w:rPr>
                      <w:rFonts w:hint="eastAsia" w:ascii="宋体" w:hAnsi="宋体" w:eastAsia="宋体" w:cs="宋体"/>
                      <w:color w:val="auto"/>
                      <w:kern w:val="2"/>
                      <w:sz w:val="21"/>
                      <w:szCs w:val="21"/>
                      <w:highlight w:val="none"/>
                      <w:lang w:val="en-US" w:eastAsia="zh-CN" w:bidi="ar"/>
                    </w:rPr>
                    <w:t>站界墙外1m</w:t>
                  </w:r>
                </w:p>
              </w:tc>
              <w:tc>
                <w:tcPr>
                  <w:tcW w:w="867" w:type="dxa"/>
                  <w:tcBorders>
                    <w:tl2br w:val="nil"/>
                    <w:tr2bl w:val="nil"/>
                  </w:tcBorders>
                  <w:noWrap w:val="0"/>
                  <w:tcMar>
                    <w:top w:w="0" w:type="dxa"/>
                    <w:left w:w="108" w:type="dxa"/>
                    <w:bottom w:w="0" w:type="dxa"/>
                    <w:right w:w="108" w:type="dxa"/>
                  </w:tcMar>
                  <w:vAlign w:val="center"/>
                </w:tcPr>
                <w:p w14:paraId="7C5511A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宋体" w:hAnsi="宋体" w:eastAsia="宋体" w:cs="宋体"/>
                      <w:color w:val="auto"/>
                      <w:kern w:val="0"/>
                      <w:sz w:val="21"/>
                      <w:szCs w:val="21"/>
                      <w:highlight w:val="none"/>
                      <w:lang w:val="en-US"/>
                    </w:rPr>
                  </w:pPr>
                  <w:r>
                    <w:rPr>
                      <w:rFonts w:hint="eastAsia" w:ascii="宋体" w:hAnsi="宋体" w:cs="宋体"/>
                      <w:color w:val="auto"/>
                      <w:kern w:val="0"/>
                      <w:sz w:val="21"/>
                      <w:szCs w:val="21"/>
                      <w:highlight w:val="none"/>
                      <w:lang w:val="en-US" w:eastAsia="zh-CN" w:bidi="ar"/>
                    </w:rPr>
                    <w:t>33.0</w:t>
                  </w:r>
                </w:p>
              </w:tc>
              <w:tc>
                <w:tcPr>
                  <w:tcW w:w="2335" w:type="dxa"/>
                  <w:vMerge w:val="continue"/>
                  <w:tcBorders>
                    <w:tl2br w:val="nil"/>
                    <w:tr2bl w:val="nil"/>
                  </w:tcBorders>
                  <w:noWrap w:val="0"/>
                  <w:tcMar>
                    <w:top w:w="0" w:type="dxa"/>
                    <w:left w:w="108" w:type="dxa"/>
                    <w:bottom w:w="0" w:type="dxa"/>
                    <w:right w:w="108" w:type="dxa"/>
                  </w:tcMar>
                  <w:vAlign w:val="center"/>
                </w:tcPr>
                <w:p w14:paraId="59F6200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default" w:ascii="Times New Roman" w:hAnsi="Times New Roman" w:cs="Times New Roman"/>
                      <w:color w:val="auto"/>
                      <w:sz w:val="20"/>
                      <w:szCs w:val="20"/>
                      <w:highlight w:val="none"/>
                    </w:rPr>
                  </w:pPr>
                </w:p>
              </w:tc>
            </w:tr>
            <w:tr w14:paraId="058DDE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41" w:hRule="atLeast"/>
                <w:jc w:val="center"/>
              </w:trPr>
              <w:tc>
                <w:tcPr>
                  <w:tcW w:w="805" w:type="dxa"/>
                  <w:tcBorders>
                    <w:tl2br w:val="nil"/>
                    <w:tr2bl w:val="nil"/>
                  </w:tcBorders>
                  <w:noWrap w:val="0"/>
                  <w:tcMar>
                    <w:top w:w="0" w:type="dxa"/>
                    <w:left w:w="108" w:type="dxa"/>
                    <w:bottom w:w="0" w:type="dxa"/>
                    <w:right w:w="108" w:type="dxa"/>
                  </w:tcMar>
                  <w:vAlign w:val="center"/>
                </w:tcPr>
                <w:p w14:paraId="3579CD6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w:t>
                  </w:r>
                </w:p>
              </w:tc>
              <w:tc>
                <w:tcPr>
                  <w:tcW w:w="3750" w:type="dxa"/>
                  <w:tcBorders>
                    <w:tl2br w:val="nil"/>
                    <w:tr2bl w:val="nil"/>
                  </w:tcBorders>
                  <w:noWrap w:val="0"/>
                  <w:tcMar>
                    <w:top w:w="0" w:type="dxa"/>
                    <w:left w:w="108" w:type="dxa"/>
                    <w:bottom w:w="0" w:type="dxa"/>
                    <w:right w:w="108" w:type="dxa"/>
                  </w:tcMar>
                  <w:vAlign w:val="center"/>
                </w:tcPr>
                <w:p w14:paraId="6636B0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
                    </w:rPr>
                    <w:t>升压站</w:t>
                  </w:r>
                  <w:r>
                    <w:rPr>
                      <w:rFonts w:hint="eastAsia" w:ascii="宋体" w:hAnsi="宋体" w:eastAsia="宋体" w:cs="宋体"/>
                      <w:color w:val="auto"/>
                      <w:kern w:val="0"/>
                      <w:sz w:val="21"/>
                      <w:szCs w:val="21"/>
                      <w:highlight w:val="none"/>
                      <w:lang w:val="en-US" w:eastAsia="zh-CN" w:bidi="ar"/>
                    </w:rPr>
                    <w:t>东侧</w:t>
                  </w:r>
                  <w:r>
                    <w:rPr>
                      <w:rFonts w:hint="eastAsia" w:ascii="宋体" w:hAnsi="宋体" w:eastAsia="宋体" w:cs="宋体"/>
                      <w:color w:val="auto"/>
                      <w:kern w:val="2"/>
                      <w:sz w:val="21"/>
                      <w:szCs w:val="21"/>
                      <w:highlight w:val="none"/>
                      <w:lang w:val="en-US" w:eastAsia="zh-CN" w:bidi="ar"/>
                    </w:rPr>
                    <w:t>站界墙外1m</w:t>
                  </w:r>
                </w:p>
              </w:tc>
              <w:tc>
                <w:tcPr>
                  <w:tcW w:w="867" w:type="dxa"/>
                  <w:tcBorders>
                    <w:tl2br w:val="nil"/>
                    <w:tr2bl w:val="nil"/>
                  </w:tcBorders>
                  <w:noWrap w:val="0"/>
                  <w:tcMar>
                    <w:top w:w="0" w:type="dxa"/>
                    <w:left w:w="108" w:type="dxa"/>
                    <w:bottom w:w="0" w:type="dxa"/>
                    <w:right w:w="108" w:type="dxa"/>
                  </w:tcMar>
                  <w:vAlign w:val="center"/>
                </w:tcPr>
                <w:p w14:paraId="7D95CF2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21.3</w:t>
                  </w:r>
                </w:p>
              </w:tc>
              <w:tc>
                <w:tcPr>
                  <w:tcW w:w="2335" w:type="dxa"/>
                  <w:vMerge w:val="continue"/>
                  <w:tcBorders>
                    <w:tl2br w:val="nil"/>
                    <w:tr2bl w:val="nil"/>
                  </w:tcBorders>
                  <w:noWrap w:val="0"/>
                  <w:tcMar>
                    <w:top w:w="0" w:type="dxa"/>
                    <w:left w:w="108" w:type="dxa"/>
                    <w:bottom w:w="0" w:type="dxa"/>
                    <w:right w:w="108" w:type="dxa"/>
                  </w:tcMar>
                  <w:vAlign w:val="center"/>
                </w:tcPr>
                <w:p w14:paraId="31706F6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default" w:ascii="Times New Roman" w:hAnsi="Times New Roman" w:cs="Times New Roman"/>
                      <w:color w:val="auto"/>
                      <w:sz w:val="20"/>
                      <w:szCs w:val="20"/>
                      <w:highlight w:val="none"/>
                    </w:rPr>
                  </w:pPr>
                </w:p>
              </w:tc>
            </w:tr>
          </w:tbl>
          <w:p w14:paraId="63A4664D">
            <w:pPr>
              <w:keepNext w:val="0"/>
              <w:keepLines w:val="0"/>
              <w:widowControl/>
              <w:suppressLineNumbers w:val="0"/>
              <w:spacing w:before="0" w:beforeAutospacing="0" w:after="0" w:afterAutospacing="0" w:line="360" w:lineRule="auto"/>
              <w:ind w:left="0" w:right="0" w:firstLine="480" w:firstLineChars="200"/>
              <w:rPr>
                <w:rFonts w:hint="eastAsia" w:ascii="宋体" w:hAnsi="宋体" w:cs="宋体"/>
                <w:color w:val="0000FF"/>
                <w:kern w:val="0"/>
                <w:sz w:val="24"/>
                <w:szCs w:val="24"/>
                <w:highlight w:val="none"/>
                <w:lang w:val="en-US" w:eastAsia="zh-CN"/>
              </w:rPr>
            </w:pPr>
          </w:p>
          <w:p w14:paraId="5F0BBB81">
            <w:pPr>
              <w:keepNext w:val="0"/>
              <w:keepLines w:val="0"/>
              <w:widowControl/>
              <w:suppressLineNumbers w:val="0"/>
              <w:spacing w:before="0" w:beforeAutospacing="0" w:after="0" w:afterAutospacing="0" w:line="360" w:lineRule="auto"/>
              <w:ind w:left="0" w:right="0"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经</w:t>
            </w:r>
            <w:r>
              <w:rPr>
                <w:rFonts w:hint="eastAsia" w:ascii="宋体" w:hAnsi="宋体" w:cs="宋体"/>
                <w:color w:val="auto"/>
                <w:kern w:val="0"/>
                <w:sz w:val="24"/>
                <w:szCs w:val="24"/>
                <w:highlight w:val="none"/>
              </w:rPr>
              <w:t>预测可知，</w:t>
            </w:r>
            <w:r>
              <w:rPr>
                <w:rFonts w:hint="eastAsia" w:ascii="宋体" w:hAnsi="宋体" w:cs="宋体"/>
                <w:color w:val="auto"/>
                <w:kern w:val="0"/>
                <w:sz w:val="24"/>
                <w:szCs w:val="24"/>
                <w:highlight w:val="none"/>
                <w:lang w:val="en-US" w:eastAsia="zh-CN"/>
              </w:rPr>
              <w:t>升压站</w:t>
            </w:r>
            <w:r>
              <w:rPr>
                <w:rFonts w:hint="eastAsia" w:ascii="宋体" w:hAnsi="宋体" w:cs="宋体"/>
                <w:color w:val="auto"/>
                <w:kern w:val="0"/>
                <w:sz w:val="24"/>
                <w:szCs w:val="24"/>
                <w:highlight w:val="none"/>
              </w:rPr>
              <w:t>正常运行状态下，围墙外1m处的厂界</w:t>
            </w:r>
            <w:r>
              <w:rPr>
                <w:rFonts w:hint="eastAsia" w:ascii="宋体" w:hAnsi="宋体" w:cs="宋体"/>
                <w:color w:val="auto"/>
                <w:kern w:val="0"/>
                <w:sz w:val="24"/>
                <w:szCs w:val="24"/>
                <w:highlight w:val="none"/>
                <w:lang w:val="en-US" w:eastAsia="zh-CN"/>
              </w:rPr>
              <w:t>噪声</w:t>
            </w:r>
            <w:r>
              <w:rPr>
                <w:rFonts w:hint="eastAsia" w:ascii="宋体" w:hAnsi="宋体" w:cs="宋体"/>
                <w:color w:val="auto"/>
                <w:kern w:val="0"/>
                <w:sz w:val="24"/>
                <w:szCs w:val="24"/>
                <w:highlight w:val="none"/>
              </w:rPr>
              <w:t>贡献值</w:t>
            </w:r>
            <w:r>
              <w:rPr>
                <w:rFonts w:hint="eastAsia" w:ascii="宋体" w:hAnsi="宋体" w:cs="宋体"/>
                <w:color w:val="auto"/>
                <w:kern w:val="0"/>
                <w:sz w:val="24"/>
                <w:szCs w:val="24"/>
                <w:highlight w:val="none"/>
                <w:lang w:val="en-US" w:eastAsia="zh-CN"/>
              </w:rPr>
              <w:t>可</w:t>
            </w:r>
            <w:r>
              <w:rPr>
                <w:rFonts w:hint="eastAsia" w:ascii="宋体" w:hAnsi="宋体" w:cs="宋体"/>
                <w:color w:val="auto"/>
                <w:kern w:val="0"/>
                <w:sz w:val="24"/>
                <w:szCs w:val="24"/>
                <w:highlight w:val="none"/>
              </w:rPr>
              <w:t>满足《工业企业厂界环境噪声排放标准》(GB12348-2008)2类标准：昼间噪声限值60dB(A)，夜间噪声限值50dB</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A</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的要求。</w:t>
            </w:r>
          </w:p>
          <w:p w14:paraId="07A83101">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drawing>
                <wp:inline distT="0" distB="0" distL="114300" distR="114300">
                  <wp:extent cx="4823460" cy="2915285"/>
                  <wp:effectExtent l="0" t="0" r="15240" b="18415"/>
                  <wp:docPr id="51" name="图片 51" descr="储能站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储能站_a"/>
                          <pic:cNvPicPr>
                            <a:picLocks noChangeAspect="1"/>
                          </pic:cNvPicPr>
                        </pic:nvPicPr>
                        <pic:blipFill>
                          <a:blip r:embed="rId16"/>
                          <a:srcRect l="3750" r="2651"/>
                          <a:stretch>
                            <a:fillRect/>
                          </a:stretch>
                        </pic:blipFill>
                        <pic:spPr>
                          <a:xfrm>
                            <a:off x="0" y="0"/>
                            <a:ext cx="4823460" cy="2915285"/>
                          </a:xfrm>
                          <a:prstGeom prst="rect">
                            <a:avLst/>
                          </a:prstGeom>
                        </pic:spPr>
                      </pic:pic>
                    </a:graphicData>
                  </a:graphic>
                </wp:inline>
              </w:drawing>
            </w:r>
          </w:p>
          <w:p w14:paraId="6FADAED3">
            <w:pPr>
              <w:keepNext w:val="0"/>
              <w:keepLines w:val="0"/>
              <w:widowControl w:val="0"/>
              <w:suppressLineNumbers w:val="0"/>
              <w:spacing w:before="0" w:beforeAutospacing="0" w:after="120" w:afterAutospacing="0"/>
              <w:ind w:left="0" w:leftChars="0" w:right="0" w:firstLine="0" w:firstLineChars="0"/>
              <w:jc w:val="center"/>
              <w:rPr>
                <w:rFonts w:hint="eastAsia" w:ascii="宋体" w:hAnsi="宋体" w:eastAsia="宋体" w:cs="宋体"/>
                <w:b/>
                <w:bCs/>
                <w:color w:val="auto"/>
                <w:spacing w:val="-4"/>
                <w:kern w:val="0"/>
                <w:sz w:val="24"/>
                <w:szCs w:val="28"/>
                <w:highlight w:val="none"/>
                <w:lang w:val="en-US" w:eastAsia="zh-CN" w:bidi="ar-SA"/>
              </w:rPr>
            </w:pPr>
            <w:r>
              <w:rPr>
                <w:rFonts w:hint="eastAsia" w:ascii="宋体" w:hAnsi="宋体" w:eastAsia="宋体" w:cs="宋体"/>
                <w:b/>
                <w:bCs/>
                <w:color w:val="auto"/>
                <w:spacing w:val="-4"/>
                <w:kern w:val="0"/>
                <w:sz w:val="24"/>
                <w:szCs w:val="28"/>
                <w:highlight w:val="none"/>
                <w:lang w:val="en-US" w:eastAsia="zh-CN" w:bidi="ar-SA"/>
              </w:rPr>
              <w:t>图4-1</w:t>
            </w:r>
            <w:r>
              <w:rPr>
                <w:rFonts w:hint="eastAsia" w:ascii="宋体" w:hAnsi="宋体" w:cs="宋体"/>
                <w:b/>
                <w:bCs/>
                <w:color w:val="auto"/>
                <w:spacing w:val="-4"/>
                <w:kern w:val="0"/>
                <w:sz w:val="24"/>
                <w:szCs w:val="28"/>
                <w:highlight w:val="none"/>
                <w:lang w:val="en-US" w:eastAsia="zh-CN" w:bidi="ar-SA"/>
              </w:rPr>
              <w:t xml:space="preserve">    </w:t>
            </w:r>
            <w:r>
              <w:rPr>
                <w:rFonts w:hint="eastAsia" w:ascii="宋体" w:hAnsi="宋体" w:eastAsia="宋体" w:cs="宋体"/>
                <w:b/>
                <w:bCs/>
                <w:color w:val="auto"/>
                <w:spacing w:val="-4"/>
                <w:kern w:val="0"/>
                <w:sz w:val="24"/>
                <w:szCs w:val="28"/>
                <w:highlight w:val="none"/>
                <w:lang w:val="en-US" w:eastAsia="zh-CN" w:bidi="ar-SA"/>
              </w:rPr>
              <w:t>本项目噪声预测图</w:t>
            </w:r>
          </w:p>
          <w:p w14:paraId="19DD9325">
            <w:pPr>
              <w:keepNext w:val="0"/>
              <w:keepLines w:val="0"/>
              <w:pageBreakBefore w:val="0"/>
              <w:widowControl w:val="0"/>
              <w:suppressLineNumbers w:val="0"/>
              <w:tabs>
                <w:tab w:val="left" w:pos="8814"/>
              </w:tabs>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eastAsia" w:ascii="宋体" w:hAnsi="宋体" w:eastAsia="宋体" w:cs="Calibri"/>
                <w:b/>
                <w:bCs/>
                <w:color w:val="auto"/>
                <w:sz w:val="24"/>
                <w:szCs w:val="24"/>
                <w:lang w:val="en-US" w:eastAsia="zh-CN"/>
              </w:rPr>
            </w:pPr>
            <w:r>
              <w:rPr>
                <w:rFonts w:hint="eastAsia" w:ascii="宋体" w:hAnsi="宋体" w:eastAsia="宋体" w:cs="Calibri"/>
                <w:b/>
                <w:bCs/>
                <w:color w:val="auto"/>
                <w:sz w:val="24"/>
                <w:szCs w:val="24"/>
                <w:lang w:val="en-US" w:eastAsia="zh-CN"/>
              </w:rPr>
              <w:t>4.2.1</w:t>
            </w:r>
            <w:r>
              <w:rPr>
                <w:rFonts w:hint="eastAsia" w:ascii="宋体" w:hAnsi="宋体" w:eastAsia="宋体" w:cs="Calibri"/>
                <w:b/>
                <w:bCs/>
                <w:color w:val="auto"/>
                <w:sz w:val="24"/>
                <w:szCs w:val="21"/>
              </w:rPr>
              <w:t>单回输电线路</w:t>
            </w:r>
          </w:p>
          <w:p w14:paraId="4045C1F2">
            <w:pPr>
              <w:keepNext w:val="0"/>
              <w:keepLines w:val="0"/>
              <w:pageBreakBefore w:val="0"/>
              <w:widowControl w:val="0"/>
              <w:suppressLineNumbers w:val="0"/>
              <w:tabs>
                <w:tab w:val="left" w:pos="8814"/>
              </w:tabs>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宋体" w:hAnsi="宋体" w:eastAsia="宋体" w:cs="Calibri"/>
                <w:color w:val="auto"/>
                <w:sz w:val="24"/>
                <w:szCs w:val="21"/>
                <w:lang w:val="en-US"/>
              </w:rPr>
            </w:pPr>
            <w:r>
              <w:rPr>
                <w:rFonts w:hint="eastAsia" w:ascii="宋体" w:hAnsi="宋体" w:cs="Calibri"/>
                <w:b/>
                <w:color w:val="auto"/>
                <w:sz w:val="24"/>
                <w:szCs w:val="21"/>
                <w:lang w:eastAsia="zh-CN"/>
              </w:rPr>
              <w:t>（</w:t>
            </w:r>
            <w:r>
              <w:rPr>
                <w:rFonts w:hint="eastAsia" w:ascii="宋体" w:hAnsi="宋体" w:eastAsia="宋体" w:cs="Calibri"/>
                <w:b/>
                <w:color w:val="auto"/>
                <w:sz w:val="24"/>
                <w:szCs w:val="21"/>
              </w:rPr>
              <w:t>1</w:t>
            </w:r>
            <w:r>
              <w:rPr>
                <w:rFonts w:hint="eastAsia" w:ascii="宋体" w:hAnsi="宋体" w:cs="Calibri"/>
                <w:b/>
                <w:color w:val="auto"/>
                <w:sz w:val="24"/>
                <w:szCs w:val="21"/>
                <w:lang w:eastAsia="zh-CN"/>
              </w:rPr>
              <w:t>）</w:t>
            </w:r>
            <w:r>
              <w:rPr>
                <w:rFonts w:hint="eastAsia" w:ascii="宋体" w:hAnsi="宋体" w:eastAsia="宋体" w:cs="Calibri"/>
                <w:b/>
                <w:bCs/>
                <w:color w:val="auto"/>
                <w:sz w:val="24"/>
                <w:szCs w:val="24"/>
                <w:lang w:val="en-US" w:eastAsia="zh-CN"/>
              </w:rPr>
              <w:t>类比可行性分析</w:t>
            </w:r>
          </w:p>
          <w:p w14:paraId="594B8A85">
            <w:pPr>
              <w:keepNext w:val="0"/>
              <w:keepLines w:val="0"/>
              <w:pageBreakBefore w:val="0"/>
              <w:widowControl w:val="0"/>
              <w:suppressLineNumbers w:val="0"/>
              <w:tabs>
                <w:tab w:val="left" w:pos="8814"/>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Calibri"/>
                <w:color w:val="auto"/>
                <w:sz w:val="24"/>
                <w:szCs w:val="21"/>
                <w:highlight w:val="none"/>
              </w:rPr>
            </w:pPr>
            <w:r>
              <w:rPr>
                <w:rFonts w:hint="eastAsia" w:ascii="宋体" w:hAnsi="宋体" w:eastAsia="宋体" w:cs="Calibri"/>
                <w:color w:val="auto"/>
                <w:sz w:val="24"/>
                <w:szCs w:val="21"/>
                <w:highlight w:val="none"/>
              </w:rPr>
              <w:t>本次评价单回路架空线路采用已运行的220kV银钛Ⅰ线</w:t>
            </w: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单回路</w:t>
            </w: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进行类比监测，类比线路与</w:t>
            </w:r>
            <w:r>
              <w:rPr>
                <w:rFonts w:hint="eastAsia" w:ascii="宋体" w:hAnsi="宋体" w:eastAsia="宋体" w:cs="Calibri"/>
                <w:color w:val="auto"/>
                <w:sz w:val="24"/>
                <w:szCs w:val="21"/>
                <w:highlight w:val="none"/>
                <w:lang w:eastAsia="zh-CN"/>
              </w:rPr>
              <w:t>本项目</w:t>
            </w:r>
            <w:r>
              <w:rPr>
                <w:rFonts w:hint="eastAsia" w:ascii="宋体" w:hAnsi="宋体" w:eastAsia="宋体" w:cs="Calibri"/>
                <w:color w:val="auto"/>
                <w:sz w:val="24"/>
                <w:szCs w:val="21"/>
                <w:highlight w:val="none"/>
              </w:rPr>
              <w:t>线路主要技术参数对照，见</w:t>
            </w:r>
            <w:r>
              <w:rPr>
                <w:rFonts w:hint="eastAsia" w:ascii="宋体" w:hAnsi="宋体" w:eastAsia="宋体" w:cs="Calibri"/>
                <w:color w:val="auto"/>
                <w:sz w:val="24"/>
                <w:szCs w:val="21"/>
                <w:highlight w:val="none"/>
                <w:lang w:val="en-US" w:eastAsia="zh-CN"/>
              </w:rPr>
              <w:t>表4-</w:t>
            </w:r>
            <w:r>
              <w:rPr>
                <w:rFonts w:hint="eastAsia" w:ascii="宋体" w:hAnsi="宋体" w:cs="Calibri"/>
                <w:color w:val="auto"/>
                <w:sz w:val="24"/>
                <w:szCs w:val="21"/>
                <w:highlight w:val="none"/>
                <w:lang w:val="en-US" w:eastAsia="zh-CN"/>
              </w:rPr>
              <w:t>5</w:t>
            </w:r>
            <w:r>
              <w:rPr>
                <w:rFonts w:hint="eastAsia" w:ascii="宋体" w:hAnsi="宋体" w:eastAsia="宋体" w:cs="Calibri"/>
                <w:color w:val="auto"/>
                <w:sz w:val="24"/>
                <w:szCs w:val="21"/>
                <w:highlight w:val="none"/>
              </w:rPr>
              <w:t>。</w:t>
            </w:r>
          </w:p>
          <w:p w14:paraId="45FA6F37">
            <w:pPr>
              <w:keepNext w:val="0"/>
              <w:keepLines w:val="0"/>
              <w:pageBreakBefore w:val="0"/>
              <w:widowControl w:val="0"/>
              <w:suppressLineNumbers w:val="0"/>
              <w:tabs>
                <w:tab w:val="left" w:pos="8814"/>
              </w:tabs>
              <w:kinsoku/>
              <w:wordWrap/>
              <w:overflowPunct/>
              <w:topLinePunct w:val="0"/>
              <w:autoSpaceDE/>
              <w:autoSpaceDN/>
              <w:bidi w:val="0"/>
              <w:adjustRightInd/>
              <w:snapToGrid/>
              <w:spacing w:before="0" w:beforeAutospacing="0" w:after="0" w:afterAutospacing="0" w:line="240" w:lineRule="auto"/>
              <w:ind w:left="0" w:right="0" w:firstLine="482" w:firstLineChars="200"/>
              <w:jc w:val="center"/>
              <w:textAlignment w:val="auto"/>
              <w:rPr>
                <w:rFonts w:hint="default" w:ascii="Calibri" w:hAnsi="Calibri" w:eastAsia="宋体" w:cs="Calibri"/>
                <w:b/>
                <w:color w:val="auto"/>
                <w:sz w:val="24"/>
                <w:szCs w:val="21"/>
                <w:highlight w:val="none"/>
              </w:rPr>
            </w:pPr>
            <w:r>
              <w:rPr>
                <w:rFonts w:hint="eastAsia" w:ascii="宋体" w:hAnsi="宋体" w:eastAsia="宋体" w:cs="Calibri"/>
                <w:b/>
                <w:color w:val="auto"/>
                <w:sz w:val="24"/>
                <w:szCs w:val="21"/>
                <w:highlight w:val="none"/>
              </w:rPr>
              <w:t>表</w:t>
            </w:r>
            <w:r>
              <w:rPr>
                <w:rFonts w:hint="eastAsia" w:ascii="宋体" w:hAnsi="宋体" w:eastAsia="宋体" w:cs="Calibri"/>
                <w:b/>
                <w:color w:val="auto"/>
                <w:sz w:val="24"/>
                <w:szCs w:val="21"/>
                <w:highlight w:val="none"/>
                <w:lang w:val="en-US" w:eastAsia="zh-CN"/>
              </w:rPr>
              <w:t>4-</w:t>
            </w:r>
            <w:r>
              <w:rPr>
                <w:rFonts w:hint="eastAsia" w:ascii="宋体" w:hAnsi="宋体" w:cs="Calibri"/>
                <w:b/>
                <w:color w:val="auto"/>
                <w:sz w:val="24"/>
                <w:szCs w:val="21"/>
                <w:highlight w:val="none"/>
                <w:lang w:val="en-US" w:eastAsia="zh-CN"/>
              </w:rPr>
              <w:t xml:space="preserve">5    </w:t>
            </w:r>
            <w:r>
              <w:rPr>
                <w:rFonts w:hint="eastAsia" w:ascii="宋体" w:hAnsi="宋体" w:eastAsia="宋体" w:cs="Calibri"/>
                <w:b/>
                <w:color w:val="auto"/>
                <w:sz w:val="24"/>
                <w:szCs w:val="21"/>
                <w:highlight w:val="none"/>
              </w:rPr>
              <w:t>主要技术指标对照表</w:t>
            </w:r>
          </w:p>
          <w:tbl>
            <w:tblPr>
              <w:tblStyle w:val="32"/>
              <w:tblW w:w="785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1622"/>
              <w:gridCol w:w="3085"/>
              <w:gridCol w:w="3145"/>
            </w:tblGrid>
            <w:tr w14:paraId="0F63D4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67" w:hRule="atLeast"/>
                <w:jc w:val="center"/>
              </w:trPr>
              <w:tc>
                <w:tcPr>
                  <w:tcW w:w="1033" w:type="pct"/>
                  <w:tcBorders>
                    <w:top w:val="single" w:color="auto" w:sz="12" w:space="0"/>
                    <w:left w:val="single" w:color="auto" w:sz="12" w:space="0"/>
                    <w:bottom w:val="single" w:color="auto" w:sz="6" w:space="0"/>
                    <w:right w:val="single" w:color="auto" w:sz="6" w:space="0"/>
                  </w:tcBorders>
                  <w:noWrap w:val="0"/>
                  <w:vAlign w:val="center"/>
                </w:tcPr>
                <w:p w14:paraId="6F9666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eastAsia="宋体" w:cs="Calibri"/>
                      <w:b/>
                      <w:color w:val="auto"/>
                      <w:szCs w:val="21"/>
                      <w:highlight w:val="none"/>
                    </w:rPr>
                  </w:pPr>
                  <w:r>
                    <w:rPr>
                      <w:rFonts w:hint="eastAsia" w:ascii="宋体" w:hAnsi="宋体" w:eastAsia="宋体" w:cs="Calibri"/>
                      <w:b/>
                      <w:color w:val="auto"/>
                      <w:szCs w:val="21"/>
                      <w:highlight w:val="none"/>
                    </w:rPr>
                    <w:t>主要指标</w:t>
                  </w:r>
                </w:p>
              </w:tc>
              <w:tc>
                <w:tcPr>
                  <w:tcW w:w="1964" w:type="pct"/>
                  <w:tcBorders>
                    <w:top w:val="single" w:color="auto" w:sz="12" w:space="0"/>
                    <w:left w:val="single" w:color="auto" w:sz="6" w:space="0"/>
                    <w:bottom w:val="single" w:color="auto" w:sz="6" w:space="0"/>
                    <w:right w:val="single" w:color="auto" w:sz="6" w:space="0"/>
                  </w:tcBorders>
                  <w:noWrap w:val="0"/>
                  <w:vAlign w:val="center"/>
                </w:tcPr>
                <w:p w14:paraId="572202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eastAsia="宋体" w:cs="Calibri"/>
                      <w:b/>
                      <w:color w:val="auto"/>
                      <w:szCs w:val="21"/>
                      <w:highlight w:val="none"/>
                    </w:rPr>
                  </w:pPr>
                  <w:r>
                    <w:rPr>
                      <w:rFonts w:hint="eastAsia" w:ascii="宋体" w:hAnsi="宋体" w:eastAsia="宋体" w:cs="Calibri"/>
                      <w:b/>
                      <w:color w:val="auto"/>
                      <w:szCs w:val="21"/>
                      <w:highlight w:val="none"/>
                    </w:rPr>
                    <w:t>220kV银钛Ⅰ线</w:t>
                  </w:r>
                </w:p>
              </w:tc>
              <w:tc>
                <w:tcPr>
                  <w:tcW w:w="2002" w:type="pct"/>
                  <w:tcBorders>
                    <w:top w:val="single" w:color="auto" w:sz="12" w:space="0"/>
                    <w:left w:val="single" w:color="auto" w:sz="6" w:space="0"/>
                    <w:bottom w:val="single" w:color="auto" w:sz="6" w:space="0"/>
                    <w:right w:val="single" w:color="auto" w:sz="12" w:space="0"/>
                  </w:tcBorders>
                  <w:noWrap w:val="0"/>
                  <w:vAlign w:val="center"/>
                </w:tcPr>
                <w:p w14:paraId="7972E6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eastAsia="宋体" w:cs="Calibri"/>
                      <w:b/>
                      <w:color w:val="auto"/>
                      <w:szCs w:val="21"/>
                      <w:highlight w:val="none"/>
                    </w:rPr>
                  </w:pPr>
                  <w:r>
                    <w:rPr>
                      <w:rFonts w:hint="eastAsia" w:ascii="宋体" w:hAnsi="宋体" w:eastAsia="宋体" w:cs="Calibri"/>
                      <w:b/>
                      <w:color w:val="auto"/>
                      <w:szCs w:val="21"/>
                      <w:highlight w:val="none"/>
                      <w:lang w:eastAsia="zh-CN"/>
                    </w:rPr>
                    <w:t>本项目</w:t>
                  </w:r>
                  <w:r>
                    <w:rPr>
                      <w:rFonts w:hint="eastAsia" w:ascii="宋体" w:hAnsi="宋体" w:eastAsia="宋体" w:cs="Calibri"/>
                      <w:b/>
                      <w:color w:val="auto"/>
                      <w:szCs w:val="21"/>
                      <w:highlight w:val="none"/>
                    </w:rPr>
                    <w:t>新建220kV线路</w:t>
                  </w:r>
                </w:p>
              </w:tc>
            </w:tr>
            <w:tr w14:paraId="0F7E9B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03" w:hRule="atLeast"/>
                <w:jc w:val="center"/>
              </w:trPr>
              <w:tc>
                <w:tcPr>
                  <w:tcW w:w="1033" w:type="pct"/>
                  <w:tcBorders>
                    <w:top w:val="single" w:color="auto" w:sz="6" w:space="0"/>
                    <w:left w:val="single" w:color="auto" w:sz="12" w:space="0"/>
                    <w:bottom w:val="single" w:color="auto" w:sz="6" w:space="0"/>
                    <w:right w:val="single" w:color="auto" w:sz="6" w:space="0"/>
                  </w:tcBorders>
                  <w:noWrap w:val="0"/>
                  <w:vAlign w:val="center"/>
                </w:tcPr>
                <w:p w14:paraId="2BE827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电压等级</w:t>
                  </w:r>
                </w:p>
              </w:tc>
              <w:tc>
                <w:tcPr>
                  <w:tcW w:w="1964" w:type="pct"/>
                  <w:tcBorders>
                    <w:top w:val="single" w:color="auto" w:sz="6" w:space="0"/>
                    <w:left w:val="single" w:color="auto" w:sz="6" w:space="0"/>
                    <w:bottom w:val="single" w:color="auto" w:sz="6" w:space="0"/>
                    <w:right w:val="single" w:color="auto" w:sz="6" w:space="0"/>
                  </w:tcBorders>
                  <w:noWrap w:val="0"/>
                  <w:vAlign w:val="center"/>
                </w:tcPr>
                <w:p w14:paraId="55F15B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220kV</w:t>
                  </w:r>
                </w:p>
              </w:tc>
              <w:tc>
                <w:tcPr>
                  <w:tcW w:w="2002" w:type="pct"/>
                  <w:tcBorders>
                    <w:top w:val="single" w:color="auto" w:sz="6" w:space="0"/>
                    <w:left w:val="single" w:color="auto" w:sz="6" w:space="0"/>
                    <w:bottom w:val="single" w:color="auto" w:sz="6" w:space="0"/>
                    <w:right w:val="single" w:color="auto" w:sz="12" w:space="0"/>
                  </w:tcBorders>
                  <w:noWrap w:val="0"/>
                  <w:vAlign w:val="center"/>
                </w:tcPr>
                <w:p w14:paraId="352A9C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eastAsia="宋体" w:cs="Calibri"/>
                      <w:color w:val="auto"/>
                      <w:szCs w:val="21"/>
                      <w:highlight w:val="yellow"/>
                    </w:rPr>
                  </w:pPr>
                  <w:r>
                    <w:rPr>
                      <w:rFonts w:hint="eastAsia" w:ascii="宋体" w:hAnsi="宋体" w:eastAsia="宋体" w:cs="Calibri"/>
                      <w:color w:val="auto"/>
                      <w:szCs w:val="21"/>
                      <w:highlight w:val="none"/>
                    </w:rPr>
                    <w:t>220kV</w:t>
                  </w:r>
                </w:p>
              </w:tc>
            </w:tr>
            <w:tr w14:paraId="1F779B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03" w:hRule="atLeast"/>
                <w:jc w:val="center"/>
              </w:trPr>
              <w:tc>
                <w:tcPr>
                  <w:tcW w:w="1033" w:type="pct"/>
                  <w:tcBorders>
                    <w:top w:val="single" w:color="auto" w:sz="6" w:space="0"/>
                    <w:left w:val="single" w:color="auto" w:sz="12" w:space="0"/>
                    <w:bottom w:val="single" w:color="auto" w:sz="6" w:space="0"/>
                    <w:right w:val="single" w:color="auto" w:sz="6" w:space="0"/>
                  </w:tcBorders>
                  <w:noWrap w:val="0"/>
                  <w:vAlign w:val="center"/>
                </w:tcPr>
                <w:p w14:paraId="3C28D9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架设及排列方式</w:t>
                  </w:r>
                </w:p>
              </w:tc>
              <w:tc>
                <w:tcPr>
                  <w:tcW w:w="1964" w:type="pct"/>
                  <w:tcBorders>
                    <w:top w:val="single" w:color="auto" w:sz="6" w:space="0"/>
                    <w:left w:val="single" w:color="auto" w:sz="6" w:space="0"/>
                    <w:bottom w:val="single" w:color="auto" w:sz="6" w:space="0"/>
                    <w:right w:val="single" w:color="auto" w:sz="6" w:space="0"/>
                  </w:tcBorders>
                  <w:noWrap w:val="0"/>
                  <w:vAlign w:val="center"/>
                </w:tcPr>
                <w:p w14:paraId="4A18B1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架空/</w:t>
                  </w:r>
                  <w:r>
                    <w:rPr>
                      <w:rFonts w:hint="eastAsia" w:ascii="宋体" w:hAnsi="宋体" w:cs="Calibri"/>
                      <w:color w:val="auto"/>
                      <w:kern w:val="0"/>
                      <w:szCs w:val="21"/>
                      <w:lang w:val="en-US" w:eastAsia="zh-CN"/>
                    </w:rPr>
                    <w:t>三角形</w:t>
                  </w:r>
                  <w:r>
                    <w:rPr>
                      <w:rFonts w:hint="eastAsia" w:ascii="宋体" w:hAnsi="宋体" w:eastAsia="宋体" w:cs="Calibri"/>
                      <w:color w:val="auto"/>
                      <w:kern w:val="0"/>
                      <w:szCs w:val="21"/>
                    </w:rPr>
                    <w:t>排列</w:t>
                  </w:r>
                </w:p>
              </w:tc>
              <w:tc>
                <w:tcPr>
                  <w:tcW w:w="2002" w:type="pct"/>
                  <w:tcBorders>
                    <w:top w:val="single" w:color="auto" w:sz="6" w:space="0"/>
                    <w:left w:val="single" w:color="auto" w:sz="6" w:space="0"/>
                    <w:bottom w:val="single" w:color="auto" w:sz="6" w:space="0"/>
                    <w:right w:val="single" w:color="auto" w:sz="12" w:space="0"/>
                  </w:tcBorders>
                  <w:noWrap w:val="0"/>
                  <w:vAlign w:val="center"/>
                </w:tcPr>
                <w:p w14:paraId="1BE89C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eastAsia="宋体" w:cs="Calibri"/>
                      <w:color w:val="0000FF"/>
                      <w:szCs w:val="21"/>
                      <w:highlight w:val="yellow"/>
                    </w:rPr>
                  </w:pPr>
                  <w:r>
                    <w:rPr>
                      <w:rFonts w:hint="eastAsia" w:ascii="宋体" w:hAnsi="宋体" w:eastAsia="宋体" w:cs="宋体"/>
                      <w:color w:val="auto"/>
                      <w:szCs w:val="21"/>
                      <w:highlight w:val="none"/>
                      <w:lang w:val="en-US" w:eastAsia="zh-CN"/>
                    </w:rPr>
                    <w:t>架空/三角形排列</w:t>
                  </w:r>
                </w:p>
              </w:tc>
            </w:tr>
            <w:tr w14:paraId="3C3F86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43" w:hRule="atLeast"/>
                <w:jc w:val="center"/>
              </w:trPr>
              <w:tc>
                <w:tcPr>
                  <w:tcW w:w="1033" w:type="pct"/>
                  <w:tcBorders>
                    <w:top w:val="single" w:color="auto" w:sz="6" w:space="0"/>
                    <w:left w:val="single" w:color="auto" w:sz="12" w:space="0"/>
                    <w:bottom w:val="single" w:color="auto" w:sz="6" w:space="0"/>
                    <w:right w:val="single" w:color="auto" w:sz="6" w:space="0"/>
                  </w:tcBorders>
                  <w:noWrap w:val="0"/>
                  <w:vAlign w:val="center"/>
                </w:tcPr>
                <w:p w14:paraId="157C0A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导线分裂方式</w:t>
                  </w:r>
                </w:p>
              </w:tc>
              <w:tc>
                <w:tcPr>
                  <w:tcW w:w="1964" w:type="pct"/>
                  <w:tcBorders>
                    <w:top w:val="single" w:color="auto" w:sz="6" w:space="0"/>
                    <w:left w:val="single" w:color="auto" w:sz="6" w:space="0"/>
                    <w:bottom w:val="single" w:color="auto" w:sz="6" w:space="0"/>
                    <w:right w:val="single" w:color="auto" w:sz="6" w:space="0"/>
                  </w:tcBorders>
                  <w:noWrap w:val="0"/>
                  <w:vAlign w:val="center"/>
                </w:tcPr>
                <w:p w14:paraId="0AC25E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双分裂</w:t>
                  </w:r>
                </w:p>
              </w:tc>
              <w:tc>
                <w:tcPr>
                  <w:tcW w:w="2002" w:type="pct"/>
                  <w:tcBorders>
                    <w:top w:val="single" w:color="auto" w:sz="6" w:space="0"/>
                    <w:left w:val="single" w:color="auto" w:sz="6" w:space="0"/>
                    <w:bottom w:val="single" w:color="auto" w:sz="6" w:space="0"/>
                    <w:right w:val="single" w:color="auto" w:sz="12" w:space="0"/>
                  </w:tcBorders>
                  <w:noWrap w:val="0"/>
                  <w:vAlign w:val="center"/>
                </w:tcPr>
                <w:p w14:paraId="106C34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eastAsia="宋体" w:cs="Calibri"/>
                      <w:color w:val="auto"/>
                      <w:szCs w:val="21"/>
                      <w:highlight w:val="yellow"/>
                    </w:rPr>
                  </w:pPr>
                  <w:r>
                    <w:rPr>
                      <w:rFonts w:hint="eastAsia" w:ascii="宋体" w:hAnsi="宋体" w:eastAsia="宋体" w:cs="Calibri"/>
                      <w:color w:val="auto"/>
                      <w:szCs w:val="21"/>
                      <w:highlight w:val="none"/>
                    </w:rPr>
                    <w:t>双分裂</w:t>
                  </w:r>
                </w:p>
              </w:tc>
            </w:tr>
            <w:tr w14:paraId="3B85B4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63" w:hRule="atLeast"/>
                <w:jc w:val="center"/>
              </w:trPr>
              <w:tc>
                <w:tcPr>
                  <w:tcW w:w="1033" w:type="pct"/>
                  <w:tcBorders>
                    <w:top w:val="single" w:color="auto" w:sz="6" w:space="0"/>
                    <w:left w:val="single" w:color="auto" w:sz="12" w:space="0"/>
                    <w:bottom w:val="single" w:color="auto" w:sz="6" w:space="0"/>
                    <w:right w:val="single" w:color="auto" w:sz="6" w:space="0"/>
                  </w:tcBorders>
                  <w:noWrap w:val="0"/>
                  <w:vAlign w:val="center"/>
                </w:tcPr>
                <w:p w14:paraId="7AF49C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Calibri"/>
                      <w:color w:val="auto"/>
                      <w:szCs w:val="21"/>
                    </w:rPr>
                  </w:pPr>
                  <w:r>
                    <w:rPr>
                      <w:rFonts w:hint="eastAsia" w:ascii="宋体" w:hAnsi="宋体" w:eastAsia="宋体" w:cs="Calibri"/>
                      <w:color w:val="auto"/>
                      <w:szCs w:val="21"/>
                    </w:rPr>
                    <w:t>分裂间距</w:t>
                  </w:r>
                </w:p>
              </w:tc>
              <w:tc>
                <w:tcPr>
                  <w:tcW w:w="1964" w:type="pct"/>
                  <w:tcBorders>
                    <w:top w:val="single" w:color="auto" w:sz="6" w:space="0"/>
                    <w:left w:val="single" w:color="auto" w:sz="6" w:space="0"/>
                    <w:bottom w:val="single" w:color="auto" w:sz="6" w:space="0"/>
                    <w:right w:val="single" w:color="auto" w:sz="6" w:space="0"/>
                  </w:tcBorders>
                  <w:noWrap w:val="0"/>
                  <w:vAlign w:val="center"/>
                </w:tcPr>
                <w:p w14:paraId="62FD63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Calibri"/>
                      <w:color w:val="auto"/>
                      <w:szCs w:val="21"/>
                    </w:rPr>
                  </w:pPr>
                  <w:r>
                    <w:rPr>
                      <w:rFonts w:hint="eastAsia" w:ascii="宋体" w:hAnsi="宋体" w:eastAsia="宋体" w:cs="Calibri"/>
                      <w:color w:val="auto"/>
                      <w:szCs w:val="21"/>
                    </w:rPr>
                    <w:t>400mm</w:t>
                  </w:r>
                </w:p>
              </w:tc>
              <w:tc>
                <w:tcPr>
                  <w:tcW w:w="2002" w:type="pct"/>
                  <w:tcBorders>
                    <w:top w:val="single" w:color="auto" w:sz="6" w:space="0"/>
                    <w:left w:val="single" w:color="auto" w:sz="6" w:space="0"/>
                    <w:bottom w:val="single" w:color="auto" w:sz="6" w:space="0"/>
                    <w:right w:val="single" w:color="auto" w:sz="12" w:space="0"/>
                  </w:tcBorders>
                  <w:noWrap w:val="0"/>
                  <w:vAlign w:val="center"/>
                </w:tcPr>
                <w:p w14:paraId="76CDBD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Calibri"/>
                      <w:color w:val="auto"/>
                      <w:szCs w:val="21"/>
                      <w:highlight w:val="yellow"/>
                    </w:rPr>
                  </w:pPr>
                  <w:r>
                    <w:rPr>
                      <w:rFonts w:hint="eastAsia" w:ascii="宋体" w:hAnsi="宋体" w:cs="Calibri"/>
                      <w:color w:val="auto"/>
                      <w:szCs w:val="21"/>
                      <w:highlight w:val="none"/>
                      <w:lang w:val="en-US" w:eastAsia="zh-CN"/>
                    </w:rPr>
                    <w:t>50</w:t>
                  </w:r>
                  <w:r>
                    <w:rPr>
                      <w:rFonts w:hint="eastAsia" w:ascii="宋体" w:hAnsi="宋体" w:eastAsia="宋体" w:cs="Calibri"/>
                      <w:color w:val="auto"/>
                      <w:szCs w:val="21"/>
                      <w:highlight w:val="none"/>
                    </w:rPr>
                    <w:t>0mm</w:t>
                  </w:r>
                </w:p>
              </w:tc>
            </w:tr>
            <w:tr w14:paraId="5652A2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92" w:hRule="atLeast"/>
                <w:jc w:val="center"/>
              </w:trPr>
              <w:tc>
                <w:tcPr>
                  <w:tcW w:w="1033" w:type="pct"/>
                  <w:tcBorders>
                    <w:top w:val="single" w:color="auto" w:sz="6" w:space="0"/>
                    <w:left w:val="single" w:color="auto" w:sz="12" w:space="0"/>
                    <w:bottom w:val="single" w:color="auto" w:sz="6" w:space="0"/>
                    <w:right w:val="single" w:color="auto" w:sz="6" w:space="0"/>
                  </w:tcBorders>
                  <w:noWrap w:val="0"/>
                  <w:vAlign w:val="center"/>
                </w:tcPr>
                <w:p w14:paraId="54D15D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Calibri"/>
                      <w:color w:val="auto"/>
                      <w:szCs w:val="21"/>
                    </w:rPr>
                  </w:pPr>
                  <w:r>
                    <w:rPr>
                      <w:rFonts w:hint="eastAsia" w:ascii="宋体" w:hAnsi="宋体" w:eastAsia="宋体" w:cs="Calibri"/>
                      <w:color w:val="auto"/>
                      <w:szCs w:val="21"/>
                    </w:rPr>
                    <w:t>导线型号</w:t>
                  </w:r>
                </w:p>
              </w:tc>
              <w:tc>
                <w:tcPr>
                  <w:tcW w:w="1964" w:type="pct"/>
                  <w:tcBorders>
                    <w:top w:val="single" w:color="auto" w:sz="6" w:space="0"/>
                    <w:left w:val="single" w:color="auto" w:sz="6" w:space="0"/>
                    <w:bottom w:val="single" w:color="auto" w:sz="6" w:space="0"/>
                    <w:right w:val="single" w:color="auto" w:sz="6" w:space="0"/>
                  </w:tcBorders>
                  <w:noWrap w:val="0"/>
                  <w:vAlign w:val="center"/>
                </w:tcPr>
                <w:p w14:paraId="633FB5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Calibri"/>
                      <w:color w:val="auto"/>
                      <w:szCs w:val="21"/>
                    </w:rPr>
                  </w:pPr>
                  <w:r>
                    <w:rPr>
                      <w:rFonts w:hint="eastAsia" w:ascii="宋体" w:hAnsi="宋体" w:eastAsia="宋体" w:cs="宋体"/>
                      <w:color w:val="auto"/>
                      <w:szCs w:val="21"/>
                    </w:rPr>
                    <w:t>2×JL/G1A-400/35型钢芯铝绞线</w:t>
                  </w:r>
                </w:p>
              </w:tc>
              <w:tc>
                <w:tcPr>
                  <w:tcW w:w="2002" w:type="pct"/>
                  <w:tcBorders>
                    <w:top w:val="single" w:color="auto" w:sz="6" w:space="0"/>
                    <w:left w:val="single" w:color="auto" w:sz="6" w:space="0"/>
                    <w:bottom w:val="single" w:color="auto" w:sz="6" w:space="0"/>
                    <w:right w:val="single" w:color="auto" w:sz="12" w:space="0"/>
                  </w:tcBorders>
                  <w:noWrap w:val="0"/>
                  <w:vAlign w:val="center"/>
                </w:tcPr>
                <w:p w14:paraId="0A2411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Calibri"/>
                      <w:color w:val="0000FF"/>
                      <w:szCs w:val="21"/>
                      <w:highlight w:val="yellow"/>
                    </w:rPr>
                  </w:pPr>
                  <w:r>
                    <w:rPr>
                      <w:rFonts w:hint="eastAsia" w:ascii="宋体" w:hAnsi="宋体" w:eastAsia="宋体" w:cs="宋体"/>
                      <w:color w:val="auto"/>
                      <w:sz w:val="21"/>
                      <w:szCs w:val="21"/>
                      <w:highlight w:val="none"/>
                      <w:lang w:val="en-US" w:eastAsia="zh-CN"/>
                    </w:rPr>
                    <w:t>2×JL</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/G1A-</w:t>
                  </w:r>
                  <w:r>
                    <w:rPr>
                      <w:rFonts w:hint="eastAsia" w:ascii="宋体" w:hAnsi="宋体" w:cs="宋体"/>
                      <w:color w:val="auto"/>
                      <w:sz w:val="21"/>
                      <w:szCs w:val="21"/>
                      <w:highlight w:val="none"/>
                      <w:lang w:val="en-US" w:eastAsia="zh-CN"/>
                    </w:rPr>
                    <w:t>63</w:t>
                  </w:r>
                  <w:r>
                    <w:rPr>
                      <w:rFonts w:hint="eastAsia" w:ascii="宋体" w:hAnsi="宋体" w:eastAsia="宋体" w:cs="宋体"/>
                      <w:color w:val="auto"/>
                      <w:sz w:val="21"/>
                      <w:szCs w:val="21"/>
                      <w:highlight w:val="none"/>
                      <w:lang w:val="en-US" w:eastAsia="zh-CN"/>
                    </w:rPr>
                    <w:t>0/</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Cs w:val="21"/>
                      <w:highlight w:val="none"/>
                    </w:rPr>
                    <w:t>型钢芯铝绞线</w:t>
                  </w:r>
                </w:p>
              </w:tc>
            </w:tr>
            <w:tr w14:paraId="53F02F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58" w:hRule="atLeast"/>
                <w:jc w:val="center"/>
              </w:trPr>
              <w:tc>
                <w:tcPr>
                  <w:tcW w:w="1033" w:type="pct"/>
                  <w:tcBorders>
                    <w:top w:val="single" w:color="auto" w:sz="6" w:space="0"/>
                    <w:left w:val="single" w:color="auto" w:sz="12" w:space="0"/>
                    <w:bottom w:val="single" w:color="auto" w:sz="6" w:space="0"/>
                    <w:right w:val="single" w:color="auto" w:sz="6" w:space="0"/>
                  </w:tcBorders>
                  <w:noWrap w:val="0"/>
                  <w:vAlign w:val="center"/>
                </w:tcPr>
                <w:p w14:paraId="71FF62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Calibri"/>
                      <w:color w:val="auto"/>
                      <w:szCs w:val="21"/>
                    </w:rPr>
                  </w:pPr>
                  <w:r>
                    <w:rPr>
                      <w:rFonts w:hint="eastAsia" w:ascii="宋体" w:hAnsi="宋体" w:eastAsia="宋体" w:cs="Calibri"/>
                      <w:color w:val="auto"/>
                      <w:szCs w:val="21"/>
                    </w:rPr>
                    <w:t>导线直径</w:t>
                  </w:r>
                </w:p>
              </w:tc>
              <w:tc>
                <w:tcPr>
                  <w:tcW w:w="1964" w:type="pct"/>
                  <w:tcBorders>
                    <w:top w:val="single" w:color="auto" w:sz="6" w:space="0"/>
                    <w:left w:val="single" w:color="auto" w:sz="6" w:space="0"/>
                    <w:bottom w:val="single" w:color="auto" w:sz="6" w:space="0"/>
                    <w:right w:val="single" w:color="auto" w:sz="6" w:space="0"/>
                  </w:tcBorders>
                  <w:noWrap w:val="0"/>
                  <w:vAlign w:val="center"/>
                </w:tcPr>
                <w:p w14:paraId="50B661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Calibri"/>
                      <w:color w:val="auto"/>
                      <w:szCs w:val="21"/>
                    </w:rPr>
                  </w:pPr>
                  <w:r>
                    <w:rPr>
                      <w:rFonts w:hint="eastAsia" w:ascii="宋体" w:hAnsi="宋体" w:eastAsia="宋体" w:cs="Calibri"/>
                      <w:color w:val="auto"/>
                      <w:szCs w:val="21"/>
                    </w:rPr>
                    <w:t>26.8mm</w:t>
                  </w:r>
                </w:p>
              </w:tc>
              <w:tc>
                <w:tcPr>
                  <w:tcW w:w="2002" w:type="pct"/>
                  <w:tcBorders>
                    <w:top w:val="single" w:color="auto" w:sz="6" w:space="0"/>
                    <w:left w:val="single" w:color="auto" w:sz="6" w:space="0"/>
                    <w:bottom w:val="single" w:color="auto" w:sz="6" w:space="0"/>
                    <w:right w:val="single" w:color="auto" w:sz="12" w:space="0"/>
                  </w:tcBorders>
                  <w:noWrap w:val="0"/>
                  <w:vAlign w:val="center"/>
                </w:tcPr>
                <w:p w14:paraId="35E747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Calibri"/>
                      <w:color w:val="auto"/>
                      <w:szCs w:val="21"/>
                      <w:highlight w:val="yellow"/>
                    </w:rPr>
                  </w:pPr>
                  <w:r>
                    <w:rPr>
                      <w:rFonts w:hint="eastAsia" w:ascii="宋体" w:hAnsi="宋体" w:cs="Calibri"/>
                      <w:color w:val="auto"/>
                      <w:szCs w:val="21"/>
                      <w:highlight w:val="none"/>
                      <w:lang w:val="en-US" w:eastAsia="zh-CN"/>
                    </w:rPr>
                    <w:t>33.8</w:t>
                  </w:r>
                  <w:r>
                    <w:rPr>
                      <w:rFonts w:hint="eastAsia" w:ascii="宋体" w:hAnsi="宋体" w:eastAsia="宋体" w:cs="Calibri"/>
                      <w:color w:val="auto"/>
                      <w:szCs w:val="21"/>
                      <w:highlight w:val="none"/>
                    </w:rPr>
                    <w:t>mm</w:t>
                  </w:r>
                </w:p>
              </w:tc>
            </w:tr>
            <w:tr w14:paraId="07856E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43" w:hRule="atLeast"/>
                <w:jc w:val="center"/>
              </w:trPr>
              <w:tc>
                <w:tcPr>
                  <w:tcW w:w="1033" w:type="pct"/>
                  <w:tcBorders>
                    <w:top w:val="single" w:color="auto" w:sz="6" w:space="0"/>
                    <w:left w:val="single" w:color="auto" w:sz="12" w:space="0"/>
                    <w:bottom w:val="single" w:color="auto" w:sz="6" w:space="0"/>
                    <w:right w:val="single" w:color="auto" w:sz="6" w:space="0"/>
                  </w:tcBorders>
                  <w:noWrap w:val="0"/>
                  <w:vAlign w:val="center"/>
                </w:tcPr>
                <w:p w14:paraId="6E778D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eastAsia="宋体" w:cs="Calibri"/>
                      <w:color w:val="auto"/>
                      <w:szCs w:val="21"/>
                      <w:lang w:val="en-US" w:eastAsia="zh-CN"/>
                    </w:rPr>
                  </w:pPr>
                  <w:r>
                    <w:rPr>
                      <w:rFonts w:hint="eastAsia" w:ascii="宋体" w:hAnsi="宋体" w:eastAsia="宋体" w:cs="Calibri"/>
                      <w:color w:val="auto"/>
                      <w:szCs w:val="21"/>
                      <w:lang w:val="en-US" w:eastAsia="zh-CN"/>
                    </w:rPr>
                    <w:t>导线高度</w:t>
                  </w:r>
                </w:p>
              </w:tc>
              <w:tc>
                <w:tcPr>
                  <w:tcW w:w="1964" w:type="pct"/>
                  <w:tcBorders>
                    <w:top w:val="single" w:color="auto" w:sz="6" w:space="0"/>
                    <w:left w:val="single" w:color="auto" w:sz="6" w:space="0"/>
                    <w:bottom w:val="single" w:color="auto" w:sz="6" w:space="0"/>
                    <w:right w:val="single" w:color="auto" w:sz="6" w:space="0"/>
                  </w:tcBorders>
                  <w:noWrap w:val="0"/>
                  <w:vAlign w:val="center"/>
                </w:tcPr>
                <w:p w14:paraId="734985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eastAsia="宋体" w:cs="Calibri"/>
                      <w:color w:val="auto"/>
                      <w:szCs w:val="21"/>
                      <w:lang w:val="en-US" w:eastAsia="zh-CN"/>
                    </w:rPr>
                  </w:pPr>
                  <w:r>
                    <w:rPr>
                      <w:rFonts w:hint="eastAsia" w:ascii="宋体" w:hAnsi="宋体" w:eastAsia="宋体" w:cs="Calibri"/>
                      <w:color w:val="auto"/>
                      <w:szCs w:val="21"/>
                      <w:lang w:val="en-US" w:eastAsia="zh-CN"/>
                    </w:rPr>
                    <w:t>17.5m</w:t>
                  </w:r>
                </w:p>
              </w:tc>
              <w:tc>
                <w:tcPr>
                  <w:tcW w:w="2002" w:type="pct"/>
                  <w:tcBorders>
                    <w:top w:val="single" w:color="auto" w:sz="6" w:space="0"/>
                    <w:left w:val="single" w:color="auto" w:sz="6" w:space="0"/>
                    <w:bottom w:val="single" w:color="auto" w:sz="6" w:space="0"/>
                    <w:right w:val="single" w:color="auto" w:sz="12" w:space="0"/>
                  </w:tcBorders>
                  <w:noWrap w:val="0"/>
                  <w:vAlign w:val="center"/>
                </w:tcPr>
                <w:p w14:paraId="7813C9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eastAsia="宋体" w:cs="Calibri"/>
                      <w:color w:val="auto"/>
                      <w:szCs w:val="21"/>
                      <w:highlight w:val="none"/>
                      <w:lang w:val="en-US" w:eastAsia="zh-CN"/>
                    </w:rPr>
                  </w:pPr>
                  <w:r>
                    <w:rPr>
                      <w:rFonts w:hint="eastAsia" w:ascii="宋体" w:hAnsi="宋体" w:eastAsia="宋体" w:cs="Calibri"/>
                      <w:color w:val="auto"/>
                      <w:szCs w:val="21"/>
                      <w:highlight w:val="none"/>
                      <w:lang w:val="en-US" w:eastAsia="zh-CN"/>
                    </w:rPr>
                    <w:t>/</w:t>
                  </w:r>
                </w:p>
              </w:tc>
            </w:tr>
            <w:tr w14:paraId="586E97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46" w:hRule="atLeast"/>
                <w:jc w:val="center"/>
              </w:trPr>
              <w:tc>
                <w:tcPr>
                  <w:tcW w:w="1033" w:type="pct"/>
                  <w:tcBorders>
                    <w:top w:val="single" w:color="auto" w:sz="6" w:space="0"/>
                    <w:left w:val="single" w:color="auto" w:sz="12" w:space="0"/>
                    <w:bottom w:val="single" w:color="auto" w:sz="6" w:space="0"/>
                    <w:right w:val="single" w:color="auto" w:sz="6" w:space="0"/>
                  </w:tcBorders>
                  <w:noWrap w:val="0"/>
                  <w:vAlign w:val="center"/>
                </w:tcPr>
                <w:p w14:paraId="09794F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回路</w:t>
                  </w:r>
                </w:p>
              </w:tc>
              <w:tc>
                <w:tcPr>
                  <w:tcW w:w="1964" w:type="pct"/>
                  <w:tcBorders>
                    <w:top w:val="single" w:color="auto" w:sz="6" w:space="0"/>
                    <w:left w:val="single" w:color="auto" w:sz="6" w:space="0"/>
                    <w:bottom w:val="single" w:color="auto" w:sz="6" w:space="0"/>
                    <w:right w:val="single" w:color="auto" w:sz="6" w:space="0"/>
                  </w:tcBorders>
                  <w:noWrap w:val="0"/>
                  <w:vAlign w:val="center"/>
                </w:tcPr>
                <w:p w14:paraId="33E8FF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单回路架设</w:t>
                  </w:r>
                </w:p>
              </w:tc>
              <w:tc>
                <w:tcPr>
                  <w:tcW w:w="2002" w:type="pct"/>
                  <w:tcBorders>
                    <w:top w:val="single" w:color="auto" w:sz="6" w:space="0"/>
                    <w:left w:val="single" w:color="auto" w:sz="6" w:space="0"/>
                    <w:bottom w:val="single" w:color="auto" w:sz="6" w:space="0"/>
                    <w:right w:val="single" w:color="auto" w:sz="12" w:space="0"/>
                  </w:tcBorders>
                  <w:noWrap w:val="0"/>
                  <w:vAlign w:val="center"/>
                </w:tcPr>
                <w:p w14:paraId="61FB9F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eastAsia="宋体" w:cs="Calibri"/>
                      <w:color w:val="0000FF"/>
                      <w:szCs w:val="21"/>
                      <w:highlight w:val="none"/>
                    </w:rPr>
                  </w:pPr>
                  <w:r>
                    <w:rPr>
                      <w:rFonts w:hint="eastAsia" w:ascii="宋体" w:hAnsi="宋体" w:eastAsia="宋体" w:cs="Calibri"/>
                      <w:color w:val="auto"/>
                      <w:szCs w:val="21"/>
                      <w:highlight w:val="none"/>
                    </w:rPr>
                    <w:t>单回路架设</w:t>
                  </w:r>
                </w:p>
              </w:tc>
            </w:tr>
            <w:tr w14:paraId="047366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46" w:hRule="atLeast"/>
                <w:jc w:val="center"/>
              </w:trPr>
              <w:tc>
                <w:tcPr>
                  <w:tcW w:w="1033" w:type="pct"/>
                  <w:tcBorders>
                    <w:top w:val="single" w:color="auto" w:sz="6" w:space="0"/>
                    <w:left w:val="single" w:color="auto" w:sz="12" w:space="0"/>
                    <w:bottom w:val="single" w:color="auto" w:sz="6" w:space="0"/>
                    <w:right w:val="single" w:color="auto" w:sz="6" w:space="0"/>
                  </w:tcBorders>
                  <w:noWrap w:val="0"/>
                  <w:vAlign w:val="center"/>
                </w:tcPr>
                <w:p w14:paraId="61A430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eastAsia="宋体" w:cs="Calibri"/>
                      <w:color w:val="auto"/>
                      <w:szCs w:val="21"/>
                      <w:lang w:val="en-US" w:eastAsia="zh-CN"/>
                    </w:rPr>
                  </w:pPr>
                  <w:r>
                    <w:rPr>
                      <w:rFonts w:hint="eastAsia" w:ascii="宋体" w:hAnsi="宋体" w:cs="Calibri"/>
                      <w:color w:val="auto"/>
                      <w:szCs w:val="21"/>
                      <w:lang w:val="en-US" w:eastAsia="zh-CN"/>
                    </w:rPr>
                    <w:t>环境条件</w:t>
                  </w:r>
                </w:p>
              </w:tc>
              <w:tc>
                <w:tcPr>
                  <w:tcW w:w="1964" w:type="pct"/>
                  <w:tcBorders>
                    <w:top w:val="single" w:color="auto" w:sz="6" w:space="0"/>
                    <w:left w:val="single" w:color="auto" w:sz="6" w:space="0"/>
                    <w:bottom w:val="single" w:color="auto" w:sz="6" w:space="0"/>
                    <w:right w:val="single" w:color="auto" w:sz="6" w:space="0"/>
                  </w:tcBorders>
                  <w:noWrap w:val="0"/>
                  <w:vAlign w:val="center"/>
                </w:tcPr>
                <w:p w14:paraId="614762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eastAsia="宋体" w:cs="Calibri"/>
                      <w:color w:val="auto"/>
                      <w:szCs w:val="21"/>
                      <w:lang w:val="en-US" w:eastAsia="zh-CN"/>
                    </w:rPr>
                  </w:pPr>
                  <w:r>
                    <w:rPr>
                      <w:rFonts w:hint="eastAsia" w:ascii="宋体" w:hAnsi="宋体" w:cs="Calibri"/>
                      <w:color w:val="auto"/>
                      <w:szCs w:val="21"/>
                      <w:lang w:val="en-US" w:eastAsia="zh-CN"/>
                    </w:rPr>
                    <w:t>干旱少雨多风</w:t>
                  </w:r>
                </w:p>
              </w:tc>
              <w:tc>
                <w:tcPr>
                  <w:tcW w:w="2002" w:type="pct"/>
                  <w:tcBorders>
                    <w:top w:val="single" w:color="auto" w:sz="6" w:space="0"/>
                    <w:left w:val="single" w:color="auto" w:sz="6" w:space="0"/>
                    <w:bottom w:val="single" w:color="auto" w:sz="6" w:space="0"/>
                    <w:right w:val="single" w:color="auto" w:sz="12" w:space="0"/>
                  </w:tcBorders>
                  <w:noWrap w:val="0"/>
                  <w:vAlign w:val="center"/>
                </w:tcPr>
                <w:p w14:paraId="7BEAB8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eastAsia="宋体" w:cs="Calibri"/>
                      <w:color w:val="auto"/>
                      <w:szCs w:val="21"/>
                      <w:highlight w:val="none"/>
                      <w:lang w:val="en-US" w:eastAsia="zh-CN"/>
                    </w:rPr>
                  </w:pPr>
                  <w:r>
                    <w:rPr>
                      <w:rFonts w:hint="eastAsia" w:ascii="宋体" w:hAnsi="宋体" w:cs="Calibri"/>
                      <w:color w:val="auto"/>
                      <w:szCs w:val="21"/>
                      <w:highlight w:val="none"/>
                      <w:shd w:val="clear"/>
                      <w:lang w:val="en-US" w:eastAsia="zh-CN"/>
                    </w:rPr>
                    <w:t>干旱少雨多风</w:t>
                  </w:r>
                </w:p>
              </w:tc>
            </w:tr>
            <w:tr w14:paraId="7306C1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04" w:hRule="atLeast"/>
                <w:jc w:val="center"/>
              </w:trPr>
              <w:tc>
                <w:tcPr>
                  <w:tcW w:w="1033" w:type="pct"/>
                  <w:tcBorders>
                    <w:top w:val="single" w:color="auto" w:sz="6" w:space="0"/>
                    <w:left w:val="single" w:color="auto" w:sz="12" w:space="0"/>
                    <w:bottom w:val="single" w:color="auto" w:sz="12" w:space="0"/>
                    <w:right w:val="single" w:color="auto" w:sz="6" w:space="0"/>
                  </w:tcBorders>
                  <w:noWrap w:val="0"/>
                  <w:vAlign w:val="center"/>
                </w:tcPr>
                <w:p w14:paraId="7F7433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运行工况</w:t>
                  </w:r>
                </w:p>
              </w:tc>
              <w:tc>
                <w:tcPr>
                  <w:tcW w:w="1964" w:type="pct"/>
                  <w:tcBorders>
                    <w:top w:val="single" w:color="auto" w:sz="6" w:space="0"/>
                    <w:left w:val="single" w:color="auto" w:sz="6" w:space="0"/>
                    <w:bottom w:val="single" w:color="auto" w:sz="12" w:space="0"/>
                    <w:right w:val="single" w:color="auto" w:sz="6" w:space="0"/>
                  </w:tcBorders>
                  <w:noWrap w:val="0"/>
                  <w:vAlign w:val="center"/>
                </w:tcPr>
                <w:p w14:paraId="640AE0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监测期间线路运行正常，220kV银钛Ⅰ线运行电流</w:t>
                  </w:r>
                  <w:r>
                    <w:rPr>
                      <w:rFonts w:hint="eastAsia" w:ascii="宋体" w:hAnsi="宋体" w:eastAsia="宋体" w:cs="Calibri"/>
                      <w:color w:val="auto"/>
                      <w:szCs w:val="21"/>
                      <w:lang w:val="en-US" w:eastAsia="zh-CN"/>
                    </w:rPr>
                    <w:t>108.6</w:t>
                  </w:r>
                  <w:r>
                    <w:rPr>
                      <w:rFonts w:hint="eastAsia" w:ascii="宋体" w:hAnsi="宋体" w:eastAsia="宋体" w:cs="Calibri"/>
                      <w:color w:val="auto"/>
                      <w:szCs w:val="21"/>
                    </w:rPr>
                    <w:t>A，电压为</w:t>
                  </w:r>
                  <w:r>
                    <w:rPr>
                      <w:rFonts w:hint="eastAsia" w:ascii="宋体" w:hAnsi="宋体" w:eastAsia="宋体" w:cs="Calibri"/>
                      <w:color w:val="auto"/>
                      <w:szCs w:val="21"/>
                      <w:lang w:val="en-US" w:eastAsia="zh-CN"/>
                    </w:rPr>
                    <w:t>236.25</w:t>
                  </w:r>
                  <w:r>
                    <w:rPr>
                      <w:rFonts w:hint="eastAsia" w:ascii="宋体" w:hAnsi="宋体" w:eastAsia="宋体" w:cs="Calibri"/>
                      <w:color w:val="auto"/>
                      <w:szCs w:val="21"/>
                    </w:rPr>
                    <w:t>kV。</w:t>
                  </w:r>
                </w:p>
              </w:tc>
              <w:tc>
                <w:tcPr>
                  <w:tcW w:w="2002" w:type="pct"/>
                  <w:tcBorders>
                    <w:top w:val="single" w:color="auto" w:sz="6" w:space="0"/>
                    <w:left w:val="single" w:color="auto" w:sz="6" w:space="0"/>
                    <w:bottom w:val="single" w:color="auto" w:sz="12" w:space="0"/>
                    <w:right w:val="single" w:color="auto" w:sz="12" w:space="0"/>
                  </w:tcBorders>
                  <w:noWrap w:val="0"/>
                  <w:vAlign w:val="center"/>
                </w:tcPr>
                <w:p w14:paraId="7945F1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w:t>
                  </w:r>
                </w:p>
              </w:tc>
            </w:tr>
          </w:tbl>
          <w:p w14:paraId="3B2848FB">
            <w:pPr>
              <w:keepNext w:val="0"/>
              <w:keepLines w:val="0"/>
              <w:pageBreakBefore w:val="0"/>
              <w:widowControl w:val="0"/>
              <w:suppressLineNumbers w:val="0"/>
              <w:tabs>
                <w:tab w:val="left" w:pos="8814"/>
              </w:tabs>
              <w:kinsoku/>
              <w:wordWrap/>
              <w:overflowPunct/>
              <w:topLinePunct w:val="0"/>
              <w:autoSpaceDE/>
              <w:autoSpaceDN/>
              <w:bidi w:val="0"/>
              <w:adjustRightInd/>
              <w:snapToGrid w:val="0"/>
              <w:spacing w:before="313" w:beforeLines="100" w:beforeAutospacing="0" w:after="0" w:afterAutospacing="0" w:line="360" w:lineRule="auto"/>
              <w:ind w:left="0" w:right="0" w:firstLine="480" w:firstLineChars="200"/>
              <w:textAlignment w:val="auto"/>
              <w:rPr>
                <w:rFonts w:hint="eastAsia" w:ascii="宋体" w:hAnsi="宋体" w:eastAsia="宋体" w:cs="Calibri"/>
                <w:color w:val="0000FF"/>
                <w:sz w:val="24"/>
                <w:szCs w:val="21"/>
              </w:rPr>
            </w:pPr>
            <w:r>
              <w:rPr>
                <w:rFonts w:hint="eastAsia" w:ascii="宋体" w:hAnsi="宋体" w:eastAsia="宋体" w:cs="Calibri"/>
                <w:color w:val="auto"/>
                <w:sz w:val="24"/>
                <w:szCs w:val="21"/>
              </w:rPr>
              <w:t>由表</w:t>
            </w:r>
            <w:r>
              <w:rPr>
                <w:rFonts w:hint="eastAsia" w:ascii="宋体" w:hAnsi="宋体" w:eastAsia="宋体" w:cs="Calibri"/>
                <w:color w:val="auto"/>
                <w:sz w:val="24"/>
                <w:szCs w:val="21"/>
                <w:lang w:val="en-US" w:eastAsia="zh-CN"/>
              </w:rPr>
              <w:t>4-</w:t>
            </w:r>
            <w:r>
              <w:rPr>
                <w:rFonts w:hint="eastAsia" w:ascii="宋体" w:hAnsi="宋体" w:cs="Calibri"/>
                <w:color w:val="auto"/>
                <w:sz w:val="24"/>
                <w:szCs w:val="21"/>
                <w:lang w:val="en-US" w:eastAsia="zh-CN"/>
              </w:rPr>
              <w:t>5</w:t>
            </w:r>
            <w:r>
              <w:rPr>
                <w:rFonts w:hint="eastAsia" w:ascii="宋体" w:hAnsi="宋体" w:eastAsia="宋体" w:cs="Calibri"/>
                <w:color w:val="auto"/>
                <w:sz w:val="24"/>
                <w:szCs w:val="21"/>
              </w:rPr>
              <w:t>对比分析，选取的类比线路电压等级、架设及排列方式</w:t>
            </w:r>
            <w:r>
              <w:rPr>
                <w:rFonts w:hint="eastAsia" w:ascii="宋体" w:hAnsi="宋体" w:cs="Calibri"/>
                <w:color w:val="auto"/>
                <w:sz w:val="24"/>
                <w:szCs w:val="21"/>
                <w:lang w:eastAsia="zh-CN"/>
              </w:rPr>
              <w:t>、</w:t>
            </w:r>
            <w:r>
              <w:rPr>
                <w:rFonts w:hint="eastAsia" w:ascii="宋体" w:hAnsi="宋体" w:eastAsia="宋体" w:cs="Calibri"/>
                <w:color w:val="auto"/>
                <w:sz w:val="24"/>
                <w:szCs w:val="21"/>
              </w:rPr>
              <w:t>导线分裂方式等与</w:t>
            </w:r>
            <w:r>
              <w:rPr>
                <w:rFonts w:hint="eastAsia" w:ascii="宋体" w:hAnsi="宋体" w:eastAsia="宋体" w:cs="Calibri"/>
                <w:color w:val="auto"/>
                <w:sz w:val="24"/>
                <w:szCs w:val="21"/>
                <w:lang w:eastAsia="zh-CN"/>
              </w:rPr>
              <w:t>本项目</w:t>
            </w:r>
            <w:r>
              <w:rPr>
                <w:rFonts w:hint="eastAsia" w:ascii="宋体" w:hAnsi="宋体" w:eastAsia="宋体" w:cs="Calibri"/>
                <w:color w:val="auto"/>
                <w:sz w:val="24"/>
                <w:szCs w:val="21"/>
              </w:rPr>
              <w:t>线路一致。</w:t>
            </w:r>
            <w:r>
              <w:rPr>
                <w:rFonts w:hint="eastAsia" w:ascii="宋体" w:hAnsi="宋体" w:eastAsia="宋体" w:cs="Calibri"/>
                <w:color w:val="auto"/>
                <w:sz w:val="24"/>
                <w:szCs w:val="21"/>
                <w:lang w:val="en-US" w:eastAsia="zh-CN"/>
              </w:rPr>
              <w:t>本项目导线分裂间距及导线直径略大于类比工程，</w:t>
            </w:r>
            <w:r>
              <w:rPr>
                <w:rFonts w:hint="eastAsia" w:ascii="宋体" w:hAnsi="宋体" w:cs="Calibri"/>
                <w:color w:val="auto"/>
                <w:sz w:val="24"/>
                <w:szCs w:val="21"/>
                <w:lang w:val="en-US" w:eastAsia="zh-CN"/>
              </w:rPr>
              <w:t>本项目杆塔呼高18</w:t>
            </w:r>
            <w:r>
              <w:rPr>
                <w:rFonts w:hint="eastAsia" w:ascii="仿宋" w:hAnsi="仿宋" w:eastAsia="仿宋" w:cs="仿宋"/>
                <w:color w:val="auto"/>
                <w:sz w:val="24"/>
                <w:szCs w:val="21"/>
                <w:lang w:val="en-US" w:eastAsia="zh-CN"/>
              </w:rPr>
              <w:t>～</w:t>
            </w:r>
            <w:r>
              <w:rPr>
                <w:rFonts w:hint="eastAsia" w:ascii="宋体" w:hAnsi="宋体" w:cs="Calibri"/>
                <w:color w:val="auto"/>
                <w:sz w:val="24"/>
                <w:szCs w:val="21"/>
                <w:lang w:val="en-US" w:eastAsia="zh-CN"/>
              </w:rPr>
              <w:t>54m，导线高度将在17.5m左右或大于17.5m，</w:t>
            </w:r>
            <w:r>
              <w:rPr>
                <w:rFonts w:hint="eastAsia" w:ascii="宋体" w:hAnsi="宋体" w:cs="Calibri"/>
                <w:color w:val="auto"/>
                <w:sz w:val="24"/>
                <w:szCs w:val="21"/>
                <w:highlight w:val="none"/>
                <w:lang w:val="en-US" w:eastAsia="zh-CN"/>
              </w:rPr>
              <w:t>基本与</w:t>
            </w:r>
            <w:r>
              <w:rPr>
                <w:rFonts w:hint="eastAsia" w:ascii="宋体" w:hAnsi="宋体" w:eastAsia="宋体" w:cs="Calibri"/>
                <w:color w:val="auto"/>
                <w:sz w:val="24"/>
                <w:szCs w:val="21"/>
                <w:highlight w:val="none"/>
                <w:lang w:val="en-US" w:eastAsia="zh-CN"/>
              </w:rPr>
              <w:t>类比线路</w:t>
            </w:r>
            <w:r>
              <w:rPr>
                <w:rFonts w:hint="eastAsia" w:ascii="宋体" w:hAnsi="宋体" w:cs="Calibri"/>
                <w:color w:val="auto"/>
                <w:sz w:val="24"/>
                <w:szCs w:val="21"/>
                <w:highlight w:val="none"/>
                <w:lang w:val="en-US" w:eastAsia="zh-CN"/>
              </w:rPr>
              <w:t>一致</w:t>
            </w:r>
            <w:r>
              <w:rPr>
                <w:rFonts w:hint="eastAsia" w:ascii="宋体" w:hAnsi="宋体" w:cs="Calibri"/>
                <w:color w:val="auto"/>
                <w:sz w:val="24"/>
                <w:szCs w:val="21"/>
                <w:lang w:val="en-US" w:eastAsia="zh-CN"/>
              </w:rPr>
              <w:t>。</w:t>
            </w:r>
            <w:r>
              <w:rPr>
                <w:rFonts w:hint="eastAsia" w:ascii="宋体" w:hAnsi="宋体" w:eastAsia="宋体" w:cs="Calibri"/>
                <w:color w:val="auto"/>
                <w:sz w:val="24"/>
                <w:szCs w:val="21"/>
                <w:lang w:val="en-US" w:eastAsia="zh-CN"/>
              </w:rPr>
              <w:t>导线分裂间距及导线直径对环境噪声影响不大。</w:t>
            </w:r>
            <w:r>
              <w:rPr>
                <w:rFonts w:hint="eastAsia" w:ascii="宋体" w:hAnsi="宋体" w:eastAsia="宋体" w:cs="Calibri"/>
                <w:color w:val="auto"/>
                <w:sz w:val="24"/>
                <w:szCs w:val="21"/>
              </w:rPr>
              <w:t>监测期间类比线路运行正常，故本次环评将220kV银钛Ⅰ线作为线路类比对象是可行的。</w:t>
            </w:r>
          </w:p>
          <w:p w14:paraId="3BE1DE4A">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firstLine="482" w:firstLineChars="200"/>
              <w:textAlignment w:val="auto"/>
              <w:rPr>
                <w:rFonts w:hint="eastAsia" w:ascii="宋体" w:hAnsi="宋体" w:eastAsia="宋体" w:cs="Calibri"/>
                <w:b/>
                <w:color w:val="auto"/>
                <w:sz w:val="24"/>
                <w:szCs w:val="21"/>
              </w:rPr>
            </w:pPr>
            <w:r>
              <w:rPr>
                <w:rFonts w:hint="eastAsia" w:ascii="宋体" w:hAnsi="宋体" w:cs="Calibri"/>
                <w:b/>
                <w:color w:val="auto"/>
                <w:sz w:val="24"/>
                <w:szCs w:val="21"/>
                <w:lang w:eastAsia="zh-CN"/>
              </w:rPr>
              <w:t>（</w:t>
            </w:r>
            <w:r>
              <w:rPr>
                <w:rFonts w:hint="eastAsia" w:ascii="宋体" w:hAnsi="宋体" w:eastAsia="宋体" w:cs="Calibri"/>
                <w:b/>
                <w:color w:val="auto"/>
                <w:sz w:val="24"/>
                <w:szCs w:val="21"/>
                <w:lang w:val="en-US" w:eastAsia="zh-CN"/>
              </w:rPr>
              <w:t>2</w:t>
            </w:r>
            <w:r>
              <w:rPr>
                <w:rFonts w:hint="eastAsia" w:ascii="宋体" w:hAnsi="宋体" w:cs="Calibri"/>
                <w:b/>
                <w:color w:val="auto"/>
                <w:sz w:val="24"/>
                <w:szCs w:val="21"/>
                <w:lang w:val="en-US" w:eastAsia="zh-CN"/>
              </w:rPr>
              <w:t>）</w:t>
            </w:r>
            <w:r>
              <w:rPr>
                <w:rFonts w:hint="eastAsia" w:ascii="宋体" w:hAnsi="宋体" w:eastAsia="宋体" w:cs="Calibri"/>
                <w:b/>
                <w:color w:val="auto"/>
                <w:sz w:val="24"/>
                <w:szCs w:val="21"/>
              </w:rPr>
              <w:t>类比监测内容</w:t>
            </w:r>
          </w:p>
          <w:p w14:paraId="66739C61">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firstLine="482" w:firstLineChars="200"/>
              <w:textAlignment w:val="auto"/>
              <w:rPr>
                <w:rFonts w:hint="eastAsia" w:ascii="宋体" w:hAnsi="宋体" w:eastAsia="宋体" w:cs="Calibri"/>
                <w:b/>
                <w:color w:val="auto"/>
                <w:sz w:val="24"/>
                <w:szCs w:val="21"/>
              </w:rPr>
            </w:pPr>
            <w:r>
              <w:rPr>
                <w:rFonts w:hint="eastAsia" w:ascii="宋体" w:hAnsi="宋体" w:eastAsia="宋体" w:cs="Calibri"/>
                <w:b/>
                <w:color w:val="auto"/>
                <w:sz w:val="24"/>
                <w:szCs w:val="21"/>
              </w:rPr>
              <w:t>1</w:t>
            </w:r>
            <w:r>
              <w:rPr>
                <w:rFonts w:hint="eastAsia" w:ascii="宋体" w:hAnsi="宋体" w:cs="Calibri"/>
                <w:b/>
                <w:color w:val="auto"/>
                <w:sz w:val="24"/>
                <w:szCs w:val="21"/>
                <w:lang w:eastAsia="zh-CN"/>
              </w:rPr>
              <w:t>）</w:t>
            </w:r>
            <w:r>
              <w:rPr>
                <w:rFonts w:hint="eastAsia" w:ascii="宋体" w:hAnsi="宋体" w:eastAsia="宋体" w:cs="Calibri"/>
                <w:b/>
                <w:color w:val="auto"/>
                <w:sz w:val="24"/>
                <w:szCs w:val="21"/>
              </w:rPr>
              <w:t>监测因子</w:t>
            </w:r>
          </w:p>
          <w:p w14:paraId="3F88BA51">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firstLine="480" w:firstLineChars="200"/>
              <w:textAlignment w:val="auto"/>
              <w:rPr>
                <w:rFonts w:hint="eastAsia" w:ascii="宋体" w:hAnsi="宋体" w:eastAsia="宋体" w:cs="Calibri"/>
                <w:color w:val="auto"/>
                <w:sz w:val="24"/>
                <w:szCs w:val="21"/>
              </w:rPr>
            </w:pPr>
            <w:r>
              <w:rPr>
                <w:rFonts w:hint="eastAsia" w:ascii="宋体" w:hAnsi="宋体" w:eastAsia="宋体" w:cs="Calibri"/>
                <w:color w:val="auto"/>
                <w:sz w:val="24"/>
                <w:szCs w:val="21"/>
              </w:rPr>
              <w:t>等效声级，L</w:t>
            </w:r>
            <w:r>
              <w:rPr>
                <w:rFonts w:hint="eastAsia" w:ascii="宋体" w:hAnsi="宋体" w:eastAsia="宋体" w:cs="Calibri"/>
                <w:color w:val="auto"/>
                <w:sz w:val="24"/>
                <w:szCs w:val="21"/>
                <w:vertAlign w:val="subscript"/>
              </w:rPr>
              <w:t>eq</w:t>
            </w:r>
          </w:p>
          <w:p w14:paraId="2F79045D">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firstLine="482" w:firstLineChars="200"/>
              <w:textAlignment w:val="auto"/>
              <w:rPr>
                <w:rFonts w:hint="eastAsia" w:ascii="宋体" w:hAnsi="宋体" w:eastAsia="宋体" w:cs="Calibri"/>
                <w:b/>
                <w:color w:val="auto"/>
                <w:sz w:val="24"/>
                <w:szCs w:val="21"/>
              </w:rPr>
            </w:pPr>
            <w:r>
              <w:rPr>
                <w:rFonts w:hint="eastAsia" w:ascii="宋体" w:hAnsi="宋体" w:eastAsia="宋体" w:cs="Calibri"/>
                <w:b/>
                <w:color w:val="auto"/>
                <w:sz w:val="24"/>
                <w:szCs w:val="21"/>
              </w:rPr>
              <w:t>2</w:t>
            </w:r>
            <w:r>
              <w:rPr>
                <w:rFonts w:hint="eastAsia" w:ascii="宋体" w:hAnsi="宋体" w:cs="Calibri"/>
                <w:b/>
                <w:color w:val="auto"/>
                <w:sz w:val="24"/>
                <w:szCs w:val="21"/>
                <w:lang w:eastAsia="zh-CN"/>
              </w:rPr>
              <w:t>）</w:t>
            </w:r>
            <w:r>
              <w:rPr>
                <w:rFonts w:hint="eastAsia" w:ascii="宋体" w:hAnsi="宋体" w:eastAsia="宋体" w:cs="Calibri"/>
                <w:b/>
                <w:color w:val="auto"/>
                <w:sz w:val="24"/>
                <w:szCs w:val="21"/>
              </w:rPr>
              <w:t>监测方法、监测布点</w:t>
            </w:r>
          </w:p>
          <w:p w14:paraId="1AA9C4AF">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firstLine="480" w:firstLineChars="200"/>
              <w:textAlignment w:val="auto"/>
              <w:rPr>
                <w:rFonts w:hint="eastAsia" w:ascii="宋体" w:hAnsi="宋体" w:eastAsia="宋体" w:cs="Calibri"/>
                <w:color w:val="auto"/>
                <w:sz w:val="24"/>
                <w:szCs w:val="21"/>
              </w:rPr>
            </w:pPr>
            <w:r>
              <w:rPr>
                <w:rFonts w:hint="eastAsia" w:ascii="宋体" w:hAnsi="宋体" w:eastAsia="宋体" w:cs="Calibri"/>
                <w:color w:val="auto"/>
                <w:sz w:val="24"/>
                <w:szCs w:val="21"/>
              </w:rPr>
              <w:t>监测方法：《声环境质量标准》</w:t>
            </w:r>
            <w:r>
              <w:rPr>
                <w:rFonts w:hint="eastAsia" w:ascii="宋体" w:hAnsi="宋体" w:eastAsia="宋体" w:cs="Calibri"/>
                <w:color w:val="auto"/>
                <w:sz w:val="24"/>
                <w:szCs w:val="21"/>
                <w:lang w:eastAsia="zh-CN"/>
              </w:rPr>
              <w:t>(</w:t>
            </w:r>
            <w:r>
              <w:rPr>
                <w:rFonts w:hint="eastAsia" w:ascii="宋体" w:hAnsi="宋体" w:eastAsia="宋体" w:cs="Calibri"/>
                <w:color w:val="auto"/>
                <w:sz w:val="24"/>
                <w:szCs w:val="21"/>
              </w:rPr>
              <w:t>GB3096-2008)。</w:t>
            </w:r>
          </w:p>
          <w:p w14:paraId="43CDD911">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firstLine="480" w:firstLineChars="200"/>
              <w:textAlignment w:val="auto"/>
              <w:rPr>
                <w:rFonts w:hint="eastAsia" w:ascii="宋体" w:hAnsi="宋体" w:eastAsia="宋体" w:cs="Calibri"/>
                <w:color w:val="auto"/>
                <w:sz w:val="24"/>
                <w:szCs w:val="21"/>
              </w:rPr>
            </w:pPr>
            <w:r>
              <w:rPr>
                <w:rFonts w:hint="eastAsia" w:ascii="宋体" w:hAnsi="宋体" w:eastAsia="宋体" w:cs="Calibri"/>
                <w:color w:val="auto"/>
                <w:sz w:val="24"/>
                <w:szCs w:val="21"/>
              </w:rPr>
              <w:t>监测布点：以220kV银钛Ⅰ线9#～10#</w:t>
            </w:r>
            <w:r>
              <w:rPr>
                <w:rFonts w:hint="eastAsia" w:ascii="宋体" w:hAnsi="宋体" w:eastAsia="宋体" w:cs="Calibri"/>
                <w:color w:val="auto"/>
                <w:sz w:val="24"/>
                <w:szCs w:val="21"/>
                <w:lang w:val="en-US" w:eastAsia="zh-CN"/>
              </w:rPr>
              <w:t>杆塔</w:t>
            </w:r>
            <w:r>
              <w:rPr>
                <w:rFonts w:hint="eastAsia" w:ascii="宋体" w:hAnsi="宋体" w:eastAsia="宋体" w:cs="Calibri"/>
                <w:color w:val="auto"/>
                <w:sz w:val="24"/>
                <w:szCs w:val="21"/>
              </w:rPr>
              <w:t>中相导线弧垂最低位置对地投影点为起点，沿垂直于线路方向测试。</w:t>
            </w:r>
          </w:p>
          <w:p w14:paraId="423A38F2">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firstLine="482" w:firstLineChars="200"/>
              <w:textAlignment w:val="auto"/>
              <w:rPr>
                <w:rFonts w:hint="eastAsia" w:ascii="宋体" w:hAnsi="宋体" w:eastAsia="宋体" w:cs="Calibri"/>
                <w:b/>
                <w:color w:val="auto"/>
                <w:sz w:val="24"/>
                <w:szCs w:val="21"/>
              </w:rPr>
            </w:pPr>
            <w:r>
              <w:rPr>
                <w:rFonts w:hint="eastAsia" w:ascii="宋体" w:hAnsi="宋体" w:eastAsia="宋体" w:cs="Calibri"/>
                <w:b/>
                <w:color w:val="auto"/>
                <w:sz w:val="24"/>
                <w:szCs w:val="21"/>
              </w:rPr>
              <w:t>3</w:t>
            </w:r>
            <w:r>
              <w:rPr>
                <w:rFonts w:hint="eastAsia" w:ascii="宋体" w:hAnsi="宋体" w:cs="Calibri"/>
                <w:b/>
                <w:color w:val="auto"/>
                <w:sz w:val="24"/>
                <w:szCs w:val="21"/>
                <w:lang w:eastAsia="zh-CN"/>
              </w:rPr>
              <w:t>）</w:t>
            </w:r>
            <w:r>
              <w:rPr>
                <w:rFonts w:hint="eastAsia" w:ascii="宋体" w:hAnsi="宋体" w:eastAsia="宋体" w:cs="Calibri"/>
                <w:b/>
                <w:color w:val="auto"/>
                <w:sz w:val="24"/>
                <w:szCs w:val="21"/>
              </w:rPr>
              <w:t>监测单位及监测时间</w:t>
            </w:r>
          </w:p>
          <w:p w14:paraId="02257F2C">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firstLine="480" w:firstLineChars="200"/>
              <w:textAlignment w:val="auto"/>
              <w:rPr>
                <w:rFonts w:hint="default" w:ascii="宋体" w:hAnsi="宋体" w:eastAsia="宋体" w:cs="Calibri"/>
                <w:color w:val="auto"/>
                <w:sz w:val="24"/>
                <w:szCs w:val="21"/>
                <w:lang w:val="en-US" w:eastAsia="zh-CN"/>
              </w:rPr>
            </w:pPr>
            <w:r>
              <w:rPr>
                <w:rFonts w:hint="eastAsia" w:ascii="宋体" w:hAnsi="宋体" w:eastAsia="宋体" w:cs="Calibri"/>
                <w:color w:val="auto"/>
                <w:sz w:val="24"/>
                <w:szCs w:val="21"/>
              </w:rPr>
              <w:t>监测单位：新疆</w:t>
            </w:r>
            <w:r>
              <w:rPr>
                <w:rFonts w:hint="eastAsia" w:ascii="宋体" w:hAnsi="宋体" w:eastAsia="宋体" w:cs="Calibri"/>
                <w:color w:val="auto"/>
                <w:sz w:val="24"/>
                <w:szCs w:val="21"/>
                <w:lang w:val="en-US" w:eastAsia="zh-CN"/>
              </w:rPr>
              <w:t>鼎耀工程咨询有限公司</w:t>
            </w:r>
          </w:p>
          <w:p w14:paraId="15AB74D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Calibri"/>
                <w:color w:val="auto"/>
                <w:sz w:val="24"/>
                <w:szCs w:val="21"/>
              </w:rPr>
            </w:pPr>
            <w:r>
              <w:rPr>
                <w:rFonts w:hint="eastAsia" w:ascii="宋体" w:hAnsi="宋体" w:eastAsia="宋体" w:cs="Calibri"/>
                <w:color w:val="auto"/>
                <w:sz w:val="24"/>
                <w:szCs w:val="21"/>
              </w:rPr>
              <w:t>监测时间：201</w:t>
            </w:r>
            <w:r>
              <w:rPr>
                <w:rFonts w:hint="eastAsia" w:ascii="宋体" w:hAnsi="宋体" w:eastAsia="宋体" w:cs="Calibri"/>
                <w:color w:val="auto"/>
                <w:sz w:val="24"/>
                <w:szCs w:val="21"/>
                <w:lang w:val="en-US" w:eastAsia="zh-CN"/>
              </w:rPr>
              <w:t>9</w:t>
            </w:r>
            <w:r>
              <w:rPr>
                <w:rFonts w:hint="eastAsia" w:ascii="宋体" w:hAnsi="宋体" w:eastAsia="宋体" w:cs="Calibri"/>
                <w:color w:val="auto"/>
                <w:sz w:val="24"/>
                <w:szCs w:val="21"/>
              </w:rPr>
              <w:t>年</w:t>
            </w:r>
            <w:r>
              <w:rPr>
                <w:rFonts w:hint="eastAsia" w:ascii="宋体" w:hAnsi="宋体" w:eastAsia="宋体" w:cs="Calibri"/>
                <w:color w:val="auto"/>
                <w:sz w:val="24"/>
                <w:szCs w:val="21"/>
                <w:lang w:val="en-US" w:eastAsia="zh-CN"/>
              </w:rPr>
              <w:t>7</w:t>
            </w:r>
            <w:r>
              <w:rPr>
                <w:rFonts w:hint="eastAsia" w:ascii="宋体" w:hAnsi="宋体" w:eastAsia="宋体" w:cs="Calibri"/>
                <w:color w:val="auto"/>
                <w:sz w:val="24"/>
                <w:szCs w:val="21"/>
              </w:rPr>
              <w:t>月5日</w:t>
            </w:r>
          </w:p>
          <w:p w14:paraId="2E6360A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2" w:firstLineChars="200"/>
              <w:textAlignment w:val="auto"/>
              <w:rPr>
                <w:rFonts w:hint="eastAsia" w:ascii="宋体" w:hAnsi="宋体" w:eastAsia="宋体" w:cs="Calibri"/>
                <w:b/>
                <w:color w:val="auto"/>
                <w:sz w:val="24"/>
                <w:szCs w:val="21"/>
              </w:rPr>
            </w:pPr>
            <w:r>
              <w:rPr>
                <w:rFonts w:hint="eastAsia" w:ascii="宋体" w:hAnsi="宋体" w:eastAsia="宋体" w:cs="Calibri"/>
                <w:b/>
                <w:color w:val="auto"/>
                <w:sz w:val="24"/>
                <w:szCs w:val="21"/>
              </w:rPr>
              <w:t>4</w:t>
            </w:r>
            <w:r>
              <w:rPr>
                <w:rFonts w:hint="eastAsia" w:ascii="宋体" w:hAnsi="宋体" w:cs="Calibri"/>
                <w:b/>
                <w:color w:val="auto"/>
                <w:sz w:val="24"/>
                <w:szCs w:val="21"/>
                <w:lang w:eastAsia="zh-CN"/>
              </w:rPr>
              <w:t>）</w:t>
            </w:r>
            <w:r>
              <w:rPr>
                <w:rFonts w:hint="eastAsia" w:ascii="宋体" w:hAnsi="宋体" w:eastAsia="宋体" w:cs="Calibri"/>
                <w:b/>
                <w:color w:val="auto"/>
                <w:sz w:val="24"/>
                <w:szCs w:val="21"/>
              </w:rPr>
              <w:t>监测仪器、监测条件</w:t>
            </w:r>
          </w:p>
          <w:p w14:paraId="64C6135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Calibri"/>
                <w:color w:val="auto"/>
                <w:sz w:val="24"/>
                <w:szCs w:val="21"/>
              </w:rPr>
            </w:pPr>
            <w:r>
              <w:rPr>
                <w:rFonts w:hint="eastAsia" w:ascii="宋体" w:hAnsi="宋体" w:eastAsia="宋体" w:cs="Calibri"/>
                <w:color w:val="auto"/>
                <w:sz w:val="24"/>
                <w:szCs w:val="21"/>
              </w:rPr>
              <w:t>监测仪器：AWA5688型声级计。</w:t>
            </w:r>
          </w:p>
          <w:p w14:paraId="6DC4FD9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Calibri"/>
                <w:color w:val="auto"/>
                <w:sz w:val="24"/>
                <w:szCs w:val="21"/>
              </w:rPr>
            </w:pPr>
            <w:r>
              <w:rPr>
                <w:rFonts w:hint="eastAsia" w:ascii="宋体" w:hAnsi="宋体" w:eastAsia="宋体" w:cs="Calibri"/>
                <w:color w:val="auto"/>
                <w:sz w:val="24"/>
                <w:szCs w:val="21"/>
              </w:rPr>
              <w:t>监测条件：天气晴，温度37～39℃，湿度10</w:t>
            </w:r>
            <w:r>
              <w:rPr>
                <w:rFonts w:hint="eastAsia" w:ascii="宋体" w:hAnsi="宋体" w:cs="Calibri"/>
                <w:color w:val="auto"/>
                <w:sz w:val="24"/>
                <w:szCs w:val="21"/>
                <w:lang w:eastAsia="zh-CN"/>
              </w:rPr>
              <w:t>%～</w:t>
            </w:r>
            <w:r>
              <w:rPr>
                <w:rFonts w:hint="eastAsia" w:ascii="宋体" w:hAnsi="宋体" w:eastAsia="宋体" w:cs="Calibri"/>
                <w:color w:val="auto"/>
                <w:sz w:val="24"/>
                <w:szCs w:val="21"/>
              </w:rPr>
              <w:t>16%，风速1.0m/s～2.2m/s。</w:t>
            </w:r>
          </w:p>
          <w:p w14:paraId="0C716463">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firstLine="482" w:firstLineChars="200"/>
              <w:textAlignment w:val="auto"/>
              <w:rPr>
                <w:rFonts w:hint="eastAsia" w:ascii="宋体" w:hAnsi="宋体" w:eastAsia="宋体" w:cs="Calibri"/>
                <w:b/>
                <w:color w:val="auto"/>
                <w:sz w:val="24"/>
                <w:szCs w:val="21"/>
              </w:rPr>
            </w:pPr>
            <w:r>
              <w:rPr>
                <w:rFonts w:hint="eastAsia" w:ascii="宋体" w:hAnsi="宋体" w:eastAsia="宋体" w:cs="Calibri"/>
                <w:b/>
                <w:color w:val="auto"/>
                <w:sz w:val="24"/>
                <w:szCs w:val="21"/>
              </w:rPr>
              <w:t>5</w:t>
            </w:r>
            <w:r>
              <w:rPr>
                <w:rFonts w:hint="eastAsia" w:ascii="宋体" w:hAnsi="宋体" w:cs="Calibri"/>
                <w:b/>
                <w:color w:val="auto"/>
                <w:sz w:val="24"/>
                <w:szCs w:val="21"/>
                <w:lang w:eastAsia="zh-CN"/>
              </w:rPr>
              <w:t>）</w:t>
            </w:r>
            <w:r>
              <w:rPr>
                <w:rFonts w:hint="eastAsia" w:ascii="宋体" w:hAnsi="宋体" w:eastAsia="宋体" w:cs="Calibri"/>
                <w:b/>
                <w:color w:val="auto"/>
                <w:sz w:val="24"/>
                <w:szCs w:val="21"/>
              </w:rPr>
              <w:t>监测结果</w:t>
            </w:r>
          </w:p>
          <w:p w14:paraId="4A376C48">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firstLine="480" w:firstLineChars="200"/>
              <w:textAlignment w:val="auto"/>
              <w:rPr>
                <w:rFonts w:hint="eastAsia" w:ascii="宋体" w:hAnsi="宋体" w:eastAsia="宋体" w:cs="Calibri"/>
                <w:color w:val="auto"/>
                <w:sz w:val="24"/>
                <w:szCs w:val="21"/>
              </w:rPr>
            </w:pPr>
            <w:r>
              <w:rPr>
                <w:rFonts w:hint="eastAsia" w:ascii="宋体" w:hAnsi="宋体" w:eastAsia="宋体" w:cs="Calibri"/>
                <w:color w:val="auto"/>
                <w:sz w:val="24"/>
                <w:szCs w:val="21"/>
              </w:rPr>
              <w:t>220kV银钛Ⅰ线噪声</w:t>
            </w:r>
            <w:r>
              <w:rPr>
                <w:rFonts w:hint="eastAsia" w:ascii="宋体" w:hAnsi="宋体" w:eastAsia="宋体" w:cs="Calibri"/>
                <w:color w:val="auto"/>
                <w:sz w:val="24"/>
                <w:szCs w:val="21"/>
                <w:lang w:val="en-US" w:eastAsia="zh-CN"/>
              </w:rPr>
              <w:t>监测结</w:t>
            </w:r>
            <w:r>
              <w:rPr>
                <w:rFonts w:hint="eastAsia" w:ascii="宋体" w:hAnsi="宋体" w:eastAsia="宋体" w:cs="Calibri"/>
                <w:color w:val="auto"/>
                <w:sz w:val="24"/>
                <w:szCs w:val="21"/>
              </w:rPr>
              <w:t>果，见表</w:t>
            </w:r>
            <w:r>
              <w:rPr>
                <w:rFonts w:hint="eastAsia" w:ascii="宋体" w:hAnsi="宋体" w:eastAsia="宋体" w:cs="Calibri"/>
                <w:color w:val="auto"/>
                <w:sz w:val="24"/>
                <w:szCs w:val="21"/>
                <w:lang w:val="en-US" w:eastAsia="zh-CN"/>
              </w:rPr>
              <w:t>4-</w:t>
            </w:r>
            <w:r>
              <w:rPr>
                <w:rFonts w:hint="eastAsia" w:ascii="宋体" w:hAnsi="宋体" w:cs="Calibri"/>
                <w:color w:val="auto"/>
                <w:sz w:val="24"/>
                <w:szCs w:val="21"/>
                <w:lang w:val="en-US" w:eastAsia="zh-CN"/>
              </w:rPr>
              <w:t>6</w:t>
            </w:r>
            <w:r>
              <w:rPr>
                <w:rFonts w:hint="eastAsia" w:ascii="宋体" w:hAnsi="宋体" w:eastAsia="宋体" w:cs="Calibri"/>
                <w:color w:val="auto"/>
                <w:sz w:val="24"/>
                <w:szCs w:val="21"/>
              </w:rPr>
              <w:t>。</w:t>
            </w:r>
          </w:p>
          <w:p w14:paraId="54D9B6B5">
            <w:pPr>
              <w:keepNext w:val="0"/>
              <w:keepLines w:val="0"/>
              <w:widowControl w:val="0"/>
              <w:suppressLineNumbers w:val="0"/>
              <w:adjustRightInd w:val="0"/>
              <w:snapToGrid w:val="0"/>
              <w:spacing w:before="0" w:beforeAutospacing="0" w:after="0" w:afterAutospacing="0"/>
              <w:ind w:left="0" w:right="0" w:firstLine="482" w:firstLineChars="200"/>
              <w:jc w:val="center"/>
              <w:rPr>
                <w:rFonts w:hint="default" w:ascii="宋体" w:hAnsi="宋体" w:eastAsia="宋体" w:cs="宋体"/>
                <w:b/>
                <w:bCs/>
                <w:color w:val="auto"/>
                <w:kern w:val="2"/>
                <w:sz w:val="24"/>
                <w:szCs w:val="24"/>
                <w:lang w:val="en-US" w:eastAsia="zh-CN" w:bidi="ar-SA"/>
              </w:rPr>
            </w:pPr>
            <w:r>
              <w:rPr>
                <w:rFonts w:hint="eastAsia" w:ascii="宋体" w:hAnsi="宋体" w:eastAsia="宋体" w:cs="Calibri"/>
                <w:b/>
                <w:color w:val="auto"/>
                <w:kern w:val="2"/>
                <w:sz w:val="24"/>
                <w:szCs w:val="21"/>
                <w:lang w:val="en-US" w:eastAsia="zh-CN" w:bidi="ar-SA"/>
              </w:rPr>
              <w:t>表4-</w:t>
            </w:r>
            <w:r>
              <w:rPr>
                <w:rFonts w:hint="eastAsia" w:ascii="宋体" w:hAnsi="宋体" w:cs="Calibri"/>
                <w:b/>
                <w:color w:val="auto"/>
                <w:kern w:val="2"/>
                <w:sz w:val="24"/>
                <w:szCs w:val="21"/>
                <w:lang w:val="en-US" w:eastAsia="zh-CN" w:bidi="ar-SA"/>
              </w:rPr>
              <w:t xml:space="preserve">6    </w:t>
            </w:r>
            <w:r>
              <w:rPr>
                <w:rFonts w:hint="eastAsia" w:ascii="宋体" w:hAnsi="宋体" w:eastAsia="宋体" w:cs="Calibri"/>
                <w:b/>
                <w:color w:val="auto"/>
                <w:kern w:val="2"/>
                <w:sz w:val="24"/>
                <w:szCs w:val="21"/>
                <w:lang w:val="en-US" w:eastAsia="zh-CN" w:bidi="ar-SA"/>
              </w:rPr>
              <w:t>220kV银钛Ⅰ线噪声监测结果</w:t>
            </w:r>
          </w:p>
          <w:tbl>
            <w:tblPr>
              <w:tblStyle w:val="32"/>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6"/>
              <w:gridCol w:w="4132"/>
              <w:gridCol w:w="1403"/>
              <w:gridCol w:w="1543"/>
            </w:tblGrid>
            <w:tr w14:paraId="309594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12" w:type="pct"/>
                  <w:vMerge w:val="restart"/>
                  <w:tcBorders>
                    <w:tl2br w:val="nil"/>
                    <w:tr2bl w:val="nil"/>
                  </w:tcBorders>
                  <w:noWrap w:val="0"/>
                  <w:vAlign w:val="center"/>
                </w:tcPr>
                <w:p w14:paraId="49260B1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jc w:val="center"/>
                    <w:textAlignment w:val="auto"/>
                    <w:rPr>
                      <w:rFonts w:hint="default" w:ascii="宋体" w:hAnsi="宋体" w:eastAsia="宋体" w:cs="宋体"/>
                      <w:b/>
                      <w:color w:val="auto"/>
                      <w:kern w:val="2"/>
                      <w:sz w:val="21"/>
                      <w:szCs w:val="21"/>
                      <w:lang w:val="en-US" w:eastAsia="zh-CN" w:bidi="ar-SA"/>
                    </w:rPr>
                  </w:pPr>
                  <w:r>
                    <w:rPr>
                      <w:rFonts w:hint="eastAsia" w:ascii="宋体" w:hAnsi="宋体" w:eastAsia="宋体" w:cs="宋体"/>
                      <w:b/>
                      <w:color w:val="auto"/>
                      <w:kern w:val="2"/>
                      <w:sz w:val="21"/>
                      <w:szCs w:val="21"/>
                      <w:lang w:val="en-US" w:eastAsia="zh-CN" w:bidi="ar-SA"/>
                    </w:rPr>
                    <w:t>序号</w:t>
                  </w:r>
                </w:p>
              </w:tc>
              <w:tc>
                <w:tcPr>
                  <w:tcW w:w="2677" w:type="pct"/>
                  <w:vMerge w:val="restart"/>
                  <w:tcBorders>
                    <w:tl2br w:val="nil"/>
                    <w:tr2bl w:val="nil"/>
                  </w:tcBorders>
                  <w:noWrap w:val="0"/>
                  <w:vAlign w:val="center"/>
                </w:tcPr>
                <w:p w14:paraId="0964D36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jc w:val="center"/>
                    <w:textAlignment w:val="auto"/>
                    <w:rPr>
                      <w:rFonts w:hint="default" w:ascii="宋体" w:hAnsi="宋体" w:eastAsia="宋体" w:cs="宋体"/>
                      <w:b/>
                      <w:color w:val="auto"/>
                      <w:kern w:val="2"/>
                      <w:sz w:val="21"/>
                      <w:szCs w:val="21"/>
                      <w:lang w:val="en-US" w:eastAsia="zh-CN" w:bidi="ar-SA"/>
                    </w:rPr>
                  </w:pPr>
                  <w:r>
                    <w:rPr>
                      <w:rFonts w:hint="eastAsia" w:ascii="宋体" w:hAnsi="宋体" w:eastAsia="宋体" w:cs="宋体"/>
                      <w:b/>
                      <w:color w:val="auto"/>
                      <w:kern w:val="2"/>
                      <w:sz w:val="21"/>
                      <w:szCs w:val="21"/>
                      <w:lang w:val="en-US" w:eastAsia="zh-CN" w:bidi="ar-SA"/>
                    </w:rPr>
                    <w:t>监测点</w:t>
                  </w:r>
                </w:p>
              </w:tc>
              <w:tc>
                <w:tcPr>
                  <w:tcW w:w="1909" w:type="pct"/>
                  <w:gridSpan w:val="2"/>
                  <w:tcBorders>
                    <w:tl2br w:val="nil"/>
                    <w:tr2bl w:val="nil"/>
                  </w:tcBorders>
                  <w:noWrap w:val="0"/>
                  <w:vAlign w:val="center"/>
                </w:tcPr>
                <w:p w14:paraId="1E1BF42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jc w:val="center"/>
                    <w:textAlignment w:val="auto"/>
                    <w:rPr>
                      <w:rFonts w:hint="default" w:ascii="宋体" w:hAnsi="宋体" w:eastAsia="宋体" w:cs="宋体"/>
                      <w:b/>
                      <w:color w:val="auto"/>
                      <w:kern w:val="2"/>
                      <w:sz w:val="21"/>
                      <w:szCs w:val="21"/>
                      <w:lang w:val="en-US" w:eastAsia="zh-CN" w:bidi="ar-SA"/>
                    </w:rPr>
                  </w:pPr>
                  <w:r>
                    <w:rPr>
                      <w:rFonts w:hint="eastAsia" w:ascii="宋体" w:hAnsi="宋体" w:eastAsia="宋体" w:cs="宋体"/>
                      <w:b/>
                      <w:color w:val="auto"/>
                      <w:kern w:val="2"/>
                      <w:sz w:val="21"/>
                      <w:szCs w:val="21"/>
                      <w:lang w:val="en-US" w:eastAsia="zh-CN" w:bidi="ar-SA"/>
                    </w:rPr>
                    <w:t>等效声级dB(A)</w:t>
                  </w:r>
                </w:p>
              </w:tc>
            </w:tr>
            <w:tr w14:paraId="3F1018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12" w:type="pct"/>
                  <w:vMerge w:val="continue"/>
                  <w:tcBorders>
                    <w:tl2br w:val="nil"/>
                    <w:tr2bl w:val="nil"/>
                  </w:tcBorders>
                  <w:noWrap w:val="0"/>
                  <w:vAlign w:val="center"/>
                </w:tcPr>
                <w:p w14:paraId="5A6661F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jc w:val="center"/>
                    <w:textAlignment w:val="auto"/>
                    <w:rPr>
                      <w:rFonts w:hint="default" w:ascii="宋体" w:hAnsi="宋体" w:eastAsia="宋体" w:cs="宋体"/>
                      <w:color w:val="auto"/>
                      <w:kern w:val="2"/>
                      <w:sz w:val="21"/>
                      <w:szCs w:val="21"/>
                      <w:lang w:val="en-US" w:eastAsia="zh-CN" w:bidi="ar-SA"/>
                    </w:rPr>
                  </w:pPr>
                </w:p>
              </w:tc>
              <w:tc>
                <w:tcPr>
                  <w:tcW w:w="2677" w:type="pct"/>
                  <w:vMerge w:val="continue"/>
                  <w:tcBorders>
                    <w:tl2br w:val="nil"/>
                    <w:tr2bl w:val="nil"/>
                  </w:tcBorders>
                  <w:noWrap w:val="0"/>
                  <w:vAlign w:val="center"/>
                </w:tcPr>
                <w:p w14:paraId="3A21E106">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textAlignment w:val="auto"/>
                    <w:rPr>
                      <w:rFonts w:hint="default" w:ascii="宋体" w:hAnsi="宋体" w:eastAsia="宋体" w:cs="Calibri"/>
                      <w:color w:val="auto"/>
                      <w:szCs w:val="21"/>
                    </w:rPr>
                  </w:pPr>
                </w:p>
              </w:tc>
              <w:tc>
                <w:tcPr>
                  <w:tcW w:w="909" w:type="pct"/>
                  <w:tcBorders>
                    <w:tl2br w:val="nil"/>
                    <w:tr2bl w:val="nil"/>
                  </w:tcBorders>
                  <w:noWrap w:val="0"/>
                  <w:vAlign w:val="center"/>
                </w:tcPr>
                <w:p w14:paraId="1285F7E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jc w:val="center"/>
                    <w:textAlignment w:val="auto"/>
                    <w:rPr>
                      <w:rFonts w:hint="default"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昼间</w:t>
                  </w:r>
                </w:p>
              </w:tc>
              <w:tc>
                <w:tcPr>
                  <w:tcW w:w="1000" w:type="pct"/>
                  <w:tcBorders>
                    <w:tl2br w:val="nil"/>
                    <w:tr2bl w:val="nil"/>
                  </w:tcBorders>
                  <w:noWrap w:val="0"/>
                  <w:vAlign w:val="center"/>
                </w:tcPr>
                <w:p w14:paraId="5EC0D44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jc w:val="center"/>
                    <w:textAlignment w:val="auto"/>
                    <w:rPr>
                      <w:rFonts w:hint="default"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夜间</w:t>
                  </w:r>
                </w:p>
              </w:tc>
            </w:tr>
            <w:tr w14:paraId="090D1E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12" w:type="pct"/>
                  <w:tcBorders>
                    <w:tl2br w:val="nil"/>
                    <w:tr2bl w:val="nil"/>
                  </w:tcBorders>
                  <w:noWrap w:val="0"/>
                  <w:vAlign w:val="center"/>
                </w:tcPr>
                <w:p w14:paraId="22F3BD5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w:t>
                  </w:r>
                </w:p>
              </w:tc>
              <w:tc>
                <w:tcPr>
                  <w:tcW w:w="2677" w:type="pct"/>
                  <w:tcBorders>
                    <w:tl2br w:val="nil"/>
                    <w:tr2bl w:val="nil"/>
                  </w:tcBorders>
                  <w:noWrap w:val="0"/>
                  <w:vAlign w:val="center"/>
                </w:tcPr>
                <w:p w14:paraId="2ACBA0BB">
                  <w:pPr>
                    <w:keepNext w:val="0"/>
                    <w:keepLines w:val="0"/>
                    <w:pageBreakBefore w:val="0"/>
                    <w:suppressLineNumbers w:val="0"/>
                    <w:kinsoku/>
                    <w:wordWrap/>
                    <w:overflowPunct/>
                    <w:topLinePunct w:val="0"/>
                    <w:autoSpaceDE w:val="0"/>
                    <w:autoSpaceDN w:val="0"/>
                    <w:bidi w:val="0"/>
                    <w:snapToGrid w:val="0"/>
                    <w:spacing w:before="0" w:beforeAutospacing="0" w:after="0" w:afterAutospacing="0" w:line="24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银钛Ⅰ回220kV线路中心线投影点0m处</w:t>
                  </w:r>
                </w:p>
              </w:tc>
              <w:tc>
                <w:tcPr>
                  <w:tcW w:w="909" w:type="pct"/>
                  <w:tcBorders>
                    <w:tl2br w:val="nil"/>
                    <w:tr2bl w:val="nil"/>
                  </w:tcBorders>
                  <w:noWrap w:val="0"/>
                  <w:vAlign w:val="center"/>
                </w:tcPr>
                <w:p w14:paraId="424733C9">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51</w:t>
                  </w:r>
                </w:p>
              </w:tc>
              <w:tc>
                <w:tcPr>
                  <w:tcW w:w="1000" w:type="pct"/>
                  <w:tcBorders>
                    <w:tl2br w:val="nil"/>
                    <w:tr2bl w:val="nil"/>
                  </w:tcBorders>
                  <w:noWrap w:val="0"/>
                  <w:vAlign w:val="center"/>
                </w:tcPr>
                <w:p w14:paraId="4B4E02DB">
                  <w:pPr>
                    <w:keepNext w:val="0"/>
                    <w:keepLines w:val="0"/>
                    <w:pageBreakBefore w:val="0"/>
                    <w:widowControl/>
                    <w:suppressLineNumbers w:val="0"/>
                    <w:kinsoku/>
                    <w:wordWrap/>
                    <w:overflowPunct/>
                    <w:topLinePunct w:val="0"/>
                    <w:autoSpaceDE w:val="0"/>
                    <w:autoSpaceDN w:val="0"/>
                    <w:bidi w:val="0"/>
                    <w:snapToGrid w:val="0"/>
                    <w:spacing w:before="0" w:beforeAutospacing="0" w:after="0" w:afterAutospacing="0" w:line="24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41</w:t>
                  </w:r>
                </w:p>
              </w:tc>
            </w:tr>
            <w:tr w14:paraId="6D914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12" w:type="pct"/>
                  <w:tcBorders>
                    <w:tl2br w:val="nil"/>
                    <w:tr2bl w:val="nil"/>
                  </w:tcBorders>
                  <w:noWrap w:val="0"/>
                  <w:vAlign w:val="center"/>
                </w:tcPr>
                <w:p w14:paraId="7D7B69E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w:t>
                  </w:r>
                </w:p>
              </w:tc>
              <w:tc>
                <w:tcPr>
                  <w:tcW w:w="2677" w:type="pct"/>
                  <w:tcBorders>
                    <w:tl2br w:val="nil"/>
                    <w:tr2bl w:val="nil"/>
                  </w:tcBorders>
                  <w:noWrap w:val="0"/>
                  <w:vAlign w:val="center"/>
                </w:tcPr>
                <w:p w14:paraId="38964FF3">
                  <w:pPr>
                    <w:keepNext w:val="0"/>
                    <w:keepLines w:val="0"/>
                    <w:pageBreakBefore w:val="0"/>
                    <w:suppressLineNumbers w:val="0"/>
                    <w:kinsoku/>
                    <w:wordWrap/>
                    <w:overflowPunct/>
                    <w:topLinePunct w:val="0"/>
                    <w:autoSpaceDE w:val="0"/>
                    <w:autoSpaceDN w:val="0"/>
                    <w:bidi w:val="0"/>
                    <w:snapToGrid w:val="0"/>
                    <w:spacing w:before="0" w:beforeAutospacing="0" w:after="0" w:afterAutospacing="0" w:line="24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银钛Ⅰ回220kV线路边导线投影点1m处</w:t>
                  </w:r>
                </w:p>
              </w:tc>
              <w:tc>
                <w:tcPr>
                  <w:tcW w:w="909" w:type="pct"/>
                  <w:tcBorders>
                    <w:tl2br w:val="nil"/>
                    <w:tr2bl w:val="nil"/>
                  </w:tcBorders>
                  <w:noWrap w:val="0"/>
                  <w:vAlign w:val="center"/>
                </w:tcPr>
                <w:p w14:paraId="348C57A1">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51</w:t>
                  </w:r>
                </w:p>
              </w:tc>
              <w:tc>
                <w:tcPr>
                  <w:tcW w:w="1000" w:type="pct"/>
                  <w:tcBorders>
                    <w:tl2br w:val="nil"/>
                    <w:tr2bl w:val="nil"/>
                  </w:tcBorders>
                  <w:noWrap w:val="0"/>
                  <w:vAlign w:val="center"/>
                </w:tcPr>
                <w:p w14:paraId="35E07308">
                  <w:pPr>
                    <w:keepNext w:val="0"/>
                    <w:keepLines w:val="0"/>
                    <w:pageBreakBefore w:val="0"/>
                    <w:widowControl/>
                    <w:suppressLineNumbers w:val="0"/>
                    <w:kinsoku/>
                    <w:wordWrap/>
                    <w:overflowPunct/>
                    <w:topLinePunct w:val="0"/>
                    <w:autoSpaceDE w:val="0"/>
                    <w:autoSpaceDN w:val="0"/>
                    <w:bidi w:val="0"/>
                    <w:snapToGrid w:val="0"/>
                    <w:spacing w:before="0" w:beforeAutospacing="0" w:after="0" w:afterAutospacing="0" w:line="24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41</w:t>
                  </w:r>
                </w:p>
              </w:tc>
            </w:tr>
            <w:tr w14:paraId="0EB023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12" w:type="pct"/>
                  <w:tcBorders>
                    <w:tl2br w:val="nil"/>
                    <w:tr2bl w:val="nil"/>
                  </w:tcBorders>
                  <w:noWrap w:val="0"/>
                  <w:vAlign w:val="center"/>
                </w:tcPr>
                <w:p w14:paraId="0100035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w:t>
                  </w:r>
                </w:p>
              </w:tc>
              <w:tc>
                <w:tcPr>
                  <w:tcW w:w="2677" w:type="pct"/>
                  <w:tcBorders>
                    <w:tl2br w:val="nil"/>
                    <w:tr2bl w:val="nil"/>
                  </w:tcBorders>
                  <w:noWrap w:val="0"/>
                  <w:vAlign w:val="center"/>
                </w:tcPr>
                <w:p w14:paraId="5BF5A097">
                  <w:pPr>
                    <w:keepNext w:val="0"/>
                    <w:keepLines w:val="0"/>
                    <w:pageBreakBefore w:val="0"/>
                    <w:suppressLineNumbers w:val="0"/>
                    <w:kinsoku/>
                    <w:wordWrap/>
                    <w:overflowPunct/>
                    <w:topLinePunct w:val="0"/>
                    <w:autoSpaceDE w:val="0"/>
                    <w:autoSpaceDN w:val="0"/>
                    <w:bidi w:val="0"/>
                    <w:snapToGrid w:val="0"/>
                    <w:spacing w:before="0" w:beforeAutospacing="0" w:after="0" w:afterAutospacing="0" w:line="24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银钛Ⅰ回220kV线路边导线投影点2m处</w:t>
                  </w:r>
                </w:p>
              </w:tc>
              <w:tc>
                <w:tcPr>
                  <w:tcW w:w="909" w:type="pct"/>
                  <w:tcBorders>
                    <w:tl2br w:val="nil"/>
                    <w:tr2bl w:val="nil"/>
                  </w:tcBorders>
                  <w:noWrap w:val="0"/>
                  <w:vAlign w:val="center"/>
                </w:tcPr>
                <w:p w14:paraId="5F8DC50E">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50</w:t>
                  </w:r>
                </w:p>
              </w:tc>
              <w:tc>
                <w:tcPr>
                  <w:tcW w:w="1000" w:type="pct"/>
                  <w:tcBorders>
                    <w:tl2br w:val="nil"/>
                    <w:tr2bl w:val="nil"/>
                  </w:tcBorders>
                  <w:noWrap w:val="0"/>
                  <w:vAlign w:val="center"/>
                </w:tcPr>
                <w:p w14:paraId="568802FA">
                  <w:pPr>
                    <w:keepNext w:val="0"/>
                    <w:keepLines w:val="0"/>
                    <w:pageBreakBefore w:val="0"/>
                    <w:widowControl/>
                    <w:suppressLineNumbers w:val="0"/>
                    <w:kinsoku/>
                    <w:wordWrap/>
                    <w:overflowPunct/>
                    <w:topLinePunct w:val="0"/>
                    <w:autoSpaceDE w:val="0"/>
                    <w:autoSpaceDN w:val="0"/>
                    <w:bidi w:val="0"/>
                    <w:snapToGrid w:val="0"/>
                    <w:spacing w:before="0" w:beforeAutospacing="0" w:after="0" w:afterAutospacing="0" w:line="24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40</w:t>
                  </w:r>
                </w:p>
              </w:tc>
            </w:tr>
            <w:tr w14:paraId="481416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12" w:type="pct"/>
                  <w:tcBorders>
                    <w:tl2br w:val="nil"/>
                    <w:tr2bl w:val="nil"/>
                  </w:tcBorders>
                  <w:noWrap w:val="0"/>
                  <w:vAlign w:val="center"/>
                </w:tcPr>
                <w:p w14:paraId="2D3EE65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w:t>
                  </w:r>
                </w:p>
              </w:tc>
              <w:tc>
                <w:tcPr>
                  <w:tcW w:w="2677" w:type="pct"/>
                  <w:tcBorders>
                    <w:tl2br w:val="nil"/>
                    <w:tr2bl w:val="nil"/>
                  </w:tcBorders>
                  <w:noWrap w:val="0"/>
                  <w:vAlign w:val="center"/>
                </w:tcPr>
                <w:p w14:paraId="3F3A0F52">
                  <w:pPr>
                    <w:keepNext w:val="0"/>
                    <w:keepLines w:val="0"/>
                    <w:pageBreakBefore w:val="0"/>
                    <w:suppressLineNumbers w:val="0"/>
                    <w:kinsoku/>
                    <w:wordWrap/>
                    <w:overflowPunct/>
                    <w:topLinePunct w:val="0"/>
                    <w:autoSpaceDE w:val="0"/>
                    <w:autoSpaceDN w:val="0"/>
                    <w:bidi w:val="0"/>
                    <w:snapToGrid w:val="0"/>
                    <w:spacing w:before="0" w:beforeAutospacing="0" w:after="0" w:afterAutospacing="0" w:line="24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银钛Ⅰ回220kV线路边导线投影点3m处</w:t>
                  </w:r>
                </w:p>
              </w:tc>
              <w:tc>
                <w:tcPr>
                  <w:tcW w:w="909" w:type="pct"/>
                  <w:tcBorders>
                    <w:tl2br w:val="nil"/>
                    <w:tr2bl w:val="nil"/>
                  </w:tcBorders>
                  <w:noWrap w:val="0"/>
                  <w:vAlign w:val="center"/>
                </w:tcPr>
                <w:p w14:paraId="38C2ACAA">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51</w:t>
                  </w:r>
                </w:p>
              </w:tc>
              <w:tc>
                <w:tcPr>
                  <w:tcW w:w="1000" w:type="pct"/>
                  <w:tcBorders>
                    <w:tl2br w:val="nil"/>
                    <w:tr2bl w:val="nil"/>
                  </w:tcBorders>
                  <w:noWrap w:val="0"/>
                  <w:vAlign w:val="center"/>
                </w:tcPr>
                <w:p w14:paraId="6E87A09E">
                  <w:pPr>
                    <w:keepNext w:val="0"/>
                    <w:keepLines w:val="0"/>
                    <w:pageBreakBefore w:val="0"/>
                    <w:widowControl/>
                    <w:suppressLineNumbers w:val="0"/>
                    <w:kinsoku/>
                    <w:wordWrap/>
                    <w:overflowPunct/>
                    <w:topLinePunct w:val="0"/>
                    <w:autoSpaceDE w:val="0"/>
                    <w:autoSpaceDN w:val="0"/>
                    <w:bidi w:val="0"/>
                    <w:snapToGrid w:val="0"/>
                    <w:spacing w:before="0" w:beforeAutospacing="0" w:after="0" w:afterAutospacing="0" w:line="24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41</w:t>
                  </w:r>
                </w:p>
              </w:tc>
            </w:tr>
            <w:tr w14:paraId="7498A4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12" w:type="pct"/>
                  <w:tcBorders>
                    <w:tl2br w:val="nil"/>
                    <w:tr2bl w:val="nil"/>
                  </w:tcBorders>
                  <w:noWrap w:val="0"/>
                  <w:vAlign w:val="center"/>
                </w:tcPr>
                <w:p w14:paraId="69987E1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w:t>
                  </w:r>
                </w:p>
              </w:tc>
              <w:tc>
                <w:tcPr>
                  <w:tcW w:w="2677" w:type="pct"/>
                  <w:tcBorders>
                    <w:tl2br w:val="nil"/>
                    <w:tr2bl w:val="nil"/>
                  </w:tcBorders>
                  <w:noWrap w:val="0"/>
                  <w:vAlign w:val="center"/>
                </w:tcPr>
                <w:p w14:paraId="7AB61418">
                  <w:pPr>
                    <w:keepNext w:val="0"/>
                    <w:keepLines w:val="0"/>
                    <w:pageBreakBefore w:val="0"/>
                    <w:suppressLineNumbers w:val="0"/>
                    <w:kinsoku/>
                    <w:wordWrap/>
                    <w:overflowPunct/>
                    <w:topLinePunct w:val="0"/>
                    <w:autoSpaceDE w:val="0"/>
                    <w:autoSpaceDN w:val="0"/>
                    <w:bidi w:val="0"/>
                    <w:snapToGrid w:val="0"/>
                    <w:spacing w:before="0" w:beforeAutospacing="0" w:after="0" w:afterAutospacing="0" w:line="24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银钛Ⅰ回220kV线路边导线投影点4m处</w:t>
                  </w:r>
                </w:p>
              </w:tc>
              <w:tc>
                <w:tcPr>
                  <w:tcW w:w="909" w:type="pct"/>
                  <w:tcBorders>
                    <w:tl2br w:val="nil"/>
                    <w:tr2bl w:val="nil"/>
                  </w:tcBorders>
                  <w:noWrap w:val="0"/>
                  <w:vAlign w:val="center"/>
                </w:tcPr>
                <w:p w14:paraId="118E237F">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51</w:t>
                  </w:r>
                </w:p>
              </w:tc>
              <w:tc>
                <w:tcPr>
                  <w:tcW w:w="1000" w:type="pct"/>
                  <w:tcBorders>
                    <w:tl2br w:val="nil"/>
                    <w:tr2bl w:val="nil"/>
                  </w:tcBorders>
                  <w:noWrap w:val="0"/>
                  <w:vAlign w:val="center"/>
                </w:tcPr>
                <w:p w14:paraId="4FCB931B">
                  <w:pPr>
                    <w:keepNext w:val="0"/>
                    <w:keepLines w:val="0"/>
                    <w:pageBreakBefore w:val="0"/>
                    <w:widowControl/>
                    <w:suppressLineNumbers w:val="0"/>
                    <w:kinsoku/>
                    <w:wordWrap/>
                    <w:overflowPunct/>
                    <w:topLinePunct w:val="0"/>
                    <w:autoSpaceDE w:val="0"/>
                    <w:autoSpaceDN w:val="0"/>
                    <w:bidi w:val="0"/>
                    <w:snapToGrid w:val="0"/>
                    <w:spacing w:before="0" w:beforeAutospacing="0" w:after="0" w:afterAutospacing="0" w:line="24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41</w:t>
                  </w:r>
                </w:p>
              </w:tc>
            </w:tr>
            <w:tr w14:paraId="555199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12" w:type="pct"/>
                  <w:tcBorders>
                    <w:tl2br w:val="nil"/>
                    <w:tr2bl w:val="nil"/>
                  </w:tcBorders>
                  <w:noWrap w:val="0"/>
                  <w:vAlign w:val="center"/>
                </w:tcPr>
                <w:p w14:paraId="7C9AF8E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w:t>
                  </w:r>
                </w:p>
              </w:tc>
              <w:tc>
                <w:tcPr>
                  <w:tcW w:w="2677" w:type="pct"/>
                  <w:tcBorders>
                    <w:tl2br w:val="nil"/>
                    <w:tr2bl w:val="nil"/>
                  </w:tcBorders>
                  <w:noWrap w:val="0"/>
                  <w:vAlign w:val="center"/>
                </w:tcPr>
                <w:p w14:paraId="7B853B36">
                  <w:pPr>
                    <w:keepNext w:val="0"/>
                    <w:keepLines w:val="0"/>
                    <w:pageBreakBefore w:val="0"/>
                    <w:suppressLineNumbers w:val="0"/>
                    <w:kinsoku/>
                    <w:wordWrap/>
                    <w:overflowPunct/>
                    <w:topLinePunct w:val="0"/>
                    <w:autoSpaceDE w:val="0"/>
                    <w:autoSpaceDN w:val="0"/>
                    <w:bidi w:val="0"/>
                    <w:snapToGrid w:val="0"/>
                    <w:spacing w:before="0" w:beforeAutospacing="0" w:after="0" w:afterAutospacing="0" w:line="24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银钛Ⅰ回220kV线路边导线投影点5m处</w:t>
                  </w:r>
                </w:p>
              </w:tc>
              <w:tc>
                <w:tcPr>
                  <w:tcW w:w="909" w:type="pct"/>
                  <w:tcBorders>
                    <w:tl2br w:val="nil"/>
                    <w:tr2bl w:val="nil"/>
                  </w:tcBorders>
                  <w:noWrap w:val="0"/>
                  <w:vAlign w:val="center"/>
                </w:tcPr>
                <w:p w14:paraId="2147CD77">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51</w:t>
                  </w:r>
                </w:p>
              </w:tc>
              <w:tc>
                <w:tcPr>
                  <w:tcW w:w="1000" w:type="pct"/>
                  <w:tcBorders>
                    <w:tl2br w:val="nil"/>
                    <w:tr2bl w:val="nil"/>
                  </w:tcBorders>
                  <w:noWrap w:val="0"/>
                  <w:vAlign w:val="center"/>
                </w:tcPr>
                <w:p w14:paraId="23425DD7">
                  <w:pPr>
                    <w:keepNext w:val="0"/>
                    <w:keepLines w:val="0"/>
                    <w:pageBreakBefore w:val="0"/>
                    <w:widowControl/>
                    <w:suppressLineNumbers w:val="0"/>
                    <w:kinsoku/>
                    <w:wordWrap/>
                    <w:overflowPunct/>
                    <w:topLinePunct w:val="0"/>
                    <w:autoSpaceDE w:val="0"/>
                    <w:autoSpaceDN w:val="0"/>
                    <w:bidi w:val="0"/>
                    <w:snapToGrid w:val="0"/>
                    <w:spacing w:before="0" w:beforeAutospacing="0" w:after="0" w:afterAutospacing="0" w:line="24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41</w:t>
                  </w:r>
                </w:p>
              </w:tc>
            </w:tr>
            <w:tr w14:paraId="473D43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12" w:type="pct"/>
                  <w:tcBorders>
                    <w:tl2br w:val="nil"/>
                    <w:tr2bl w:val="nil"/>
                  </w:tcBorders>
                  <w:noWrap w:val="0"/>
                  <w:vAlign w:val="center"/>
                </w:tcPr>
                <w:p w14:paraId="2E423AE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7</w:t>
                  </w:r>
                </w:p>
              </w:tc>
              <w:tc>
                <w:tcPr>
                  <w:tcW w:w="2677" w:type="pct"/>
                  <w:tcBorders>
                    <w:tl2br w:val="nil"/>
                    <w:tr2bl w:val="nil"/>
                  </w:tcBorders>
                  <w:noWrap w:val="0"/>
                  <w:vAlign w:val="center"/>
                </w:tcPr>
                <w:p w14:paraId="5D2D6888">
                  <w:pPr>
                    <w:keepNext w:val="0"/>
                    <w:keepLines w:val="0"/>
                    <w:pageBreakBefore w:val="0"/>
                    <w:suppressLineNumbers w:val="0"/>
                    <w:kinsoku/>
                    <w:wordWrap/>
                    <w:overflowPunct/>
                    <w:topLinePunct w:val="0"/>
                    <w:autoSpaceDE w:val="0"/>
                    <w:autoSpaceDN w:val="0"/>
                    <w:bidi w:val="0"/>
                    <w:snapToGrid w:val="0"/>
                    <w:spacing w:before="0" w:beforeAutospacing="0" w:after="0" w:afterAutospacing="0" w:line="24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银钛Ⅰ回220kV线路边导线投影点10m处</w:t>
                  </w:r>
                </w:p>
              </w:tc>
              <w:tc>
                <w:tcPr>
                  <w:tcW w:w="909" w:type="pct"/>
                  <w:tcBorders>
                    <w:tl2br w:val="nil"/>
                    <w:tr2bl w:val="nil"/>
                  </w:tcBorders>
                  <w:noWrap w:val="0"/>
                  <w:vAlign w:val="center"/>
                </w:tcPr>
                <w:p w14:paraId="5686B7BB">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51</w:t>
                  </w:r>
                </w:p>
              </w:tc>
              <w:tc>
                <w:tcPr>
                  <w:tcW w:w="1000" w:type="pct"/>
                  <w:tcBorders>
                    <w:tl2br w:val="nil"/>
                    <w:tr2bl w:val="nil"/>
                  </w:tcBorders>
                  <w:noWrap w:val="0"/>
                  <w:vAlign w:val="center"/>
                </w:tcPr>
                <w:p w14:paraId="0DCA3B99">
                  <w:pPr>
                    <w:keepNext w:val="0"/>
                    <w:keepLines w:val="0"/>
                    <w:pageBreakBefore w:val="0"/>
                    <w:widowControl/>
                    <w:suppressLineNumbers w:val="0"/>
                    <w:kinsoku/>
                    <w:wordWrap/>
                    <w:overflowPunct/>
                    <w:topLinePunct w:val="0"/>
                    <w:autoSpaceDE w:val="0"/>
                    <w:autoSpaceDN w:val="0"/>
                    <w:bidi w:val="0"/>
                    <w:snapToGrid w:val="0"/>
                    <w:spacing w:before="0" w:beforeAutospacing="0" w:after="0" w:afterAutospacing="0" w:line="24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40</w:t>
                  </w:r>
                </w:p>
              </w:tc>
            </w:tr>
            <w:tr w14:paraId="02D383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12" w:type="pct"/>
                  <w:tcBorders>
                    <w:tl2br w:val="nil"/>
                    <w:tr2bl w:val="nil"/>
                  </w:tcBorders>
                  <w:noWrap w:val="0"/>
                  <w:vAlign w:val="center"/>
                </w:tcPr>
                <w:p w14:paraId="7693C3C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8</w:t>
                  </w:r>
                </w:p>
              </w:tc>
              <w:tc>
                <w:tcPr>
                  <w:tcW w:w="2677" w:type="pct"/>
                  <w:tcBorders>
                    <w:tl2br w:val="nil"/>
                    <w:tr2bl w:val="nil"/>
                  </w:tcBorders>
                  <w:noWrap w:val="0"/>
                  <w:vAlign w:val="center"/>
                </w:tcPr>
                <w:p w14:paraId="52E29434">
                  <w:pPr>
                    <w:keepNext w:val="0"/>
                    <w:keepLines w:val="0"/>
                    <w:pageBreakBefore w:val="0"/>
                    <w:suppressLineNumbers w:val="0"/>
                    <w:kinsoku/>
                    <w:wordWrap/>
                    <w:overflowPunct/>
                    <w:topLinePunct w:val="0"/>
                    <w:autoSpaceDE w:val="0"/>
                    <w:autoSpaceDN w:val="0"/>
                    <w:bidi w:val="0"/>
                    <w:snapToGrid w:val="0"/>
                    <w:spacing w:before="0" w:beforeAutospacing="0" w:after="0" w:afterAutospacing="0" w:line="24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银钛Ⅰ回220kV线路边导线投影点15m处</w:t>
                  </w:r>
                </w:p>
              </w:tc>
              <w:tc>
                <w:tcPr>
                  <w:tcW w:w="909" w:type="pct"/>
                  <w:tcBorders>
                    <w:tl2br w:val="nil"/>
                    <w:tr2bl w:val="nil"/>
                  </w:tcBorders>
                  <w:noWrap w:val="0"/>
                  <w:vAlign w:val="center"/>
                </w:tcPr>
                <w:p w14:paraId="302E7A09">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48</w:t>
                  </w:r>
                </w:p>
              </w:tc>
              <w:tc>
                <w:tcPr>
                  <w:tcW w:w="1000" w:type="pct"/>
                  <w:tcBorders>
                    <w:tl2br w:val="nil"/>
                    <w:tr2bl w:val="nil"/>
                  </w:tcBorders>
                  <w:noWrap w:val="0"/>
                  <w:vAlign w:val="center"/>
                </w:tcPr>
                <w:p w14:paraId="0A3716C7">
                  <w:pPr>
                    <w:keepNext w:val="0"/>
                    <w:keepLines w:val="0"/>
                    <w:pageBreakBefore w:val="0"/>
                    <w:widowControl/>
                    <w:suppressLineNumbers w:val="0"/>
                    <w:kinsoku/>
                    <w:wordWrap/>
                    <w:overflowPunct/>
                    <w:topLinePunct w:val="0"/>
                    <w:autoSpaceDE w:val="0"/>
                    <w:autoSpaceDN w:val="0"/>
                    <w:bidi w:val="0"/>
                    <w:snapToGrid w:val="0"/>
                    <w:spacing w:before="0" w:beforeAutospacing="0" w:after="0" w:afterAutospacing="0" w:line="240" w:lineRule="exact"/>
                    <w:ind w:left="0" w:right="0"/>
                    <w:jc w:val="center"/>
                    <w:textAlignment w:val="auto"/>
                    <w:rPr>
                      <w:rFonts w:hint="default" w:ascii="宋体" w:hAnsi="宋体" w:eastAsia="宋体" w:cs="Calibri"/>
                      <w:color w:val="auto"/>
                      <w:szCs w:val="21"/>
                    </w:rPr>
                  </w:pPr>
                  <w:r>
                    <w:rPr>
                      <w:rFonts w:hint="eastAsia" w:ascii="宋体" w:hAnsi="宋体" w:eastAsia="宋体" w:cs="Calibri"/>
                      <w:color w:val="auto"/>
                      <w:szCs w:val="21"/>
                    </w:rPr>
                    <w:t>39</w:t>
                  </w:r>
                </w:p>
              </w:tc>
            </w:tr>
            <w:tr w14:paraId="3B3B71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12" w:type="pct"/>
                  <w:tcBorders>
                    <w:tl2br w:val="nil"/>
                    <w:tr2bl w:val="nil"/>
                  </w:tcBorders>
                  <w:noWrap w:val="0"/>
                  <w:vAlign w:val="center"/>
                </w:tcPr>
                <w:p w14:paraId="14C80CA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9</w:t>
                  </w:r>
                </w:p>
              </w:tc>
              <w:tc>
                <w:tcPr>
                  <w:tcW w:w="2677" w:type="pct"/>
                  <w:tcBorders>
                    <w:tl2br w:val="nil"/>
                    <w:tr2bl w:val="nil"/>
                  </w:tcBorders>
                  <w:noWrap w:val="0"/>
                  <w:vAlign w:val="center"/>
                </w:tcPr>
                <w:p w14:paraId="254165A4">
                  <w:pPr>
                    <w:keepNext w:val="0"/>
                    <w:keepLines w:val="0"/>
                    <w:pageBreakBefore w:val="0"/>
                    <w:suppressLineNumbers w:val="0"/>
                    <w:kinsoku/>
                    <w:wordWrap/>
                    <w:overflowPunct/>
                    <w:topLinePunct w:val="0"/>
                    <w:autoSpaceDE w:val="0"/>
                    <w:autoSpaceDN w:val="0"/>
                    <w:bidi w:val="0"/>
                    <w:snapToGrid w:val="0"/>
                    <w:spacing w:before="0" w:beforeAutospacing="0" w:after="0" w:afterAutospacing="0" w:line="240" w:lineRule="exact"/>
                    <w:ind w:left="0" w:right="0"/>
                    <w:jc w:val="center"/>
                    <w:textAlignment w:val="auto"/>
                    <w:rPr>
                      <w:rFonts w:hint="eastAsia" w:ascii="宋体" w:hAnsi="宋体" w:eastAsia="宋体" w:cs="Calibri"/>
                      <w:color w:val="auto"/>
                      <w:szCs w:val="21"/>
                    </w:rPr>
                  </w:pPr>
                  <w:r>
                    <w:rPr>
                      <w:rFonts w:hint="eastAsia" w:ascii="宋体" w:hAnsi="宋体" w:eastAsia="宋体" w:cs="Calibri"/>
                      <w:color w:val="auto"/>
                      <w:szCs w:val="21"/>
                    </w:rPr>
                    <w:t>银钛Ⅰ回220kV线路边导线投影点20m处</w:t>
                  </w:r>
                </w:p>
              </w:tc>
              <w:tc>
                <w:tcPr>
                  <w:tcW w:w="909" w:type="pct"/>
                  <w:tcBorders>
                    <w:tl2br w:val="nil"/>
                    <w:tr2bl w:val="nil"/>
                  </w:tcBorders>
                  <w:noWrap w:val="0"/>
                  <w:vAlign w:val="center"/>
                </w:tcPr>
                <w:p w14:paraId="7A9B1644">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textAlignment w:val="auto"/>
                    <w:rPr>
                      <w:rFonts w:hint="eastAsia" w:ascii="宋体" w:hAnsi="宋体" w:eastAsia="宋体" w:cs="Calibri"/>
                      <w:color w:val="auto"/>
                      <w:szCs w:val="21"/>
                    </w:rPr>
                  </w:pPr>
                  <w:r>
                    <w:rPr>
                      <w:rFonts w:hint="eastAsia" w:ascii="宋体" w:hAnsi="宋体" w:eastAsia="宋体" w:cs="Calibri"/>
                      <w:color w:val="auto"/>
                      <w:szCs w:val="21"/>
                    </w:rPr>
                    <w:t>46</w:t>
                  </w:r>
                </w:p>
              </w:tc>
              <w:tc>
                <w:tcPr>
                  <w:tcW w:w="1000" w:type="pct"/>
                  <w:tcBorders>
                    <w:tl2br w:val="nil"/>
                    <w:tr2bl w:val="nil"/>
                  </w:tcBorders>
                  <w:noWrap w:val="0"/>
                  <w:vAlign w:val="center"/>
                </w:tcPr>
                <w:p w14:paraId="7D3A2FE9">
                  <w:pPr>
                    <w:keepNext w:val="0"/>
                    <w:keepLines w:val="0"/>
                    <w:pageBreakBefore w:val="0"/>
                    <w:widowControl/>
                    <w:suppressLineNumbers w:val="0"/>
                    <w:kinsoku/>
                    <w:wordWrap/>
                    <w:overflowPunct/>
                    <w:topLinePunct w:val="0"/>
                    <w:autoSpaceDE w:val="0"/>
                    <w:autoSpaceDN w:val="0"/>
                    <w:bidi w:val="0"/>
                    <w:snapToGrid w:val="0"/>
                    <w:spacing w:before="0" w:beforeAutospacing="0" w:after="0" w:afterAutospacing="0" w:line="240" w:lineRule="exact"/>
                    <w:ind w:left="0" w:right="0"/>
                    <w:jc w:val="center"/>
                    <w:textAlignment w:val="auto"/>
                    <w:rPr>
                      <w:rFonts w:hint="eastAsia" w:ascii="宋体" w:hAnsi="宋体" w:eastAsia="宋体" w:cs="Calibri"/>
                      <w:color w:val="auto"/>
                      <w:szCs w:val="21"/>
                    </w:rPr>
                  </w:pPr>
                  <w:r>
                    <w:rPr>
                      <w:rFonts w:hint="eastAsia" w:ascii="宋体" w:hAnsi="宋体" w:eastAsia="宋体" w:cs="Calibri"/>
                      <w:color w:val="auto"/>
                      <w:szCs w:val="21"/>
                    </w:rPr>
                    <w:t>40</w:t>
                  </w:r>
                </w:p>
              </w:tc>
            </w:tr>
            <w:tr w14:paraId="4CD4BA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12" w:type="pct"/>
                  <w:tcBorders>
                    <w:tl2br w:val="nil"/>
                    <w:tr2bl w:val="nil"/>
                  </w:tcBorders>
                  <w:noWrap w:val="0"/>
                  <w:vAlign w:val="center"/>
                </w:tcPr>
                <w:p w14:paraId="4E45185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10</w:t>
                  </w:r>
                </w:p>
              </w:tc>
              <w:tc>
                <w:tcPr>
                  <w:tcW w:w="2677" w:type="pct"/>
                  <w:tcBorders>
                    <w:tl2br w:val="nil"/>
                    <w:tr2bl w:val="nil"/>
                  </w:tcBorders>
                  <w:noWrap w:val="0"/>
                  <w:vAlign w:val="center"/>
                </w:tcPr>
                <w:p w14:paraId="5C29DF02">
                  <w:pPr>
                    <w:keepNext w:val="0"/>
                    <w:keepLines w:val="0"/>
                    <w:pageBreakBefore w:val="0"/>
                    <w:suppressLineNumbers w:val="0"/>
                    <w:kinsoku/>
                    <w:wordWrap/>
                    <w:overflowPunct/>
                    <w:topLinePunct w:val="0"/>
                    <w:autoSpaceDE w:val="0"/>
                    <w:autoSpaceDN w:val="0"/>
                    <w:bidi w:val="0"/>
                    <w:snapToGrid w:val="0"/>
                    <w:spacing w:before="0" w:beforeAutospacing="0" w:after="0" w:afterAutospacing="0" w:line="240" w:lineRule="exact"/>
                    <w:ind w:left="0" w:right="0"/>
                    <w:jc w:val="center"/>
                    <w:textAlignment w:val="auto"/>
                    <w:rPr>
                      <w:rFonts w:hint="eastAsia" w:ascii="宋体" w:hAnsi="宋体" w:eastAsia="宋体" w:cs="Calibri"/>
                      <w:color w:val="auto"/>
                      <w:szCs w:val="21"/>
                    </w:rPr>
                  </w:pPr>
                  <w:r>
                    <w:rPr>
                      <w:rFonts w:hint="eastAsia" w:ascii="宋体" w:hAnsi="宋体" w:eastAsia="宋体" w:cs="Calibri"/>
                      <w:color w:val="auto"/>
                      <w:szCs w:val="21"/>
                    </w:rPr>
                    <w:t>银钛Ⅰ回220kV线路边导线投影点25m处</w:t>
                  </w:r>
                </w:p>
              </w:tc>
              <w:tc>
                <w:tcPr>
                  <w:tcW w:w="909" w:type="pct"/>
                  <w:tcBorders>
                    <w:tl2br w:val="nil"/>
                    <w:tr2bl w:val="nil"/>
                  </w:tcBorders>
                  <w:noWrap w:val="0"/>
                  <w:vAlign w:val="center"/>
                </w:tcPr>
                <w:p w14:paraId="17631702">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textAlignment w:val="auto"/>
                    <w:rPr>
                      <w:rFonts w:hint="eastAsia" w:ascii="宋体" w:hAnsi="宋体" w:eastAsia="宋体" w:cs="Calibri"/>
                      <w:color w:val="auto"/>
                      <w:szCs w:val="21"/>
                    </w:rPr>
                  </w:pPr>
                  <w:r>
                    <w:rPr>
                      <w:rFonts w:hint="eastAsia" w:ascii="宋体" w:hAnsi="宋体" w:eastAsia="宋体" w:cs="Calibri"/>
                      <w:color w:val="auto"/>
                      <w:szCs w:val="21"/>
                    </w:rPr>
                    <w:t>46</w:t>
                  </w:r>
                </w:p>
              </w:tc>
              <w:tc>
                <w:tcPr>
                  <w:tcW w:w="1000" w:type="pct"/>
                  <w:tcBorders>
                    <w:tl2br w:val="nil"/>
                    <w:tr2bl w:val="nil"/>
                  </w:tcBorders>
                  <w:noWrap w:val="0"/>
                  <w:vAlign w:val="center"/>
                </w:tcPr>
                <w:p w14:paraId="2819DCD0">
                  <w:pPr>
                    <w:keepNext w:val="0"/>
                    <w:keepLines w:val="0"/>
                    <w:pageBreakBefore w:val="0"/>
                    <w:widowControl/>
                    <w:suppressLineNumbers w:val="0"/>
                    <w:kinsoku/>
                    <w:wordWrap/>
                    <w:overflowPunct/>
                    <w:topLinePunct w:val="0"/>
                    <w:autoSpaceDE w:val="0"/>
                    <w:autoSpaceDN w:val="0"/>
                    <w:bidi w:val="0"/>
                    <w:snapToGrid w:val="0"/>
                    <w:spacing w:before="0" w:beforeAutospacing="0" w:after="0" w:afterAutospacing="0" w:line="240" w:lineRule="exact"/>
                    <w:ind w:left="0" w:right="0"/>
                    <w:jc w:val="center"/>
                    <w:textAlignment w:val="auto"/>
                    <w:rPr>
                      <w:rFonts w:hint="eastAsia" w:ascii="宋体" w:hAnsi="宋体" w:eastAsia="宋体" w:cs="Calibri"/>
                      <w:color w:val="auto"/>
                      <w:szCs w:val="21"/>
                    </w:rPr>
                  </w:pPr>
                  <w:r>
                    <w:rPr>
                      <w:rFonts w:hint="eastAsia" w:ascii="宋体" w:hAnsi="宋体" w:eastAsia="宋体" w:cs="Calibri"/>
                      <w:color w:val="auto"/>
                      <w:szCs w:val="21"/>
                    </w:rPr>
                    <w:t>41</w:t>
                  </w:r>
                </w:p>
              </w:tc>
            </w:tr>
            <w:tr w14:paraId="4B86AD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12" w:type="pct"/>
                  <w:tcBorders>
                    <w:tl2br w:val="nil"/>
                    <w:tr2bl w:val="nil"/>
                  </w:tcBorders>
                  <w:noWrap w:val="0"/>
                  <w:vAlign w:val="center"/>
                </w:tcPr>
                <w:p w14:paraId="0AEFD95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11</w:t>
                  </w:r>
                </w:p>
              </w:tc>
              <w:tc>
                <w:tcPr>
                  <w:tcW w:w="2677" w:type="pct"/>
                  <w:tcBorders>
                    <w:tl2br w:val="nil"/>
                    <w:tr2bl w:val="nil"/>
                  </w:tcBorders>
                  <w:noWrap w:val="0"/>
                  <w:vAlign w:val="center"/>
                </w:tcPr>
                <w:p w14:paraId="71B0F26E">
                  <w:pPr>
                    <w:keepNext w:val="0"/>
                    <w:keepLines w:val="0"/>
                    <w:pageBreakBefore w:val="0"/>
                    <w:suppressLineNumbers w:val="0"/>
                    <w:kinsoku/>
                    <w:wordWrap/>
                    <w:overflowPunct/>
                    <w:topLinePunct w:val="0"/>
                    <w:autoSpaceDE w:val="0"/>
                    <w:autoSpaceDN w:val="0"/>
                    <w:bidi w:val="0"/>
                    <w:snapToGrid w:val="0"/>
                    <w:spacing w:before="0" w:beforeAutospacing="0" w:after="0" w:afterAutospacing="0" w:line="240" w:lineRule="exact"/>
                    <w:ind w:left="0" w:right="0"/>
                    <w:jc w:val="center"/>
                    <w:textAlignment w:val="auto"/>
                    <w:rPr>
                      <w:rFonts w:hint="eastAsia" w:ascii="宋体" w:hAnsi="宋体" w:eastAsia="宋体" w:cs="Calibri"/>
                      <w:color w:val="auto"/>
                      <w:szCs w:val="21"/>
                    </w:rPr>
                  </w:pPr>
                  <w:r>
                    <w:rPr>
                      <w:rFonts w:hint="eastAsia" w:ascii="宋体" w:hAnsi="宋体" w:eastAsia="宋体" w:cs="Calibri"/>
                      <w:color w:val="auto"/>
                      <w:szCs w:val="21"/>
                    </w:rPr>
                    <w:t>银钛Ⅰ回220kV线路边导线投影点30m处</w:t>
                  </w:r>
                </w:p>
              </w:tc>
              <w:tc>
                <w:tcPr>
                  <w:tcW w:w="909" w:type="pct"/>
                  <w:tcBorders>
                    <w:tl2br w:val="nil"/>
                    <w:tr2bl w:val="nil"/>
                  </w:tcBorders>
                  <w:noWrap w:val="0"/>
                  <w:vAlign w:val="center"/>
                </w:tcPr>
                <w:p w14:paraId="18EE19BB">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textAlignment w:val="auto"/>
                    <w:rPr>
                      <w:rFonts w:hint="eastAsia" w:ascii="宋体" w:hAnsi="宋体" w:eastAsia="宋体" w:cs="Calibri"/>
                      <w:color w:val="auto"/>
                      <w:szCs w:val="21"/>
                    </w:rPr>
                  </w:pPr>
                  <w:r>
                    <w:rPr>
                      <w:rFonts w:hint="eastAsia" w:ascii="宋体" w:hAnsi="宋体" w:eastAsia="宋体" w:cs="Calibri"/>
                      <w:color w:val="auto"/>
                      <w:szCs w:val="21"/>
                    </w:rPr>
                    <w:t>46</w:t>
                  </w:r>
                </w:p>
              </w:tc>
              <w:tc>
                <w:tcPr>
                  <w:tcW w:w="1000" w:type="pct"/>
                  <w:tcBorders>
                    <w:tl2br w:val="nil"/>
                    <w:tr2bl w:val="nil"/>
                  </w:tcBorders>
                  <w:noWrap w:val="0"/>
                  <w:vAlign w:val="center"/>
                </w:tcPr>
                <w:p w14:paraId="2CE1E87B">
                  <w:pPr>
                    <w:keepNext w:val="0"/>
                    <w:keepLines w:val="0"/>
                    <w:pageBreakBefore w:val="0"/>
                    <w:widowControl/>
                    <w:suppressLineNumbers w:val="0"/>
                    <w:kinsoku/>
                    <w:wordWrap/>
                    <w:overflowPunct/>
                    <w:topLinePunct w:val="0"/>
                    <w:autoSpaceDE w:val="0"/>
                    <w:autoSpaceDN w:val="0"/>
                    <w:bidi w:val="0"/>
                    <w:snapToGrid w:val="0"/>
                    <w:spacing w:before="0" w:beforeAutospacing="0" w:after="0" w:afterAutospacing="0" w:line="240" w:lineRule="exact"/>
                    <w:ind w:left="0" w:right="0"/>
                    <w:jc w:val="center"/>
                    <w:textAlignment w:val="auto"/>
                    <w:rPr>
                      <w:rFonts w:hint="eastAsia" w:ascii="宋体" w:hAnsi="宋体" w:eastAsia="宋体" w:cs="Calibri"/>
                      <w:color w:val="auto"/>
                      <w:szCs w:val="21"/>
                    </w:rPr>
                  </w:pPr>
                  <w:r>
                    <w:rPr>
                      <w:rFonts w:hint="eastAsia" w:ascii="宋体" w:hAnsi="宋体" w:eastAsia="宋体" w:cs="Calibri"/>
                      <w:color w:val="auto"/>
                      <w:szCs w:val="21"/>
                    </w:rPr>
                    <w:t>40</w:t>
                  </w:r>
                </w:p>
              </w:tc>
            </w:tr>
            <w:tr w14:paraId="6B5827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9" w:hRule="atLeast"/>
                <w:jc w:val="center"/>
              </w:trPr>
              <w:tc>
                <w:tcPr>
                  <w:tcW w:w="412" w:type="pct"/>
                  <w:tcBorders>
                    <w:tl2br w:val="nil"/>
                    <w:tr2bl w:val="nil"/>
                  </w:tcBorders>
                  <w:noWrap w:val="0"/>
                  <w:vAlign w:val="center"/>
                </w:tcPr>
                <w:p w14:paraId="3D6C813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12</w:t>
                  </w:r>
                </w:p>
              </w:tc>
              <w:tc>
                <w:tcPr>
                  <w:tcW w:w="2677" w:type="pct"/>
                  <w:tcBorders>
                    <w:tl2br w:val="nil"/>
                    <w:tr2bl w:val="nil"/>
                  </w:tcBorders>
                  <w:noWrap w:val="0"/>
                  <w:vAlign w:val="center"/>
                </w:tcPr>
                <w:p w14:paraId="325E66D5">
                  <w:pPr>
                    <w:keepNext w:val="0"/>
                    <w:keepLines w:val="0"/>
                    <w:pageBreakBefore w:val="0"/>
                    <w:suppressLineNumbers w:val="0"/>
                    <w:kinsoku/>
                    <w:wordWrap/>
                    <w:overflowPunct/>
                    <w:topLinePunct w:val="0"/>
                    <w:autoSpaceDE w:val="0"/>
                    <w:autoSpaceDN w:val="0"/>
                    <w:bidi w:val="0"/>
                    <w:snapToGrid w:val="0"/>
                    <w:spacing w:before="0" w:beforeAutospacing="0" w:after="0" w:afterAutospacing="0" w:line="240" w:lineRule="exact"/>
                    <w:ind w:left="0" w:right="0"/>
                    <w:jc w:val="center"/>
                    <w:textAlignment w:val="auto"/>
                    <w:rPr>
                      <w:rFonts w:hint="eastAsia" w:ascii="宋体" w:hAnsi="宋体" w:eastAsia="宋体" w:cs="Calibri"/>
                      <w:color w:val="auto"/>
                      <w:szCs w:val="21"/>
                    </w:rPr>
                  </w:pPr>
                  <w:r>
                    <w:rPr>
                      <w:rFonts w:hint="eastAsia" w:ascii="宋体" w:hAnsi="宋体" w:eastAsia="宋体" w:cs="Calibri"/>
                      <w:color w:val="auto"/>
                      <w:szCs w:val="21"/>
                    </w:rPr>
                    <w:t>银钛Ⅰ回220kV线路边导线投影点35m处</w:t>
                  </w:r>
                </w:p>
              </w:tc>
              <w:tc>
                <w:tcPr>
                  <w:tcW w:w="909" w:type="pct"/>
                  <w:tcBorders>
                    <w:tl2br w:val="nil"/>
                    <w:tr2bl w:val="nil"/>
                  </w:tcBorders>
                  <w:noWrap w:val="0"/>
                  <w:vAlign w:val="center"/>
                </w:tcPr>
                <w:p w14:paraId="74379983">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textAlignment w:val="auto"/>
                    <w:rPr>
                      <w:rFonts w:hint="eastAsia" w:ascii="宋体" w:hAnsi="宋体" w:eastAsia="宋体" w:cs="Calibri"/>
                      <w:color w:val="auto"/>
                      <w:szCs w:val="21"/>
                    </w:rPr>
                  </w:pPr>
                  <w:r>
                    <w:rPr>
                      <w:rFonts w:hint="eastAsia" w:ascii="宋体" w:hAnsi="宋体" w:eastAsia="宋体" w:cs="Calibri"/>
                      <w:color w:val="auto"/>
                      <w:szCs w:val="21"/>
                    </w:rPr>
                    <w:t>45</w:t>
                  </w:r>
                </w:p>
              </w:tc>
              <w:tc>
                <w:tcPr>
                  <w:tcW w:w="1000" w:type="pct"/>
                  <w:tcBorders>
                    <w:tl2br w:val="nil"/>
                    <w:tr2bl w:val="nil"/>
                  </w:tcBorders>
                  <w:noWrap w:val="0"/>
                  <w:vAlign w:val="center"/>
                </w:tcPr>
                <w:p w14:paraId="1ACDF58C">
                  <w:pPr>
                    <w:keepNext w:val="0"/>
                    <w:keepLines w:val="0"/>
                    <w:pageBreakBefore w:val="0"/>
                    <w:widowControl/>
                    <w:suppressLineNumbers w:val="0"/>
                    <w:kinsoku/>
                    <w:wordWrap/>
                    <w:overflowPunct/>
                    <w:topLinePunct w:val="0"/>
                    <w:autoSpaceDE w:val="0"/>
                    <w:autoSpaceDN w:val="0"/>
                    <w:bidi w:val="0"/>
                    <w:snapToGrid w:val="0"/>
                    <w:spacing w:before="0" w:beforeAutospacing="0" w:after="0" w:afterAutospacing="0" w:line="240" w:lineRule="exact"/>
                    <w:ind w:left="0" w:right="0"/>
                    <w:jc w:val="center"/>
                    <w:textAlignment w:val="auto"/>
                    <w:rPr>
                      <w:rFonts w:hint="eastAsia" w:ascii="宋体" w:hAnsi="宋体" w:eastAsia="宋体" w:cs="Calibri"/>
                      <w:color w:val="auto"/>
                      <w:szCs w:val="21"/>
                    </w:rPr>
                  </w:pPr>
                  <w:r>
                    <w:rPr>
                      <w:rFonts w:hint="eastAsia" w:ascii="宋体" w:hAnsi="宋体" w:eastAsia="宋体" w:cs="Calibri"/>
                      <w:color w:val="auto"/>
                      <w:szCs w:val="21"/>
                    </w:rPr>
                    <w:t>40</w:t>
                  </w:r>
                </w:p>
              </w:tc>
            </w:tr>
            <w:tr w14:paraId="5856A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12" w:type="pct"/>
                  <w:tcBorders>
                    <w:tl2br w:val="nil"/>
                    <w:tr2bl w:val="nil"/>
                  </w:tcBorders>
                  <w:noWrap w:val="0"/>
                  <w:vAlign w:val="center"/>
                </w:tcPr>
                <w:p w14:paraId="6EAEF16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13</w:t>
                  </w:r>
                </w:p>
              </w:tc>
              <w:tc>
                <w:tcPr>
                  <w:tcW w:w="2677" w:type="pct"/>
                  <w:tcBorders>
                    <w:tl2br w:val="nil"/>
                    <w:tr2bl w:val="nil"/>
                  </w:tcBorders>
                  <w:noWrap w:val="0"/>
                  <w:vAlign w:val="center"/>
                </w:tcPr>
                <w:p w14:paraId="144BE8CA">
                  <w:pPr>
                    <w:keepNext w:val="0"/>
                    <w:keepLines w:val="0"/>
                    <w:pageBreakBefore w:val="0"/>
                    <w:suppressLineNumbers w:val="0"/>
                    <w:kinsoku/>
                    <w:wordWrap/>
                    <w:overflowPunct/>
                    <w:topLinePunct w:val="0"/>
                    <w:autoSpaceDE w:val="0"/>
                    <w:autoSpaceDN w:val="0"/>
                    <w:bidi w:val="0"/>
                    <w:snapToGrid w:val="0"/>
                    <w:spacing w:before="0" w:beforeAutospacing="0" w:after="0" w:afterAutospacing="0" w:line="240" w:lineRule="exact"/>
                    <w:ind w:left="0" w:right="0"/>
                    <w:jc w:val="center"/>
                    <w:textAlignment w:val="auto"/>
                    <w:rPr>
                      <w:rFonts w:hint="eastAsia" w:ascii="宋体" w:hAnsi="宋体" w:eastAsia="宋体" w:cs="Calibri"/>
                      <w:color w:val="auto"/>
                      <w:szCs w:val="21"/>
                    </w:rPr>
                  </w:pPr>
                  <w:r>
                    <w:rPr>
                      <w:rFonts w:hint="eastAsia" w:ascii="宋体" w:hAnsi="宋体" w:eastAsia="宋体" w:cs="Calibri"/>
                      <w:color w:val="auto"/>
                      <w:szCs w:val="21"/>
                    </w:rPr>
                    <w:t>银钛Ⅰ回220kV线路边导线投影点40m处</w:t>
                  </w:r>
                </w:p>
              </w:tc>
              <w:tc>
                <w:tcPr>
                  <w:tcW w:w="909" w:type="pct"/>
                  <w:tcBorders>
                    <w:tl2br w:val="nil"/>
                    <w:tr2bl w:val="nil"/>
                  </w:tcBorders>
                  <w:noWrap w:val="0"/>
                  <w:vAlign w:val="center"/>
                </w:tcPr>
                <w:p w14:paraId="476B4632">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textAlignment w:val="auto"/>
                    <w:rPr>
                      <w:rFonts w:hint="eastAsia" w:ascii="宋体" w:hAnsi="宋体" w:eastAsia="宋体" w:cs="Calibri"/>
                      <w:color w:val="auto"/>
                      <w:szCs w:val="21"/>
                    </w:rPr>
                  </w:pPr>
                  <w:r>
                    <w:rPr>
                      <w:rFonts w:hint="eastAsia" w:ascii="宋体" w:hAnsi="宋体" w:eastAsia="宋体" w:cs="Calibri"/>
                      <w:color w:val="auto"/>
                      <w:szCs w:val="21"/>
                    </w:rPr>
                    <w:t>45</w:t>
                  </w:r>
                </w:p>
              </w:tc>
              <w:tc>
                <w:tcPr>
                  <w:tcW w:w="1000" w:type="pct"/>
                  <w:tcBorders>
                    <w:tl2br w:val="nil"/>
                    <w:tr2bl w:val="nil"/>
                  </w:tcBorders>
                  <w:noWrap w:val="0"/>
                  <w:vAlign w:val="center"/>
                </w:tcPr>
                <w:p w14:paraId="0CDC90B3">
                  <w:pPr>
                    <w:keepNext w:val="0"/>
                    <w:keepLines w:val="0"/>
                    <w:pageBreakBefore w:val="0"/>
                    <w:widowControl/>
                    <w:suppressLineNumbers w:val="0"/>
                    <w:kinsoku/>
                    <w:wordWrap/>
                    <w:overflowPunct/>
                    <w:topLinePunct w:val="0"/>
                    <w:autoSpaceDE w:val="0"/>
                    <w:autoSpaceDN w:val="0"/>
                    <w:bidi w:val="0"/>
                    <w:snapToGrid w:val="0"/>
                    <w:spacing w:before="0" w:beforeAutospacing="0" w:after="0" w:afterAutospacing="0" w:line="240" w:lineRule="exact"/>
                    <w:ind w:left="0" w:right="0"/>
                    <w:jc w:val="center"/>
                    <w:textAlignment w:val="auto"/>
                    <w:rPr>
                      <w:rFonts w:hint="eastAsia" w:ascii="宋体" w:hAnsi="宋体" w:eastAsia="宋体" w:cs="Calibri"/>
                      <w:color w:val="auto"/>
                      <w:szCs w:val="21"/>
                    </w:rPr>
                  </w:pPr>
                  <w:r>
                    <w:rPr>
                      <w:rFonts w:hint="eastAsia" w:ascii="宋体" w:hAnsi="宋体" w:eastAsia="宋体" w:cs="Calibri"/>
                      <w:color w:val="auto"/>
                      <w:szCs w:val="21"/>
                    </w:rPr>
                    <w:t>39</w:t>
                  </w:r>
                </w:p>
              </w:tc>
            </w:tr>
            <w:tr w14:paraId="3799EE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12" w:type="pct"/>
                  <w:tcBorders>
                    <w:tl2br w:val="nil"/>
                    <w:tr2bl w:val="nil"/>
                  </w:tcBorders>
                  <w:noWrap w:val="0"/>
                  <w:vAlign w:val="center"/>
                </w:tcPr>
                <w:p w14:paraId="423D077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14</w:t>
                  </w:r>
                </w:p>
              </w:tc>
              <w:tc>
                <w:tcPr>
                  <w:tcW w:w="2677" w:type="pct"/>
                  <w:tcBorders>
                    <w:tl2br w:val="nil"/>
                    <w:tr2bl w:val="nil"/>
                  </w:tcBorders>
                  <w:noWrap w:val="0"/>
                  <w:vAlign w:val="center"/>
                </w:tcPr>
                <w:p w14:paraId="2B4C695A">
                  <w:pPr>
                    <w:keepNext w:val="0"/>
                    <w:keepLines w:val="0"/>
                    <w:pageBreakBefore w:val="0"/>
                    <w:suppressLineNumbers w:val="0"/>
                    <w:kinsoku/>
                    <w:wordWrap/>
                    <w:overflowPunct/>
                    <w:topLinePunct w:val="0"/>
                    <w:autoSpaceDE w:val="0"/>
                    <w:autoSpaceDN w:val="0"/>
                    <w:bidi w:val="0"/>
                    <w:snapToGrid w:val="0"/>
                    <w:spacing w:before="0" w:beforeAutospacing="0" w:after="0" w:afterAutospacing="0" w:line="240" w:lineRule="exact"/>
                    <w:ind w:left="0" w:right="0"/>
                    <w:jc w:val="center"/>
                    <w:textAlignment w:val="auto"/>
                    <w:rPr>
                      <w:rFonts w:hint="eastAsia" w:ascii="宋体" w:hAnsi="宋体" w:eastAsia="宋体" w:cs="Calibri"/>
                      <w:color w:val="auto"/>
                      <w:szCs w:val="21"/>
                    </w:rPr>
                  </w:pPr>
                  <w:r>
                    <w:rPr>
                      <w:rFonts w:hint="eastAsia" w:ascii="宋体" w:hAnsi="宋体" w:eastAsia="宋体" w:cs="Calibri"/>
                      <w:color w:val="auto"/>
                      <w:szCs w:val="21"/>
                    </w:rPr>
                    <w:t>银钛Ⅰ回220kV线路边导线投影点45m处</w:t>
                  </w:r>
                </w:p>
              </w:tc>
              <w:tc>
                <w:tcPr>
                  <w:tcW w:w="909" w:type="pct"/>
                  <w:tcBorders>
                    <w:tl2br w:val="nil"/>
                    <w:tr2bl w:val="nil"/>
                  </w:tcBorders>
                  <w:noWrap w:val="0"/>
                  <w:vAlign w:val="center"/>
                </w:tcPr>
                <w:p w14:paraId="325E3360">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textAlignment w:val="auto"/>
                    <w:rPr>
                      <w:rFonts w:hint="eastAsia" w:ascii="宋体" w:hAnsi="宋体" w:eastAsia="宋体" w:cs="Calibri"/>
                      <w:color w:val="auto"/>
                      <w:szCs w:val="21"/>
                    </w:rPr>
                  </w:pPr>
                  <w:r>
                    <w:rPr>
                      <w:rFonts w:hint="eastAsia" w:ascii="宋体" w:hAnsi="宋体" w:eastAsia="宋体" w:cs="Calibri"/>
                      <w:color w:val="auto"/>
                      <w:szCs w:val="21"/>
                    </w:rPr>
                    <w:t>45</w:t>
                  </w:r>
                </w:p>
              </w:tc>
              <w:tc>
                <w:tcPr>
                  <w:tcW w:w="1000" w:type="pct"/>
                  <w:tcBorders>
                    <w:tl2br w:val="nil"/>
                    <w:tr2bl w:val="nil"/>
                  </w:tcBorders>
                  <w:noWrap w:val="0"/>
                  <w:vAlign w:val="center"/>
                </w:tcPr>
                <w:p w14:paraId="4568D1D0">
                  <w:pPr>
                    <w:keepNext w:val="0"/>
                    <w:keepLines w:val="0"/>
                    <w:pageBreakBefore w:val="0"/>
                    <w:widowControl/>
                    <w:suppressLineNumbers w:val="0"/>
                    <w:kinsoku/>
                    <w:wordWrap/>
                    <w:overflowPunct/>
                    <w:topLinePunct w:val="0"/>
                    <w:autoSpaceDE w:val="0"/>
                    <w:autoSpaceDN w:val="0"/>
                    <w:bidi w:val="0"/>
                    <w:snapToGrid w:val="0"/>
                    <w:spacing w:before="0" w:beforeAutospacing="0" w:after="0" w:afterAutospacing="0" w:line="240" w:lineRule="exact"/>
                    <w:ind w:left="0" w:right="0"/>
                    <w:jc w:val="center"/>
                    <w:textAlignment w:val="auto"/>
                    <w:rPr>
                      <w:rFonts w:hint="eastAsia" w:ascii="宋体" w:hAnsi="宋体" w:eastAsia="宋体" w:cs="Calibri"/>
                      <w:color w:val="auto"/>
                      <w:szCs w:val="21"/>
                    </w:rPr>
                  </w:pPr>
                  <w:r>
                    <w:rPr>
                      <w:rFonts w:hint="eastAsia" w:ascii="宋体" w:hAnsi="宋体" w:eastAsia="宋体" w:cs="Calibri"/>
                      <w:color w:val="auto"/>
                      <w:szCs w:val="21"/>
                    </w:rPr>
                    <w:t>41</w:t>
                  </w:r>
                </w:p>
              </w:tc>
            </w:tr>
            <w:tr w14:paraId="67A4FB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12" w:type="pct"/>
                  <w:tcBorders>
                    <w:tl2br w:val="nil"/>
                    <w:tr2bl w:val="nil"/>
                  </w:tcBorders>
                  <w:noWrap w:val="0"/>
                  <w:vAlign w:val="center"/>
                </w:tcPr>
                <w:p w14:paraId="4B3E970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15</w:t>
                  </w:r>
                </w:p>
              </w:tc>
              <w:tc>
                <w:tcPr>
                  <w:tcW w:w="2677" w:type="pct"/>
                  <w:tcBorders>
                    <w:tl2br w:val="nil"/>
                    <w:tr2bl w:val="nil"/>
                  </w:tcBorders>
                  <w:noWrap w:val="0"/>
                  <w:vAlign w:val="center"/>
                </w:tcPr>
                <w:p w14:paraId="4C4DA617">
                  <w:pPr>
                    <w:keepNext w:val="0"/>
                    <w:keepLines w:val="0"/>
                    <w:pageBreakBefore w:val="0"/>
                    <w:suppressLineNumbers w:val="0"/>
                    <w:kinsoku/>
                    <w:wordWrap/>
                    <w:overflowPunct/>
                    <w:topLinePunct w:val="0"/>
                    <w:autoSpaceDE w:val="0"/>
                    <w:autoSpaceDN w:val="0"/>
                    <w:bidi w:val="0"/>
                    <w:snapToGrid w:val="0"/>
                    <w:spacing w:before="0" w:beforeAutospacing="0" w:after="0" w:afterAutospacing="0" w:line="240" w:lineRule="exact"/>
                    <w:ind w:left="0" w:right="0"/>
                    <w:jc w:val="center"/>
                    <w:textAlignment w:val="auto"/>
                    <w:rPr>
                      <w:rFonts w:hint="eastAsia" w:ascii="宋体" w:hAnsi="宋体" w:eastAsia="宋体" w:cs="Calibri"/>
                      <w:color w:val="auto"/>
                      <w:szCs w:val="21"/>
                    </w:rPr>
                  </w:pPr>
                  <w:r>
                    <w:rPr>
                      <w:rFonts w:hint="eastAsia" w:ascii="宋体" w:hAnsi="宋体" w:eastAsia="宋体" w:cs="Calibri"/>
                      <w:color w:val="auto"/>
                      <w:szCs w:val="21"/>
                    </w:rPr>
                    <w:t>银钛Ⅰ回220kV线路边导线投影点50m处</w:t>
                  </w:r>
                </w:p>
              </w:tc>
              <w:tc>
                <w:tcPr>
                  <w:tcW w:w="909" w:type="pct"/>
                  <w:tcBorders>
                    <w:tl2br w:val="nil"/>
                    <w:tr2bl w:val="nil"/>
                  </w:tcBorders>
                  <w:noWrap w:val="0"/>
                  <w:vAlign w:val="center"/>
                </w:tcPr>
                <w:p w14:paraId="3E4EF3D3">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textAlignment w:val="auto"/>
                    <w:rPr>
                      <w:rFonts w:hint="eastAsia" w:ascii="宋体" w:hAnsi="宋体" w:eastAsia="宋体" w:cs="Calibri"/>
                      <w:color w:val="auto"/>
                      <w:szCs w:val="21"/>
                    </w:rPr>
                  </w:pPr>
                  <w:r>
                    <w:rPr>
                      <w:rFonts w:hint="eastAsia" w:ascii="宋体" w:hAnsi="宋体" w:eastAsia="宋体" w:cs="Calibri"/>
                      <w:color w:val="auto"/>
                      <w:szCs w:val="21"/>
                    </w:rPr>
                    <w:t>46</w:t>
                  </w:r>
                </w:p>
              </w:tc>
              <w:tc>
                <w:tcPr>
                  <w:tcW w:w="1000" w:type="pct"/>
                  <w:tcBorders>
                    <w:tl2br w:val="nil"/>
                    <w:tr2bl w:val="nil"/>
                  </w:tcBorders>
                  <w:noWrap w:val="0"/>
                  <w:vAlign w:val="center"/>
                </w:tcPr>
                <w:p w14:paraId="46783141">
                  <w:pPr>
                    <w:keepNext w:val="0"/>
                    <w:keepLines w:val="0"/>
                    <w:pageBreakBefore w:val="0"/>
                    <w:widowControl/>
                    <w:suppressLineNumbers w:val="0"/>
                    <w:kinsoku/>
                    <w:wordWrap/>
                    <w:overflowPunct/>
                    <w:topLinePunct w:val="0"/>
                    <w:autoSpaceDE w:val="0"/>
                    <w:autoSpaceDN w:val="0"/>
                    <w:bidi w:val="0"/>
                    <w:snapToGrid w:val="0"/>
                    <w:spacing w:before="0" w:beforeAutospacing="0" w:after="0" w:afterAutospacing="0" w:line="240" w:lineRule="exact"/>
                    <w:ind w:left="0" w:right="0"/>
                    <w:jc w:val="center"/>
                    <w:textAlignment w:val="auto"/>
                    <w:rPr>
                      <w:rFonts w:hint="eastAsia" w:ascii="宋体" w:hAnsi="宋体" w:eastAsia="宋体" w:cs="Calibri"/>
                      <w:color w:val="auto"/>
                      <w:szCs w:val="21"/>
                    </w:rPr>
                  </w:pPr>
                  <w:r>
                    <w:rPr>
                      <w:rFonts w:hint="eastAsia" w:ascii="宋体" w:hAnsi="宋体" w:eastAsia="宋体" w:cs="Calibri"/>
                      <w:color w:val="auto"/>
                      <w:szCs w:val="21"/>
                    </w:rPr>
                    <w:t>40</w:t>
                  </w:r>
                </w:p>
              </w:tc>
            </w:tr>
          </w:tbl>
          <w:p w14:paraId="762D2E8E">
            <w:pPr>
              <w:keepNext w:val="0"/>
              <w:keepLines w:val="0"/>
              <w:pageBreakBefore w:val="0"/>
              <w:widowControl w:val="0"/>
              <w:suppressLineNumbers w:val="0"/>
              <w:tabs>
                <w:tab w:val="left" w:pos="8814"/>
              </w:tabs>
              <w:kinsoku/>
              <w:wordWrap/>
              <w:overflowPunct/>
              <w:topLinePunct w:val="0"/>
              <w:autoSpaceDE/>
              <w:autoSpaceDN/>
              <w:bidi w:val="0"/>
              <w:adjustRightInd/>
              <w:snapToGrid/>
              <w:spacing w:before="313" w:beforeLines="100" w:beforeAutospacing="0" w:after="0" w:afterAutospacing="0" w:line="360" w:lineRule="auto"/>
              <w:ind w:left="0" w:right="0" w:firstLine="480" w:firstLineChars="200"/>
              <w:textAlignment w:val="auto"/>
              <w:rPr>
                <w:rFonts w:hint="eastAsia" w:ascii="宋体" w:hAnsi="宋体" w:eastAsia="宋体" w:cs="宋体"/>
                <w:color w:val="auto"/>
                <w:sz w:val="24"/>
                <w:szCs w:val="21"/>
              </w:rPr>
            </w:pPr>
            <w:r>
              <w:rPr>
                <w:rFonts w:hint="eastAsia" w:ascii="宋体" w:hAnsi="宋体" w:eastAsia="宋体" w:cs="Calibri"/>
                <w:color w:val="auto"/>
                <w:sz w:val="24"/>
                <w:szCs w:val="21"/>
              </w:rPr>
              <w:t>由表</w:t>
            </w:r>
            <w:r>
              <w:rPr>
                <w:rFonts w:hint="eastAsia" w:ascii="宋体" w:hAnsi="宋体" w:eastAsia="宋体" w:cs="宋体"/>
                <w:color w:val="auto"/>
                <w:sz w:val="24"/>
                <w:szCs w:val="21"/>
                <w:lang w:val="en-US" w:eastAsia="zh-CN"/>
              </w:rPr>
              <w:t>4-</w:t>
            </w:r>
            <w:r>
              <w:rPr>
                <w:rFonts w:hint="eastAsia" w:ascii="宋体" w:hAnsi="宋体" w:cs="宋体"/>
                <w:color w:val="auto"/>
                <w:sz w:val="24"/>
                <w:szCs w:val="21"/>
                <w:lang w:val="en-US" w:eastAsia="zh-CN"/>
              </w:rPr>
              <w:t>6</w:t>
            </w:r>
            <w:r>
              <w:rPr>
                <w:rFonts w:hint="eastAsia" w:ascii="宋体" w:hAnsi="宋体" w:eastAsia="宋体" w:cs="宋体"/>
                <w:color w:val="auto"/>
                <w:sz w:val="24"/>
                <w:szCs w:val="21"/>
              </w:rPr>
              <w:t>可</w:t>
            </w:r>
            <w:r>
              <w:rPr>
                <w:rFonts w:hint="eastAsia" w:ascii="宋体" w:hAnsi="宋体" w:eastAsia="宋体" w:cs="Calibri"/>
                <w:color w:val="auto"/>
                <w:sz w:val="24"/>
                <w:szCs w:val="21"/>
              </w:rPr>
              <w:t>知：220kV银钛Ⅰ线50m范围内环境噪声昼间监测值为45～51dB</w:t>
            </w:r>
            <w:r>
              <w:rPr>
                <w:rFonts w:hint="eastAsia" w:ascii="宋体" w:hAnsi="宋体" w:eastAsia="宋体" w:cs="Calibri"/>
                <w:color w:val="auto"/>
                <w:sz w:val="24"/>
                <w:szCs w:val="21"/>
                <w:lang w:eastAsia="zh-CN"/>
              </w:rPr>
              <w:t>(</w:t>
            </w:r>
            <w:r>
              <w:rPr>
                <w:rFonts w:hint="eastAsia" w:ascii="宋体" w:hAnsi="宋体" w:eastAsia="宋体" w:cs="Calibri"/>
                <w:color w:val="auto"/>
                <w:sz w:val="24"/>
                <w:szCs w:val="21"/>
              </w:rPr>
              <w:t>A)，夜间噪声监测值为39～41dB</w:t>
            </w:r>
            <w:r>
              <w:rPr>
                <w:rFonts w:hint="eastAsia" w:ascii="宋体" w:hAnsi="宋体" w:eastAsia="宋体" w:cs="Calibri"/>
                <w:color w:val="auto"/>
                <w:sz w:val="24"/>
                <w:szCs w:val="21"/>
                <w:lang w:eastAsia="zh-CN"/>
              </w:rPr>
              <w:t>(</w:t>
            </w:r>
            <w:r>
              <w:rPr>
                <w:rFonts w:hint="eastAsia" w:ascii="宋体" w:hAnsi="宋体" w:eastAsia="宋体" w:cs="Calibri"/>
                <w:color w:val="auto"/>
                <w:sz w:val="24"/>
                <w:szCs w:val="21"/>
              </w:rPr>
              <w:t>A)，说明线路噪声实际贡献值很小。由类比线路</w:t>
            </w:r>
            <w:r>
              <w:rPr>
                <w:rFonts w:hint="eastAsia" w:ascii="宋体" w:hAnsi="宋体" w:eastAsia="宋体" w:cs="Calibri"/>
                <w:color w:val="auto"/>
                <w:sz w:val="24"/>
                <w:szCs w:val="21"/>
                <w:lang w:val="en-US" w:eastAsia="zh-CN"/>
              </w:rPr>
              <w:t>噪声监测结果</w:t>
            </w:r>
            <w:r>
              <w:rPr>
                <w:rFonts w:hint="eastAsia" w:ascii="宋体" w:hAnsi="宋体" w:eastAsia="宋体" w:cs="Calibri"/>
                <w:color w:val="auto"/>
                <w:sz w:val="24"/>
                <w:szCs w:val="21"/>
              </w:rPr>
              <w:t>可知，</w:t>
            </w:r>
            <w:r>
              <w:rPr>
                <w:rFonts w:hint="eastAsia" w:ascii="Calibri" w:hAnsi="Calibri" w:eastAsia="宋体" w:cs="Calibri"/>
                <w:color w:val="auto"/>
                <w:sz w:val="24"/>
                <w:szCs w:val="21"/>
                <w:lang w:eastAsia="zh-CN"/>
              </w:rPr>
              <w:t>本项目</w:t>
            </w:r>
            <w:r>
              <w:rPr>
                <w:rFonts w:hint="eastAsia" w:ascii="Calibri" w:hAnsi="Calibri" w:eastAsia="宋体" w:cs="Calibri"/>
                <w:color w:val="auto"/>
                <w:sz w:val="24"/>
                <w:szCs w:val="21"/>
                <w:lang w:val="en-US" w:eastAsia="zh-CN"/>
              </w:rPr>
              <w:t>单回路</w:t>
            </w:r>
            <w:r>
              <w:rPr>
                <w:rFonts w:hint="eastAsia" w:ascii="宋体" w:hAnsi="宋体" w:eastAsia="宋体" w:cs="Calibri"/>
                <w:color w:val="auto"/>
                <w:sz w:val="24"/>
                <w:szCs w:val="21"/>
              </w:rPr>
              <w:t>线路运行时产生噪声不会对周边声环境造成明显影响，</w:t>
            </w:r>
            <w:r>
              <w:rPr>
                <w:rFonts w:hint="eastAsia" w:ascii="宋体" w:hAnsi="宋体" w:eastAsia="宋体" w:cs="宋体"/>
                <w:color w:val="auto"/>
                <w:sz w:val="24"/>
                <w:szCs w:val="21"/>
              </w:rPr>
              <w:t>线路</w:t>
            </w:r>
            <w:r>
              <w:rPr>
                <w:rFonts w:hint="eastAsia" w:ascii="宋体" w:hAnsi="宋体" w:eastAsia="宋体" w:cs="Calibri"/>
                <w:color w:val="auto"/>
                <w:sz w:val="24"/>
                <w:szCs w:val="21"/>
              </w:rPr>
              <w:t>声环境可满足《声环境质量</w:t>
            </w:r>
            <w:r>
              <w:rPr>
                <w:rFonts w:hint="eastAsia" w:ascii="宋体" w:hAnsi="宋体" w:eastAsia="宋体" w:cs="宋体"/>
                <w:color w:val="auto"/>
                <w:sz w:val="24"/>
                <w:szCs w:val="21"/>
              </w:rPr>
              <w:t>标准》</w:t>
            </w:r>
            <w:r>
              <w:rPr>
                <w:rFonts w:hint="eastAsia" w:ascii="宋体" w:hAnsi="宋体" w:cs="宋体"/>
                <w:color w:val="auto"/>
                <w:sz w:val="24"/>
                <w:szCs w:val="21"/>
                <w:lang w:eastAsia="zh-CN"/>
              </w:rPr>
              <w:t>（</w:t>
            </w:r>
            <w:r>
              <w:rPr>
                <w:rFonts w:hint="eastAsia" w:ascii="宋体" w:hAnsi="宋体" w:eastAsia="宋体" w:cs="宋体"/>
                <w:color w:val="auto"/>
                <w:sz w:val="24"/>
                <w:szCs w:val="21"/>
              </w:rPr>
              <w:t>GB3096-2008</w:t>
            </w:r>
            <w:r>
              <w:rPr>
                <w:rFonts w:hint="eastAsia" w:ascii="宋体" w:hAnsi="宋体" w:cs="宋体"/>
                <w:color w:val="auto"/>
                <w:sz w:val="24"/>
                <w:szCs w:val="21"/>
                <w:lang w:eastAsia="zh-CN"/>
              </w:rPr>
              <w:t>）</w:t>
            </w:r>
            <w:r>
              <w:rPr>
                <w:rFonts w:hint="eastAsia" w:ascii="宋体" w:hAnsi="宋体" w:eastAsia="宋体" w:cs="宋体"/>
                <w:color w:val="auto"/>
                <w:sz w:val="24"/>
                <w:szCs w:val="21"/>
              </w:rPr>
              <w:t>中</w:t>
            </w:r>
            <w:r>
              <w:rPr>
                <w:rFonts w:hint="eastAsia" w:ascii="宋体" w:hAnsi="宋体" w:eastAsia="宋体" w:cs="宋体"/>
                <w:color w:val="auto"/>
                <w:sz w:val="24"/>
                <w:szCs w:val="21"/>
                <w:lang w:val="en-US" w:eastAsia="zh-CN"/>
              </w:rPr>
              <w:t>2类声环境功能区</w:t>
            </w:r>
            <w:r>
              <w:rPr>
                <w:rFonts w:hint="eastAsia" w:ascii="宋体" w:hAnsi="宋体" w:eastAsia="宋体" w:cs="宋体"/>
                <w:color w:val="auto"/>
                <w:sz w:val="24"/>
                <w:szCs w:val="21"/>
              </w:rPr>
              <w:t>标准。</w:t>
            </w:r>
          </w:p>
          <w:p w14:paraId="63A66C01">
            <w:pPr>
              <w:keepNext w:val="0"/>
              <w:keepLines w:val="0"/>
              <w:pageBreakBefore w:val="0"/>
              <w:widowControl w:val="0"/>
              <w:suppressLineNumbers w:val="0"/>
              <w:tabs>
                <w:tab w:val="left" w:pos="8814"/>
              </w:tabs>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eastAsia" w:ascii="宋体" w:hAnsi="宋体" w:eastAsia="宋体" w:cs="Calibri"/>
                <w:b/>
                <w:bCs/>
                <w:color w:val="auto"/>
                <w:sz w:val="24"/>
                <w:szCs w:val="24"/>
                <w:lang w:val="en-US" w:eastAsia="zh-CN"/>
              </w:rPr>
            </w:pPr>
            <w:r>
              <w:rPr>
                <w:rFonts w:hint="eastAsia" w:ascii="宋体" w:hAnsi="宋体" w:eastAsia="宋体" w:cs="Calibri"/>
                <w:b/>
                <w:bCs/>
                <w:color w:val="auto"/>
                <w:sz w:val="24"/>
                <w:szCs w:val="24"/>
                <w:lang w:val="en-US" w:eastAsia="zh-CN"/>
              </w:rPr>
              <w:t>4.2.2</w:t>
            </w:r>
            <w:r>
              <w:rPr>
                <w:rFonts w:hint="eastAsia" w:ascii="宋体" w:hAnsi="宋体" w:eastAsia="宋体" w:cs="Calibri"/>
                <w:b/>
                <w:bCs/>
                <w:color w:val="auto"/>
                <w:sz w:val="24"/>
                <w:szCs w:val="21"/>
                <w:lang w:val="en-US" w:eastAsia="zh-CN"/>
              </w:rPr>
              <w:t>双</w:t>
            </w:r>
            <w:r>
              <w:rPr>
                <w:rFonts w:hint="eastAsia" w:ascii="宋体" w:hAnsi="宋体" w:eastAsia="宋体" w:cs="Calibri"/>
                <w:b/>
                <w:bCs/>
                <w:color w:val="auto"/>
                <w:sz w:val="24"/>
                <w:szCs w:val="21"/>
              </w:rPr>
              <w:t>回输电线路</w:t>
            </w:r>
          </w:p>
          <w:p w14:paraId="06CDA4DB">
            <w:pPr>
              <w:keepNext w:val="0"/>
              <w:keepLines w:val="0"/>
              <w:pageBreakBefore w:val="0"/>
              <w:widowControl w:val="0"/>
              <w:suppressLineNumbers w:val="0"/>
              <w:tabs>
                <w:tab w:val="left" w:pos="8814"/>
              </w:tabs>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Calibri"/>
                <w:color w:val="auto"/>
                <w:sz w:val="24"/>
                <w:szCs w:val="21"/>
                <w:lang w:val="en-US" w:eastAsia="zh-CN"/>
              </w:rPr>
            </w:pPr>
            <w:r>
              <w:rPr>
                <w:rFonts w:hint="eastAsia" w:ascii="宋体" w:hAnsi="宋体" w:cs="Calibri"/>
                <w:b/>
                <w:color w:val="auto"/>
                <w:sz w:val="24"/>
                <w:szCs w:val="21"/>
                <w:lang w:val="en-US" w:eastAsia="zh-CN"/>
              </w:rPr>
              <w:t>（</w:t>
            </w:r>
            <w:r>
              <w:rPr>
                <w:rFonts w:hint="eastAsia" w:ascii="宋体" w:hAnsi="宋体" w:eastAsia="宋体" w:cs="Calibri"/>
                <w:b/>
                <w:color w:val="auto"/>
                <w:sz w:val="24"/>
                <w:szCs w:val="21"/>
                <w:lang w:val="en-US" w:eastAsia="zh-CN"/>
              </w:rPr>
              <w:t>1</w:t>
            </w:r>
            <w:r>
              <w:rPr>
                <w:rFonts w:hint="eastAsia" w:ascii="宋体" w:hAnsi="宋体" w:cs="Calibri"/>
                <w:b/>
                <w:color w:val="auto"/>
                <w:sz w:val="24"/>
                <w:szCs w:val="21"/>
                <w:lang w:val="en-US" w:eastAsia="zh-CN"/>
              </w:rPr>
              <w:t>）</w:t>
            </w:r>
            <w:r>
              <w:rPr>
                <w:rFonts w:hint="eastAsia" w:ascii="宋体" w:hAnsi="宋体" w:eastAsia="宋体" w:cs="Calibri"/>
                <w:b/>
                <w:color w:val="auto"/>
                <w:sz w:val="24"/>
                <w:szCs w:val="21"/>
              </w:rPr>
              <w:t>类比</w:t>
            </w:r>
            <w:r>
              <w:rPr>
                <w:rFonts w:hint="eastAsia" w:ascii="宋体" w:hAnsi="宋体" w:eastAsia="宋体" w:cs="Calibri"/>
                <w:b/>
                <w:color w:val="auto"/>
                <w:sz w:val="24"/>
                <w:szCs w:val="21"/>
                <w:lang w:val="en-US" w:eastAsia="zh-CN"/>
              </w:rPr>
              <w:t>可行性</w:t>
            </w:r>
          </w:p>
          <w:p w14:paraId="22EBD080">
            <w:pPr>
              <w:keepNext w:val="0"/>
              <w:keepLines w:val="0"/>
              <w:pageBreakBefore w:val="0"/>
              <w:widowControl w:val="0"/>
              <w:suppressLineNumbers w:val="0"/>
              <w:tabs>
                <w:tab w:val="left" w:pos="8814"/>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1"/>
                <w:highlight w:val="yellow"/>
              </w:rPr>
            </w:pPr>
            <w:r>
              <w:rPr>
                <w:rFonts w:hint="eastAsia" w:ascii="宋体" w:hAnsi="宋体" w:cs="宋体"/>
                <w:color w:val="auto"/>
                <w:sz w:val="24"/>
                <w:szCs w:val="21"/>
                <w:lang w:val="en-US" w:eastAsia="zh-CN"/>
              </w:rPr>
              <w:t>本项目终端塔为同塔双回路架设，</w:t>
            </w:r>
            <w:r>
              <w:rPr>
                <w:rFonts w:hint="eastAsia" w:ascii="宋体" w:hAnsi="宋体" w:eastAsia="宋体" w:cs="宋体"/>
                <w:color w:val="auto"/>
                <w:sz w:val="24"/>
                <w:szCs w:val="21"/>
                <w:lang w:val="en-US" w:eastAsia="zh-CN"/>
              </w:rPr>
              <w:t>采用已运行的220kV钛镁线与银钛Ⅱ线</w:t>
            </w:r>
            <w:r>
              <w:rPr>
                <w:rFonts w:hint="eastAsia" w:ascii="宋体" w:hAnsi="宋体" w:cs="宋体"/>
                <w:color w:val="auto"/>
                <w:sz w:val="24"/>
                <w:szCs w:val="21"/>
                <w:lang w:val="en-US" w:eastAsia="zh-CN"/>
              </w:rPr>
              <w:t>（</w:t>
            </w:r>
            <w:r>
              <w:rPr>
                <w:rFonts w:hint="eastAsia" w:ascii="宋体" w:hAnsi="宋体" w:eastAsia="宋体" w:cs="宋体"/>
                <w:color w:val="auto"/>
                <w:sz w:val="24"/>
                <w:szCs w:val="21"/>
                <w:lang w:val="en-US" w:eastAsia="zh-CN"/>
              </w:rPr>
              <w:t>同塔双回路架设</w:t>
            </w:r>
            <w:r>
              <w:rPr>
                <w:rFonts w:hint="eastAsia" w:ascii="宋体" w:hAnsi="宋体" w:cs="宋体"/>
                <w:color w:val="auto"/>
                <w:sz w:val="24"/>
                <w:szCs w:val="21"/>
                <w:lang w:val="en-US" w:eastAsia="zh-CN"/>
              </w:rPr>
              <w:t>）</w:t>
            </w:r>
            <w:r>
              <w:rPr>
                <w:rFonts w:hint="eastAsia" w:ascii="宋体" w:hAnsi="宋体" w:eastAsia="宋体" w:cs="宋体"/>
                <w:color w:val="auto"/>
                <w:sz w:val="24"/>
                <w:szCs w:val="21"/>
                <w:lang w:val="en-US" w:eastAsia="zh-CN"/>
              </w:rPr>
              <w:t>进行类比监测</w:t>
            </w:r>
            <w:r>
              <w:rPr>
                <w:rFonts w:hint="eastAsia" w:ascii="宋体" w:hAnsi="宋体" w:eastAsia="宋体" w:cs="宋体"/>
                <w:color w:val="auto"/>
                <w:sz w:val="24"/>
                <w:szCs w:val="21"/>
                <w:highlight w:val="none"/>
              </w:rPr>
              <w:t>，类比线路与本</w:t>
            </w:r>
            <w:r>
              <w:rPr>
                <w:rFonts w:hint="eastAsia" w:ascii="宋体" w:hAnsi="宋体" w:eastAsia="宋体" w:cs="宋体"/>
                <w:color w:val="auto"/>
                <w:sz w:val="24"/>
                <w:szCs w:val="21"/>
                <w:highlight w:val="none"/>
                <w:lang w:eastAsia="zh-CN"/>
              </w:rPr>
              <w:t>项目</w:t>
            </w:r>
            <w:r>
              <w:rPr>
                <w:rFonts w:hint="eastAsia" w:ascii="宋体" w:hAnsi="宋体" w:eastAsia="宋体" w:cs="宋体"/>
                <w:color w:val="auto"/>
                <w:sz w:val="24"/>
                <w:szCs w:val="21"/>
                <w:highlight w:val="none"/>
              </w:rPr>
              <w:t>线路主要技术参数对照，见表4-</w:t>
            </w:r>
            <w:r>
              <w:rPr>
                <w:rFonts w:hint="eastAsia" w:ascii="宋体" w:hAnsi="宋体" w:cs="宋体"/>
                <w:color w:val="auto"/>
                <w:sz w:val="24"/>
                <w:szCs w:val="21"/>
                <w:highlight w:val="none"/>
                <w:lang w:val="en-US" w:eastAsia="zh-CN"/>
              </w:rPr>
              <w:t>7</w:t>
            </w:r>
            <w:r>
              <w:rPr>
                <w:rFonts w:hint="eastAsia" w:ascii="宋体" w:hAnsi="宋体" w:eastAsia="宋体" w:cs="宋体"/>
                <w:color w:val="auto"/>
                <w:sz w:val="24"/>
                <w:szCs w:val="21"/>
                <w:highlight w:val="none"/>
              </w:rPr>
              <w:t>。</w:t>
            </w:r>
          </w:p>
          <w:p w14:paraId="379CE2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Calibri" w:hAnsi="Calibri" w:eastAsia="宋体" w:cs="Calibri"/>
                <w:b/>
                <w:color w:val="auto"/>
                <w:sz w:val="24"/>
                <w:szCs w:val="21"/>
                <w:highlight w:val="none"/>
              </w:rPr>
            </w:pPr>
            <w:r>
              <w:rPr>
                <w:rFonts w:hint="eastAsia" w:ascii="宋体" w:hAnsi="宋体" w:eastAsia="宋体" w:cs="Calibri"/>
                <w:b/>
                <w:color w:val="auto"/>
                <w:sz w:val="24"/>
                <w:szCs w:val="21"/>
                <w:highlight w:val="none"/>
              </w:rPr>
              <w:t>表4</w:t>
            </w:r>
            <w:r>
              <w:rPr>
                <w:rFonts w:hint="eastAsia" w:ascii="宋体" w:hAnsi="宋体" w:eastAsia="宋体" w:cs="Calibri"/>
                <w:b/>
                <w:color w:val="auto"/>
                <w:sz w:val="24"/>
                <w:szCs w:val="21"/>
                <w:highlight w:val="none"/>
                <w:lang w:val="en-US" w:eastAsia="zh-CN"/>
              </w:rPr>
              <w:t>-</w:t>
            </w:r>
            <w:r>
              <w:rPr>
                <w:rFonts w:hint="eastAsia" w:ascii="宋体" w:hAnsi="宋体" w:cs="Calibri"/>
                <w:b/>
                <w:color w:val="auto"/>
                <w:sz w:val="24"/>
                <w:szCs w:val="21"/>
                <w:highlight w:val="none"/>
                <w:lang w:val="en-US" w:eastAsia="zh-CN"/>
              </w:rPr>
              <w:t xml:space="preserve">7    </w:t>
            </w:r>
            <w:r>
              <w:rPr>
                <w:rFonts w:hint="eastAsia" w:ascii="宋体" w:hAnsi="宋体" w:eastAsia="宋体" w:cs="Calibri"/>
                <w:b/>
                <w:color w:val="auto"/>
                <w:sz w:val="24"/>
                <w:szCs w:val="21"/>
                <w:highlight w:val="none"/>
              </w:rPr>
              <w:t>主要技术指标对照表</w:t>
            </w:r>
          </w:p>
          <w:tbl>
            <w:tblPr>
              <w:tblStyle w:val="32"/>
              <w:tblW w:w="775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60"/>
              <w:gridCol w:w="3172"/>
              <w:gridCol w:w="2719"/>
            </w:tblGrid>
            <w:tr w14:paraId="27181D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860" w:type="dxa"/>
                  <w:tcBorders>
                    <w:top w:val="single" w:color="auto" w:sz="12" w:space="0"/>
                    <w:left w:val="single" w:color="auto" w:sz="12" w:space="0"/>
                    <w:bottom w:val="single" w:color="auto" w:sz="6" w:space="0"/>
                    <w:right w:val="single" w:color="auto" w:sz="6" w:space="0"/>
                  </w:tcBorders>
                  <w:noWrap w:val="0"/>
                  <w:vAlign w:val="center"/>
                </w:tcPr>
                <w:p w14:paraId="12C84300">
                  <w:pPr>
                    <w:keepNext w:val="0"/>
                    <w:keepLines w:val="0"/>
                    <w:suppressLineNumbers w:val="0"/>
                    <w:spacing w:before="48" w:beforeLines="20" w:beforeAutospacing="0" w:after="48" w:afterLines="20" w:afterAutospacing="0"/>
                    <w:ind w:left="0" w:right="0"/>
                    <w:jc w:val="center"/>
                    <w:rPr>
                      <w:rFonts w:hint="default" w:ascii="宋体" w:hAnsi="宋体" w:eastAsia="宋体" w:cs="Calibri"/>
                      <w:b/>
                      <w:color w:val="auto"/>
                      <w:szCs w:val="21"/>
                      <w:highlight w:val="none"/>
                    </w:rPr>
                  </w:pPr>
                  <w:r>
                    <w:rPr>
                      <w:rFonts w:hint="eastAsia" w:ascii="宋体" w:hAnsi="宋体" w:eastAsia="宋体" w:cs="Calibri"/>
                      <w:b/>
                      <w:color w:val="auto"/>
                      <w:szCs w:val="21"/>
                      <w:highlight w:val="none"/>
                    </w:rPr>
                    <w:t>主要指标</w:t>
                  </w:r>
                </w:p>
              </w:tc>
              <w:tc>
                <w:tcPr>
                  <w:tcW w:w="3172" w:type="dxa"/>
                  <w:tcBorders>
                    <w:top w:val="single" w:color="auto" w:sz="12" w:space="0"/>
                    <w:left w:val="single" w:color="auto" w:sz="6" w:space="0"/>
                    <w:bottom w:val="single" w:color="auto" w:sz="6" w:space="0"/>
                    <w:right w:val="single" w:color="auto" w:sz="6" w:space="0"/>
                  </w:tcBorders>
                  <w:noWrap w:val="0"/>
                  <w:vAlign w:val="center"/>
                </w:tcPr>
                <w:p w14:paraId="0C2C7BDA">
                  <w:pPr>
                    <w:keepNext w:val="0"/>
                    <w:keepLines w:val="0"/>
                    <w:suppressLineNumbers w:val="0"/>
                    <w:spacing w:before="0" w:beforeAutospacing="0" w:after="0" w:afterAutospacing="0"/>
                    <w:ind w:left="0" w:right="0"/>
                    <w:jc w:val="center"/>
                    <w:rPr>
                      <w:rFonts w:hint="default" w:ascii="宋体" w:hAnsi="宋体" w:eastAsia="宋体" w:cs="Calibri"/>
                      <w:b/>
                      <w:color w:val="auto"/>
                      <w:szCs w:val="21"/>
                      <w:highlight w:val="none"/>
                    </w:rPr>
                  </w:pPr>
                  <w:r>
                    <w:rPr>
                      <w:rFonts w:hint="eastAsia" w:ascii="宋体" w:hAnsi="宋体" w:eastAsia="宋体" w:cs="宋体"/>
                      <w:b/>
                      <w:color w:val="auto"/>
                      <w:szCs w:val="21"/>
                      <w:highlight w:val="none"/>
                    </w:rPr>
                    <w:t>220kV钛镁线、银钛Ⅱ线</w:t>
                  </w:r>
                </w:p>
              </w:tc>
              <w:tc>
                <w:tcPr>
                  <w:tcW w:w="2719" w:type="dxa"/>
                  <w:tcBorders>
                    <w:top w:val="single" w:color="auto" w:sz="12" w:space="0"/>
                    <w:left w:val="single" w:color="auto" w:sz="6" w:space="0"/>
                    <w:bottom w:val="single" w:color="auto" w:sz="6" w:space="0"/>
                    <w:right w:val="single" w:color="auto" w:sz="12" w:space="0"/>
                  </w:tcBorders>
                  <w:noWrap w:val="0"/>
                  <w:vAlign w:val="center"/>
                </w:tcPr>
                <w:p w14:paraId="25C06D8E">
                  <w:pPr>
                    <w:keepNext w:val="0"/>
                    <w:keepLines w:val="0"/>
                    <w:suppressLineNumbers w:val="0"/>
                    <w:spacing w:before="0" w:beforeAutospacing="0" w:after="0" w:afterAutospacing="0"/>
                    <w:ind w:left="0" w:right="0"/>
                    <w:jc w:val="center"/>
                    <w:rPr>
                      <w:rFonts w:hint="default" w:ascii="宋体" w:hAnsi="宋体" w:eastAsia="宋体" w:cs="Calibri"/>
                      <w:b/>
                      <w:color w:val="auto"/>
                      <w:szCs w:val="21"/>
                      <w:highlight w:val="none"/>
                    </w:rPr>
                  </w:pPr>
                  <w:r>
                    <w:rPr>
                      <w:rFonts w:hint="eastAsia" w:ascii="宋体" w:hAnsi="宋体" w:eastAsia="宋体" w:cs="Calibri"/>
                      <w:b/>
                      <w:color w:val="auto"/>
                      <w:szCs w:val="21"/>
                      <w:highlight w:val="none"/>
                    </w:rPr>
                    <w:t>本</w:t>
                  </w:r>
                  <w:r>
                    <w:rPr>
                      <w:rFonts w:hint="eastAsia" w:ascii="宋体" w:hAnsi="宋体" w:eastAsia="宋体" w:cs="Calibri"/>
                      <w:b/>
                      <w:color w:val="auto"/>
                      <w:szCs w:val="21"/>
                      <w:highlight w:val="none"/>
                      <w:lang w:eastAsia="zh-CN"/>
                    </w:rPr>
                    <w:t>项目</w:t>
                  </w:r>
                  <w:r>
                    <w:rPr>
                      <w:rFonts w:hint="eastAsia" w:ascii="宋体" w:hAnsi="宋体" w:cs="Calibri"/>
                      <w:b/>
                      <w:color w:val="auto"/>
                      <w:szCs w:val="21"/>
                      <w:highlight w:val="none"/>
                      <w:lang w:val="en-US" w:eastAsia="zh-CN"/>
                    </w:rPr>
                    <w:t>同塔</w:t>
                  </w:r>
                  <w:r>
                    <w:rPr>
                      <w:rFonts w:hint="eastAsia" w:ascii="宋体" w:hAnsi="宋体" w:eastAsia="宋体" w:cs="Calibri"/>
                      <w:b/>
                      <w:color w:val="auto"/>
                      <w:szCs w:val="21"/>
                      <w:highlight w:val="none"/>
                    </w:rPr>
                    <w:t>双回线路</w:t>
                  </w:r>
                </w:p>
              </w:tc>
            </w:tr>
            <w:tr w14:paraId="3A19CF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860" w:type="dxa"/>
                  <w:tcBorders>
                    <w:top w:val="single" w:color="auto" w:sz="6" w:space="0"/>
                    <w:left w:val="single" w:color="auto" w:sz="12" w:space="0"/>
                    <w:bottom w:val="single" w:color="auto" w:sz="6" w:space="0"/>
                    <w:right w:val="single" w:color="auto" w:sz="6" w:space="0"/>
                  </w:tcBorders>
                  <w:noWrap w:val="0"/>
                  <w:vAlign w:val="center"/>
                </w:tcPr>
                <w:p w14:paraId="5C742C18">
                  <w:pPr>
                    <w:keepNext w:val="0"/>
                    <w:keepLines w:val="0"/>
                    <w:suppressLineNumbers w:val="0"/>
                    <w:spacing w:before="48" w:beforeLines="20" w:beforeAutospacing="0" w:after="48" w:afterLines="20" w:afterAutospacing="0"/>
                    <w:ind w:left="0" w:right="0"/>
                    <w:jc w:val="center"/>
                    <w:rPr>
                      <w:rFonts w:hint="default" w:ascii="宋体" w:hAnsi="宋体" w:eastAsia="宋体" w:cs="Calibri"/>
                      <w:color w:val="auto"/>
                      <w:szCs w:val="21"/>
                      <w:highlight w:val="none"/>
                    </w:rPr>
                  </w:pPr>
                  <w:r>
                    <w:rPr>
                      <w:rFonts w:hint="eastAsia" w:ascii="宋体" w:hAnsi="宋体" w:eastAsia="宋体" w:cs="Calibri"/>
                      <w:color w:val="auto"/>
                      <w:szCs w:val="21"/>
                      <w:highlight w:val="none"/>
                    </w:rPr>
                    <w:t>电压等级</w:t>
                  </w:r>
                </w:p>
              </w:tc>
              <w:tc>
                <w:tcPr>
                  <w:tcW w:w="3172" w:type="dxa"/>
                  <w:tcBorders>
                    <w:top w:val="single" w:color="auto" w:sz="6" w:space="0"/>
                    <w:left w:val="single" w:color="auto" w:sz="6" w:space="0"/>
                    <w:bottom w:val="single" w:color="auto" w:sz="6" w:space="0"/>
                    <w:right w:val="single" w:color="auto" w:sz="6" w:space="0"/>
                  </w:tcBorders>
                  <w:noWrap w:val="0"/>
                  <w:vAlign w:val="center"/>
                </w:tcPr>
                <w:p w14:paraId="5B77D577">
                  <w:pPr>
                    <w:keepNext w:val="0"/>
                    <w:keepLines w:val="0"/>
                    <w:suppressLineNumbers w:val="0"/>
                    <w:spacing w:before="0" w:beforeAutospacing="0" w:after="0" w:afterAutospacing="0"/>
                    <w:ind w:left="0" w:right="0"/>
                    <w:jc w:val="center"/>
                    <w:rPr>
                      <w:rFonts w:hint="eastAsia" w:ascii="宋体" w:hAnsi="宋体" w:eastAsia="宋体" w:cs="Calibri"/>
                      <w:color w:val="auto"/>
                      <w:szCs w:val="21"/>
                      <w:highlight w:val="none"/>
                      <w:lang w:eastAsia="zh-CN"/>
                    </w:rPr>
                  </w:pPr>
                  <w:r>
                    <w:rPr>
                      <w:rFonts w:hint="eastAsia" w:ascii="宋体" w:hAnsi="宋体" w:eastAsia="宋体" w:cs="Calibri"/>
                      <w:color w:val="auto"/>
                      <w:szCs w:val="21"/>
                      <w:highlight w:val="none"/>
                    </w:rPr>
                    <w:t>220</w:t>
                  </w:r>
                  <w:r>
                    <w:rPr>
                      <w:rFonts w:hint="eastAsia" w:ascii="宋体" w:hAnsi="宋体" w:eastAsia="宋体" w:cs="Calibri"/>
                      <w:color w:val="auto"/>
                      <w:szCs w:val="21"/>
                      <w:highlight w:val="none"/>
                      <w:lang w:eastAsia="zh-CN"/>
                    </w:rPr>
                    <w:t>kV</w:t>
                  </w:r>
                </w:p>
              </w:tc>
              <w:tc>
                <w:tcPr>
                  <w:tcW w:w="2719" w:type="dxa"/>
                  <w:tcBorders>
                    <w:top w:val="single" w:color="auto" w:sz="6" w:space="0"/>
                    <w:left w:val="single" w:color="auto" w:sz="6" w:space="0"/>
                    <w:bottom w:val="single" w:color="auto" w:sz="6" w:space="0"/>
                    <w:right w:val="single" w:color="auto" w:sz="12" w:space="0"/>
                  </w:tcBorders>
                  <w:noWrap w:val="0"/>
                  <w:vAlign w:val="center"/>
                </w:tcPr>
                <w:p w14:paraId="31BEC505">
                  <w:pPr>
                    <w:keepNext w:val="0"/>
                    <w:keepLines w:val="0"/>
                    <w:suppressLineNumbers w:val="0"/>
                    <w:spacing w:before="0" w:beforeAutospacing="0" w:after="0" w:afterAutospacing="0"/>
                    <w:ind w:left="0" w:right="0"/>
                    <w:jc w:val="center"/>
                    <w:rPr>
                      <w:rFonts w:hint="eastAsia" w:ascii="宋体" w:hAnsi="宋体" w:eastAsia="宋体" w:cs="Calibri"/>
                      <w:color w:val="auto"/>
                      <w:szCs w:val="21"/>
                      <w:highlight w:val="none"/>
                      <w:lang w:eastAsia="zh-CN"/>
                    </w:rPr>
                  </w:pPr>
                  <w:r>
                    <w:rPr>
                      <w:rFonts w:hint="eastAsia" w:ascii="宋体" w:hAnsi="宋体" w:eastAsia="宋体" w:cs="Calibri"/>
                      <w:color w:val="auto"/>
                      <w:szCs w:val="21"/>
                      <w:highlight w:val="none"/>
                    </w:rPr>
                    <w:t>220</w:t>
                  </w:r>
                  <w:r>
                    <w:rPr>
                      <w:rFonts w:hint="eastAsia" w:ascii="宋体" w:hAnsi="宋体" w:eastAsia="宋体" w:cs="Calibri"/>
                      <w:color w:val="auto"/>
                      <w:szCs w:val="21"/>
                      <w:highlight w:val="none"/>
                      <w:lang w:eastAsia="zh-CN"/>
                    </w:rPr>
                    <w:t>kV</w:t>
                  </w:r>
                </w:p>
              </w:tc>
            </w:tr>
            <w:tr w14:paraId="0D4E92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860" w:type="dxa"/>
                  <w:tcBorders>
                    <w:top w:val="single" w:color="auto" w:sz="6" w:space="0"/>
                    <w:left w:val="single" w:color="auto" w:sz="12" w:space="0"/>
                    <w:bottom w:val="single" w:color="auto" w:sz="6" w:space="0"/>
                    <w:right w:val="single" w:color="auto" w:sz="6" w:space="0"/>
                  </w:tcBorders>
                  <w:noWrap w:val="0"/>
                  <w:vAlign w:val="center"/>
                </w:tcPr>
                <w:p w14:paraId="63BBB669">
                  <w:pPr>
                    <w:keepNext w:val="0"/>
                    <w:keepLines w:val="0"/>
                    <w:suppressLineNumbers w:val="0"/>
                    <w:spacing w:before="48" w:beforeLines="20" w:beforeAutospacing="0" w:after="48" w:afterLines="20" w:afterAutospacing="0"/>
                    <w:ind w:left="0" w:right="0"/>
                    <w:jc w:val="center"/>
                    <w:rPr>
                      <w:rFonts w:hint="default" w:ascii="宋体" w:hAnsi="宋体" w:eastAsia="宋体" w:cs="Calibri"/>
                      <w:color w:val="auto"/>
                      <w:szCs w:val="21"/>
                      <w:highlight w:val="none"/>
                    </w:rPr>
                  </w:pPr>
                  <w:r>
                    <w:rPr>
                      <w:rFonts w:hint="eastAsia" w:ascii="宋体" w:hAnsi="宋体" w:eastAsia="宋体" w:cs="Calibri"/>
                      <w:color w:val="auto"/>
                      <w:szCs w:val="21"/>
                      <w:highlight w:val="none"/>
                    </w:rPr>
                    <w:t>架设</w:t>
                  </w:r>
                  <w:r>
                    <w:rPr>
                      <w:rFonts w:hint="eastAsia" w:ascii="宋体" w:hAnsi="宋体" w:eastAsia="宋体" w:cs="Calibri"/>
                      <w:color w:val="auto"/>
                      <w:szCs w:val="21"/>
                      <w:highlight w:val="none"/>
                      <w:lang w:val="en-US" w:eastAsia="zh-CN"/>
                    </w:rPr>
                    <w:t>及排列</w:t>
                  </w:r>
                  <w:r>
                    <w:rPr>
                      <w:rFonts w:hint="eastAsia" w:ascii="宋体" w:hAnsi="宋体" w:eastAsia="宋体" w:cs="Calibri"/>
                      <w:color w:val="auto"/>
                      <w:szCs w:val="21"/>
                      <w:highlight w:val="none"/>
                    </w:rPr>
                    <w:t>方式</w:t>
                  </w:r>
                </w:p>
              </w:tc>
              <w:tc>
                <w:tcPr>
                  <w:tcW w:w="3172" w:type="dxa"/>
                  <w:tcBorders>
                    <w:top w:val="single" w:color="auto" w:sz="6" w:space="0"/>
                    <w:left w:val="single" w:color="auto" w:sz="6" w:space="0"/>
                    <w:bottom w:val="single" w:color="auto" w:sz="6" w:space="0"/>
                    <w:right w:val="single" w:color="auto" w:sz="6" w:space="0"/>
                  </w:tcBorders>
                  <w:noWrap w:val="0"/>
                  <w:vAlign w:val="center"/>
                </w:tcPr>
                <w:p w14:paraId="33FD0FA4">
                  <w:pPr>
                    <w:keepNext w:val="0"/>
                    <w:keepLines w:val="0"/>
                    <w:suppressLineNumbers w:val="0"/>
                    <w:spacing w:before="0" w:beforeAutospacing="0" w:after="0" w:afterAutospacing="0"/>
                    <w:ind w:left="0" w:right="0"/>
                    <w:jc w:val="center"/>
                    <w:rPr>
                      <w:rFonts w:hint="default" w:ascii="宋体" w:hAnsi="宋体" w:eastAsia="宋体" w:cs="Calibri"/>
                      <w:color w:val="auto"/>
                      <w:szCs w:val="21"/>
                      <w:highlight w:val="none"/>
                    </w:rPr>
                  </w:pPr>
                  <w:r>
                    <w:rPr>
                      <w:rFonts w:hint="eastAsia" w:ascii="宋体" w:hAnsi="宋体" w:eastAsia="宋体" w:cs="Calibri"/>
                      <w:color w:val="auto"/>
                      <w:szCs w:val="21"/>
                    </w:rPr>
                    <w:t>架空同塔双回</w:t>
                  </w:r>
                </w:p>
              </w:tc>
              <w:tc>
                <w:tcPr>
                  <w:tcW w:w="2719" w:type="dxa"/>
                  <w:tcBorders>
                    <w:top w:val="single" w:color="auto" w:sz="6" w:space="0"/>
                    <w:left w:val="single" w:color="auto" w:sz="6" w:space="0"/>
                    <w:bottom w:val="single" w:color="auto" w:sz="6" w:space="0"/>
                    <w:right w:val="single" w:color="auto" w:sz="12" w:space="0"/>
                  </w:tcBorders>
                  <w:noWrap w:val="0"/>
                  <w:vAlign w:val="center"/>
                </w:tcPr>
                <w:p w14:paraId="64BC5F2B">
                  <w:pPr>
                    <w:keepNext w:val="0"/>
                    <w:keepLines w:val="0"/>
                    <w:suppressLineNumbers w:val="0"/>
                    <w:spacing w:before="0" w:beforeAutospacing="0" w:after="0" w:afterAutospacing="0"/>
                    <w:ind w:left="0" w:right="0"/>
                    <w:jc w:val="center"/>
                    <w:rPr>
                      <w:rFonts w:hint="eastAsia" w:ascii="宋体" w:hAnsi="宋体" w:eastAsia="宋体" w:cs="Calibri"/>
                      <w:color w:val="0000FF"/>
                      <w:szCs w:val="21"/>
                      <w:highlight w:val="none"/>
                      <w:lang w:val="en-US" w:eastAsia="zh-CN"/>
                    </w:rPr>
                  </w:pPr>
                  <w:r>
                    <w:rPr>
                      <w:rFonts w:hint="eastAsia" w:ascii="宋体" w:hAnsi="宋体" w:eastAsia="宋体" w:cs="Calibri"/>
                      <w:color w:val="auto"/>
                      <w:szCs w:val="21"/>
                      <w:highlight w:val="none"/>
                    </w:rPr>
                    <w:t>架空同塔双回</w:t>
                  </w:r>
                </w:p>
              </w:tc>
            </w:tr>
            <w:tr w14:paraId="011C91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860" w:type="dxa"/>
                  <w:tcBorders>
                    <w:top w:val="single" w:color="auto" w:sz="6" w:space="0"/>
                    <w:left w:val="single" w:color="auto" w:sz="12" w:space="0"/>
                    <w:bottom w:val="single" w:color="auto" w:sz="6" w:space="0"/>
                    <w:right w:val="single" w:color="auto" w:sz="6" w:space="0"/>
                  </w:tcBorders>
                  <w:noWrap w:val="0"/>
                  <w:vAlign w:val="center"/>
                </w:tcPr>
                <w:p w14:paraId="389CB586">
                  <w:pPr>
                    <w:keepNext w:val="0"/>
                    <w:keepLines w:val="0"/>
                    <w:suppressLineNumbers w:val="0"/>
                    <w:spacing w:before="48" w:beforeLines="20" w:beforeAutospacing="0" w:after="48" w:afterLines="20" w:afterAutospacing="0"/>
                    <w:ind w:left="0" w:right="0"/>
                    <w:jc w:val="center"/>
                    <w:rPr>
                      <w:rFonts w:hint="default" w:ascii="宋体" w:hAnsi="宋体" w:eastAsia="宋体" w:cs="Calibri"/>
                      <w:color w:val="auto"/>
                      <w:szCs w:val="21"/>
                      <w:highlight w:val="none"/>
                    </w:rPr>
                  </w:pPr>
                  <w:r>
                    <w:rPr>
                      <w:rFonts w:hint="eastAsia" w:ascii="宋体" w:hAnsi="宋体" w:eastAsia="宋体" w:cs="Calibri"/>
                      <w:color w:val="auto"/>
                      <w:szCs w:val="21"/>
                      <w:highlight w:val="none"/>
                    </w:rPr>
                    <w:t>导线型号</w:t>
                  </w:r>
                </w:p>
              </w:tc>
              <w:tc>
                <w:tcPr>
                  <w:tcW w:w="3172" w:type="dxa"/>
                  <w:tcBorders>
                    <w:top w:val="single" w:color="auto" w:sz="6" w:space="0"/>
                    <w:left w:val="single" w:color="auto" w:sz="6" w:space="0"/>
                    <w:bottom w:val="single" w:color="auto" w:sz="6" w:space="0"/>
                    <w:right w:val="single" w:color="auto" w:sz="6" w:space="0"/>
                  </w:tcBorders>
                  <w:noWrap w:val="0"/>
                  <w:vAlign w:val="center"/>
                </w:tcPr>
                <w:p w14:paraId="1925071B">
                  <w:pPr>
                    <w:keepNext w:val="0"/>
                    <w:keepLines w:val="0"/>
                    <w:suppressLineNumbers w:val="0"/>
                    <w:spacing w:before="0" w:beforeAutospacing="0" w:after="0" w:afterAutospacing="0"/>
                    <w:ind w:left="0" w:right="0"/>
                    <w:jc w:val="center"/>
                    <w:rPr>
                      <w:rFonts w:hint="default" w:ascii="宋体" w:hAnsi="宋体" w:eastAsia="宋体" w:cs="Calibri"/>
                      <w:color w:val="auto"/>
                      <w:szCs w:val="21"/>
                      <w:highlight w:val="none"/>
                    </w:rPr>
                  </w:pPr>
                  <w:r>
                    <w:rPr>
                      <w:rFonts w:hint="eastAsia" w:ascii="宋体" w:hAnsi="宋体" w:eastAsia="宋体" w:cs="宋体"/>
                      <w:color w:val="auto"/>
                      <w:szCs w:val="21"/>
                      <w:highlight w:val="none"/>
                    </w:rPr>
                    <w:t>2×JL/G1A-400/35</w:t>
                  </w:r>
                </w:p>
              </w:tc>
              <w:tc>
                <w:tcPr>
                  <w:tcW w:w="2719" w:type="dxa"/>
                  <w:tcBorders>
                    <w:top w:val="single" w:color="auto" w:sz="6" w:space="0"/>
                    <w:left w:val="single" w:color="auto" w:sz="6" w:space="0"/>
                    <w:bottom w:val="single" w:color="auto" w:sz="6" w:space="0"/>
                    <w:right w:val="single" w:color="auto" w:sz="12" w:space="0"/>
                  </w:tcBorders>
                  <w:noWrap w:val="0"/>
                  <w:vAlign w:val="center"/>
                </w:tcPr>
                <w:p w14:paraId="4BFF054A">
                  <w:pPr>
                    <w:keepNext w:val="0"/>
                    <w:keepLines w:val="0"/>
                    <w:suppressLineNumbers w:val="0"/>
                    <w:spacing w:before="0" w:beforeAutospacing="0" w:after="0" w:afterAutospacing="0"/>
                    <w:ind w:left="0" w:right="0"/>
                    <w:jc w:val="center"/>
                    <w:rPr>
                      <w:rFonts w:hint="default" w:ascii="宋体" w:hAnsi="宋体" w:eastAsia="宋体" w:cs="Calibri"/>
                      <w:color w:val="0000FF"/>
                      <w:szCs w:val="21"/>
                      <w:highlight w:val="yellow"/>
                    </w:rPr>
                  </w:pPr>
                  <w:r>
                    <w:rPr>
                      <w:rFonts w:hint="eastAsia" w:ascii="宋体" w:hAnsi="宋体" w:eastAsia="宋体" w:cs="宋体"/>
                      <w:color w:val="auto"/>
                      <w:sz w:val="21"/>
                      <w:szCs w:val="21"/>
                      <w:highlight w:val="none"/>
                      <w:lang w:val="en-US" w:eastAsia="zh-CN"/>
                    </w:rPr>
                    <w:t>2×JL</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/G1A-</w:t>
                  </w:r>
                  <w:r>
                    <w:rPr>
                      <w:rFonts w:hint="eastAsia" w:ascii="宋体" w:hAnsi="宋体" w:cs="宋体"/>
                      <w:color w:val="auto"/>
                      <w:sz w:val="21"/>
                      <w:szCs w:val="21"/>
                      <w:highlight w:val="none"/>
                      <w:lang w:val="en-US" w:eastAsia="zh-CN"/>
                    </w:rPr>
                    <w:t>63</w:t>
                  </w:r>
                  <w:r>
                    <w:rPr>
                      <w:rFonts w:hint="eastAsia" w:ascii="宋体" w:hAnsi="宋体" w:eastAsia="宋体" w:cs="宋体"/>
                      <w:color w:val="auto"/>
                      <w:sz w:val="21"/>
                      <w:szCs w:val="21"/>
                      <w:highlight w:val="none"/>
                      <w:lang w:val="en-US" w:eastAsia="zh-CN"/>
                    </w:rPr>
                    <w:t>0/</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5</w:t>
                  </w:r>
                </w:p>
              </w:tc>
            </w:tr>
            <w:tr w14:paraId="1B5F65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860" w:type="dxa"/>
                  <w:tcBorders>
                    <w:top w:val="single" w:color="auto" w:sz="6" w:space="0"/>
                    <w:left w:val="single" w:color="auto" w:sz="12" w:space="0"/>
                    <w:bottom w:val="single" w:color="auto" w:sz="6" w:space="0"/>
                    <w:right w:val="single" w:color="auto" w:sz="6" w:space="0"/>
                  </w:tcBorders>
                  <w:noWrap w:val="0"/>
                  <w:vAlign w:val="center"/>
                </w:tcPr>
                <w:p w14:paraId="6276D31C">
                  <w:pPr>
                    <w:keepNext w:val="0"/>
                    <w:keepLines w:val="0"/>
                    <w:suppressLineNumbers w:val="0"/>
                    <w:spacing w:before="48" w:beforeLines="20" w:beforeAutospacing="0" w:after="48" w:afterLines="20" w:afterAutospacing="0"/>
                    <w:ind w:left="0" w:right="0"/>
                    <w:jc w:val="center"/>
                    <w:rPr>
                      <w:rFonts w:hint="eastAsia" w:ascii="宋体" w:hAnsi="宋体" w:eastAsia="宋体" w:cs="Calibri"/>
                      <w:color w:val="auto"/>
                      <w:szCs w:val="21"/>
                      <w:highlight w:val="none"/>
                      <w:lang w:eastAsia="zh-CN"/>
                    </w:rPr>
                  </w:pPr>
                  <w:r>
                    <w:rPr>
                      <w:rFonts w:hint="eastAsia" w:ascii="宋体" w:hAnsi="宋体" w:eastAsia="宋体" w:cs="Calibri"/>
                      <w:color w:val="auto"/>
                      <w:szCs w:val="21"/>
                      <w:highlight w:val="none"/>
                      <w:lang w:eastAsia="zh-CN"/>
                    </w:rPr>
                    <w:t>分裂方式</w:t>
                  </w:r>
                </w:p>
              </w:tc>
              <w:tc>
                <w:tcPr>
                  <w:tcW w:w="3172" w:type="dxa"/>
                  <w:tcBorders>
                    <w:top w:val="single" w:color="auto" w:sz="6" w:space="0"/>
                    <w:left w:val="single" w:color="auto" w:sz="6" w:space="0"/>
                    <w:bottom w:val="single" w:color="auto" w:sz="6" w:space="0"/>
                    <w:right w:val="single" w:color="auto" w:sz="6" w:space="0"/>
                  </w:tcBorders>
                  <w:noWrap w:val="0"/>
                  <w:vAlign w:val="center"/>
                </w:tcPr>
                <w:p w14:paraId="6067F424">
                  <w:pPr>
                    <w:keepNext w:val="0"/>
                    <w:keepLines w:val="0"/>
                    <w:suppressLineNumbers w:val="0"/>
                    <w:spacing w:before="0" w:beforeAutospacing="0" w:after="0" w:afterAutospacing="0"/>
                    <w:ind w:left="0" w:right="0"/>
                    <w:jc w:val="center"/>
                    <w:rPr>
                      <w:rFonts w:hint="eastAsia" w:ascii="宋体" w:hAnsi="宋体" w:eastAsia="宋体" w:cs="Calibri"/>
                      <w:color w:val="auto"/>
                      <w:szCs w:val="21"/>
                      <w:highlight w:val="none"/>
                      <w:lang w:val="en-US" w:eastAsia="zh-CN"/>
                    </w:rPr>
                  </w:pPr>
                  <w:r>
                    <w:rPr>
                      <w:rFonts w:hint="eastAsia" w:ascii="宋体" w:hAnsi="宋体" w:eastAsia="宋体" w:cs="Calibri"/>
                      <w:color w:val="auto"/>
                      <w:szCs w:val="21"/>
                      <w:highlight w:val="none"/>
                      <w:lang w:val="en-US" w:eastAsia="zh-CN"/>
                    </w:rPr>
                    <w:t>双分裂</w:t>
                  </w:r>
                </w:p>
              </w:tc>
              <w:tc>
                <w:tcPr>
                  <w:tcW w:w="2719" w:type="dxa"/>
                  <w:tcBorders>
                    <w:top w:val="single" w:color="auto" w:sz="6" w:space="0"/>
                    <w:left w:val="single" w:color="auto" w:sz="6" w:space="0"/>
                    <w:bottom w:val="single" w:color="auto" w:sz="6" w:space="0"/>
                    <w:right w:val="single" w:color="auto" w:sz="12" w:space="0"/>
                  </w:tcBorders>
                  <w:noWrap w:val="0"/>
                  <w:vAlign w:val="center"/>
                </w:tcPr>
                <w:p w14:paraId="3EADCA20">
                  <w:pPr>
                    <w:keepNext w:val="0"/>
                    <w:keepLines w:val="0"/>
                    <w:suppressLineNumbers w:val="0"/>
                    <w:spacing w:before="0" w:beforeAutospacing="0" w:after="0" w:afterAutospacing="0"/>
                    <w:ind w:left="0" w:right="0"/>
                    <w:jc w:val="center"/>
                    <w:rPr>
                      <w:rFonts w:hint="default" w:ascii="宋体" w:hAnsi="宋体" w:eastAsia="宋体" w:cs="Calibri"/>
                      <w:color w:val="auto"/>
                      <w:szCs w:val="21"/>
                      <w:highlight w:val="yellow"/>
                      <w:lang w:val="en-US"/>
                    </w:rPr>
                  </w:pPr>
                  <w:r>
                    <w:rPr>
                      <w:rFonts w:hint="eastAsia" w:ascii="宋体" w:hAnsi="宋体" w:eastAsia="宋体" w:cs="Calibri"/>
                      <w:color w:val="auto"/>
                      <w:szCs w:val="21"/>
                      <w:highlight w:val="none"/>
                      <w:lang w:val="en-US" w:eastAsia="zh-CN"/>
                    </w:rPr>
                    <w:t>双分裂</w:t>
                  </w:r>
                </w:p>
              </w:tc>
            </w:tr>
            <w:tr w14:paraId="254C7B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860" w:type="dxa"/>
                  <w:tcBorders>
                    <w:top w:val="single" w:color="auto" w:sz="6" w:space="0"/>
                    <w:left w:val="single" w:color="auto" w:sz="12" w:space="0"/>
                    <w:bottom w:val="single" w:color="auto" w:sz="6" w:space="0"/>
                    <w:right w:val="single" w:color="auto" w:sz="6" w:space="0"/>
                  </w:tcBorders>
                  <w:noWrap w:val="0"/>
                  <w:vAlign w:val="center"/>
                </w:tcPr>
                <w:p w14:paraId="7F0DB359">
                  <w:pPr>
                    <w:keepNext w:val="0"/>
                    <w:keepLines w:val="0"/>
                    <w:suppressLineNumbers w:val="0"/>
                    <w:spacing w:before="48" w:beforeLines="20" w:beforeAutospacing="0" w:after="48" w:afterLines="20" w:afterAutospacing="0"/>
                    <w:ind w:left="0" w:right="0"/>
                    <w:jc w:val="center"/>
                    <w:rPr>
                      <w:rFonts w:hint="default" w:ascii="宋体" w:hAnsi="宋体" w:eastAsia="宋体" w:cs="Calibri"/>
                      <w:color w:val="auto"/>
                      <w:szCs w:val="21"/>
                      <w:highlight w:val="none"/>
                      <w:lang w:val="en-US" w:eastAsia="zh-CN"/>
                    </w:rPr>
                  </w:pPr>
                  <w:r>
                    <w:rPr>
                      <w:rFonts w:hint="eastAsia" w:ascii="宋体" w:hAnsi="宋体" w:eastAsia="宋体" w:cs="Calibri"/>
                      <w:color w:val="auto"/>
                      <w:szCs w:val="21"/>
                      <w:highlight w:val="none"/>
                      <w:lang w:val="en-US" w:eastAsia="zh-CN"/>
                    </w:rPr>
                    <w:t>分</w:t>
                  </w:r>
                  <w:r>
                    <w:rPr>
                      <w:rFonts w:hint="eastAsia" w:ascii="宋体" w:hAnsi="宋体" w:eastAsia="宋体" w:cs="Calibri"/>
                      <w:color w:val="auto"/>
                      <w:szCs w:val="21"/>
                      <w:highlight w:val="none"/>
                      <w:lang w:eastAsia="zh-CN"/>
                    </w:rPr>
                    <w:t>裂</w:t>
                  </w:r>
                  <w:r>
                    <w:rPr>
                      <w:rFonts w:hint="eastAsia" w:ascii="宋体" w:hAnsi="宋体" w:eastAsia="宋体" w:cs="Calibri"/>
                      <w:color w:val="auto"/>
                      <w:szCs w:val="21"/>
                      <w:highlight w:val="none"/>
                      <w:lang w:val="en-US" w:eastAsia="zh-CN"/>
                    </w:rPr>
                    <w:t>间距</w:t>
                  </w:r>
                </w:p>
              </w:tc>
              <w:tc>
                <w:tcPr>
                  <w:tcW w:w="3172" w:type="dxa"/>
                  <w:tcBorders>
                    <w:top w:val="single" w:color="auto" w:sz="6" w:space="0"/>
                    <w:left w:val="single" w:color="auto" w:sz="6" w:space="0"/>
                    <w:bottom w:val="single" w:color="auto" w:sz="6" w:space="0"/>
                    <w:right w:val="single" w:color="auto" w:sz="6" w:space="0"/>
                  </w:tcBorders>
                  <w:noWrap w:val="0"/>
                  <w:vAlign w:val="center"/>
                </w:tcPr>
                <w:p w14:paraId="1076FF10">
                  <w:pPr>
                    <w:keepNext w:val="0"/>
                    <w:keepLines w:val="0"/>
                    <w:suppressLineNumbers w:val="0"/>
                    <w:spacing w:before="0" w:beforeAutospacing="0" w:after="0" w:afterAutospacing="0"/>
                    <w:ind w:left="0" w:right="0"/>
                    <w:jc w:val="center"/>
                    <w:rPr>
                      <w:rFonts w:hint="default" w:ascii="宋体" w:hAnsi="宋体" w:eastAsia="宋体" w:cs="Calibri"/>
                      <w:color w:val="auto"/>
                      <w:szCs w:val="21"/>
                      <w:highlight w:val="none"/>
                      <w:lang w:val="en-US" w:eastAsia="zh-CN"/>
                    </w:rPr>
                  </w:pPr>
                  <w:r>
                    <w:rPr>
                      <w:rFonts w:hint="eastAsia" w:ascii="宋体" w:hAnsi="宋体" w:eastAsia="宋体" w:cs="Calibri"/>
                      <w:color w:val="auto"/>
                      <w:szCs w:val="21"/>
                      <w:highlight w:val="none"/>
                      <w:lang w:val="en-US" w:eastAsia="zh-CN"/>
                    </w:rPr>
                    <w:t>400</w:t>
                  </w:r>
                  <w:r>
                    <w:rPr>
                      <w:rFonts w:hint="eastAsia" w:ascii="宋体" w:hAnsi="宋体" w:eastAsia="宋体" w:cs="Calibri"/>
                      <w:color w:val="auto"/>
                      <w:szCs w:val="21"/>
                      <w:highlight w:val="none"/>
                    </w:rPr>
                    <w:t>mm</w:t>
                  </w:r>
                </w:p>
              </w:tc>
              <w:tc>
                <w:tcPr>
                  <w:tcW w:w="2719" w:type="dxa"/>
                  <w:tcBorders>
                    <w:top w:val="single" w:color="auto" w:sz="6" w:space="0"/>
                    <w:left w:val="single" w:color="auto" w:sz="6" w:space="0"/>
                    <w:bottom w:val="single" w:color="auto" w:sz="6" w:space="0"/>
                    <w:right w:val="single" w:color="auto" w:sz="12" w:space="0"/>
                  </w:tcBorders>
                  <w:noWrap w:val="0"/>
                  <w:vAlign w:val="center"/>
                </w:tcPr>
                <w:p w14:paraId="4D1B472A">
                  <w:pPr>
                    <w:keepNext w:val="0"/>
                    <w:keepLines w:val="0"/>
                    <w:suppressLineNumbers w:val="0"/>
                    <w:spacing w:before="0" w:beforeAutospacing="0" w:after="0" w:afterAutospacing="0"/>
                    <w:ind w:left="0" w:right="0"/>
                    <w:jc w:val="center"/>
                    <w:rPr>
                      <w:rFonts w:hint="eastAsia" w:ascii="宋体" w:hAnsi="宋体" w:eastAsia="宋体" w:cs="Calibri"/>
                      <w:color w:val="auto"/>
                      <w:szCs w:val="21"/>
                      <w:highlight w:val="yellow"/>
                      <w:lang w:val="en-US" w:eastAsia="zh-CN"/>
                    </w:rPr>
                  </w:pPr>
                  <w:r>
                    <w:rPr>
                      <w:rFonts w:hint="eastAsia" w:ascii="宋体" w:hAnsi="宋体" w:cs="Calibri"/>
                      <w:i w:val="0"/>
                      <w:iCs w:val="0"/>
                      <w:color w:val="auto"/>
                      <w:szCs w:val="21"/>
                      <w:highlight w:val="none"/>
                      <w:lang w:val="en-US" w:eastAsia="zh-CN"/>
                    </w:rPr>
                    <w:t>50</w:t>
                  </w:r>
                  <w:r>
                    <w:rPr>
                      <w:rFonts w:hint="eastAsia" w:ascii="宋体" w:hAnsi="宋体" w:eastAsia="宋体" w:cs="Calibri"/>
                      <w:i w:val="0"/>
                      <w:iCs w:val="0"/>
                      <w:color w:val="auto"/>
                      <w:szCs w:val="21"/>
                      <w:highlight w:val="none"/>
                    </w:rPr>
                    <w:t>0mm</w:t>
                  </w:r>
                </w:p>
              </w:tc>
            </w:tr>
            <w:tr w14:paraId="13B470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860" w:type="dxa"/>
                  <w:tcBorders>
                    <w:top w:val="single" w:color="auto" w:sz="6" w:space="0"/>
                    <w:left w:val="single" w:color="auto" w:sz="12" w:space="0"/>
                    <w:bottom w:val="single" w:color="auto" w:sz="6" w:space="0"/>
                    <w:right w:val="single" w:color="auto" w:sz="6" w:space="0"/>
                  </w:tcBorders>
                  <w:noWrap w:val="0"/>
                  <w:vAlign w:val="center"/>
                </w:tcPr>
                <w:p w14:paraId="05E49343">
                  <w:pPr>
                    <w:keepNext w:val="0"/>
                    <w:keepLines w:val="0"/>
                    <w:suppressLineNumbers w:val="0"/>
                    <w:spacing w:before="48" w:beforeLines="20" w:beforeAutospacing="0" w:after="48" w:afterLines="20" w:afterAutospacing="0"/>
                    <w:ind w:left="0" w:right="0"/>
                    <w:jc w:val="center"/>
                    <w:rPr>
                      <w:rFonts w:hint="eastAsia" w:ascii="宋体" w:hAnsi="宋体" w:eastAsia="宋体" w:cs="Calibri"/>
                      <w:color w:val="auto"/>
                      <w:szCs w:val="21"/>
                      <w:highlight w:val="none"/>
                      <w:lang w:eastAsia="zh-CN"/>
                    </w:rPr>
                  </w:pPr>
                  <w:r>
                    <w:rPr>
                      <w:rFonts w:hint="eastAsia" w:ascii="宋体" w:hAnsi="宋体" w:eastAsia="宋体" w:cs="Calibri"/>
                      <w:color w:val="auto"/>
                      <w:szCs w:val="21"/>
                      <w:highlight w:val="none"/>
                    </w:rPr>
                    <w:t>导线</w:t>
                  </w:r>
                  <w:r>
                    <w:rPr>
                      <w:rFonts w:hint="eastAsia" w:ascii="宋体" w:hAnsi="宋体" w:eastAsia="宋体" w:cs="Calibri"/>
                      <w:color w:val="auto"/>
                      <w:szCs w:val="21"/>
                      <w:highlight w:val="none"/>
                      <w:lang w:eastAsia="zh-CN"/>
                    </w:rPr>
                    <w:t>外径</w:t>
                  </w:r>
                </w:p>
              </w:tc>
              <w:tc>
                <w:tcPr>
                  <w:tcW w:w="3172" w:type="dxa"/>
                  <w:tcBorders>
                    <w:top w:val="single" w:color="auto" w:sz="6" w:space="0"/>
                    <w:left w:val="single" w:color="auto" w:sz="6" w:space="0"/>
                    <w:bottom w:val="single" w:color="auto" w:sz="6" w:space="0"/>
                    <w:right w:val="single" w:color="auto" w:sz="6" w:space="0"/>
                  </w:tcBorders>
                  <w:noWrap w:val="0"/>
                  <w:vAlign w:val="center"/>
                </w:tcPr>
                <w:p w14:paraId="69B10D50">
                  <w:pPr>
                    <w:keepNext w:val="0"/>
                    <w:keepLines w:val="0"/>
                    <w:suppressLineNumbers w:val="0"/>
                    <w:spacing w:before="0" w:beforeAutospacing="0" w:after="0" w:afterAutospacing="0"/>
                    <w:ind w:left="0" w:right="0"/>
                    <w:jc w:val="center"/>
                    <w:rPr>
                      <w:rFonts w:hint="default" w:ascii="宋体" w:hAnsi="宋体" w:eastAsia="宋体" w:cs="Calibri"/>
                      <w:color w:val="auto"/>
                      <w:szCs w:val="21"/>
                      <w:highlight w:val="none"/>
                    </w:rPr>
                  </w:pPr>
                  <w:r>
                    <w:rPr>
                      <w:rFonts w:hint="eastAsia" w:ascii="宋体" w:hAnsi="宋体" w:eastAsia="宋体" w:cs="Calibri"/>
                      <w:color w:val="auto"/>
                      <w:szCs w:val="21"/>
                      <w:highlight w:val="none"/>
                      <w:lang w:val="en-US" w:eastAsia="zh-CN"/>
                    </w:rPr>
                    <w:t>26</w:t>
                  </w:r>
                  <w:r>
                    <w:rPr>
                      <w:rFonts w:hint="eastAsia" w:ascii="宋体" w:hAnsi="宋体" w:eastAsia="宋体" w:cs="Calibri"/>
                      <w:color w:val="auto"/>
                      <w:szCs w:val="21"/>
                      <w:highlight w:val="none"/>
                    </w:rPr>
                    <w:t>.</w:t>
                  </w:r>
                  <w:r>
                    <w:rPr>
                      <w:rFonts w:hint="eastAsia" w:ascii="宋体" w:hAnsi="宋体" w:eastAsia="宋体" w:cs="Calibri"/>
                      <w:color w:val="auto"/>
                      <w:szCs w:val="21"/>
                      <w:highlight w:val="none"/>
                      <w:lang w:val="en-US" w:eastAsia="zh-CN"/>
                    </w:rPr>
                    <w:t>8</w:t>
                  </w:r>
                  <w:r>
                    <w:rPr>
                      <w:rFonts w:hint="eastAsia" w:ascii="宋体" w:hAnsi="宋体" w:eastAsia="宋体" w:cs="Calibri"/>
                      <w:color w:val="auto"/>
                      <w:szCs w:val="21"/>
                      <w:highlight w:val="none"/>
                    </w:rPr>
                    <w:t>mm</w:t>
                  </w:r>
                </w:p>
              </w:tc>
              <w:tc>
                <w:tcPr>
                  <w:tcW w:w="2719" w:type="dxa"/>
                  <w:tcBorders>
                    <w:top w:val="single" w:color="auto" w:sz="6" w:space="0"/>
                    <w:left w:val="single" w:color="auto" w:sz="6" w:space="0"/>
                    <w:bottom w:val="single" w:color="auto" w:sz="6" w:space="0"/>
                    <w:right w:val="single" w:color="auto" w:sz="12" w:space="0"/>
                  </w:tcBorders>
                  <w:noWrap w:val="0"/>
                  <w:vAlign w:val="center"/>
                </w:tcPr>
                <w:p w14:paraId="49C846BD">
                  <w:pPr>
                    <w:keepNext w:val="0"/>
                    <w:keepLines w:val="0"/>
                    <w:suppressLineNumbers w:val="0"/>
                    <w:spacing w:before="0" w:beforeAutospacing="0" w:after="0" w:afterAutospacing="0"/>
                    <w:ind w:left="0" w:right="0"/>
                    <w:jc w:val="center"/>
                    <w:rPr>
                      <w:rFonts w:hint="default" w:ascii="宋体" w:hAnsi="宋体" w:eastAsia="宋体" w:cs="Calibri"/>
                      <w:color w:val="auto"/>
                      <w:szCs w:val="21"/>
                      <w:highlight w:val="yellow"/>
                    </w:rPr>
                  </w:pPr>
                  <w:r>
                    <w:rPr>
                      <w:rFonts w:hint="eastAsia" w:ascii="宋体" w:hAnsi="宋体" w:cs="Calibri"/>
                      <w:color w:val="auto"/>
                      <w:szCs w:val="21"/>
                      <w:highlight w:val="none"/>
                      <w:lang w:val="en-US" w:eastAsia="zh-CN"/>
                    </w:rPr>
                    <w:t>33.8</w:t>
                  </w:r>
                  <w:r>
                    <w:rPr>
                      <w:rFonts w:hint="eastAsia" w:ascii="宋体" w:hAnsi="宋体" w:eastAsia="宋体" w:cs="Calibri"/>
                      <w:color w:val="auto"/>
                      <w:szCs w:val="21"/>
                      <w:highlight w:val="none"/>
                    </w:rPr>
                    <w:t>mm</w:t>
                  </w:r>
                </w:p>
              </w:tc>
            </w:tr>
            <w:tr w14:paraId="2832B9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860" w:type="dxa"/>
                  <w:tcBorders>
                    <w:top w:val="single" w:color="auto" w:sz="6" w:space="0"/>
                    <w:left w:val="single" w:color="auto" w:sz="12" w:space="0"/>
                    <w:bottom w:val="single" w:color="auto" w:sz="6" w:space="0"/>
                    <w:right w:val="single" w:color="auto" w:sz="6" w:space="0"/>
                  </w:tcBorders>
                  <w:noWrap w:val="0"/>
                  <w:vAlign w:val="center"/>
                </w:tcPr>
                <w:p w14:paraId="503F4FF9">
                  <w:pPr>
                    <w:keepNext w:val="0"/>
                    <w:keepLines w:val="0"/>
                    <w:suppressLineNumbers w:val="0"/>
                    <w:spacing w:before="48" w:beforeLines="20" w:beforeAutospacing="0" w:after="48" w:afterLines="20" w:afterAutospacing="0"/>
                    <w:ind w:left="0" w:right="0"/>
                    <w:jc w:val="center"/>
                    <w:rPr>
                      <w:rFonts w:hint="default" w:ascii="宋体" w:hAnsi="宋体" w:eastAsia="宋体" w:cs="Calibri"/>
                      <w:color w:val="auto"/>
                      <w:szCs w:val="21"/>
                      <w:highlight w:val="none"/>
                      <w:lang w:val="en-US" w:eastAsia="zh-CN"/>
                    </w:rPr>
                  </w:pPr>
                  <w:r>
                    <w:rPr>
                      <w:rFonts w:hint="eastAsia" w:ascii="宋体" w:hAnsi="宋体" w:cs="Calibri"/>
                      <w:color w:val="auto"/>
                      <w:szCs w:val="21"/>
                      <w:highlight w:val="none"/>
                      <w:lang w:val="en-US" w:eastAsia="zh-CN"/>
                    </w:rPr>
                    <w:t>导线高度</w:t>
                  </w:r>
                </w:p>
              </w:tc>
              <w:tc>
                <w:tcPr>
                  <w:tcW w:w="3172" w:type="dxa"/>
                  <w:tcBorders>
                    <w:top w:val="single" w:color="auto" w:sz="6" w:space="0"/>
                    <w:left w:val="single" w:color="auto" w:sz="6" w:space="0"/>
                    <w:bottom w:val="single" w:color="auto" w:sz="6" w:space="0"/>
                    <w:right w:val="single" w:color="auto" w:sz="6" w:space="0"/>
                  </w:tcBorders>
                  <w:noWrap w:val="0"/>
                  <w:vAlign w:val="center"/>
                </w:tcPr>
                <w:p w14:paraId="3D306F78">
                  <w:pPr>
                    <w:keepNext w:val="0"/>
                    <w:keepLines w:val="0"/>
                    <w:suppressLineNumbers w:val="0"/>
                    <w:spacing w:before="0" w:beforeAutospacing="0" w:after="0" w:afterAutospacing="0"/>
                    <w:ind w:left="0" w:right="0"/>
                    <w:jc w:val="center"/>
                    <w:rPr>
                      <w:rFonts w:hint="default" w:ascii="宋体" w:hAnsi="宋体" w:eastAsia="宋体" w:cs="Calibri"/>
                      <w:color w:val="auto"/>
                      <w:szCs w:val="21"/>
                      <w:highlight w:val="none"/>
                      <w:lang w:val="en-US" w:eastAsia="zh-CN"/>
                    </w:rPr>
                  </w:pPr>
                  <w:r>
                    <w:rPr>
                      <w:rFonts w:hint="eastAsia" w:ascii="宋体" w:hAnsi="宋体" w:cs="Calibri"/>
                      <w:color w:val="auto"/>
                      <w:szCs w:val="21"/>
                      <w:highlight w:val="none"/>
                      <w:lang w:val="en-US" w:eastAsia="zh-CN"/>
                    </w:rPr>
                    <w:t>17.6m</w:t>
                  </w:r>
                </w:p>
              </w:tc>
              <w:tc>
                <w:tcPr>
                  <w:tcW w:w="2719" w:type="dxa"/>
                  <w:tcBorders>
                    <w:top w:val="single" w:color="auto" w:sz="6" w:space="0"/>
                    <w:left w:val="single" w:color="auto" w:sz="6" w:space="0"/>
                    <w:bottom w:val="single" w:color="auto" w:sz="6" w:space="0"/>
                    <w:right w:val="single" w:color="auto" w:sz="12" w:space="0"/>
                  </w:tcBorders>
                  <w:noWrap w:val="0"/>
                  <w:vAlign w:val="center"/>
                </w:tcPr>
                <w:p w14:paraId="578C1780">
                  <w:pPr>
                    <w:keepNext w:val="0"/>
                    <w:keepLines w:val="0"/>
                    <w:suppressLineNumbers w:val="0"/>
                    <w:spacing w:before="0" w:beforeAutospacing="0" w:after="0" w:afterAutospacing="0"/>
                    <w:ind w:left="0" w:right="0"/>
                    <w:jc w:val="center"/>
                    <w:rPr>
                      <w:rFonts w:hint="default" w:ascii="宋体" w:hAnsi="宋体" w:cs="Calibri"/>
                      <w:color w:val="auto"/>
                      <w:szCs w:val="21"/>
                      <w:highlight w:val="none"/>
                      <w:lang w:val="en-US" w:eastAsia="zh-CN"/>
                    </w:rPr>
                  </w:pPr>
                  <w:r>
                    <w:rPr>
                      <w:rFonts w:hint="eastAsia" w:ascii="宋体" w:hAnsi="宋体" w:cs="Calibri"/>
                      <w:color w:val="auto"/>
                      <w:szCs w:val="21"/>
                      <w:highlight w:val="none"/>
                      <w:lang w:val="en-US" w:eastAsia="zh-CN"/>
                    </w:rPr>
                    <w:t>/</w:t>
                  </w:r>
                </w:p>
              </w:tc>
            </w:tr>
            <w:tr w14:paraId="21EDF9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860" w:type="dxa"/>
                  <w:tcBorders>
                    <w:top w:val="single" w:color="auto" w:sz="6" w:space="0"/>
                    <w:left w:val="single" w:color="auto" w:sz="12" w:space="0"/>
                    <w:bottom w:val="single" w:color="auto" w:sz="6" w:space="0"/>
                    <w:right w:val="single" w:color="auto" w:sz="6" w:space="0"/>
                  </w:tcBorders>
                  <w:noWrap w:val="0"/>
                  <w:vAlign w:val="center"/>
                </w:tcPr>
                <w:p w14:paraId="21096E6A">
                  <w:pPr>
                    <w:keepNext w:val="0"/>
                    <w:keepLines w:val="0"/>
                    <w:suppressLineNumbers w:val="0"/>
                    <w:spacing w:before="0" w:beforeAutospacing="0" w:after="0" w:afterAutospacing="0"/>
                    <w:ind w:left="0" w:right="0"/>
                    <w:jc w:val="center"/>
                    <w:rPr>
                      <w:rFonts w:hint="default" w:ascii="宋体" w:hAnsi="宋体" w:eastAsia="宋体" w:cs="Calibri"/>
                      <w:color w:val="auto"/>
                      <w:szCs w:val="21"/>
                      <w:highlight w:val="none"/>
                    </w:rPr>
                  </w:pPr>
                  <w:r>
                    <w:rPr>
                      <w:rFonts w:hint="eastAsia" w:ascii="宋体" w:hAnsi="宋体" w:eastAsia="宋体" w:cs="Calibri"/>
                      <w:color w:val="auto"/>
                      <w:szCs w:val="21"/>
                      <w:highlight w:val="none"/>
                    </w:rPr>
                    <w:t>回路</w:t>
                  </w:r>
                </w:p>
              </w:tc>
              <w:tc>
                <w:tcPr>
                  <w:tcW w:w="3172" w:type="dxa"/>
                  <w:tcBorders>
                    <w:top w:val="single" w:color="auto" w:sz="6" w:space="0"/>
                    <w:left w:val="single" w:color="auto" w:sz="6" w:space="0"/>
                    <w:bottom w:val="single" w:color="auto" w:sz="6" w:space="0"/>
                    <w:right w:val="single" w:color="auto" w:sz="6" w:space="0"/>
                  </w:tcBorders>
                  <w:noWrap w:val="0"/>
                  <w:vAlign w:val="center"/>
                </w:tcPr>
                <w:p w14:paraId="76324C47">
                  <w:pPr>
                    <w:keepNext w:val="0"/>
                    <w:keepLines w:val="0"/>
                    <w:suppressLineNumbers w:val="0"/>
                    <w:spacing w:before="0" w:beforeAutospacing="0" w:after="0" w:afterAutospacing="0"/>
                    <w:ind w:left="0" w:right="0"/>
                    <w:jc w:val="center"/>
                    <w:rPr>
                      <w:rFonts w:hint="eastAsia" w:ascii="宋体" w:hAnsi="宋体" w:eastAsia="宋体" w:cs="Calibri"/>
                      <w:color w:val="auto"/>
                      <w:szCs w:val="21"/>
                      <w:highlight w:val="none"/>
                      <w:lang w:val="en-US" w:eastAsia="zh-CN"/>
                    </w:rPr>
                  </w:pPr>
                  <w:r>
                    <w:rPr>
                      <w:rFonts w:hint="eastAsia" w:ascii="宋体" w:hAnsi="宋体" w:eastAsia="宋体" w:cs="Calibri"/>
                      <w:color w:val="auto"/>
                      <w:szCs w:val="21"/>
                      <w:highlight w:val="none"/>
                      <w:lang w:eastAsia="zh-CN"/>
                    </w:rPr>
                    <w:t>双回路</w:t>
                  </w:r>
                  <w:r>
                    <w:rPr>
                      <w:rFonts w:hint="eastAsia" w:ascii="宋体" w:hAnsi="宋体" w:eastAsia="宋体" w:cs="Calibri"/>
                      <w:color w:val="auto"/>
                      <w:szCs w:val="21"/>
                      <w:highlight w:val="none"/>
                    </w:rPr>
                    <w:t>架设</w:t>
                  </w:r>
                </w:p>
              </w:tc>
              <w:tc>
                <w:tcPr>
                  <w:tcW w:w="2719" w:type="dxa"/>
                  <w:tcBorders>
                    <w:top w:val="single" w:color="auto" w:sz="6" w:space="0"/>
                    <w:left w:val="single" w:color="auto" w:sz="6" w:space="0"/>
                    <w:bottom w:val="single" w:color="auto" w:sz="6" w:space="0"/>
                    <w:right w:val="single" w:color="auto" w:sz="12" w:space="0"/>
                  </w:tcBorders>
                  <w:noWrap w:val="0"/>
                  <w:vAlign w:val="center"/>
                </w:tcPr>
                <w:p w14:paraId="5613038D">
                  <w:pPr>
                    <w:keepNext w:val="0"/>
                    <w:keepLines w:val="0"/>
                    <w:suppressLineNumbers w:val="0"/>
                    <w:spacing w:before="0" w:beforeAutospacing="0" w:after="0" w:afterAutospacing="0"/>
                    <w:ind w:left="0" w:right="0"/>
                    <w:jc w:val="center"/>
                    <w:rPr>
                      <w:rFonts w:hint="default" w:ascii="宋体" w:hAnsi="宋体" w:eastAsia="宋体" w:cs="Calibri"/>
                      <w:color w:val="auto"/>
                      <w:szCs w:val="21"/>
                      <w:highlight w:val="yellow"/>
                    </w:rPr>
                  </w:pPr>
                  <w:r>
                    <w:rPr>
                      <w:rFonts w:hint="eastAsia" w:ascii="宋体" w:hAnsi="宋体" w:eastAsia="宋体" w:cs="Calibri"/>
                      <w:color w:val="auto"/>
                      <w:szCs w:val="21"/>
                      <w:highlight w:val="none"/>
                      <w:lang w:eastAsia="zh-CN"/>
                    </w:rPr>
                    <w:t>双回路</w:t>
                  </w:r>
                  <w:r>
                    <w:rPr>
                      <w:rFonts w:hint="eastAsia" w:ascii="宋体" w:hAnsi="宋体" w:eastAsia="宋体" w:cs="Calibri"/>
                      <w:color w:val="auto"/>
                      <w:szCs w:val="21"/>
                      <w:highlight w:val="none"/>
                    </w:rPr>
                    <w:t>架设</w:t>
                  </w:r>
                </w:p>
              </w:tc>
            </w:tr>
            <w:tr w14:paraId="560F15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860" w:type="dxa"/>
                  <w:tcBorders>
                    <w:top w:val="single" w:color="auto" w:sz="6" w:space="0"/>
                    <w:left w:val="single" w:color="auto" w:sz="12" w:space="0"/>
                    <w:bottom w:val="single" w:color="auto" w:sz="6" w:space="0"/>
                    <w:right w:val="single" w:color="auto" w:sz="6" w:space="0"/>
                  </w:tcBorders>
                  <w:shd w:val="clear" w:color="auto" w:fill="auto"/>
                  <w:noWrap w:val="0"/>
                  <w:vAlign w:val="center"/>
                </w:tcPr>
                <w:p w14:paraId="6AE05C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eastAsia" w:ascii="宋体" w:hAnsi="宋体" w:eastAsia="宋体" w:cs="Calibri"/>
                      <w:color w:val="auto"/>
                      <w:kern w:val="2"/>
                      <w:sz w:val="21"/>
                      <w:szCs w:val="21"/>
                      <w:lang w:val="en-US" w:eastAsia="zh-CN" w:bidi="ar-SA"/>
                    </w:rPr>
                  </w:pPr>
                  <w:r>
                    <w:rPr>
                      <w:rFonts w:hint="eastAsia" w:ascii="宋体" w:hAnsi="宋体" w:cs="Calibri"/>
                      <w:color w:val="auto"/>
                      <w:szCs w:val="21"/>
                      <w:lang w:val="en-US" w:eastAsia="zh-CN"/>
                    </w:rPr>
                    <w:t>环境条件</w:t>
                  </w:r>
                </w:p>
              </w:tc>
              <w:tc>
                <w:tcPr>
                  <w:tcW w:w="317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8AEFC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eastAsia" w:ascii="宋体" w:hAnsi="宋体" w:eastAsia="宋体" w:cs="Calibri"/>
                      <w:color w:val="auto"/>
                      <w:kern w:val="2"/>
                      <w:sz w:val="21"/>
                      <w:szCs w:val="21"/>
                      <w:lang w:val="en-US" w:eastAsia="zh-CN" w:bidi="ar-SA"/>
                    </w:rPr>
                  </w:pPr>
                  <w:r>
                    <w:rPr>
                      <w:rFonts w:hint="eastAsia" w:ascii="宋体" w:hAnsi="宋体" w:cs="Calibri"/>
                      <w:color w:val="auto"/>
                      <w:szCs w:val="21"/>
                      <w:lang w:val="en-US" w:eastAsia="zh-CN"/>
                    </w:rPr>
                    <w:t>干旱少雨多风</w:t>
                  </w:r>
                </w:p>
              </w:tc>
              <w:tc>
                <w:tcPr>
                  <w:tcW w:w="2719"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2963B3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eastAsia" w:ascii="宋体" w:hAnsi="宋体" w:eastAsia="宋体" w:cs="Calibri"/>
                      <w:color w:val="auto"/>
                      <w:kern w:val="2"/>
                      <w:sz w:val="21"/>
                      <w:szCs w:val="21"/>
                      <w:highlight w:val="none"/>
                      <w:lang w:val="en-US" w:eastAsia="zh-CN" w:bidi="ar-SA"/>
                    </w:rPr>
                  </w:pPr>
                  <w:r>
                    <w:rPr>
                      <w:rFonts w:hint="eastAsia" w:ascii="宋体" w:hAnsi="宋体" w:cs="Calibri"/>
                      <w:color w:val="auto"/>
                      <w:szCs w:val="21"/>
                      <w:highlight w:val="none"/>
                      <w:lang w:val="en-US" w:eastAsia="zh-CN"/>
                    </w:rPr>
                    <w:t>干旱少雨多风</w:t>
                  </w:r>
                </w:p>
              </w:tc>
            </w:tr>
            <w:tr w14:paraId="73843D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860" w:type="dxa"/>
                  <w:tcBorders>
                    <w:top w:val="single" w:color="auto" w:sz="6" w:space="0"/>
                    <w:left w:val="single" w:color="auto" w:sz="12" w:space="0"/>
                    <w:bottom w:val="single" w:color="auto" w:sz="12" w:space="0"/>
                    <w:right w:val="single" w:color="auto" w:sz="6" w:space="0"/>
                  </w:tcBorders>
                  <w:noWrap w:val="0"/>
                  <w:vAlign w:val="center"/>
                </w:tcPr>
                <w:p w14:paraId="51EA4AEA">
                  <w:pPr>
                    <w:keepNext w:val="0"/>
                    <w:keepLines w:val="0"/>
                    <w:suppressLineNumbers w:val="0"/>
                    <w:spacing w:before="48" w:beforeLines="20" w:beforeAutospacing="0" w:after="48" w:afterLines="20" w:afterAutospacing="0"/>
                    <w:ind w:left="0" w:right="0"/>
                    <w:jc w:val="center"/>
                    <w:rPr>
                      <w:rFonts w:hint="default" w:ascii="宋体" w:hAnsi="宋体" w:eastAsia="宋体" w:cs="Calibri"/>
                      <w:color w:val="auto"/>
                      <w:szCs w:val="21"/>
                      <w:highlight w:val="none"/>
                    </w:rPr>
                  </w:pPr>
                  <w:r>
                    <w:rPr>
                      <w:rFonts w:hint="eastAsia" w:ascii="宋体" w:hAnsi="宋体" w:eastAsia="宋体" w:cs="Calibri"/>
                      <w:color w:val="auto"/>
                      <w:szCs w:val="21"/>
                      <w:highlight w:val="none"/>
                    </w:rPr>
                    <w:t>运行工况</w:t>
                  </w:r>
                </w:p>
              </w:tc>
              <w:tc>
                <w:tcPr>
                  <w:tcW w:w="3172" w:type="dxa"/>
                  <w:tcBorders>
                    <w:top w:val="single" w:color="auto" w:sz="6" w:space="0"/>
                    <w:left w:val="single" w:color="auto" w:sz="6" w:space="0"/>
                    <w:bottom w:val="single" w:color="auto" w:sz="12" w:space="0"/>
                    <w:right w:val="single" w:color="auto" w:sz="6" w:space="0"/>
                  </w:tcBorders>
                  <w:noWrap w:val="0"/>
                  <w:vAlign w:val="center"/>
                </w:tcPr>
                <w:p w14:paraId="3786DFE5">
                  <w:pPr>
                    <w:keepNext w:val="0"/>
                    <w:keepLines w:val="0"/>
                    <w:suppressLineNumbers w:val="0"/>
                    <w:spacing w:before="0" w:beforeAutospacing="0" w:after="0" w:afterAutospacing="0"/>
                    <w:ind w:left="0" w:right="0"/>
                    <w:rPr>
                      <w:rFonts w:hint="eastAsia" w:ascii="宋体" w:hAnsi="宋体" w:eastAsia="宋体" w:cs="Calibri"/>
                      <w:color w:val="auto"/>
                      <w:szCs w:val="21"/>
                      <w:highlight w:val="none"/>
                      <w:lang w:eastAsia="zh-CN"/>
                    </w:rPr>
                  </w:pPr>
                  <w:r>
                    <w:rPr>
                      <w:rFonts w:hint="eastAsia" w:ascii="宋体" w:hAnsi="宋体" w:eastAsia="宋体" w:cs="Calibri"/>
                      <w:color w:val="auto"/>
                      <w:szCs w:val="21"/>
                      <w:highlight w:val="none"/>
                    </w:rPr>
                    <w:t>监测期间线路运行正常，钛镁线运行电压234.46kV，运行电流为100.1A；银钛Ⅱ线运行电压235.71kV，运行电流为100.8A。</w:t>
                  </w:r>
                </w:p>
              </w:tc>
              <w:tc>
                <w:tcPr>
                  <w:tcW w:w="2719" w:type="dxa"/>
                  <w:tcBorders>
                    <w:top w:val="single" w:color="auto" w:sz="6" w:space="0"/>
                    <w:left w:val="single" w:color="auto" w:sz="6" w:space="0"/>
                    <w:bottom w:val="single" w:color="auto" w:sz="12" w:space="0"/>
                    <w:right w:val="single" w:color="auto" w:sz="12" w:space="0"/>
                  </w:tcBorders>
                  <w:noWrap w:val="0"/>
                  <w:vAlign w:val="center"/>
                </w:tcPr>
                <w:p w14:paraId="638739EE">
                  <w:pPr>
                    <w:keepNext w:val="0"/>
                    <w:keepLines w:val="0"/>
                    <w:suppressLineNumbers w:val="0"/>
                    <w:spacing w:before="0" w:beforeAutospacing="0" w:after="0" w:afterAutospacing="0"/>
                    <w:ind w:left="0" w:right="0"/>
                    <w:jc w:val="center"/>
                    <w:rPr>
                      <w:rFonts w:hint="default" w:ascii="宋体" w:hAnsi="宋体" w:eastAsia="宋体" w:cs="Calibri"/>
                      <w:color w:val="auto"/>
                      <w:szCs w:val="21"/>
                      <w:highlight w:val="yellow"/>
                    </w:rPr>
                  </w:pPr>
                  <w:r>
                    <w:rPr>
                      <w:rFonts w:hint="eastAsia" w:ascii="宋体" w:hAnsi="宋体" w:eastAsia="宋体" w:cs="Calibri"/>
                      <w:color w:val="auto"/>
                      <w:szCs w:val="21"/>
                      <w:highlight w:val="none"/>
                    </w:rPr>
                    <w:t>/</w:t>
                  </w:r>
                </w:p>
              </w:tc>
            </w:tr>
          </w:tbl>
          <w:p w14:paraId="75DADE02">
            <w:pPr>
              <w:keepNext w:val="0"/>
              <w:keepLines w:val="0"/>
              <w:pageBreakBefore w:val="0"/>
              <w:widowControl w:val="0"/>
              <w:suppressLineNumbers w:val="0"/>
              <w:kinsoku/>
              <w:wordWrap/>
              <w:overflowPunct/>
              <w:topLinePunct w:val="0"/>
              <w:autoSpaceDE/>
              <w:autoSpaceDN/>
              <w:bidi w:val="0"/>
              <w:adjustRightInd w:val="0"/>
              <w:snapToGrid w:val="0"/>
              <w:spacing w:before="313" w:beforeLines="100" w:beforeAutospacing="0" w:after="0" w:afterAutospacing="0" w:line="360" w:lineRule="auto"/>
              <w:ind w:left="0" w:right="0" w:firstLine="480" w:firstLineChars="200"/>
              <w:textAlignment w:val="auto"/>
              <w:rPr>
                <w:rFonts w:hint="eastAsia" w:ascii="宋体" w:hAnsi="宋体" w:eastAsia="宋体" w:cs="Calibri"/>
                <w:color w:val="auto"/>
                <w:sz w:val="24"/>
                <w:szCs w:val="21"/>
                <w:lang w:val="en-US" w:eastAsia="zh-CN"/>
              </w:rPr>
            </w:pPr>
            <w:r>
              <w:rPr>
                <w:rFonts w:hint="eastAsia" w:ascii="宋体" w:hAnsi="宋体" w:eastAsia="宋体" w:cs="Calibri"/>
                <w:color w:val="auto"/>
                <w:sz w:val="24"/>
                <w:szCs w:val="21"/>
                <w:highlight w:val="none"/>
              </w:rPr>
              <w:t>由表4-</w:t>
            </w:r>
            <w:r>
              <w:rPr>
                <w:rFonts w:hint="eastAsia" w:ascii="宋体" w:hAnsi="宋体" w:cs="Calibri"/>
                <w:color w:val="auto"/>
                <w:sz w:val="24"/>
                <w:szCs w:val="21"/>
                <w:highlight w:val="none"/>
                <w:lang w:val="en-US" w:eastAsia="zh-CN"/>
              </w:rPr>
              <w:t>7</w:t>
            </w:r>
            <w:r>
              <w:rPr>
                <w:rFonts w:hint="eastAsia" w:ascii="宋体" w:hAnsi="宋体" w:eastAsia="宋体" w:cs="Calibri"/>
                <w:color w:val="auto"/>
                <w:sz w:val="24"/>
                <w:szCs w:val="21"/>
                <w:highlight w:val="none"/>
              </w:rPr>
              <w:t>对比分析，选取的类比线路电压等级、导线架设方式、回路数量等与</w:t>
            </w:r>
            <w:r>
              <w:rPr>
                <w:rFonts w:hint="eastAsia" w:ascii="宋体" w:hAnsi="宋体" w:eastAsia="宋体" w:cs="Calibri"/>
                <w:color w:val="auto"/>
                <w:sz w:val="24"/>
                <w:szCs w:val="21"/>
                <w:highlight w:val="none"/>
                <w:lang w:val="en-US" w:eastAsia="zh-CN"/>
              </w:rPr>
              <w:t>类比</w:t>
            </w:r>
            <w:r>
              <w:rPr>
                <w:rFonts w:hint="eastAsia" w:ascii="宋体" w:hAnsi="宋体" w:eastAsia="宋体" w:cs="Calibri"/>
                <w:color w:val="auto"/>
                <w:sz w:val="24"/>
                <w:szCs w:val="21"/>
                <w:highlight w:val="none"/>
              </w:rPr>
              <w:t>项目线路一致</w:t>
            </w:r>
            <w:r>
              <w:rPr>
                <w:rFonts w:hint="eastAsia" w:ascii="宋体" w:hAnsi="宋体" w:eastAsia="宋体" w:cs="Calibri"/>
                <w:color w:val="auto"/>
                <w:sz w:val="24"/>
                <w:szCs w:val="21"/>
                <w:highlight w:val="none"/>
                <w:lang w:eastAsia="zh-CN"/>
              </w:rPr>
              <w:t>。</w:t>
            </w:r>
            <w:r>
              <w:rPr>
                <w:rFonts w:hint="eastAsia" w:ascii="宋体" w:hAnsi="宋体" w:eastAsia="宋体" w:cs="Calibri"/>
                <w:color w:val="auto"/>
                <w:sz w:val="24"/>
                <w:szCs w:val="21"/>
                <w:highlight w:val="none"/>
                <w:lang w:val="en-US" w:eastAsia="zh-CN"/>
              </w:rPr>
              <w:t>本项目导线分裂间距及导线直径</w:t>
            </w:r>
            <w:r>
              <w:rPr>
                <w:rFonts w:hint="eastAsia" w:ascii="宋体" w:hAnsi="宋体" w:cs="Calibri"/>
                <w:color w:val="auto"/>
                <w:sz w:val="24"/>
                <w:szCs w:val="21"/>
                <w:highlight w:val="none"/>
                <w:lang w:val="en-US" w:eastAsia="zh-CN"/>
              </w:rPr>
              <w:t>略</w:t>
            </w:r>
            <w:r>
              <w:rPr>
                <w:rFonts w:hint="eastAsia" w:ascii="宋体" w:hAnsi="宋体" w:eastAsia="宋体" w:cs="Calibri"/>
                <w:color w:val="auto"/>
                <w:sz w:val="24"/>
                <w:szCs w:val="21"/>
                <w:highlight w:val="none"/>
                <w:lang w:val="en-US" w:eastAsia="zh-CN"/>
              </w:rPr>
              <w:t>大于类比工程，本项目杆塔呼高18～3</w:t>
            </w:r>
            <w:r>
              <w:rPr>
                <w:rFonts w:hint="eastAsia" w:ascii="宋体" w:hAnsi="宋体" w:cs="Calibri"/>
                <w:color w:val="auto"/>
                <w:sz w:val="24"/>
                <w:szCs w:val="21"/>
                <w:highlight w:val="none"/>
                <w:lang w:val="en-US" w:eastAsia="zh-CN"/>
              </w:rPr>
              <w:t>0</w:t>
            </w:r>
            <w:r>
              <w:rPr>
                <w:rFonts w:hint="eastAsia" w:ascii="宋体" w:hAnsi="宋体" w:eastAsia="宋体" w:cs="Calibri"/>
                <w:color w:val="auto"/>
                <w:sz w:val="24"/>
                <w:szCs w:val="21"/>
                <w:highlight w:val="none"/>
                <w:lang w:val="en-US" w:eastAsia="zh-CN"/>
              </w:rPr>
              <w:t>m，导线高度将在17.5m左右或大于17.5m，</w:t>
            </w:r>
            <w:r>
              <w:rPr>
                <w:rFonts w:hint="eastAsia" w:ascii="宋体" w:hAnsi="宋体" w:cs="Calibri"/>
                <w:color w:val="auto"/>
                <w:sz w:val="24"/>
                <w:szCs w:val="21"/>
                <w:highlight w:val="none"/>
                <w:lang w:val="en-US" w:eastAsia="zh-CN"/>
              </w:rPr>
              <w:t>基本与</w:t>
            </w:r>
            <w:r>
              <w:rPr>
                <w:rFonts w:hint="eastAsia" w:ascii="宋体" w:hAnsi="宋体" w:eastAsia="宋体" w:cs="Calibri"/>
                <w:color w:val="auto"/>
                <w:sz w:val="24"/>
                <w:szCs w:val="21"/>
                <w:highlight w:val="none"/>
                <w:lang w:val="en-US" w:eastAsia="zh-CN"/>
              </w:rPr>
              <w:t>类比线路</w:t>
            </w:r>
            <w:r>
              <w:rPr>
                <w:rFonts w:hint="eastAsia" w:ascii="宋体" w:hAnsi="宋体" w:cs="Calibri"/>
                <w:color w:val="auto"/>
                <w:sz w:val="24"/>
                <w:szCs w:val="21"/>
                <w:highlight w:val="none"/>
                <w:lang w:val="en-US" w:eastAsia="zh-CN"/>
              </w:rPr>
              <w:t>一致。</w:t>
            </w:r>
            <w:r>
              <w:rPr>
                <w:rFonts w:hint="eastAsia" w:ascii="宋体" w:hAnsi="宋体" w:eastAsia="宋体" w:cs="Calibri"/>
                <w:color w:val="auto"/>
                <w:sz w:val="24"/>
                <w:szCs w:val="21"/>
                <w:highlight w:val="none"/>
                <w:lang w:val="en-US" w:eastAsia="zh-CN"/>
              </w:rPr>
              <w:t>导线分裂间距及导线直径对环境噪声影响不大。</w:t>
            </w:r>
            <w:r>
              <w:rPr>
                <w:rFonts w:hint="eastAsia" w:ascii="宋体" w:hAnsi="宋体" w:eastAsia="宋体" w:cs="Calibri"/>
                <w:color w:val="auto"/>
                <w:sz w:val="24"/>
                <w:szCs w:val="21"/>
                <w:highlight w:val="none"/>
              </w:rPr>
              <w:t>监测期间类比线路运行正常，故本次环评将220kV钛镁线、银钛Ⅱ线作为线路类比对象是可行的。</w:t>
            </w:r>
          </w:p>
          <w:p w14:paraId="245D92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Calibri"/>
                <w:b/>
                <w:color w:val="auto"/>
                <w:sz w:val="24"/>
                <w:szCs w:val="21"/>
              </w:rPr>
            </w:pPr>
            <w:r>
              <w:rPr>
                <w:rFonts w:hint="eastAsia" w:ascii="宋体" w:hAnsi="宋体" w:cs="Calibri"/>
                <w:b/>
                <w:color w:val="auto"/>
                <w:sz w:val="24"/>
                <w:szCs w:val="21"/>
                <w:lang w:val="en-US" w:eastAsia="zh-CN"/>
              </w:rPr>
              <w:t>（</w:t>
            </w:r>
            <w:r>
              <w:rPr>
                <w:rFonts w:hint="eastAsia" w:ascii="宋体" w:hAnsi="宋体" w:eastAsia="宋体" w:cs="Calibri"/>
                <w:b/>
                <w:color w:val="auto"/>
                <w:sz w:val="24"/>
                <w:szCs w:val="21"/>
                <w:lang w:val="en-US" w:eastAsia="zh-CN"/>
              </w:rPr>
              <w:t>2</w:t>
            </w:r>
            <w:r>
              <w:rPr>
                <w:rFonts w:hint="eastAsia" w:ascii="宋体" w:hAnsi="宋体" w:cs="Calibri"/>
                <w:b/>
                <w:color w:val="auto"/>
                <w:sz w:val="24"/>
                <w:szCs w:val="21"/>
                <w:lang w:val="en-US" w:eastAsia="zh-CN"/>
              </w:rPr>
              <w:t>）</w:t>
            </w:r>
            <w:r>
              <w:rPr>
                <w:rFonts w:hint="eastAsia" w:ascii="宋体" w:hAnsi="宋体" w:eastAsia="宋体" w:cs="Calibri"/>
                <w:b/>
                <w:color w:val="auto"/>
                <w:sz w:val="24"/>
                <w:szCs w:val="21"/>
              </w:rPr>
              <w:t>类比监测内容</w:t>
            </w:r>
          </w:p>
          <w:p w14:paraId="07293FFB">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Calibri"/>
                <w:bCs/>
                <w:color w:val="auto"/>
                <w:sz w:val="24"/>
                <w:szCs w:val="21"/>
                <w:highlight w:val="none"/>
              </w:rPr>
            </w:pPr>
            <w:r>
              <w:rPr>
                <w:rFonts w:hint="eastAsia" w:ascii="宋体" w:hAnsi="宋体" w:eastAsia="宋体" w:cs="Calibri"/>
                <w:bCs/>
                <w:color w:val="auto"/>
                <w:sz w:val="24"/>
                <w:szCs w:val="21"/>
                <w:highlight w:val="none"/>
              </w:rPr>
              <w:t>1</w:t>
            </w:r>
            <w:r>
              <w:rPr>
                <w:rFonts w:hint="eastAsia" w:ascii="宋体" w:hAnsi="宋体" w:cs="Calibri"/>
                <w:bCs/>
                <w:color w:val="auto"/>
                <w:sz w:val="24"/>
                <w:szCs w:val="21"/>
                <w:highlight w:val="none"/>
                <w:lang w:eastAsia="zh-CN"/>
              </w:rPr>
              <w:t>）</w:t>
            </w:r>
            <w:r>
              <w:rPr>
                <w:rFonts w:hint="eastAsia" w:ascii="宋体" w:hAnsi="宋体" w:eastAsia="宋体" w:cs="Calibri"/>
                <w:bCs/>
                <w:color w:val="auto"/>
                <w:sz w:val="24"/>
                <w:szCs w:val="21"/>
                <w:highlight w:val="none"/>
              </w:rPr>
              <w:t>监测因子</w:t>
            </w:r>
          </w:p>
          <w:p w14:paraId="700B2D35">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Calibri"/>
                <w:color w:val="auto"/>
                <w:sz w:val="24"/>
                <w:szCs w:val="21"/>
                <w:highlight w:val="none"/>
              </w:rPr>
            </w:pPr>
            <w:r>
              <w:rPr>
                <w:rFonts w:hint="eastAsia" w:ascii="宋体" w:hAnsi="宋体" w:eastAsia="宋体" w:cs="Calibri"/>
                <w:color w:val="auto"/>
                <w:sz w:val="24"/>
                <w:szCs w:val="21"/>
                <w:highlight w:val="none"/>
              </w:rPr>
              <w:t>等效声级，L</w:t>
            </w:r>
            <w:r>
              <w:rPr>
                <w:rFonts w:hint="eastAsia" w:ascii="宋体" w:hAnsi="宋体" w:eastAsia="宋体" w:cs="Calibri"/>
                <w:color w:val="auto"/>
                <w:sz w:val="24"/>
                <w:szCs w:val="21"/>
                <w:highlight w:val="none"/>
                <w:vertAlign w:val="subscript"/>
              </w:rPr>
              <w:t>eq</w:t>
            </w:r>
          </w:p>
          <w:p w14:paraId="6854FCD3">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Calibri"/>
                <w:bCs/>
                <w:color w:val="auto"/>
                <w:sz w:val="24"/>
                <w:szCs w:val="21"/>
                <w:highlight w:val="none"/>
              </w:rPr>
            </w:pPr>
            <w:r>
              <w:rPr>
                <w:rFonts w:hint="eastAsia" w:ascii="宋体" w:hAnsi="宋体" w:eastAsia="宋体" w:cs="Calibri"/>
                <w:bCs/>
                <w:color w:val="auto"/>
                <w:sz w:val="24"/>
                <w:szCs w:val="21"/>
                <w:highlight w:val="none"/>
              </w:rPr>
              <w:t>2</w:t>
            </w:r>
            <w:r>
              <w:rPr>
                <w:rFonts w:hint="eastAsia" w:ascii="宋体" w:hAnsi="宋体" w:cs="Calibri"/>
                <w:bCs/>
                <w:color w:val="auto"/>
                <w:sz w:val="24"/>
                <w:szCs w:val="21"/>
                <w:highlight w:val="none"/>
                <w:lang w:eastAsia="zh-CN"/>
              </w:rPr>
              <w:t>）</w:t>
            </w:r>
            <w:r>
              <w:rPr>
                <w:rFonts w:hint="eastAsia" w:ascii="宋体" w:hAnsi="宋体" w:eastAsia="宋体" w:cs="Calibri"/>
                <w:bCs/>
                <w:color w:val="auto"/>
                <w:sz w:val="24"/>
                <w:szCs w:val="21"/>
                <w:highlight w:val="none"/>
              </w:rPr>
              <w:t>监测方法、监测布点</w:t>
            </w:r>
          </w:p>
          <w:p w14:paraId="50F077BD">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Calibri"/>
                <w:color w:val="auto"/>
                <w:sz w:val="24"/>
                <w:szCs w:val="21"/>
                <w:highlight w:val="none"/>
              </w:rPr>
            </w:pPr>
            <w:r>
              <w:rPr>
                <w:rFonts w:hint="eastAsia" w:ascii="宋体" w:hAnsi="宋体" w:eastAsia="宋体" w:cs="Calibri"/>
                <w:color w:val="auto"/>
                <w:sz w:val="24"/>
                <w:szCs w:val="21"/>
                <w:highlight w:val="none"/>
              </w:rPr>
              <w:t>监测方法：《</w:t>
            </w:r>
            <w:r>
              <w:rPr>
                <w:rFonts w:hint="eastAsia" w:ascii="宋体" w:hAnsi="宋体" w:cs="Calibri"/>
                <w:color w:val="auto"/>
                <w:sz w:val="24"/>
                <w:szCs w:val="21"/>
                <w:highlight w:val="none"/>
                <w:lang w:eastAsia="zh-CN"/>
              </w:rPr>
              <w:t>高压架空输电线路可听噪声测量方法</w:t>
            </w:r>
            <w:r>
              <w:rPr>
                <w:rFonts w:hint="eastAsia" w:ascii="宋体" w:hAnsi="宋体" w:eastAsia="宋体" w:cs="Calibri"/>
                <w:color w:val="auto"/>
                <w:sz w:val="24"/>
                <w:szCs w:val="21"/>
                <w:highlight w:val="none"/>
              </w:rPr>
              <w:t>》(</w:t>
            </w:r>
            <w:r>
              <w:rPr>
                <w:rFonts w:hint="eastAsia" w:ascii="宋体" w:hAnsi="宋体" w:cs="Calibri"/>
                <w:color w:val="auto"/>
                <w:sz w:val="24"/>
                <w:szCs w:val="21"/>
                <w:highlight w:val="none"/>
                <w:lang w:eastAsia="zh-CN"/>
              </w:rPr>
              <w:t>DL/T501-2017</w:t>
            </w:r>
            <w:r>
              <w:rPr>
                <w:rFonts w:hint="eastAsia" w:ascii="宋体" w:hAnsi="宋体" w:eastAsia="宋体" w:cs="Calibri"/>
                <w:color w:val="auto"/>
                <w:sz w:val="24"/>
                <w:szCs w:val="21"/>
                <w:highlight w:val="none"/>
              </w:rPr>
              <w:t>)。</w:t>
            </w:r>
          </w:p>
          <w:p w14:paraId="4B9061D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Calibri"/>
                <w:color w:val="auto"/>
                <w:sz w:val="24"/>
                <w:szCs w:val="21"/>
                <w:highlight w:val="none"/>
              </w:rPr>
            </w:pPr>
            <w:r>
              <w:rPr>
                <w:rFonts w:hint="eastAsia" w:ascii="宋体" w:hAnsi="宋体" w:eastAsia="宋体" w:cs="Calibri"/>
                <w:color w:val="auto"/>
                <w:sz w:val="24"/>
                <w:szCs w:val="21"/>
                <w:highlight w:val="none"/>
              </w:rPr>
              <w:t>监测布点：以220kV钛镁线、银钛Ⅱ线4#～5#杆塔导线弧垂最大处线路中心的地面投影为监测原点，沿垂直于线路方向监测。</w:t>
            </w:r>
          </w:p>
          <w:p w14:paraId="3B1A512C">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Calibri"/>
                <w:bCs/>
                <w:color w:val="auto"/>
                <w:sz w:val="24"/>
                <w:szCs w:val="21"/>
                <w:highlight w:val="none"/>
              </w:rPr>
            </w:pPr>
            <w:r>
              <w:rPr>
                <w:rFonts w:hint="eastAsia" w:ascii="宋体" w:hAnsi="宋体" w:eastAsia="宋体" w:cs="Calibri"/>
                <w:bCs/>
                <w:color w:val="auto"/>
                <w:sz w:val="24"/>
                <w:szCs w:val="21"/>
                <w:highlight w:val="none"/>
              </w:rPr>
              <w:t>3</w:t>
            </w:r>
            <w:r>
              <w:rPr>
                <w:rFonts w:hint="eastAsia" w:ascii="宋体" w:hAnsi="宋体" w:cs="Calibri"/>
                <w:bCs/>
                <w:color w:val="auto"/>
                <w:sz w:val="24"/>
                <w:szCs w:val="21"/>
                <w:highlight w:val="none"/>
                <w:lang w:eastAsia="zh-CN"/>
              </w:rPr>
              <w:t>）</w:t>
            </w:r>
            <w:r>
              <w:rPr>
                <w:rFonts w:hint="eastAsia" w:ascii="宋体" w:hAnsi="宋体" w:eastAsia="宋体" w:cs="Calibri"/>
                <w:bCs/>
                <w:color w:val="auto"/>
                <w:sz w:val="24"/>
                <w:szCs w:val="21"/>
                <w:highlight w:val="none"/>
              </w:rPr>
              <w:t>监测单位及监测时间</w:t>
            </w:r>
          </w:p>
          <w:p w14:paraId="5BFA8475">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Calibri"/>
                <w:color w:val="auto"/>
                <w:sz w:val="24"/>
                <w:szCs w:val="21"/>
                <w:highlight w:val="none"/>
              </w:rPr>
            </w:pPr>
            <w:r>
              <w:rPr>
                <w:rFonts w:hint="eastAsia" w:ascii="宋体" w:hAnsi="宋体" w:eastAsia="宋体" w:cs="Calibri"/>
                <w:color w:val="auto"/>
                <w:sz w:val="24"/>
                <w:szCs w:val="21"/>
                <w:highlight w:val="none"/>
              </w:rPr>
              <w:t>监测单位：新疆鼎耀工程咨询有限公司</w:t>
            </w:r>
          </w:p>
          <w:p w14:paraId="7910630C">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Calibri"/>
                <w:color w:val="auto"/>
                <w:sz w:val="24"/>
                <w:szCs w:val="21"/>
                <w:highlight w:val="none"/>
              </w:rPr>
            </w:pPr>
            <w:r>
              <w:rPr>
                <w:rFonts w:hint="eastAsia" w:ascii="宋体" w:hAnsi="宋体" w:eastAsia="宋体" w:cs="Calibri"/>
                <w:color w:val="auto"/>
                <w:sz w:val="24"/>
                <w:szCs w:val="21"/>
                <w:highlight w:val="none"/>
              </w:rPr>
              <w:t>监测时间：2019年7月5日</w:t>
            </w:r>
          </w:p>
          <w:p w14:paraId="2606F4B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Calibri"/>
                <w:bCs/>
                <w:color w:val="auto"/>
                <w:sz w:val="24"/>
                <w:szCs w:val="21"/>
                <w:highlight w:val="none"/>
              </w:rPr>
            </w:pPr>
            <w:r>
              <w:rPr>
                <w:rFonts w:hint="eastAsia" w:ascii="宋体" w:hAnsi="宋体" w:eastAsia="宋体" w:cs="Calibri"/>
                <w:bCs/>
                <w:color w:val="auto"/>
                <w:sz w:val="24"/>
                <w:szCs w:val="21"/>
                <w:highlight w:val="none"/>
              </w:rPr>
              <w:t>4</w:t>
            </w:r>
            <w:r>
              <w:rPr>
                <w:rFonts w:hint="eastAsia" w:ascii="宋体" w:hAnsi="宋体" w:cs="Calibri"/>
                <w:bCs/>
                <w:color w:val="auto"/>
                <w:sz w:val="24"/>
                <w:szCs w:val="21"/>
                <w:highlight w:val="none"/>
                <w:lang w:eastAsia="zh-CN"/>
              </w:rPr>
              <w:t>）</w:t>
            </w:r>
            <w:r>
              <w:rPr>
                <w:rFonts w:hint="eastAsia" w:ascii="宋体" w:hAnsi="宋体" w:eastAsia="宋体" w:cs="Calibri"/>
                <w:bCs/>
                <w:color w:val="auto"/>
                <w:sz w:val="24"/>
                <w:szCs w:val="21"/>
                <w:highlight w:val="none"/>
              </w:rPr>
              <w:t>监测仪器、监测条件</w:t>
            </w:r>
          </w:p>
          <w:p w14:paraId="464604A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Calibri"/>
                <w:color w:val="auto"/>
                <w:sz w:val="24"/>
                <w:szCs w:val="21"/>
                <w:highlight w:val="none"/>
              </w:rPr>
            </w:pPr>
            <w:r>
              <w:rPr>
                <w:rFonts w:hint="eastAsia" w:ascii="宋体" w:hAnsi="宋体" w:eastAsia="宋体" w:cs="Calibri"/>
                <w:color w:val="auto"/>
                <w:sz w:val="24"/>
                <w:szCs w:val="21"/>
                <w:highlight w:val="none"/>
              </w:rPr>
              <w:t>监测仪器：AWA5688型声级计。</w:t>
            </w:r>
          </w:p>
          <w:p w14:paraId="004E6DD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Calibri"/>
                <w:color w:val="auto"/>
                <w:sz w:val="24"/>
                <w:szCs w:val="21"/>
                <w:highlight w:val="none"/>
              </w:rPr>
            </w:pPr>
            <w:r>
              <w:rPr>
                <w:rFonts w:hint="eastAsia" w:ascii="宋体" w:hAnsi="宋体" w:eastAsia="宋体" w:cs="Calibri"/>
                <w:color w:val="auto"/>
                <w:sz w:val="24"/>
                <w:szCs w:val="21"/>
                <w:highlight w:val="none"/>
              </w:rPr>
              <w:t>监测条件：天气晴，温度37～39℃，湿度10</w:t>
            </w: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16%，风速1.0m/s～2.2m/s，线路正常运行。</w:t>
            </w:r>
          </w:p>
          <w:p w14:paraId="320C616D">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Calibri"/>
                <w:bCs/>
                <w:color w:val="auto"/>
                <w:sz w:val="24"/>
                <w:szCs w:val="21"/>
                <w:highlight w:val="none"/>
              </w:rPr>
            </w:pPr>
            <w:r>
              <w:rPr>
                <w:rFonts w:hint="eastAsia" w:ascii="宋体" w:hAnsi="宋体" w:eastAsia="宋体" w:cs="Calibri"/>
                <w:bCs/>
                <w:color w:val="auto"/>
                <w:sz w:val="24"/>
                <w:szCs w:val="21"/>
                <w:highlight w:val="none"/>
              </w:rPr>
              <w:t>5</w:t>
            </w:r>
            <w:r>
              <w:rPr>
                <w:rFonts w:hint="eastAsia" w:ascii="宋体" w:hAnsi="宋体" w:cs="Calibri"/>
                <w:bCs/>
                <w:color w:val="auto"/>
                <w:sz w:val="24"/>
                <w:szCs w:val="21"/>
                <w:highlight w:val="none"/>
                <w:lang w:eastAsia="zh-CN"/>
              </w:rPr>
              <w:t>）</w:t>
            </w:r>
            <w:r>
              <w:rPr>
                <w:rFonts w:hint="eastAsia" w:ascii="宋体" w:hAnsi="宋体" w:eastAsia="宋体" w:cs="Calibri"/>
                <w:bCs/>
                <w:color w:val="auto"/>
                <w:sz w:val="24"/>
                <w:szCs w:val="21"/>
                <w:highlight w:val="none"/>
              </w:rPr>
              <w:t>监测结果</w:t>
            </w:r>
          </w:p>
          <w:p w14:paraId="4AD536B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Calibri"/>
                <w:color w:val="auto"/>
                <w:sz w:val="24"/>
                <w:szCs w:val="21"/>
                <w:highlight w:val="none"/>
              </w:rPr>
            </w:pPr>
            <w:r>
              <w:rPr>
                <w:rFonts w:hint="eastAsia" w:ascii="宋体" w:hAnsi="宋体" w:eastAsia="宋体" w:cs="Calibri"/>
                <w:color w:val="auto"/>
                <w:sz w:val="24"/>
                <w:szCs w:val="21"/>
                <w:highlight w:val="none"/>
              </w:rPr>
              <w:t>钛镁线、银钛Ⅱ线220kV输电线路噪声测试结果，见表4-</w:t>
            </w:r>
            <w:r>
              <w:rPr>
                <w:rFonts w:hint="eastAsia" w:ascii="宋体" w:hAnsi="宋体" w:cs="Calibri"/>
                <w:color w:val="auto"/>
                <w:sz w:val="24"/>
                <w:szCs w:val="21"/>
                <w:highlight w:val="none"/>
                <w:lang w:val="en-US" w:eastAsia="zh-CN"/>
              </w:rPr>
              <w:t>8</w:t>
            </w:r>
            <w:r>
              <w:rPr>
                <w:rFonts w:hint="eastAsia" w:ascii="宋体" w:hAnsi="宋体" w:eastAsia="宋体" w:cs="Calibri"/>
                <w:color w:val="auto"/>
                <w:sz w:val="24"/>
                <w:szCs w:val="21"/>
                <w:highlight w:val="none"/>
              </w:rPr>
              <w:t>。</w:t>
            </w:r>
          </w:p>
          <w:p w14:paraId="414A57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Calibri"/>
                <w:b/>
                <w:color w:val="auto"/>
                <w:kern w:val="0"/>
                <w:sz w:val="24"/>
                <w:szCs w:val="20"/>
                <w:highlight w:val="none"/>
                <w:lang w:val="en-US" w:eastAsia="zh-CN" w:bidi="ar-SA"/>
              </w:rPr>
              <w:t>表4-</w:t>
            </w:r>
            <w:r>
              <w:rPr>
                <w:rFonts w:hint="eastAsia" w:ascii="宋体" w:hAnsi="宋体" w:cs="Calibri"/>
                <w:b/>
                <w:color w:val="auto"/>
                <w:kern w:val="0"/>
                <w:sz w:val="24"/>
                <w:szCs w:val="20"/>
                <w:highlight w:val="none"/>
                <w:lang w:val="en-US" w:eastAsia="zh-CN" w:bidi="ar-SA"/>
              </w:rPr>
              <w:t xml:space="preserve">8    </w:t>
            </w:r>
            <w:r>
              <w:rPr>
                <w:rFonts w:hint="eastAsia" w:ascii="宋体" w:hAnsi="宋体" w:eastAsia="宋体" w:cs="宋体"/>
                <w:b/>
                <w:color w:val="auto"/>
                <w:kern w:val="2"/>
                <w:sz w:val="24"/>
                <w:szCs w:val="24"/>
                <w:highlight w:val="none"/>
                <w:lang w:val="en-US" w:eastAsia="zh-CN" w:bidi="ar"/>
              </w:rPr>
              <w:t>220kV钛镁线、银钛Ⅱ线噪声监测结果</w:t>
            </w:r>
          </w:p>
          <w:tbl>
            <w:tblPr>
              <w:tblStyle w:val="32"/>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7"/>
              <w:gridCol w:w="4377"/>
              <w:gridCol w:w="1316"/>
              <w:gridCol w:w="1384"/>
            </w:tblGrid>
            <w:tr w14:paraId="6787D4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vMerge w:val="restart"/>
                  <w:tcBorders>
                    <w:top w:val="single" w:color="auto" w:sz="12" w:space="0"/>
                    <w:left w:val="single" w:color="auto" w:sz="12" w:space="0"/>
                    <w:bottom w:val="single" w:color="auto" w:sz="4" w:space="0"/>
                    <w:right w:val="single" w:color="auto" w:sz="4" w:space="0"/>
                  </w:tcBorders>
                  <w:noWrap w:val="0"/>
                  <w:vAlign w:val="center"/>
                </w:tcPr>
                <w:p w14:paraId="5D6F2EA3">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kern w:val="2"/>
                      <w:sz w:val="21"/>
                      <w:szCs w:val="21"/>
                      <w:highlight w:val="none"/>
                      <w:lang w:val="en-US" w:eastAsia="zh-CN" w:bidi="ar"/>
                    </w:rPr>
                    <w:t>序号</w:t>
                  </w:r>
                </w:p>
              </w:tc>
              <w:tc>
                <w:tcPr>
                  <w:tcW w:w="2836" w:type="pct"/>
                  <w:vMerge w:val="restart"/>
                  <w:tcBorders>
                    <w:top w:val="single" w:color="auto" w:sz="12" w:space="0"/>
                    <w:left w:val="single" w:color="auto" w:sz="4" w:space="0"/>
                    <w:bottom w:val="single" w:color="auto" w:sz="4" w:space="0"/>
                    <w:right w:val="single" w:color="auto" w:sz="4" w:space="0"/>
                  </w:tcBorders>
                  <w:noWrap w:val="0"/>
                  <w:vAlign w:val="center"/>
                </w:tcPr>
                <w:p w14:paraId="143F8F7B">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kern w:val="2"/>
                      <w:sz w:val="21"/>
                      <w:szCs w:val="21"/>
                      <w:highlight w:val="none"/>
                      <w:lang w:val="en-US" w:eastAsia="zh-CN" w:bidi="ar"/>
                    </w:rPr>
                    <w:t>监测点</w:t>
                  </w:r>
                </w:p>
              </w:tc>
              <w:tc>
                <w:tcPr>
                  <w:tcW w:w="1750" w:type="pct"/>
                  <w:gridSpan w:val="2"/>
                  <w:tcBorders>
                    <w:top w:val="single" w:color="auto" w:sz="12" w:space="0"/>
                    <w:left w:val="single" w:color="auto" w:sz="4" w:space="0"/>
                    <w:bottom w:val="single" w:color="auto" w:sz="4" w:space="0"/>
                    <w:right w:val="single" w:color="auto" w:sz="12" w:space="0"/>
                  </w:tcBorders>
                  <w:noWrap w:val="0"/>
                  <w:vAlign w:val="center"/>
                </w:tcPr>
                <w:p w14:paraId="37D7DC56">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kern w:val="2"/>
                      <w:sz w:val="21"/>
                      <w:szCs w:val="21"/>
                      <w:highlight w:val="none"/>
                      <w:lang w:val="en-US" w:eastAsia="zh-CN" w:bidi="ar"/>
                    </w:rPr>
                    <w:t>等效声级dB(A)</w:t>
                  </w:r>
                </w:p>
              </w:tc>
            </w:tr>
            <w:tr w14:paraId="44B5BD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vMerge w:val="continue"/>
                  <w:tcBorders>
                    <w:top w:val="single" w:color="auto" w:sz="12" w:space="0"/>
                    <w:left w:val="single" w:color="auto" w:sz="12" w:space="0"/>
                    <w:bottom w:val="single" w:color="auto" w:sz="4" w:space="0"/>
                    <w:right w:val="single" w:color="auto" w:sz="4" w:space="0"/>
                  </w:tcBorders>
                  <w:noWrap w:val="0"/>
                  <w:vAlign w:val="center"/>
                </w:tcPr>
                <w:p w14:paraId="7D946E4C">
                  <w:pPr>
                    <w:keepNext w:val="0"/>
                    <w:keepLines w:val="0"/>
                    <w:suppressLineNumbers w:val="0"/>
                    <w:spacing w:before="0" w:beforeAutospacing="0" w:after="0" w:afterAutospacing="0"/>
                    <w:ind w:left="0" w:right="0"/>
                    <w:rPr>
                      <w:rFonts w:hint="default" w:ascii="Calibri" w:hAnsi="Calibri" w:eastAsia="宋体" w:cs="Calibri"/>
                      <w:color w:val="auto"/>
                      <w:sz w:val="20"/>
                      <w:szCs w:val="20"/>
                      <w:highlight w:val="none"/>
                    </w:rPr>
                  </w:pPr>
                </w:p>
              </w:tc>
              <w:tc>
                <w:tcPr>
                  <w:tcW w:w="2836" w:type="pct"/>
                  <w:vMerge w:val="continue"/>
                  <w:tcBorders>
                    <w:top w:val="single" w:color="auto" w:sz="12" w:space="0"/>
                    <w:left w:val="single" w:color="auto" w:sz="4" w:space="0"/>
                    <w:bottom w:val="single" w:color="auto" w:sz="4" w:space="0"/>
                    <w:right w:val="single" w:color="auto" w:sz="4" w:space="0"/>
                  </w:tcBorders>
                  <w:noWrap w:val="0"/>
                  <w:vAlign w:val="center"/>
                </w:tcPr>
                <w:p w14:paraId="51486B0B">
                  <w:pPr>
                    <w:keepNext w:val="0"/>
                    <w:keepLines w:val="0"/>
                    <w:suppressLineNumbers w:val="0"/>
                    <w:spacing w:before="0" w:beforeAutospacing="0" w:after="0" w:afterAutospacing="0"/>
                    <w:ind w:left="0" w:right="0"/>
                    <w:rPr>
                      <w:rFonts w:hint="default" w:ascii="Calibri" w:hAnsi="Calibri" w:eastAsia="宋体" w:cs="Calibri"/>
                      <w:color w:val="auto"/>
                      <w:sz w:val="20"/>
                      <w:szCs w:val="20"/>
                      <w:highlight w:val="none"/>
                    </w:rPr>
                  </w:pPr>
                </w:p>
              </w:tc>
              <w:tc>
                <w:tcPr>
                  <w:tcW w:w="853" w:type="pct"/>
                  <w:tcBorders>
                    <w:top w:val="single" w:color="auto" w:sz="4" w:space="0"/>
                    <w:left w:val="single" w:color="auto" w:sz="4" w:space="0"/>
                    <w:bottom w:val="single" w:color="auto" w:sz="4" w:space="0"/>
                    <w:right w:val="single" w:color="auto" w:sz="4" w:space="0"/>
                  </w:tcBorders>
                  <w:noWrap w:val="0"/>
                  <w:vAlign w:val="center"/>
                </w:tcPr>
                <w:p w14:paraId="63D8B652">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昼间</w:t>
                  </w:r>
                </w:p>
              </w:tc>
              <w:tc>
                <w:tcPr>
                  <w:tcW w:w="896" w:type="pct"/>
                  <w:tcBorders>
                    <w:top w:val="single" w:color="auto" w:sz="4" w:space="0"/>
                    <w:left w:val="single" w:color="auto" w:sz="4" w:space="0"/>
                    <w:bottom w:val="single" w:color="auto" w:sz="4" w:space="0"/>
                    <w:right w:val="single" w:color="auto" w:sz="12" w:space="0"/>
                  </w:tcBorders>
                  <w:noWrap w:val="0"/>
                  <w:vAlign w:val="center"/>
                </w:tcPr>
                <w:p w14:paraId="07E5CDB3">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夜间</w:t>
                  </w:r>
                </w:p>
              </w:tc>
            </w:tr>
            <w:tr w14:paraId="570914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tcBorders>
                    <w:top w:val="single" w:color="auto" w:sz="4" w:space="0"/>
                    <w:left w:val="single" w:color="auto" w:sz="12" w:space="0"/>
                    <w:bottom w:val="single" w:color="auto" w:sz="4" w:space="0"/>
                    <w:right w:val="single" w:color="auto" w:sz="4" w:space="0"/>
                  </w:tcBorders>
                  <w:noWrap w:val="0"/>
                  <w:vAlign w:val="center"/>
                </w:tcPr>
                <w:p w14:paraId="521D663E">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1</w:t>
                  </w:r>
                </w:p>
              </w:tc>
              <w:tc>
                <w:tcPr>
                  <w:tcW w:w="2836" w:type="pct"/>
                  <w:tcBorders>
                    <w:top w:val="single" w:color="auto" w:sz="4" w:space="0"/>
                    <w:left w:val="single" w:color="auto" w:sz="4" w:space="0"/>
                    <w:bottom w:val="single" w:color="auto" w:sz="4" w:space="0"/>
                    <w:right w:val="single" w:color="auto" w:sz="4" w:space="0"/>
                  </w:tcBorders>
                  <w:noWrap w:val="0"/>
                  <w:vAlign w:val="center"/>
                </w:tcPr>
                <w:p w14:paraId="677AFABA">
                  <w:pPr>
                    <w:keepNext w:val="0"/>
                    <w:keepLines w:val="0"/>
                    <w:suppressLineNumbers w:val="0"/>
                    <w:autoSpaceDE w:val="0"/>
                    <w:autoSpaceDN w:val="0"/>
                    <w:snapToGrid w:val="0"/>
                    <w:spacing w:before="0" w:beforeAutospacing="0" w:after="0" w:afterAutospacing="0" w:line="28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钛镁线220kV线路边导线投影点0m处</w:t>
                  </w:r>
                  <w:r>
                    <w:rPr>
                      <w:rFonts w:hint="eastAsia" w:ascii="宋体" w:hAnsi="宋体" w:cs="宋体"/>
                      <w:color w:val="auto"/>
                      <w:szCs w:val="21"/>
                      <w:highlight w:val="none"/>
                      <w:lang w:eastAsia="zh-CN" w:bidi="ar"/>
                    </w:rPr>
                    <w:t>（</w:t>
                  </w:r>
                  <w:r>
                    <w:rPr>
                      <w:rFonts w:hint="eastAsia" w:ascii="宋体" w:hAnsi="宋体" w:eastAsia="宋体" w:cs="宋体"/>
                      <w:color w:val="auto"/>
                      <w:szCs w:val="21"/>
                      <w:highlight w:val="none"/>
                      <w:lang w:bidi="ar"/>
                    </w:rPr>
                    <w:t>左侧</w:t>
                  </w:r>
                  <w:r>
                    <w:rPr>
                      <w:rFonts w:hint="eastAsia" w:ascii="宋体" w:hAnsi="宋体" w:cs="宋体"/>
                      <w:color w:val="auto"/>
                      <w:szCs w:val="21"/>
                      <w:highlight w:val="none"/>
                      <w:lang w:eastAsia="zh-CN" w:bidi="ar"/>
                    </w:rPr>
                    <w:t>）</w:t>
                  </w:r>
                </w:p>
              </w:tc>
              <w:tc>
                <w:tcPr>
                  <w:tcW w:w="853" w:type="pct"/>
                  <w:tcBorders>
                    <w:top w:val="single" w:color="auto" w:sz="4" w:space="0"/>
                    <w:left w:val="single" w:color="auto" w:sz="4" w:space="0"/>
                    <w:bottom w:val="single" w:color="auto" w:sz="4" w:space="0"/>
                    <w:right w:val="single" w:color="auto" w:sz="4" w:space="0"/>
                  </w:tcBorders>
                  <w:noWrap w:val="0"/>
                  <w:vAlign w:val="center"/>
                </w:tcPr>
                <w:p w14:paraId="1E5D5BE5">
                  <w:pPr>
                    <w:keepNext w:val="0"/>
                    <w:keepLines w:val="0"/>
                    <w:widowControl/>
                    <w:suppressLineNumbers w:val="0"/>
                    <w:snapToGrid w:val="0"/>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54</w:t>
                  </w:r>
                </w:p>
              </w:tc>
              <w:tc>
                <w:tcPr>
                  <w:tcW w:w="896" w:type="pct"/>
                  <w:tcBorders>
                    <w:top w:val="single" w:color="auto" w:sz="4" w:space="0"/>
                    <w:left w:val="single" w:color="auto" w:sz="4" w:space="0"/>
                    <w:bottom w:val="single" w:color="auto" w:sz="4" w:space="0"/>
                    <w:right w:val="single" w:color="auto" w:sz="12" w:space="0"/>
                  </w:tcBorders>
                  <w:noWrap w:val="0"/>
                  <w:vAlign w:val="center"/>
                </w:tcPr>
                <w:p w14:paraId="2A548EF5">
                  <w:pPr>
                    <w:keepNext w:val="0"/>
                    <w:keepLines w:val="0"/>
                    <w:widowControl/>
                    <w:suppressLineNumbers w:val="0"/>
                    <w:snapToGrid w:val="0"/>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39</w:t>
                  </w:r>
                </w:p>
              </w:tc>
            </w:tr>
            <w:tr w14:paraId="6F1DB0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tcBorders>
                    <w:top w:val="single" w:color="auto" w:sz="4" w:space="0"/>
                    <w:left w:val="single" w:color="auto" w:sz="12" w:space="0"/>
                    <w:bottom w:val="single" w:color="auto" w:sz="4" w:space="0"/>
                    <w:right w:val="single" w:color="auto" w:sz="4" w:space="0"/>
                  </w:tcBorders>
                  <w:noWrap w:val="0"/>
                  <w:vAlign w:val="center"/>
                </w:tcPr>
                <w:p w14:paraId="1CD1531B">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2</w:t>
                  </w:r>
                </w:p>
              </w:tc>
              <w:tc>
                <w:tcPr>
                  <w:tcW w:w="2836" w:type="pct"/>
                  <w:tcBorders>
                    <w:top w:val="single" w:color="auto" w:sz="4" w:space="0"/>
                    <w:left w:val="single" w:color="auto" w:sz="4" w:space="0"/>
                    <w:bottom w:val="single" w:color="auto" w:sz="4" w:space="0"/>
                    <w:right w:val="single" w:color="auto" w:sz="4" w:space="0"/>
                  </w:tcBorders>
                  <w:noWrap w:val="0"/>
                  <w:vAlign w:val="center"/>
                </w:tcPr>
                <w:p w14:paraId="0CD850DD">
                  <w:pPr>
                    <w:keepNext w:val="0"/>
                    <w:keepLines w:val="0"/>
                    <w:suppressLineNumbers w:val="0"/>
                    <w:autoSpaceDE w:val="0"/>
                    <w:autoSpaceDN w:val="0"/>
                    <w:snapToGrid w:val="0"/>
                    <w:spacing w:before="0" w:beforeAutospacing="0" w:after="0" w:afterAutospacing="0" w:line="28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银钛Ⅱ回220kV线路中心线投影点0m处</w:t>
                  </w:r>
                </w:p>
              </w:tc>
              <w:tc>
                <w:tcPr>
                  <w:tcW w:w="853" w:type="pct"/>
                  <w:tcBorders>
                    <w:top w:val="single" w:color="auto" w:sz="4" w:space="0"/>
                    <w:left w:val="single" w:color="auto" w:sz="4" w:space="0"/>
                    <w:bottom w:val="single" w:color="auto" w:sz="4" w:space="0"/>
                    <w:right w:val="single" w:color="auto" w:sz="4" w:space="0"/>
                  </w:tcBorders>
                  <w:noWrap w:val="0"/>
                  <w:vAlign w:val="center"/>
                </w:tcPr>
                <w:p w14:paraId="52778702">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53</w:t>
                  </w:r>
                </w:p>
              </w:tc>
              <w:tc>
                <w:tcPr>
                  <w:tcW w:w="896" w:type="pct"/>
                  <w:tcBorders>
                    <w:top w:val="single" w:color="auto" w:sz="4" w:space="0"/>
                    <w:left w:val="single" w:color="auto" w:sz="4" w:space="0"/>
                    <w:bottom w:val="single" w:color="auto" w:sz="4" w:space="0"/>
                    <w:right w:val="single" w:color="auto" w:sz="12" w:space="0"/>
                  </w:tcBorders>
                  <w:noWrap w:val="0"/>
                  <w:vAlign w:val="center"/>
                </w:tcPr>
                <w:p w14:paraId="233FBB96">
                  <w:pPr>
                    <w:keepNext w:val="0"/>
                    <w:keepLines w:val="0"/>
                    <w:widowControl/>
                    <w:suppressLineNumbers w:val="0"/>
                    <w:autoSpaceDE w:val="0"/>
                    <w:autoSpaceDN w:val="0"/>
                    <w:snapToGrid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39</w:t>
                  </w:r>
                </w:p>
              </w:tc>
            </w:tr>
            <w:tr w14:paraId="20041B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tcBorders>
                    <w:top w:val="single" w:color="auto" w:sz="4" w:space="0"/>
                    <w:left w:val="single" w:color="auto" w:sz="12" w:space="0"/>
                    <w:bottom w:val="single" w:color="auto" w:sz="4" w:space="0"/>
                    <w:right w:val="single" w:color="auto" w:sz="4" w:space="0"/>
                  </w:tcBorders>
                  <w:noWrap w:val="0"/>
                  <w:vAlign w:val="center"/>
                </w:tcPr>
                <w:p w14:paraId="11A0899F">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3</w:t>
                  </w:r>
                </w:p>
              </w:tc>
              <w:tc>
                <w:tcPr>
                  <w:tcW w:w="2836" w:type="pct"/>
                  <w:tcBorders>
                    <w:top w:val="single" w:color="auto" w:sz="4" w:space="0"/>
                    <w:left w:val="single" w:color="auto" w:sz="4" w:space="0"/>
                    <w:bottom w:val="single" w:color="auto" w:sz="4" w:space="0"/>
                    <w:right w:val="single" w:color="auto" w:sz="4" w:space="0"/>
                  </w:tcBorders>
                  <w:noWrap w:val="0"/>
                  <w:vAlign w:val="center"/>
                </w:tcPr>
                <w:p w14:paraId="72D88D7A">
                  <w:pPr>
                    <w:keepNext w:val="0"/>
                    <w:keepLines w:val="0"/>
                    <w:suppressLineNumbers w:val="0"/>
                    <w:autoSpaceDE w:val="0"/>
                    <w:autoSpaceDN w:val="0"/>
                    <w:snapToGrid w:val="0"/>
                    <w:spacing w:before="0" w:beforeAutospacing="0" w:after="0" w:afterAutospacing="0" w:line="28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银钛Ⅱ回220kV线路边导线投影点0m处</w:t>
                  </w:r>
                  <w:r>
                    <w:rPr>
                      <w:rFonts w:hint="eastAsia" w:ascii="宋体" w:hAnsi="宋体" w:cs="宋体"/>
                      <w:color w:val="auto"/>
                      <w:szCs w:val="21"/>
                      <w:highlight w:val="none"/>
                      <w:lang w:eastAsia="zh-CN" w:bidi="ar"/>
                    </w:rPr>
                    <w:t>（</w:t>
                  </w:r>
                  <w:r>
                    <w:rPr>
                      <w:rFonts w:hint="eastAsia" w:ascii="宋体" w:hAnsi="宋体" w:eastAsia="宋体" w:cs="宋体"/>
                      <w:color w:val="auto"/>
                      <w:szCs w:val="21"/>
                      <w:highlight w:val="none"/>
                      <w:lang w:bidi="ar"/>
                    </w:rPr>
                    <w:t>右侧</w:t>
                  </w:r>
                  <w:r>
                    <w:rPr>
                      <w:rFonts w:hint="eastAsia" w:ascii="宋体" w:hAnsi="宋体" w:cs="宋体"/>
                      <w:color w:val="auto"/>
                      <w:szCs w:val="21"/>
                      <w:highlight w:val="none"/>
                      <w:lang w:eastAsia="zh-CN" w:bidi="ar"/>
                    </w:rPr>
                    <w:t>）</w:t>
                  </w:r>
                </w:p>
              </w:tc>
              <w:tc>
                <w:tcPr>
                  <w:tcW w:w="853" w:type="pct"/>
                  <w:tcBorders>
                    <w:top w:val="single" w:color="auto" w:sz="4" w:space="0"/>
                    <w:left w:val="single" w:color="auto" w:sz="4" w:space="0"/>
                    <w:bottom w:val="single" w:color="auto" w:sz="4" w:space="0"/>
                    <w:right w:val="single" w:color="auto" w:sz="4" w:space="0"/>
                  </w:tcBorders>
                  <w:noWrap w:val="0"/>
                  <w:vAlign w:val="center"/>
                </w:tcPr>
                <w:p w14:paraId="0444D21E">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54</w:t>
                  </w:r>
                </w:p>
              </w:tc>
              <w:tc>
                <w:tcPr>
                  <w:tcW w:w="896" w:type="pct"/>
                  <w:tcBorders>
                    <w:top w:val="single" w:color="auto" w:sz="4" w:space="0"/>
                    <w:left w:val="single" w:color="auto" w:sz="4" w:space="0"/>
                    <w:bottom w:val="single" w:color="auto" w:sz="4" w:space="0"/>
                    <w:right w:val="single" w:color="auto" w:sz="12" w:space="0"/>
                  </w:tcBorders>
                  <w:noWrap w:val="0"/>
                  <w:vAlign w:val="center"/>
                </w:tcPr>
                <w:p w14:paraId="6CDA201A">
                  <w:pPr>
                    <w:keepNext w:val="0"/>
                    <w:keepLines w:val="0"/>
                    <w:widowControl/>
                    <w:suppressLineNumbers w:val="0"/>
                    <w:autoSpaceDE w:val="0"/>
                    <w:autoSpaceDN w:val="0"/>
                    <w:snapToGrid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38</w:t>
                  </w:r>
                </w:p>
              </w:tc>
            </w:tr>
            <w:tr w14:paraId="4DFC9E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tcBorders>
                    <w:top w:val="single" w:color="auto" w:sz="4" w:space="0"/>
                    <w:left w:val="single" w:color="auto" w:sz="12" w:space="0"/>
                    <w:bottom w:val="single" w:color="auto" w:sz="4" w:space="0"/>
                    <w:right w:val="single" w:color="auto" w:sz="4" w:space="0"/>
                  </w:tcBorders>
                  <w:noWrap w:val="0"/>
                  <w:vAlign w:val="center"/>
                </w:tcPr>
                <w:p w14:paraId="6C6AFB3C">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4</w:t>
                  </w:r>
                </w:p>
              </w:tc>
              <w:tc>
                <w:tcPr>
                  <w:tcW w:w="2836" w:type="pct"/>
                  <w:tcBorders>
                    <w:top w:val="single" w:color="auto" w:sz="4" w:space="0"/>
                    <w:left w:val="single" w:color="auto" w:sz="4" w:space="0"/>
                    <w:bottom w:val="single" w:color="auto" w:sz="4" w:space="0"/>
                    <w:right w:val="single" w:color="auto" w:sz="4" w:space="0"/>
                  </w:tcBorders>
                  <w:noWrap w:val="0"/>
                  <w:vAlign w:val="center"/>
                </w:tcPr>
                <w:p w14:paraId="49E356D5">
                  <w:pPr>
                    <w:keepNext w:val="0"/>
                    <w:keepLines w:val="0"/>
                    <w:suppressLineNumbers w:val="0"/>
                    <w:autoSpaceDE w:val="0"/>
                    <w:autoSpaceDN w:val="0"/>
                    <w:snapToGrid w:val="0"/>
                    <w:spacing w:before="0" w:beforeAutospacing="0" w:after="0" w:afterAutospacing="0" w:line="28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银钛Ⅱ回220kV线路边导线投影点1m处</w:t>
                  </w:r>
                </w:p>
              </w:tc>
              <w:tc>
                <w:tcPr>
                  <w:tcW w:w="853" w:type="pct"/>
                  <w:tcBorders>
                    <w:top w:val="single" w:color="auto" w:sz="4" w:space="0"/>
                    <w:left w:val="single" w:color="auto" w:sz="4" w:space="0"/>
                    <w:bottom w:val="single" w:color="auto" w:sz="4" w:space="0"/>
                    <w:right w:val="single" w:color="auto" w:sz="4" w:space="0"/>
                  </w:tcBorders>
                  <w:noWrap w:val="0"/>
                  <w:vAlign w:val="center"/>
                </w:tcPr>
                <w:p w14:paraId="7536DE4A">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54</w:t>
                  </w:r>
                </w:p>
              </w:tc>
              <w:tc>
                <w:tcPr>
                  <w:tcW w:w="896" w:type="pct"/>
                  <w:tcBorders>
                    <w:top w:val="single" w:color="auto" w:sz="4" w:space="0"/>
                    <w:left w:val="single" w:color="auto" w:sz="4" w:space="0"/>
                    <w:bottom w:val="single" w:color="auto" w:sz="4" w:space="0"/>
                    <w:right w:val="single" w:color="auto" w:sz="12" w:space="0"/>
                  </w:tcBorders>
                  <w:noWrap w:val="0"/>
                  <w:vAlign w:val="center"/>
                </w:tcPr>
                <w:p w14:paraId="6C6C8B63">
                  <w:pPr>
                    <w:keepNext w:val="0"/>
                    <w:keepLines w:val="0"/>
                    <w:widowControl/>
                    <w:suppressLineNumbers w:val="0"/>
                    <w:autoSpaceDE w:val="0"/>
                    <w:autoSpaceDN w:val="0"/>
                    <w:snapToGrid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38</w:t>
                  </w:r>
                </w:p>
              </w:tc>
            </w:tr>
            <w:tr w14:paraId="4E41F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tcBorders>
                    <w:top w:val="single" w:color="auto" w:sz="4" w:space="0"/>
                    <w:left w:val="single" w:color="auto" w:sz="12" w:space="0"/>
                    <w:bottom w:val="single" w:color="auto" w:sz="4" w:space="0"/>
                    <w:right w:val="single" w:color="auto" w:sz="4" w:space="0"/>
                  </w:tcBorders>
                  <w:noWrap w:val="0"/>
                  <w:vAlign w:val="center"/>
                </w:tcPr>
                <w:p w14:paraId="517D9F5E">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5</w:t>
                  </w:r>
                </w:p>
              </w:tc>
              <w:tc>
                <w:tcPr>
                  <w:tcW w:w="2836" w:type="pct"/>
                  <w:tcBorders>
                    <w:top w:val="single" w:color="auto" w:sz="4" w:space="0"/>
                    <w:left w:val="single" w:color="auto" w:sz="4" w:space="0"/>
                    <w:bottom w:val="single" w:color="auto" w:sz="4" w:space="0"/>
                    <w:right w:val="single" w:color="auto" w:sz="4" w:space="0"/>
                  </w:tcBorders>
                  <w:noWrap w:val="0"/>
                  <w:vAlign w:val="center"/>
                </w:tcPr>
                <w:p w14:paraId="476E42AB">
                  <w:pPr>
                    <w:keepNext w:val="0"/>
                    <w:keepLines w:val="0"/>
                    <w:suppressLineNumbers w:val="0"/>
                    <w:autoSpaceDE w:val="0"/>
                    <w:autoSpaceDN w:val="0"/>
                    <w:snapToGrid w:val="0"/>
                    <w:spacing w:before="0" w:beforeAutospacing="0" w:after="0" w:afterAutospacing="0" w:line="28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银钛Ⅱ回220kV线路边导线投影点2m处</w:t>
                  </w:r>
                </w:p>
              </w:tc>
              <w:tc>
                <w:tcPr>
                  <w:tcW w:w="853" w:type="pct"/>
                  <w:tcBorders>
                    <w:top w:val="single" w:color="auto" w:sz="4" w:space="0"/>
                    <w:left w:val="single" w:color="auto" w:sz="4" w:space="0"/>
                    <w:bottom w:val="single" w:color="auto" w:sz="4" w:space="0"/>
                    <w:right w:val="single" w:color="auto" w:sz="4" w:space="0"/>
                  </w:tcBorders>
                  <w:noWrap w:val="0"/>
                  <w:vAlign w:val="center"/>
                </w:tcPr>
                <w:p w14:paraId="45EEBC2B">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54</w:t>
                  </w:r>
                </w:p>
              </w:tc>
              <w:tc>
                <w:tcPr>
                  <w:tcW w:w="896" w:type="pct"/>
                  <w:tcBorders>
                    <w:top w:val="single" w:color="auto" w:sz="4" w:space="0"/>
                    <w:left w:val="single" w:color="auto" w:sz="4" w:space="0"/>
                    <w:bottom w:val="single" w:color="auto" w:sz="4" w:space="0"/>
                    <w:right w:val="single" w:color="auto" w:sz="12" w:space="0"/>
                  </w:tcBorders>
                  <w:noWrap w:val="0"/>
                  <w:vAlign w:val="center"/>
                </w:tcPr>
                <w:p w14:paraId="048D3B8A">
                  <w:pPr>
                    <w:keepNext w:val="0"/>
                    <w:keepLines w:val="0"/>
                    <w:widowControl/>
                    <w:suppressLineNumbers w:val="0"/>
                    <w:autoSpaceDE w:val="0"/>
                    <w:autoSpaceDN w:val="0"/>
                    <w:snapToGrid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38</w:t>
                  </w:r>
                </w:p>
              </w:tc>
            </w:tr>
            <w:tr w14:paraId="789BDF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tcBorders>
                    <w:top w:val="single" w:color="auto" w:sz="4" w:space="0"/>
                    <w:left w:val="single" w:color="auto" w:sz="12" w:space="0"/>
                    <w:bottom w:val="single" w:color="auto" w:sz="4" w:space="0"/>
                    <w:right w:val="single" w:color="auto" w:sz="4" w:space="0"/>
                  </w:tcBorders>
                  <w:noWrap w:val="0"/>
                  <w:vAlign w:val="center"/>
                </w:tcPr>
                <w:p w14:paraId="08C48004">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6</w:t>
                  </w:r>
                </w:p>
              </w:tc>
              <w:tc>
                <w:tcPr>
                  <w:tcW w:w="2836" w:type="pct"/>
                  <w:tcBorders>
                    <w:top w:val="single" w:color="auto" w:sz="4" w:space="0"/>
                    <w:left w:val="single" w:color="auto" w:sz="4" w:space="0"/>
                    <w:bottom w:val="single" w:color="auto" w:sz="4" w:space="0"/>
                    <w:right w:val="single" w:color="auto" w:sz="4" w:space="0"/>
                  </w:tcBorders>
                  <w:noWrap w:val="0"/>
                  <w:vAlign w:val="center"/>
                </w:tcPr>
                <w:p w14:paraId="7A2646C6">
                  <w:pPr>
                    <w:keepNext w:val="0"/>
                    <w:keepLines w:val="0"/>
                    <w:suppressLineNumbers w:val="0"/>
                    <w:autoSpaceDE w:val="0"/>
                    <w:autoSpaceDN w:val="0"/>
                    <w:snapToGrid w:val="0"/>
                    <w:spacing w:before="0" w:beforeAutospacing="0" w:after="0" w:afterAutospacing="0" w:line="28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银钛Ⅱ回220kV线路边导线投影点3m处</w:t>
                  </w:r>
                </w:p>
              </w:tc>
              <w:tc>
                <w:tcPr>
                  <w:tcW w:w="853" w:type="pct"/>
                  <w:tcBorders>
                    <w:top w:val="single" w:color="auto" w:sz="4" w:space="0"/>
                    <w:left w:val="single" w:color="auto" w:sz="4" w:space="0"/>
                    <w:bottom w:val="single" w:color="auto" w:sz="4" w:space="0"/>
                    <w:right w:val="single" w:color="auto" w:sz="4" w:space="0"/>
                  </w:tcBorders>
                  <w:noWrap w:val="0"/>
                  <w:vAlign w:val="center"/>
                </w:tcPr>
                <w:p w14:paraId="0A88B950">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53</w:t>
                  </w:r>
                </w:p>
              </w:tc>
              <w:tc>
                <w:tcPr>
                  <w:tcW w:w="896" w:type="pct"/>
                  <w:tcBorders>
                    <w:top w:val="single" w:color="auto" w:sz="4" w:space="0"/>
                    <w:left w:val="single" w:color="auto" w:sz="4" w:space="0"/>
                    <w:bottom w:val="single" w:color="auto" w:sz="4" w:space="0"/>
                    <w:right w:val="single" w:color="auto" w:sz="12" w:space="0"/>
                  </w:tcBorders>
                  <w:noWrap w:val="0"/>
                  <w:vAlign w:val="center"/>
                </w:tcPr>
                <w:p w14:paraId="0BFDE54C">
                  <w:pPr>
                    <w:keepNext w:val="0"/>
                    <w:keepLines w:val="0"/>
                    <w:widowControl/>
                    <w:suppressLineNumbers w:val="0"/>
                    <w:autoSpaceDE w:val="0"/>
                    <w:autoSpaceDN w:val="0"/>
                    <w:snapToGrid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37</w:t>
                  </w:r>
                </w:p>
              </w:tc>
            </w:tr>
            <w:tr w14:paraId="57AB84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tcBorders>
                    <w:top w:val="single" w:color="auto" w:sz="4" w:space="0"/>
                    <w:left w:val="single" w:color="auto" w:sz="12" w:space="0"/>
                    <w:bottom w:val="single" w:color="auto" w:sz="4" w:space="0"/>
                    <w:right w:val="single" w:color="auto" w:sz="4" w:space="0"/>
                  </w:tcBorders>
                  <w:noWrap w:val="0"/>
                  <w:vAlign w:val="center"/>
                </w:tcPr>
                <w:p w14:paraId="2B8F44D4">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7</w:t>
                  </w:r>
                </w:p>
              </w:tc>
              <w:tc>
                <w:tcPr>
                  <w:tcW w:w="2836" w:type="pct"/>
                  <w:tcBorders>
                    <w:top w:val="single" w:color="auto" w:sz="4" w:space="0"/>
                    <w:left w:val="single" w:color="auto" w:sz="4" w:space="0"/>
                    <w:bottom w:val="single" w:color="auto" w:sz="4" w:space="0"/>
                    <w:right w:val="single" w:color="auto" w:sz="4" w:space="0"/>
                  </w:tcBorders>
                  <w:noWrap w:val="0"/>
                  <w:vAlign w:val="center"/>
                </w:tcPr>
                <w:p w14:paraId="51B66788">
                  <w:pPr>
                    <w:keepNext w:val="0"/>
                    <w:keepLines w:val="0"/>
                    <w:suppressLineNumbers w:val="0"/>
                    <w:autoSpaceDE w:val="0"/>
                    <w:autoSpaceDN w:val="0"/>
                    <w:snapToGrid w:val="0"/>
                    <w:spacing w:before="0" w:beforeAutospacing="0" w:after="0" w:afterAutospacing="0" w:line="28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银钛Ⅱ回220kV线路边导线投影点4m处</w:t>
                  </w:r>
                </w:p>
              </w:tc>
              <w:tc>
                <w:tcPr>
                  <w:tcW w:w="853" w:type="pct"/>
                  <w:tcBorders>
                    <w:top w:val="single" w:color="auto" w:sz="4" w:space="0"/>
                    <w:left w:val="single" w:color="auto" w:sz="4" w:space="0"/>
                    <w:bottom w:val="single" w:color="auto" w:sz="4" w:space="0"/>
                    <w:right w:val="single" w:color="auto" w:sz="4" w:space="0"/>
                  </w:tcBorders>
                  <w:noWrap w:val="0"/>
                  <w:vAlign w:val="center"/>
                </w:tcPr>
                <w:p w14:paraId="1F7349E7">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53</w:t>
                  </w:r>
                </w:p>
              </w:tc>
              <w:tc>
                <w:tcPr>
                  <w:tcW w:w="896" w:type="pct"/>
                  <w:tcBorders>
                    <w:top w:val="single" w:color="auto" w:sz="4" w:space="0"/>
                    <w:left w:val="single" w:color="auto" w:sz="4" w:space="0"/>
                    <w:bottom w:val="single" w:color="auto" w:sz="4" w:space="0"/>
                    <w:right w:val="single" w:color="auto" w:sz="12" w:space="0"/>
                  </w:tcBorders>
                  <w:noWrap w:val="0"/>
                  <w:vAlign w:val="center"/>
                </w:tcPr>
                <w:p w14:paraId="4C97CB76">
                  <w:pPr>
                    <w:keepNext w:val="0"/>
                    <w:keepLines w:val="0"/>
                    <w:widowControl/>
                    <w:suppressLineNumbers w:val="0"/>
                    <w:autoSpaceDE w:val="0"/>
                    <w:autoSpaceDN w:val="0"/>
                    <w:snapToGrid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36</w:t>
                  </w:r>
                </w:p>
              </w:tc>
            </w:tr>
            <w:tr w14:paraId="775FB4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tcBorders>
                    <w:top w:val="single" w:color="auto" w:sz="4" w:space="0"/>
                    <w:left w:val="single" w:color="auto" w:sz="12" w:space="0"/>
                    <w:bottom w:val="single" w:color="auto" w:sz="4" w:space="0"/>
                    <w:right w:val="single" w:color="auto" w:sz="4" w:space="0"/>
                  </w:tcBorders>
                  <w:noWrap w:val="0"/>
                  <w:vAlign w:val="center"/>
                </w:tcPr>
                <w:p w14:paraId="1DEEE3C0">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8</w:t>
                  </w:r>
                </w:p>
              </w:tc>
              <w:tc>
                <w:tcPr>
                  <w:tcW w:w="2836" w:type="pct"/>
                  <w:tcBorders>
                    <w:top w:val="single" w:color="auto" w:sz="4" w:space="0"/>
                    <w:left w:val="single" w:color="auto" w:sz="4" w:space="0"/>
                    <w:bottom w:val="single" w:color="auto" w:sz="4" w:space="0"/>
                    <w:right w:val="single" w:color="auto" w:sz="4" w:space="0"/>
                  </w:tcBorders>
                  <w:noWrap w:val="0"/>
                  <w:vAlign w:val="center"/>
                </w:tcPr>
                <w:p w14:paraId="323FBE35">
                  <w:pPr>
                    <w:keepNext w:val="0"/>
                    <w:keepLines w:val="0"/>
                    <w:suppressLineNumbers w:val="0"/>
                    <w:autoSpaceDE w:val="0"/>
                    <w:autoSpaceDN w:val="0"/>
                    <w:snapToGrid w:val="0"/>
                    <w:spacing w:before="0" w:beforeAutospacing="0" w:after="0" w:afterAutospacing="0" w:line="28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银钛Ⅱ回220kV线路边导线投影点5m处</w:t>
                  </w:r>
                </w:p>
              </w:tc>
              <w:tc>
                <w:tcPr>
                  <w:tcW w:w="853" w:type="pct"/>
                  <w:tcBorders>
                    <w:top w:val="single" w:color="auto" w:sz="4" w:space="0"/>
                    <w:left w:val="single" w:color="auto" w:sz="4" w:space="0"/>
                    <w:bottom w:val="single" w:color="auto" w:sz="4" w:space="0"/>
                    <w:right w:val="single" w:color="auto" w:sz="4" w:space="0"/>
                  </w:tcBorders>
                  <w:noWrap w:val="0"/>
                  <w:vAlign w:val="center"/>
                </w:tcPr>
                <w:p w14:paraId="785FB119">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53</w:t>
                  </w:r>
                </w:p>
              </w:tc>
              <w:tc>
                <w:tcPr>
                  <w:tcW w:w="896" w:type="pct"/>
                  <w:tcBorders>
                    <w:top w:val="single" w:color="auto" w:sz="4" w:space="0"/>
                    <w:left w:val="single" w:color="auto" w:sz="4" w:space="0"/>
                    <w:bottom w:val="single" w:color="auto" w:sz="4" w:space="0"/>
                    <w:right w:val="single" w:color="auto" w:sz="12" w:space="0"/>
                  </w:tcBorders>
                  <w:noWrap w:val="0"/>
                  <w:vAlign w:val="center"/>
                </w:tcPr>
                <w:p w14:paraId="2B75C1B0">
                  <w:pPr>
                    <w:keepNext w:val="0"/>
                    <w:keepLines w:val="0"/>
                    <w:widowControl/>
                    <w:suppressLineNumbers w:val="0"/>
                    <w:autoSpaceDE w:val="0"/>
                    <w:autoSpaceDN w:val="0"/>
                    <w:snapToGrid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37</w:t>
                  </w:r>
                </w:p>
              </w:tc>
            </w:tr>
            <w:tr w14:paraId="408263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tcBorders>
                    <w:top w:val="single" w:color="auto" w:sz="4" w:space="0"/>
                    <w:left w:val="single" w:color="auto" w:sz="12" w:space="0"/>
                    <w:bottom w:val="single" w:color="auto" w:sz="4" w:space="0"/>
                    <w:right w:val="single" w:color="auto" w:sz="4" w:space="0"/>
                  </w:tcBorders>
                  <w:noWrap w:val="0"/>
                  <w:vAlign w:val="center"/>
                </w:tcPr>
                <w:p w14:paraId="6FCE1C55">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9</w:t>
                  </w:r>
                </w:p>
              </w:tc>
              <w:tc>
                <w:tcPr>
                  <w:tcW w:w="2836" w:type="pct"/>
                  <w:tcBorders>
                    <w:top w:val="single" w:color="auto" w:sz="4" w:space="0"/>
                    <w:left w:val="single" w:color="auto" w:sz="4" w:space="0"/>
                    <w:bottom w:val="single" w:color="auto" w:sz="4" w:space="0"/>
                    <w:right w:val="single" w:color="auto" w:sz="4" w:space="0"/>
                  </w:tcBorders>
                  <w:noWrap w:val="0"/>
                  <w:vAlign w:val="center"/>
                </w:tcPr>
                <w:p w14:paraId="09C9F6F8">
                  <w:pPr>
                    <w:keepNext w:val="0"/>
                    <w:keepLines w:val="0"/>
                    <w:suppressLineNumbers w:val="0"/>
                    <w:autoSpaceDE w:val="0"/>
                    <w:autoSpaceDN w:val="0"/>
                    <w:snapToGrid w:val="0"/>
                    <w:spacing w:before="0" w:beforeAutospacing="0" w:after="0" w:afterAutospacing="0" w:line="28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银钛Ⅱ回220kV线路边导线投影点10m处</w:t>
                  </w:r>
                </w:p>
              </w:tc>
              <w:tc>
                <w:tcPr>
                  <w:tcW w:w="853" w:type="pct"/>
                  <w:tcBorders>
                    <w:top w:val="single" w:color="auto" w:sz="4" w:space="0"/>
                    <w:left w:val="single" w:color="auto" w:sz="4" w:space="0"/>
                    <w:bottom w:val="single" w:color="auto" w:sz="4" w:space="0"/>
                    <w:right w:val="single" w:color="auto" w:sz="4" w:space="0"/>
                  </w:tcBorders>
                  <w:noWrap w:val="0"/>
                  <w:vAlign w:val="center"/>
                </w:tcPr>
                <w:p w14:paraId="499F7614">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50</w:t>
                  </w:r>
                </w:p>
              </w:tc>
              <w:tc>
                <w:tcPr>
                  <w:tcW w:w="896" w:type="pct"/>
                  <w:tcBorders>
                    <w:top w:val="single" w:color="auto" w:sz="4" w:space="0"/>
                    <w:left w:val="single" w:color="auto" w:sz="4" w:space="0"/>
                    <w:bottom w:val="single" w:color="auto" w:sz="4" w:space="0"/>
                    <w:right w:val="single" w:color="auto" w:sz="12" w:space="0"/>
                  </w:tcBorders>
                  <w:noWrap w:val="0"/>
                  <w:vAlign w:val="center"/>
                </w:tcPr>
                <w:p w14:paraId="5165C1AF">
                  <w:pPr>
                    <w:keepNext w:val="0"/>
                    <w:keepLines w:val="0"/>
                    <w:widowControl/>
                    <w:suppressLineNumbers w:val="0"/>
                    <w:autoSpaceDE w:val="0"/>
                    <w:autoSpaceDN w:val="0"/>
                    <w:snapToGrid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36</w:t>
                  </w:r>
                </w:p>
              </w:tc>
            </w:tr>
            <w:tr w14:paraId="603149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tcBorders>
                    <w:top w:val="single" w:color="auto" w:sz="4" w:space="0"/>
                    <w:left w:val="single" w:color="auto" w:sz="12" w:space="0"/>
                    <w:bottom w:val="single" w:color="auto" w:sz="4" w:space="0"/>
                    <w:right w:val="single" w:color="auto" w:sz="4" w:space="0"/>
                  </w:tcBorders>
                  <w:noWrap w:val="0"/>
                  <w:vAlign w:val="center"/>
                </w:tcPr>
                <w:p w14:paraId="58168523">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10</w:t>
                  </w:r>
                </w:p>
              </w:tc>
              <w:tc>
                <w:tcPr>
                  <w:tcW w:w="2836" w:type="pct"/>
                  <w:tcBorders>
                    <w:top w:val="single" w:color="auto" w:sz="4" w:space="0"/>
                    <w:left w:val="single" w:color="auto" w:sz="4" w:space="0"/>
                    <w:bottom w:val="single" w:color="auto" w:sz="4" w:space="0"/>
                    <w:right w:val="single" w:color="auto" w:sz="4" w:space="0"/>
                  </w:tcBorders>
                  <w:noWrap w:val="0"/>
                  <w:vAlign w:val="center"/>
                </w:tcPr>
                <w:p w14:paraId="5FD658FE">
                  <w:pPr>
                    <w:keepNext w:val="0"/>
                    <w:keepLines w:val="0"/>
                    <w:suppressLineNumbers w:val="0"/>
                    <w:autoSpaceDE w:val="0"/>
                    <w:autoSpaceDN w:val="0"/>
                    <w:snapToGrid w:val="0"/>
                    <w:spacing w:before="0" w:beforeAutospacing="0" w:after="0" w:afterAutospacing="0" w:line="28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银钛Ⅱ回220kV线路边导线投影点15m处</w:t>
                  </w:r>
                </w:p>
              </w:tc>
              <w:tc>
                <w:tcPr>
                  <w:tcW w:w="853" w:type="pct"/>
                  <w:tcBorders>
                    <w:top w:val="single" w:color="auto" w:sz="4" w:space="0"/>
                    <w:left w:val="single" w:color="auto" w:sz="4" w:space="0"/>
                    <w:bottom w:val="single" w:color="auto" w:sz="4" w:space="0"/>
                    <w:right w:val="single" w:color="auto" w:sz="4" w:space="0"/>
                  </w:tcBorders>
                  <w:noWrap w:val="0"/>
                  <w:vAlign w:val="center"/>
                </w:tcPr>
                <w:p w14:paraId="360BEFC2">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50</w:t>
                  </w:r>
                </w:p>
              </w:tc>
              <w:tc>
                <w:tcPr>
                  <w:tcW w:w="896" w:type="pct"/>
                  <w:tcBorders>
                    <w:top w:val="single" w:color="auto" w:sz="4" w:space="0"/>
                    <w:left w:val="single" w:color="auto" w:sz="4" w:space="0"/>
                    <w:bottom w:val="single" w:color="auto" w:sz="4" w:space="0"/>
                    <w:right w:val="single" w:color="auto" w:sz="12" w:space="0"/>
                  </w:tcBorders>
                  <w:noWrap w:val="0"/>
                  <w:vAlign w:val="center"/>
                </w:tcPr>
                <w:p w14:paraId="24E02EEC">
                  <w:pPr>
                    <w:keepNext w:val="0"/>
                    <w:keepLines w:val="0"/>
                    <w:widowControl/>
                    <w:suppressLineNumbers w:val="0"/>
                    <w:autoSpaceDE w:val="0"/>
                    <w:autoSpaceDN w:val="0"/>
                    <w:snapToGrid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41</w:t>
                  </w:r>
                </w:p>
              </w:tc>
            </w:tr>
            <w:tr w14:paraId="264DD1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tcBorders>
                    <w:top w:val="single" w:color="auto" w:sz="4" w:space="0"/>
                    <w:left w:val="single" w:color="auto" w:sz="12" w:space="0"/>
                    <w:bottom w:val="single" w:color="auto" w:sz="4" w:space="0"/>
                    <w:right w:val="single" w:color="auto" w:sz="4" w:space="0"/>
                  </w:tcBorders>
                  <w:noWrap w:val="0"/>
                  <w:vAlign w:val="center"/>
                </w:tcPr>
                <w:p w14:paraId="3562720D">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11</w:t>
                  </w:r>
                </w:p>
              </w:tc>
              <w:tc>
                <w:tcPr>
                  <w:tcW w:w="2836" w:type="pct"/>
                  <w:tcBorders>
                    <w:top w:val="single" w:color="auto" w:sz="4" w:space="0"/>
                    <w:left w:val="single" w:color="auto" w:sz="4" w:space="0"/>
                    <w:bottom w:val="single" w:color="auto" w:sz="4" w:space="0"/>
                    <w:right w:val="single" w:color="auto" w:sz="4" w:space="0"/>
                  </w:tcBorders>
                  <w:noWrap w:val="0"/>
                  <w:vAlign w:val="center"/>
                </w:tcPr>
                <w:p w14:paraId="10CFA60E">
                  <w:pPr>
                    <w:keepNext w:val="0"/>
                    <w:keepLines w:val="0"/>
                    <w:suppressLineNumbers w:val="0"/>
                    <w:autoSpaceDE w:val="0"/>
                    <w:autoSpaceDN w:val="0"/>
                    <w:snapToGrid w:val="0"/>
                    <w:spacing w:before="0" w:beforeAutospacing="0" w:after="0" w:afterAutospacing="0" w:line="28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银钛Ⅱ回220kV线路边导线投影点20m处</w:t>
                  </w:r>
                </w:p>
              </w:tc>
              <w:tc>
                <w:tcPr>
                  <w:tcW w:w="853" w:type="pct"/>
                  <w:tcBorders>
                    <w:top w:val="single" w:color="auto" w:sz="4" w:space="0"/>
                    <w:left w:val="single" w:color="auto" w:sz="4" w:space="0"/>
                    <w:bottom w:val="single" w:color="auto" w:sz="4" w:space="0"/>
                    <w:right w:val="single" w:color="auto" w:sz="4" w:space="0"/>
                  </w:tcBorders>
                  <w:noWrap w:val="0"/>
                  <w:vAlign w:val="center"/>
                </w:tcPr>
                <w:p w14:paraId="19BCBE43">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48</w:t>
                  </w:r>
                </w:p>
              </w:tc>
              <w:tc>
                <w:tcPr>
                  <w:tcW w:w="896" w:type="pct"/>
                  <w:tcBorders>
                    <w:top w:val="single" w:color="auto" w:sz="4" w:space="0"/>
                    <w:left w:val="single" w:color="auto" w:sz="4" w:space="0"/>
                    <w:bottom w:val="single" w:color="auto" w:sz="4" w:space="0"/>
                    <w:right w:val="single" w:color="auto" w:sz="12" w:space="0"/>
                  </w:tcBorders>
                  <w:noWrap w:val="0"/>
                  <w:vAlign w:val="center"/>
                </w:tcPr>
                <w:p w14:paraId="5442C036">
                  <w:pPr>
                    <w:keepNext w:val="0"/>
                    <w:keepLines w:val="0"/>
                    <w:widowControl/>
                    <w:suppressLineNumbers w:val="0"/>
                    <w:autoSpaceDE w:val="0"/>
                    <w:autoSpaceDN w:val="0"/>
                    <w:snapToGrid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39</w:t>
                  </w:r>
                </w:p>
              </w:tc>
            </w:tr>
            <w:tr w14:paraId="3971AF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tcBorders>
                    <w:top w:val="single" w:color="auto" w:sz="4" w:space="0"/>
                    <w:left w:val="single" w:color="auto" w:sz="12" w:space="0"/>
                    <w:bottom w:val="single" w:color="auto" w:sz="4" w:space="0"/>
                    <w:right w:val="single" w:color="auto" w:sz="4" w:space="0"/>
                  </w:tcBorders>
                  <w:noWrap w:val="0"/>
                  <w:vAlign w:val="center"/>
                </w:tcPr>
                <w:p w14:paraId="2CC14571">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12</w:t>
                  </w:r>
                </w:p>
              </w:tc>
              <w:tc>
                <w:tcPr>
                  <w:tcW w:w="2836" w:type="pct"/>
                  <w:tcBorders>
                    <w:top w:val="single" w:color="auto" w:sz="4" w:space="0"/>
                    <w:left w:val="single" w:color="auto" w:sz="4" w:space="0"/>
                    <w:bottom w:val="single" w:color="auto" w:sz="4" w:space="0"/>
                    <w:right w:val="single" w:color="auto" w:sz="4" w:space="0"/>
                  </w:tcBorders>
                  <w:noWrap w:val="0"/>
                  <w:vAlign w:val="center"/>
                </w:tcPr>
                <w:p w14:paraId="1506902B">
                  <w:pPr>
                    <w:keepNext w:val="0"/>
                    <w:keepLines w:val="0"/>
                    <w:suppressLineNumbers w:val="0"/>
                    <w:autoSpaceDE w:val="0"/>
                    <w:autoSpaceDN w:val="0"/>
                    <w:snapToGrid w:val="0"/>
                    <w:spacing w:before="0" w:beforeAutospacing="0" w:after="0" w:afterAutospacing="0" w:line="28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银钛Ⅱ回220kV线路边导线投影点25m处</w:t>
                  </w:r>
                </w:p>
              </w:tc>
              <w:tc>
                <w:tcPr>
                  <w:tcW w:w="853" w:type="pct"/>
                  <w:tcBorders>
                    <w:top w:val="single" w:color="auto" w:sz="4" w:space="0"/>
                    <w:left w:val="single" w:color="auto" w:sz="4" w:space="0"/>
                    <w:bottom w:val="single" w:color="auto" w:sz="4" w:space="0"/>
                    <w:right w:val="single" w:color="auto" w:sz="4" w:space="0"/>
                  </w:tcBorders>
                  <w:noWrap w:val="0"/>
                  <w:vAlign w:val="center"/>
                </w:tcPr>
                <w:p w14:paraId="68F4BF6C">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47</w:t>
                  </w:r>
                </w:p>
              </w:tc>
              <w:tc>
                <w:tcPr>
                  <w:tcW w:w="896" w:type="pct"/>
                  <w:tcBorders>
                    <w:top w:val="single" w:color="auto" w:sz="4" w:space="0"/>
                    <w:left w:val="single" w:color="auto" w:sz="4" w:space="0"/>
                    <w:bottom w:val="single" w:color="auto" w:sz="4" w:space="0"/>
                    <w:right w:val="single" w:color="auto" w:sz="12" w:space="0"/>
                  </w:tcBorders>
                  <w:noWrap w:val="0"/>
                  <w:vAlign w:val="center"/>
                </w:tcPr>
                <w:p w14:paraId="0069B31B">
                  <w:pPr>
                    <w:keepNext w:val="0"/>
                    <w:keepLines w:val="0"/>
                    <w:widowControl/>
                    <w:suppressLineNumbers w:val="0"/>
                    <w:autoSpaceDE w:val="0"/>
                    <w:autoSpaceDN w:val="0"/>
                    <w:snapToGrid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40</w:t>
                  </w:r>
                </w:p>
              </w:tc>
            </w:tr>
            <w:tr w14:paraId="4508A7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tcBorders>
                    <w:top w:val="single" w:color="auto" w:sz="4" w:space="0"/>
                    <w:left w:val="single" w:color="auto" w:sz="12" w:space="0"/>
                    <w:bottom w:val="single" w:color="auto" w:sz="4" w:space="0"/>
                    <w:right w:val="single" w:color="auto" w:sz="4" w:space="0"/>
                  </w:tcBorders>
                  <w:noWrap w:val="0"/>
                  <w:vAlign w:val="center"/>
                </w:tcPr>
                <w:p w14:paraId="2E87ADA7">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13</w:t>
                  </w:r>
                </w:p>
              </w:tc>
              <w:tc>
                <w:tcPr>
                  <w:tcW w:w="2836" w:type="pct"/>
                  <w:tcBorders>
                    <w:top w:val="single" w:color="auto" w:sz="4" w:space="0"/>
                    <w:left w:val="single" w:color="auto" w:sz="4" w:space="0"/>
                    <w:bottom w:val="single" w:color="auto" w:sz="4" w:space="0"/>
                    <w:right w:val="single" w:color="auto" w:sz="4" w:space="0"/>
                  </w:tcBorders>
                  <w:noWrap w:val="0"/>
                  <w:vAlign w:val="center"/>
                </w:tcPr>
                <w:p w14:paraId="4D107C39">
                  <w:pPr>
                    <w:keepNext w:val="0"/>
                    <w:keepLines w:val="0"/>
                    <w:suppressLineNumbers w:val="0"/>
                    <w:autoSpaceDE w:val="0"/>
                    <w:autoSpaceDN w:val="0"/>
                    <w:snapToGrid w:val="0"/>
                    <w:spacing w:before="0" w:beforeAutospacing="0" w:after="0" w:afterAutospacing="0" w:line="28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银钛Ⅱ回220kV线路边导线投影点30m处</w:t>
                  </w:r>
                </w:p>
              </w:tc>
              <w:tc>
                <w:tcPr>
                  <w:tcW w:w="853" w:type="pct"/>
                  <w:tcBorders>
                    <w:top w:val="single" w:color="auto" w:sz="4" w:space="0"/>
                    <w:left w:val="single" w:color="auto" w:sz="4" w:space="0"/>
                    <w:bottom w:val="single" w:color="auto" w:sz="4" w:space="0"/>
                    <w:right w:val="single" w:color="auto" w:sz="4" w:space="0"/>
                  </w:tcBorders>
                  <w:noWrap w:val="0"/>
                  <w:vAlign w:val="center"/>
                </w:tcPr>
                <w:p w14:paraId="284D0C45">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48</w:t>
                  </w:r>
                </w:p>
              </w:tc>
              <w:tc>
                <w:tcPr>
                  <w:tcW w:w="896" w:type="pct"/>
                  <w:tcBorders>
                    <w:top w:val="single" w:color="auto" w:sz="4" w:space="0"/>
                    <w:left w:val="single" w:color="auto" w:sz="4" w:space="0"/>
                    <w:bottom w:val="single" w:color="auto" w:sz="4" w:space="0"/>
                    <w:right w:val="single" w:color="auto" w:sz="12" w:space="0"/>
                  </w:tcBorders>
                  <w:noWrap w:val="0"/>
                  <w:vAlign w:val="center"/>
                </w:tcPr>
                <w:p w14:paraId="469EEAC7">
                  <w:pPr>
                    <w:keepNext w:val="0"/>
                    <w:keepLines w:val="0"/>
                    <w:widowControl/>
                    <w:suppressLineNumbers w:val="0"/>
                    <w:autoSpaceDE w:val="0"/>
                    <w:autoSpaceDN w:val="0"/>
                    <w:snapToGrid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40</w:t>
                  </w:r>
                </w:p>
              </w:tc>
            </w:tr>
            <w:tr w14:paraId="37055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tcBorders>
                    <w:top w:val="single" w:color="auto" w:sz="4" w:space="0"/>
                    <w:left w:val="single" w:color="auto" w:sz="12" w:space="0"/>
                    <w:bottom w:val="single" w:color="auto" w:sz="4" w:space="0"/>
                    <w:right w:val="single" w:color="auto" w:sz="4" w:space="0"/>
                  </w:tcBorders>
                  <w:noWrap w:val="0"/>
                  <w:vAlign w:val="center"/>
                </w:tcPr>
                <w:p w14:paraId="7B8FD1F4">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14</w:t>
                  </w:r>
                </w:p>
              </w:tc>
              <w:tc>
                <w:tcPr>
                  <w:tcW w:w="2836" w:type="pct"/>
                  <w:tcBorders>
                    <w:top w:val="single" w:color="auto" w:sz="4" w:space="0"/>
                    <w:left w:val="single" w:color="auto" w:sz="4" w:space="0"/>
                    <w:bottom w:val="single" w:color="auto" w:sz="4" w:space="0"/>
                    <w:right w:val="single" w:color="auto" w:sz="4" w:space="0"/>
                  </w:tcBorders>
                  <w:noWrap w:val="0"/>
                  <w:vAlign w:val="center"/>
                </w:tcPr>
                <w:p w14:paraId="158D21BF">
                  <w:pPr>
                    <w:keepNext w:val="0"/>
                    <w:keepLines w:val="0"/>
                    <w:suppressLineNumbers w:val="0"/>
                    <w:autoSpaceDE w:val="0"/>
                    <w:autoSpaceDN w:val="0"/>
                    <w:snapToGrid w:val="0"/>
                    <w:spacing w:before="0" w:beforeAutospacing="0" w:after="0" w:afterAutospacing="0" w:line="28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银钛Ⅱ回220kV线路边导线投影点35m处</w:t>
                  </w:r>
                </w:p>
              </w:tc>
              <w:tc>
                <w:tcPr>
                  <w:tcW w:w="853" w:type="pct"/>
                  <w:tcBorders>
                    <w:top w:val="single" w:color="auto" w:sz="4" w:space="0"/>
                    <w:left w:val="single" w:color="auto" w:sz="4" w:space="0"/>
                    <w:bottom w:val="single" w:color="auto" w:sz="4" w:space="0"/>
                    <w:right w:val="single" w:color="auto" w:sz="4" w:space="0"/>
                  </w:tcBorders>
                  <w:noWrap w:val="0"/>
                  <w:vAlign w:val="center"/>
                </w:tcPr>
                <w:p w14:paraId="505F2AB4">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46</w:t>
                  </w:r>
                </w:p>
              </w:tc>
              <w:tc>
                <w:tcPr>
                  <w:tcW w:w="896" w:type="pct"/>
                  <w:tcBorders>
                    <w:top w:val="single" w:color="auto" w:sz="4" w:space="0"/>
                    <w:left w:val="single" w:color="auto" w:sz="4" w:space="0"/>
                    <w:bottom w:val="single" w:color="auto" w:sz="4" w:space="0"/>
                    <w:right w:val="single" w:color="auto" w:sz="12" w:space="0"/>
                  </w:tcBorders>
                  <w:noWrap w:val="0"/>
                  <w:vAlign w:val="center"/>
                </w:tcPr>
                <w:p w14:paraId="1EF3CEF8">
                  <w:pPr>
                    <w:keepNext w:val="0"/>
                    <w:keepLines w:val="0"/>
                    <w:widowControl/>
                    <w:suppressLineNumbers w:val="0"/>
                    <w:autoSpaceDE w:val="0"/>
                    <w:autoSpaceDN w:val="0"/>
                    <w:snapToGrid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43</w:t>
                  </w:r>
                </w:p>
              </w:tc>
            </w:tr>
            <w:tr w14:paraId="736CC6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tcBorders>
                    <w:top w:val="single" w:color="auto" w:sz="4" w:space="0"/>
                    <w:left w:val="single" w:color="auto" w:sz="12" w:space="0"/>
                    <w:bottom w:val="single" w:color="auto" w:sz="4" w:space="0"/>
                    <w:right w:val="single" w:color="auto" w:sz="4" w:space="0"/>
                  </w:tcBorders>
                  <w:noWrap w:val="0"/>
                  <w:vAlign w:val="center"/>
                </w:tcPr>
                <w:p w14:paraId="3151D04C">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15</w:t>
                  </w:r>
                </w:p>
              </w:tc>
              <w:tc>
                <w:tcPr>
                  <w:tcW w:w="2836" w:type="pct"/>
                  <w:tcBorders>
                    <w:top w:val="single" w:color="auto" w:sz="4" w:space="0"/>
                    <w:left w:val="single" w:color="auto" w:sz="4" w:space="0"/>
                    <w:bottom w:val="single" w:color="auto" w:sz="4" w:space="0"/>
                    <w:right w:val="single" w:color="auto" w:sz="4" w:space="0"/>
                  </w:tcBorders>
                  <w:noWrap w:val="0"/>
                  <w:vAlign w:val="center"/>
                </w:tcPr>
                <w:p w14:paraId="0554127A">
                  <w:pPr>
                    <w:keepNext w:val="0"/>
                    <w:keepLines w:val="0"/>
                    <w:suppressLineNumbers w:val="0"/>
                    <w:autoSpaceDE w:val="0"/>
                    <w:autoSpaceDN w:val="0"/>
                    <w:snapToGrid w:val="0"/>
                    <w:spacing w:before="0" w:beforeAutospacing="0" w:after="0" w:afterAutospacing="0" w:line="28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银钛Ⅱ回220kV线路边导线投影点40m处</w:t>
                  </w:r>
                </w:p>
              </w:tc>
              <w:tc>
                <w:tcPr>
                  <w:tcW w:w="853" w:type="pct"/>
                  <w:tcBorders>
                    <w:top w:val="single" w:color="auto" w:sz="4" w:space="0"/>
                    <w:left w:val="single" w:color="auto" w:sz="4" w:space="0"/>
                    <w:bottom w:val="single" w:color="auto" w:sz="4" w:space="0"/>
                    <w:right w:val="single" w:color="auto" w:sz="4" w:space="0"/>
                  </w:tcBorders>
                  <w:noWrap w:val="0"/>
                  <w:vAlign w:val="center"/>
                </w:tcPr>
                <w:p w14:paraId="2548F36F">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46</w:t>
                  </w:r>
                </w:p>
              </w:tc>
              <w:tc>
                <w:tcPr>
                  <w:tcW w:w="896" w:type="pct"/>
                  <w:tcBorders>
                    <w:top w:val="single" w:color="auto" w:sz="4" w:space="0"/>
                    <w:left w:val="single" w:color="auto" w:sz="4" w:space="0"/>
                    <w:bottom w:val="single" w:color="auto" w:sz="4" w:space="0"/>
                    <w:right w:val="single" w:color="auto" w:sz="12" w:space="0"/>
                  </w:tcBorders>
                  <w:noWrap w:val="0"/>
                  <w:vAlign w:val="center"/>
                </w:tcPr>
                <w:p w14:paraId="75F572B9">
                  <w:pPr>
                    <w:keepNext w:val="0"/>
                    <w:keepLines w:val="0"/>
                    <w:widowControl/>
                    <w:suppressLineNumbers w:val="0"/>
                    <w:autoSpaceDE w:val="0"/>
                    <w:autoSpaceDN w:val="0"/>
                    <w:snapToGrid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42</w:t>
                  </w:r>
                </w:p>
              </w:tc>
            </w:tr>
            <w:tr w14:paraId="27A23F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tcBorders>
                    <w:top w:val="single" w:color="auto" w:sz="4" w:space="0"/>
                    <w:left w:val="single" w:color="auto" w:sz="12" w:space="0"/>
                    <w:bottom w:val="single" w:color="auto" w:sz="4" w:space="0"/>
                    <w:right w:val="single" w:color="auto" w:sz="4" w:space="0"/>
                  </w:tcBorders>
                  <w:noWrap w:val="0"/>
                  <w:vAlign w:val="center"/>
                </w:tcPr>
                <w:p w14:paraId="50F3BBF8">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16</w:t>
                  </w:r>
                </w:p>
              </w:tc>
              <w:tc>
                <w:tcPr>
                  <w:tcW w:w="2836" w:type="pct"/>
                  <w:tcBorders>
                    <w:top w:val="single" w:color="auto" w:sz="4" w:space="0"/>
                    <w:left w:val="single" w:color="auto" w:sz="4" w:space="0"/>
                    <w:bottom w:val="single" w:color="auto" w:sz="4" w:space="0"/>
                    <w:right w:val="single" w:color="auto" w:sz="4" w:space="0"/>
                  </w:tcBorders>
                  <w:noWrap w:val="0"/>
                  <w:vAlign w:val="center"/>
                </w:tcPr>
                <w:p w14:paraId="5CD62B06">
                  <w:pPr>
                    <w:keepNext w:val="0"/>
                    <w:keepLines w:val="0"/>
                    <w:suppressLineNumbers w:val="0"/>
                    <w:autoSpaceDE w:val="0"/>
                    <w:autoSpaceDN w:val="0"/>
                    <w:snapToGrid w:val="0"/>
                    <w:spacing w:before="0" w:beforeAutospacing="0" w:after="0" w:afterAutospacing="0" w:line="28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银钛Ⅱ回220kV线路边导线投影点45m处</w:t>
                  </w:r>
                </w:p>
              </w:tc>
              <w:tc>
                <w:tcPr>
                  <w:tcW w:w="853" w:type="pct"/>
                  <w:tcBorders>
                    <w:top w:val="single" w:color="auto" w:sz="4" w:space="0"/>
                    <w:left w:val="single" w:color="auto" w:sz="4" w:space="0"/>
                    <w:bottom w:val="single" w:color="auto" w:sz="4" w:space="0"/>
                    <w:right w:val="single" w:color="auto" w:sz="4" w:space="0"/>
                  </w:tcBorders>
                  <w:noWrap w:val="0"/>
                  <w:vAlign w:val="center"/>
                </w:tcPr>
                <w:p w14:paraId="06EABF48">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47</w:t>
                  </w:r>
                </w:p>
              </w:tc>
              <w:tc>
                <w:tcPr>
                  <w:tcW w:w="896" w:type="pct"/>
                  <w:tcBorders>
                    <w:top w:val="single" w:color="auto" w:sz="4" w:space="0"/>
                    <w:left w:val="single" w:color="auto" w:sz="4" w:space="0"/>
                    <w:bottom w:val="single" w:color="auto" w:sz="4" w:space="0"/>
                    <w:right w:val="single" w:color="auto" w:sz="12" w:space="0"/>
                  </w:tcBorders>
                  <w:noWrap w:val="0"/>
                  <w:vAlign w:val="center"/>
                </w:tcPr>
                <w:p w14:paraId="224D9239">
                  <w:pPr>
                    <w:keepNext w:val="0"/>
                    <w:keepLines w:val="0"/>
                    <w:widowControl/>
                    <w:suppressLineNumbers w:val="0"/>
                    <w:autoSpaceDE w:val="0"/>
                    <w:autoSpaceDN w:val="0"/>
                    <w:snapToGrid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39</w:t>
                  </w:r>
                </w:p>
              </w:tc>
            </w:tr>
            <w:tr w14:paraId="78D4EA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tcBorders>
                    <w:top w:val="single" w:color="auto" w:sz="4" w:space="0"/>
                    <w:left w:val="single" w:color="auto" w:sz="12" w:space="0"/>
                    <w:bottom w:val="single" w:color="auto" w:sz="12" w:space="0"/>
                    <w:right w:val="single" w:color="auto" w:sz="4" w:space="0"/>
                  </w:tcBorders>
                  <w:noWrap w:val="0"/>
                  <w:vAlign w:val="center"/>
                </w:tcPr>
                <w:p w14:paraId="0AC2FA8C">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17</w:t>
                  </w:r>
                </w:p>
              </w:tc>
              <w:tc>
                <w:tcPr>
                  <w:tcW w:w="2836" w:type="pct"/>
                  <w:tcBorders>
                    <w:top w:val="single" w:color="auto" w:sz="4" w:space="0"/>
                    <w:left w:val="single" w:color="auto" w:sz="4" w:space="0"/>
                    <w:bottom w:val="single" w:color="auto" w:sz="12" w:space="0"/>
                    <w:right w:val="single" w:color="auto" w:sz="4" w:space="0"/>
                  </w:tcBorders>
                  <w:noWrap w:val="0"/>
                  <w:vAlign w:val="center"/>
                </w:tcPr>
                <w:p w14:paraId="673DBDA3">
                  <w:pPr>
                    <w:keepNext w:val="0"/>
                    <w:keepLines w:val="0"/>
                    <w:suppressLineNumbers w:val="0"/>
                    <w:autoSpaceDE w:val="0"/>
                    <w:autoSpaceDN w:val="0"/>
                    <w:snapToGrid w:val="0"/>
                    <w:spacing w:before="0" w:beforeAutospacing="0" w:after="0" w:afterAutospacing="0" w:line="28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银钛Ⅱ回220kV线路边导线投影点50m处</w:t>
                  </w:r>
                </w:p>
              </w:tc>
              <w:tc>
                <w:tcPr>
                  <w:tcW w:w="853" w:type="pct"/>
                  <w:tcBorders>
                    <w:top w:val="single" w:color="auto" w:sz="4" w:space="0"/>
                    <w:left w:val="single" w:color="auto" w:sz="4" w:space="0"/>
                    <w:bottom w:val="single" w:color="auto" w:sz="12" w:space="0"/>
                    <w:right w:val="single" w:color="auto" w:sz="4" w:space="0"/>
                  </w:tcBorders>
                  <w:noWrap w:val="0"/>
                  <w:vAlign w:val="center"/>
                </w:tcPr>
                <w:p w14:paraId="0D3A1998">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46</w:t>
                  </w:r>
                </w:p>
              </w:tc>
              <w:tc>
                <w:tcPr>
                  <w:tcW w:w="896" w:type="pct"/>
                  <w:tcBorders>
                    <w:top w:val="single" w:color="auto" w:sz="4" w:space="0"/>
                    <w:left w:val="single" w:color="auto" w:sz="4" w:space="0"/>
                    <w:bottom w:val="single" w:color="auto" w:sz="12" w:space="0"/>
                    <w:right w:val="single" w:color="auto" w:sz="12" w:space="0"/>
                  </w:tcBorders>
                  <w:noWrap w:val="0"/>
                  <w:vAlign w:val="center"/>
                </w:tcPr>
                <w:p w14:paraId="1DE36F84">
                  <w:pPr>
                    <w:keepNext w:val="0"/>
                    <w:keepLines w:val="0"/>
                    <w:widowControl/>
                    <w:suppressLineNumbers w:val="0"/>
                    <w:autoSpaceDE w:val="0"/>
                    <w:autoSpaceDN w:val="0"/>
                    <w:snapToGrid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40</w:t>
                  </w:r>
                </w:p>
              </w:tc>
            </w:tr>
          </w:tbl>
          <w:p w14:paraId="3FCCDD20">
            <w:pPr>
              <w:keepNext w:val="0"/>
              <w:keepLines w:val="0"/>
              <w:pageBreakBefore w:val="0"/>
              <w:widowControl w:val="0"/>
              <w:suppressLineNumbers w:val="0"/>
              <w:kinsoku/>
              <w:wordWrap/>
              <w:overflowPunct/>
              <w:topLinePunct w:val="0"/>
              <w:autoSpaceDE/>
              <w:autoSpaceDN/>
              <w:bidi w:val="0"/>
              <w:adjustRightInd w:val="0"/>
              <w:snapToGrid w:val="0"/>
              <w:spacing w:before="313" w:beforeLines="100" w:beforeAutospacing="0" w:after="0" w:afterAutospacing="0" w:line="360" w:lineRule="auto"/>
              <w:ind w:left="0" w:leftChars="0" w:right="0" w:firstLine="480" w:firstLineChars="200"/>
              <w:jc w:val="both"/>
              <w:textAlignment w:val="auto"/>
              <w:rPr>
                <w:rFonts w:hint="default" w:ascii="宋体" w:hAnsi="宋体" w:cs="宋体"/>
                <w:b/>
                <w:bCs/>
                <w:color w:val="auto"/>
                <w:spacing w:val="-4"/>
                <w:kern w:val="0"/>
                <w:sz w:val="24"/>
                <w:szCs w:val="21"/>
                <w:highlight w:val="none"/>
                <w:lang w:val="en-US"/>
              </w:rPr>
            </w:pPr>
            <w:r>
              <w:rPr>
                <w:rFonts w:hint="eastAsia" w:ascii="宋体" w:hAnsi="宋体" w:eastAsia="宋体" w:cs="宋体"/>
                <w:color w:val="auto"/>
                <w:kern w:val="2"/>
                <w:sz w:val="24"/>
                <w:szCs w:val="24"/>
                <w:highlight w:val="none"/>
                <w:lang w:val="en-US" w:eastAsia="zh-CN" w:bidi="ar-SA"/>
              </w:rPr>
              <w:t>由表4-</w:t>
            </w:r>
            <w:r>
              <w:rPr>
                <w:rFonts w:hint="eastAsia" w:ascii="宋体"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可知：钛镁线、银钛Ⅱ线220kV输电线路50m范围内噪声监测值为46～54dB(A)，夜间噪声监测值为36～43dB(A)，总体线路噪声实际贡献值很小。由类比输电线路</w:t>
            </w:r>
            <w:r>
              <w:rPr>
                <w:rFonts w:hint="eastAsia" w:ascii="宋体" w:hAnsi="宋体" w:eastAsia="宋体" w:cs="Calibri"/>
                <w:color w:val="auto"/>
                <w:kern w:val="2"/>
                <w:sz w:val="24"/>
                <w:szCs w:val="21"/>
                <w:lang w:val="en-US" w:eastAsia="zh-CN" w:bidi="ar-SA"/>
              </w:rPr>
              <w:t>噪声监测结果</w:t>
            </w:r>
            <w:r>
              <w:rPr>
                <w:rFonts w:hint="eastAsia" w:ascii="宋体" w:hAnsi="宋体" w:eastAsia="宋体" w:cs="宋体"/>
                <w:color w:val="auto"/>
                <w:kern w:val="2"/>
                <w:sz w:val="24"/>
                <w:szCs w:val="24"/>
                <w:highlight w:val="none"/>
                <w:lang w:val="en-US" w:eastAsia="zh-CN" w:bidi="ar-SA"/>
              </w:rPr>
              <w:t>可知，本项目</w:t>
            </w:r>
            <w:r>
              <w:rPr>
                <w:rFonts w:hint="eastAsia" w:ascii="宋体" w:hAnsi="宋体" w:cs="宋体"/>
                <w:color w:val="auto"/>
                <w:kern w:val="2"/>
                <w:sz w:val="24"/>
                <w:szCs w:val="24"/>
                <w:highlight w:val="none"/>
                <w:lang w:val="en-US" w:eastAsia="zh-CN" w:bidi="ar-SA"/>
              </w:rPr>
              <w:t>同塔双回架空线路</w:t>
            </w:r>
            <w:r>
              <w:rPr>
                <w:rFonts w:hint="eastAsia" w:ascii="宋体" w:hAnsi="宋体" w:eastAsia="宋体" w:cs="宋体"/>
                <w:color w:val="auto"/>
                <w:kern w:val="2"/>
                <w:sz w:val="24"/>
                <w:szCs w:val="24"/>
                <w:highlight w:val="none"/>
                <w:lang w:val="en-US" w:eastAsia="zh-CN" w:bidi="ar-SA"/>
              </w:rPr>
              <w:t>运行噪声不会对周边声环境造成明显影响，线路声环境可满足《声环境质量标准》</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GB3096-2008</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中2类声环境功能区标准</w:t>
            </w:r>
            <w:r>
              <w:rPr>
                <w:rFonts w:hint="eastAsia" w:ascii="宋体" w:hAnsi="宋体" w:eastAsia="宋体" w:cs="宋体"/>
                <w:color w:val="auto"/>
                <w:kern w:val="2"/>
                <w:sz w:val="24"/>
                <w:szCs w:val="21"/>
                <w:lang w:val="en-US" w:eastAsia="zh-CN" w:bidi="ar-SA"/>
              </w:rPr>
              <w:t>。</w:t>
            </w:r>
          </w:p>
          <w:p w14:paraId="2E00A2E5">
            <w:pPr>
              <w:pStyle w:val="8"/>
              <w:keepNext w:val="0"/>
              <w:keepLines w:val="0"/>
              <w:suppressLineNumbers w:val="0"/>
              <w:adjustRightInd/>
              <w:snapToGrid/>
              <w:spacing w:before="0" w:beforeAutospacing="0" w:after="0" w:afterAutospacing="0" w:line="360" w:lineRule="auto"/>
              <w:ind w:left="0" w:right="0"/>
              <w:outlineLvl w:val="9"/>
              <w:rPr>
                <w:rFonts w:hint="eastAsia" w:ascii="宋体" w:hAnsi="宋体" w:eastAsia="宋体" w:cs="宋体"/>
                <w:b/>
                <w:color w:val="auto"/>
                <w:sz w:val="24"/>
              </w:rPr>
            </w:pPr>
            <w:r>
              <w:rPr>
                <w:rFonts w:hint="eastAsia" w:ascii="宋体" w:hAnsi="宋体" w:eastAsia="宋体" w:cs="宋体"/>
                <w:b/>
                <w:color w:val="auto"/>
                <w:sz w:val="24"/>
              </w:rPr>
              <w:t>5运营期固体废物影响分析</w:t>
            </w:r>
          </w:p>
          <w:p w14:paraId="697E2D58">
            <w:pPr>
              <w:pStyle w:val="8"/>
              <w:keepNext w:val="0"/>
              <w:keepLines w:val="0"/>
              <w:suppressLineNumbers w:val="0"/>
              <w:adjustRightInd/>
              <w:snapToGrid/>
              <w:spacing w:before="0" w:beforeAutospacing="0" w:after="0" w:afterAutospacing="0" w:line="360" w:lineRule="auto"/>
              <w:ind w:left="0" w:right="0"/>
              <w:outlineLvl w:val="9"/>
              <w:rPr>
                <w:rFonts w:hint="eastAsia" w:ascii="宋体" w:hAnsi="宋体" w:eastAsia="宋体" w:cs="宋体"/>
                <w:b/>
                <w:color w:val="auto"/>
                <w:sz w:val="24"/>
                <w:lang w:val="en-US" w:eastAsia="zh-CN"/>
              </w:rPr>
            </w:pPr>
            <w:r>
              <w:rPr>
                <w:rFonts w:hint="eastAsia" w:ascii="宋体" w:hAnsi="宋体" w:eastAsia="宋体" w:cs="宋体"/>
                <w:b/>
                <w:color w:val="auto"/>
                <w:sz w:val="24"/>
              </w:rPr>
              <w:t>5.1</w:t>
            </w:r>
            <w:r>
              <w:rPr>
                <w:rFonts w:hint="eastAsia" w:ascii="宋体" w:hAnsi="宋体" w:eastAsia="宋体" w:cs="宋体"/>
                <w:b/>
                <w:color w:val="auto"/>
                <w:sz w:val="24"/>
                <w:lang w:val="en-US" w:eastAsia="zh-CN"/>
              </w:rPr>
              <w:t>一般固废</w:t>
            </w:r>
          </w:p>
          <w:p w14:paraId="5C8604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yellow"/>
              </w:rPr>
            </w:pPr>
            <w:r>
              <w:rPr>
                <w:rFonts w:hint="eastAsia" w:ascii="宋体" w:hAnsi="宋体" w:cs="宋体"/>
                <w:color w:val="auto"/>
                <w:sz w:val="24"/>
                <w:szCs w:val="24"/>
                <w:highlight w:val="none"/>
                <w:lang w:val="en-US" w:eastAsia="zh-CN"/>
              </w:rPr>
              <w:t>升压站和输电线路</w:t>
            </w:r>
            <w:r>
              <w:rPr>
                <w:rFonts w:hint="eastAsia" w:ascii="宋体" w:hAnsi="宋体" w:eastAsia="宋体" w:cs="宋体"/>
                <w:color w:val="auto"/>
                <w:sz w:val="24"/>
                <w:szCs w:val="24"/>
                <w:highlight w:val="none"/>
              </w:rPr>
              <w:t>在</w:t>
            </w:r>
            <w:r>
              <w:rPr>
                <w:rFonts w:hint="eastAsia" w:ascii="宋体" w:hAnsi="宋体" w:cs="宋体"/>
                <w:color w:val="auto"/>
                <w:sz w:val="24"/>
                <w:szCs w:val="24"/>
                <w:highlight w:val="none"/>
                <w:lang w:val="en-US" w:eastAsia="zh-CN"/>
              </w:rPr>
              <w:t>检</w:t>
            </w:r>
            <w:r>
              <w:rPr>
                <w:rFonts w:hint="eastAsia" w:ascii="宋体" w:hAnsi="宋体" w:eastAsia="宋体" w:cs="宋体"/>
                <w:color w:val="auto"/>
                <w:sz w:val="24"/>
                <w:szCs w:val="24"/>
                <w:highlight w:val="none"/>
              </w:rPr>
              <w:t>修时会产生一些报废零部件，根据</w:t>
            </w:r>
            <w:r>
              <w:rPr>
                <w:rFonts w:hint="eastAsia" w:ascii="宋体" w:hAnsi="宋体" w:eastAsia="宋体" w:cs="宋体"/>
                <w:color w:val="auto"/>
                <w:sz w:val="24"/>
                <w:szCs w:val="24"/>
                <w:highlight w:val="none"/>
                <w:lang w:eastAsia="zh-CN"/>
              </w:rPr>
              <w:t>《固体废物分类与代码目录》</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eastAsia="zh-CN"/>
              </w:rPr>
              <w:t>生态环境部公告2024年第4号</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废零部件一般固废代码为“</w:t>
            </w:r>
            <w:r>
              <w:rPr>
                <w:rFonts w:hint="eastAsia" w:ascii="宋体" w:hAnsi="宋体" w:eastAsia="宋体" w:cs="宋体"/>
                <w:color w:val="auto"/>
                <w:sz w:val="24"/>
                <w:szCs w:val="24"/>
                <w:highlight w:val="none"/>
                <w:lang w:eastAsia="zh-CN"/>
              </w:rPr>
              <w:t>900-013-S17</w:t>
            </w:r>
            <w:r>
              <w:rPr>
                <w:rFonts w:hint="eastAsia" w:ascii="宋体" w:hAnsi="宋体" w:eastAsia="宋体" w:cs="宋体"/>
                <w:color w:val="auto"/>
                <w:sz w:val="24"/>
                <w:szCs w:val="24"/>
                <w:highlight w:val="none"/>
              </w:rPr>
              <w:t>”，废零部件集中收集后由厂家回收处置。</w:t>
            </w:r>
          </w:p>
          <w:p w14:paraId="73005C5E">
            <w:pPr>
              <w:pStyle w:val="8"/>
              <w:keepNext w:val="0"/>
              <w:keepLines w:val="0"/>
              <w:pageBreakBefore w:val="0"/>
              <w:suppressLineNumbers w:val="0"/>
              <w:kinsoku/>
              <w:wordWrap/>
              <w:topLinePunct w:val="0"/>
              <w:bidi w:val="0"/>
              <w:adjustRightInd/>
              <w:snapToGrid/>
              <w:spacing w:before="0" w:beforeAutospacing="0" w:after="0" w:afterAutospacing="0" w:line="360" w:lineRule="auto"/>
              <w:ind w:left="0" w:right="0"/>
              <w:textAlignment w:val="auto"/>
              <w:outlineLvl w:val="9"/>
              <w:rPr>
                <w:rFonts w:hint="eastAsia" w:ascii="宋体" w:hAnsi="宋体" w:eastAsia="宋体" w:cs="宋体"/>
                <w:b/>
                <w:color w:val="auto"/>
                <w:sz w:val="24"/>
                <w:lang w:val="en-US" w:eastAsia="zh-CN"/>
              </w:rPr>
            </w:pPr>
            <w:r>
              <w:rPr>
                <w:rFonts w:hint="eastAsia" w:ascii="宋体" w:hAnsi="宋体" w:eastAsia="宋体" w:cs="宋体"/>
                <w:b/>
                <w:color w:val="auto"/>
                <w:sz w:val="24"/>
              </w:rPr>
              <w:t>5.</w:t>
            </w:r>
            <w:r>
              <w:rPr>
                <w:rFonts w:hint="eastAsia" w:ascii="宋体" w:hAnsi="宋体" w:eastAsia="宋体" w:cs="宋体"/>
                <w:b/>
                <w:color w:val="auto"/>
                <w:sz w:val="24"/>
                <w:lang w:val="en-US" w:eastAsia="zh-CN"/>
              </w:rPr>
              <w:t>2</w:t>
            </w:r>
            <w:r>
              <w:rPr>
                <w:rFonts w:hint="eastAsia" w:hAnsi="宋体" w:eastAsia="宋体" w:cs="宋体"/>
                <w:b/>
                <w:color w:val="auto"/>
                <w:sz w:val="24"/>
                <w:lang w:val="en-US" w:eastAsia="zh-CN"/>
              </w:rPr>
              <w:t>危险废物</w:t>
            </w:r>
          </w:p>
          <w:p w14:paraId="76BA11DC">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废铅酸蓄电池</w:t>
            </w:r>
          </w:p>
          <w:p w14:paraId="6D5717A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项目区使用免维护蓄电池，其正常寿命在5～8年间。根据《国家危险废物名录</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202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版</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w:t>
            </w:r>
            <w:r>
              <w:rPr>
                <w:rFonts w:hint="eastAsia" w:ascii="宋体" w:hAnsi="宋体" w:cs="Calibri"/>
                <w:color w:val="auto"/>
                <w:sz w:val="24"/>
                <w:szCs w:val="21"/>
                <w:highlight w:val="none"/>
              </w:rPr>
              <w:t>部令第</w:t>
            </w:r>
            <w:r>
              <w:rPr>
                <w:rFonts w:hint="eastAsia" w:ascii="宋体" w:hAnsi="宋体" w:cs="Calibri"/>
                <w:color w:val="auto"/>
                <w:sz w:val="24"/>
                <w:szCs w:val="21"/>
                <w:highlight w:val="none"/>
                <w:lang w:val="en-US" w:eastAsia="zh-CN"/>
              </w:rPr>
              <w:t>36</w:t>
            </w:r>
            <w:r>
              <w:rPr>
                <w:rFonts w:hint="eastAsia" w:ascii="宋体" w:hAnsi="宋体" w:cs="Calibri"/>
                <w:color w:val="auto"/>
                <w:sz w:val="24"/>
                <w:szCs w:val="21"/>
                <w:highlight w:val="none"/>
              </w:rPr>
              <w:t>号，202</w:t>
            </w:r>
            <w:r>
              <w:rPr>
                <w:rFonts w:hint="eastAsia" w:ascii="宋体" w:hAnsi="宋体" w:cs="Calibri"/>
                <w:color w:val="auto"/>
                <w:sz w:val="24"/>
                <w:szCs w:val="21"/>
                <w:highlight w:val="none"/>
                <w:lang w:val="en-US" w:eastAsia="zh-CN"/>
              </w:rPr>
              <w:t>4</w:t>
            </w:r>
            <w:r>
              <w:rPr>
                <w:rFonts w:hint="eastAsia" w:ascii="宋体" w:hAnsi="宋体" w:cs="Calibri"/>
                <w:color w:val="auto"/>
                <w:sz w:val="24"/>
                <w:szCs w:val="21"/>
                <w:highlight w:val="none"/>
              </w:rPr>
              <w:t>年1</w:t>
            </w:r>
            <w:r>
              <w:rPr>
                <w:rFonts w:hint="eastAsia" w:ascii="宋体" w:hAnsi="宋体" w:cs="Calibri"/>
                <w:color w:val="auto"/>
                <w:sz w:val="24"/>
                <w:szCs w:val="21"/>
                <w:highlight w:val="none"/>
                <w:lang w:val="en-US" w:eastAsia="zh-CN"/>
              </w:rPr>
              <w:t>1</w:t>
            </w:r>
            <w:r>
              <w:rPr>
                <w:rFonts w:hint="eastAsia" w:ascii="宋体" w:hAnsi="宋体" w:cs="Calibri"/>
                <w:color w:val="auto"/>
                <w:sz w:val="24"/>
                <w:szCs w:val="21"/>
                <w:highlight w:val="none"/>
              </w:rPr>
              <w:t>月</w:t>
            </w:r>
            <w:r>
              <w:rPr>
                <w:rFonts w:hint="eastAsia" w:ascii="宋体" w:hAnsi="宋体" w:cs="Calibri"/>
                <w:color w:val="auto"/>
                <w:sz w:val="24"/>
                <w:szCs w:val="21"/>
                <w:highlight w:val="none"/>
                <w:lang w:val="en-US" w:eastAsia="zh-CN"/>
              </w:rPr>
              <w:t>29</w:t>
            </w:r>
            <w:r>
              <w:rPr>
                <w:rFonts w:hint="eastAsia" w:ascii="宋体" w:hAnsi="宋体" w:cs="Calibri"/>
                <w:color w:val="auto"/>
                <w:sz w:val="24"/>
                <w:szCs w:val="21"/>
                <w:highlight w:val="none"/>
              </w:rPr>
              <w:t>日</w:t>
            </w:r>
            <w:r>
              <w:rPr>
                <w:rFonts w:hint="eastAsia" w:ascii="宋体" w:hAnsi="宋体" w:cs="Calibri"/>
                <w:color w:val="auto"/>
                <w:sz w:val="24"/>
                <w:szCs w:val="21"/>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本项目</w:t>
            </w:r>
            <w:r>
              <w:rPr>
                <w:rFonts w:hint="eastAsia" w:ascii="宋体" w:hAnsi="宋体" w:eastAsia="宋体" w:cs="宋体"/>
                <w:color w:val="auto"/>
                <w:sz w:val="24"/>
                <w:szCs w:val="24"/>
                <w:highlight w:val="none"/>
              </w:rPr>
              <w:t>废弃蓄电池属于“HW31含铅废物”中的“非特定行业”，废物代码“900-052-31”，暂存于</w:t>
            </w:r>
            <w:r>
              <w:rPr>
                <w:rFonts w:hint="eastAsia" w:ascii="宋体" w:hAnsi="宋体" w:cs="宋体"/>
                <w:color w:val="auto"/>
                <w:sz w:val="24"/>
                <w:szCs w:val="24"/>
                <w:highlight w:val="none"/>
                <w:lang w:eastAsia="zh-CN"/>
              </w:rPr>
              <w:t>危废贮存点</w:t>
            </w:r>
            <w:r>
              <w:rPr>
                <w:rFonts w:hint="eastAsia" w:ascii="宋体" w:hAnsi="宋体" w:eastAsia="宋体" w:cs="宋体"/>
                <w:color w:val="auto"/>
                <w:sz w:val="24"/>
                <w:szCs w:val="24"/>
                <w:highlight w:val="none"/>
              </w:rPr>
              <w:t>，最终交由资质单位处置。根据该名录附录“危险废物豁免管理清单”内容，废弃蓄电池为“未破损”状态时，在“运输”环节，当运输工具满足防雨、防渗漏、防遗撒要求时，可进行豁免，不按危险废物进行运输。</w:t>
            </w:r>
          </w:p>
          <w:p w14:paraId="1F2D32F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事故废油</w:t>
            </w:r>
          </w:p>
          <w:p w14:paraId="56D04AFA">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cs="Calibri"/>
                <w:color w:val="auto"/>
                <w:sz w:val="24"/>
                <w:szCs w:val="21"/>
                <w:highlight w:val="none"/>
              </w:rPr>
            </w:pPr>
            <w:r>
              <w:rPr>
                <w:rFonts w:hint="eastAsia" w:ascii="宋体" w:hAnsi="宋体" w:cs="Calibri"/>
                <w:color w:val="auto"/>
                <w:sz w:val="24"/>
                <w:szCs w:val="21"/>
                <w:highlight w:val="none"/>
                <w:lang w:val="en-US" w:eastAsia="zh-CN"/>
              </w:rPr>
              <w:t>升压站</w:t>
            </w:r>
            <w:r>
              <w:rPr>
                <w:rFonts w:hint="eastAsia" w:ascii="宋体" w:hAnsi="宋体" w:cs="Calibri"/>
                <w:color w:val="auto"/>
                <w:sz w:val="24"/>
                <w:szCs w:val="21"/>
                <w:highlight w:val="none"/>
              </w:rPr>
              <w:t>内的变压器为了绝缘和冷却的需要，在变压器外壳内装有大量的变压器油，一般只有检修及事故情况下才会产生油污染。</w:t>
            </w:r>
          </w:p>
          <w:p w14:paraId="1CA4F92C">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Calibri"/>
                <w:color w:val="auto"/>
                <w:sz w:val="24"/>
                <w:szCs w:val="21"/>
                <w:highlight w:val="none"/>
                <w:lang w:val="en-US" w:eastAsia="zh-CN"/>
              </w:rPr>
              <w:t>根据《高压配电装置设计规范》</w:t>
            </w:r>
            <w:r>
              <w:rPr>
                <w:rFonts w:hint="eastAsia" w:ascii="宋体" w:hAnsi="宋体" w:cs="Calibri"/>
                <w:color w:val="auto"/>
                <w:sz w:val="24"/>
                <w:szCs w:val="21"/>
                <w:highlight w:val="none"/>
                <w:lang w:val="en-US" w:eastAsia="zh-CN"/>
              </w:rPr>
              <w:t>（</w:t>
            </w:r>
            <w:r>
              <w:rPr>
                <w:rFonts w:hint="eastAsia" w:ascii="宋体" w:hAnsi="宋体" w:eastAsia="宋体" w:cs="Calibri"/>
                <w:color w:val="auto"/>
                <w:sz w:val="24"/>
                <w:szCs w:val="21"/>
                <w:highlight w:val="none"/>
                <w:lang w:val="en-US" w:eastAsia="zh-CN"/>
              </w:rPr>
              <w:t>DL/T5352-2018</w:t>
            </w:r>
            <w:r>
              <w:rPr>
                <w:rFonts w:hint="eastAsia" w:ascii="宋体" w:hAnsi="宋体" w:cs="Calibri"/>
                <w:color w:val="auto"/>
                <w:sz w:val="24"/>
                <w:szCs w:val="21"/>
                <w:highlight w:val="none"/>
                <w:lang w:val="en-US" w:eastAsia="zh-CN"/>
              </w:rPr>
              <w:t>）</w:t>
            </w:r>
            <w:r>
              <w:rPr>
                <w:rFonts w:hint="eastAsia" w:ascii="宋体" w:hAnsi="宋体" w:eastAsia="宋体" w:cs="Calibri"/>
                <w:color w:val="auto"/>
                <w:sz w:val="24"/>
                <w:szCs w:val="21"/>
                <w:highlight w:val="none"/>
                <w:lang w:val="en-US" w:eastAsia="zh-CN"/>
              </w:rPr>
              <w:t>中5.5.3屋外充油电气设备单台油量在1000kg以上时，应设置挡油设施或储油设施；5.5.4当设置有总事故油池时，其容量宜按其接入的油量最大一台设备的全部油量确定。</w:t>
            </w:r>
            <w:r>
              <w:rPr>
                <w:rFonts w:hint="default" w:ascii="Times New Roman" w:hAnsi="Times New Roman" w:eastAsia="宋体"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rPr>
              <w:t>最大单台变压器油重约</w:t>
            </w:r>
            <w:r>
              <w:rPr>
                <w:rFonts w:hint="default" w:ascii="Times New Roman" w:hAnsi="Times New Roman" w:eastAsia="宋体" w:cs="Times New Roman"/>
                <w:color w:val="auto"/>
                <w:spacing w:val="-4"/>
                <w:kern w:val="0"/>
                <w:sz w:val="24"/>
                <w:szCs w:val="24"/>
                <w:highlight w:val="none"/>
              </w:rPr>
              <w:t>5</w:t>
            </w:r>
            <w:r>
              <w:rPr>
                <w:rFonts w:hint="default" w:ascii="Times New Roman" w:hAnsi="Times New Roman" w:cs="Times New Roman"/>
                <w:color w:val="auto"/>
                <w:spacing w:val="-4"/>
                <w:kern w:val="0"/>
                <w:sz w:val="24"/>
                <w:szCs w:val="24"/>
                <w:highlight w:val="none"/>
                <w:lang w:val="en-US" w:eastAsia="zh-CN"/>
              </w:rPr>
              <w:t>8</w:t>
            </w:r>
            <w:r>
              <w:rPr>
                <w:rFonts w:hint="default" w:ascii="Times New Roman" w:hAnsi="Times New Roman" w:eastAsia="宋体" w:cs="Times New Roman"/>
                <w:color w:val="auto"/>
                <w:spacing w:val="-4"/>
                <w:kern w:val="0"/>
                <w:sz w:val="24"/>
                <w:szCs w:val="24"/>
                <w:highlight w:val="none"/>
              </w:rPr>
              <w:t>t</w:t>
            </w:r>
            <w:r>
              <w:rPr>
                <w:rFonts w:hint="eastAsia" w:cs="Times New Roman"/>
                <w:color w:val="auto"/>
                <w:spacing w:val="-4"/>
                <w:kern w:val="0"/>
                <w:sz w:val="24"/>
                <w:szCs w:val="24"/>
                <w:highlight w:val="none"/>
                <w:lang w:eastAsia="zh-CN"/>
              </w:rPr>
              <w:t>（</w:t>
            </w:r>
            <w:r>
              <w:rPr>
                <w:rFonts w:hint="default" w:ascii="Times New Roman" w:hAnsi="Times New Roman" w:eastAsia="宋体" w:cs="Times New Roman"/>
                <w:color w:val="auto"/>
                <w:spacing w:val="-4"/>
                <w:kern w:val="0"/>
                <w:sz w:val="24"/>
                <w:szCs w:val="24"/>
                <w:highlight w:val="none"/>
              </w:rPr>
              <w:t>约</w:t>
            </w:r>
            <w:r>
              <w:rPr>
                <w:rFonts w:hint="default" w:ascii="Times New Roman" w:hAnsi="Times New Roman" w:cs="Times New Roman"/>
                <w:color w:val="auto"/>
                <w:spacing w:val="-4"/>
                <w:kern w:val="0"/>
                <w:sz w:val="24"/>
                <w:szCs w:val="24"/>
                <w:highlight w:val="none"/>
                <w:lang w:val="en-US" w:eastAsia="zh-CN"/>
              </w:rPr>
              <w:t>65</w:t>
            </w:r>
            <w:r>
              <w:rPr>
                <w:rFonts w:hint="default" w:ascii="Times New Roman" w:hAnsi="Times New Roman" w:eastAsia="宋体" w:cs="Times New Roman"/>
                <w:color w:val="auto"/>
                <w:spacing w:val="-4"/>
                <w:kern w:val="0"/>
                <w:sz w:val="24"/>
                <w:szCs w:val="24"/>
                <w:highlight w:val="none"/>
              </w:rPr>
              <w:t>m</w:t>
            </w:r>
            <w:r>
              <w:rPr>
                <w:rFonts w:hint="default" w:ascii="Times New Roman" w:hAnsi="Times New Roman" w:eastAsia="宋体" w:cs="Times New Roman"/>
                <w:color w:val="auto"/>
                <w:spacing w:val="-4"/>
                <w:kern w:val="0"/>
                <w:sz w:val="24"/>
                <w:szCs w:val="24"/>
                <w:highlight w:val="none"/>
                <w:vertAlign w:val="superscript"/>
              </w:rPr>
              <w:t>3</w:t>
            </w:r>
            <w:r>
              <w:rPr>
                <w:rFonts w:hint="eastAsia" w:cs="Times New Roman"/>
                <w:color w:val="auto"/>
                <w:spacing w:val="-4"/>
                <w:kern w:val="0"/>
                <w:sz w:val="24"/>
                <w:szCs w:val="24"/>
                <w:highlight w:val="none"/>
                <w:vertAlign w:val="superscript"/>
                <w:lang w:eastAsia="zh-CN"/>
              </w:rPr>
              <w:t>）</w:t>
            </w:r>
            <w:r>
              <w:rPr>
                <w:rFonts w:hint="default" w:ascii="Times New Roman" w:hAnsi="Times New Roman" w:eastAsia="宋体" w:cs="Times New Roman"/>
                <w:color w:val="auto"/>
                <w:sz w:val="24"/>
                <w:szCs w:val="24"/>
                <w:highlight w:val="none"/>
              </w:rPr>
              <w:t>，</w:t>
            </w:r>
            <w:r>
              <w:rPr>
                <w:rFonts w:hint="eastAsia" w:ascii="宋体" w:hAnsi="宋体" w:cs="Calibri"/>
                <w:color w:val="auto"/>
                <w:sz w:val="24"/>
                <w:szCs w:val="21"/>
                <w:highlight w:val="none"/>
                <w:lang w:val="en-US" w:eastAsia="zh-CN"/>
              </w:rPr>
              <w:t>升压站内设总</w:t>
            </w:r>
            <w:r>
              <w:rPr>
                <w:rFonts w:hint="eastAsia" w:ascii="宋体" w:hAnsi="宋体" w:cs="Calibri"/>
                <w:color w:val="auto"/>
                <w:sz w:val="24"/>
                <w:szCs w:val="21"/>
                <w:highlight w:val="none"/>
              </w:rPr>
              <w:t>变压器事故油池1座</w:t>
            </w:r>
            <w:r>
              <w:rPr>
                <w:rFonts w:hint="eastAsia" w:ascii="宋体" w:hAnsi="宋体" w:cs="Calibri"/>
                <w:color w:val="auto"/>
                <w:sz w:val="24"/>
                <w:szCs w:val="21"/>
                <w:highlight w:val="none"/>
                <w:lang w:eastAsia="zh-CN"/>
              </w:rPr>
              <w:t>（</w:t>
            </w:r>
            <w:r>
              <w:rPr>
                <w:rFonts w:hint="eastAsia" w:ascii="宋体" w:hAnsi="宋体" w:cs="Calibri"/>
                <w:color w:val="auto"/>
                <w:sz w:val="24"/>
                <w:szCs w:val="21"/>
                <w:highlight w:val="none"/>
              </w:rPr>
              <w:t>容积</w:t>
            </w:r>
            <w:r>
              <w:rPr>
                <w:rFonts w:hint="eastAsia" w:ascii="宋体" w:hAnsi="宋体" w:cs="Calibri"/>
                <w:color w:val="auto"/>
                <w:sz w:val="24"/>
                <w:szCs w:val="21"/>
                <w:highlight w:val="none"/>
                <w:lang w:val="en-US" w:eastAsia="zh-CN"/>
              </w:rPr>
              <w:t>80</w:t>
            </w:r>
            <w:r>
              <w:rPr>
                <w:rFonts w:hint="eastAsia" w:ascii="宋体" w:hAnsi="宋体" w:cs="Calibri"/>
                <w:color w:val="auto"/>
                <w:sz w:val="24"/>
                <w:szCs w:val="21"/>
                <w:highlight w:val="none"/>
              </w:rPr>
              <w:t>m</w:t>
            </w:r>
            <w:r>
              <w:rPr>
                <w:rFonts w:hint="eastAsia" w:ascii="宋体" w:hAnsi="宋体" w:cs="Calibri"/>
                <w:color w:val="auto"/>
                <w:sz w:val="24"/>
                <w:szCs w:val="21"/>
                <w:highlight w:val="none"/>
                <w:vertAlign w:val="superscript"/>
              </w:rPr>
              <w:t>3</w:t>
            </w:r>
            <w:r>
              <w:rPr>
                <w:rFonts w:hint="eastAsia" w:ascii="宋体" w:hAnsi="宋体" w:cs="Calibri"/>
                <w:color w:val="auto"/>
                <w:sz w:val="24"/>
                <w:szCs w:val="21"/>
                <w:highlight w:val="none"/>
                <w:vertAlign w:val="superscript"/>
                <w:lang w:eastAsia="zh-CN"/>
              </w:rPr>
              <w:t>）</w:t>
            </w:r>
            <w:r>
              <w:rPr>
                <w:rFonts w:hint="eastAsia" w:ascii="宋体" w:hAnsi="宋体" w:cs="Calibri"/>
                <w:color w:val="auto"/>
                <w:sz w:val="24"/>
                <w:szCs w:val="21"/>
                <w:highlight w:val="none"/>
              </w:rPr>
              <w:t>，</w:t>
            </w:r>
            <w:r>
              <w:rPr>
                <w:rFonts w:hint="default" w:ascii="Times New Roman" w:hAnsi="Times New Roman" w:cs="Times New Roman"/>
                <w:color w:val="auto"/>
                <w:sz w:val="24"/>
                <w:highlight w:val="none"/>
              </w:rPr>
              <w:t>满足最大单台变压器100%排油量要求</w:t>
            </w:r>
            <w:r>
              <w:rPr>
                <w:rFonts w:hint="eastAsia" w:ascii="Times New Roman" w:hAnsi="Times New Roman" w:cs="Times New Roman"/>
                <w:color w:val="auto"/>
                <w:sz w:val="24"/>
                <w:highlight w:val="none"/>
                <w:lang w:eastAsia="zh-CN"/>
              </w:rPr>
              <w:t>，</w:t>
            </w:r>
            <w:r>
              <w:rPr>
                <w:rFonts w:hint="eastAsia" w:ascii="宋体" w:hAnsi="宋体" w:cs="Calibri"/>
                <w:color w:val="auto"/>
                <w:sz w:val="24"/>
                <w:szCs w:val="21"/>
                <w:highlight w:val="none"/>
              </w:rPr>
              <w:t>可使变压器在发生事故时，壳体内的油排入事故油池，防止变压器油</w:t>
            </w:r>
            <w:r>
              <w:rPr>
                <w:rFonts w:hint="eastAsia" w:ascii="宋体" w:hAnsi="宋体" w:eastAsia="宋体" w:cs="宋体"/>
                <w:color w:val="auto"/>
                <w:sz w:val="24"/>
                <w:szCs w:val="24"/>
                <w:highlight w:val="none"/>
              </w:rPr>
              <w:t>随意乱排造成对环境的污染。</w:t>
            </w:r>
          </w:p>
          <w:p w14:paraId="684A626D">
            <w:pPr>
              <w:keepNext w:val="0"/>
              <w:keepLines w:val="0"/>
              <w:suppressLineNumbers w:val="0"/>
              <w:spacing w:before="0" w:beforeAutospacing="0" w:after="0" w:afterAutospacing="0" w:line="360" w:lineRule="auto"/>
              <w:ind w:left="0" w:right="0" w:firstLine="480" w:firstLineChars="200"/>
              <w:rPr>
                <w:rFonts w:hint="eastAsia" w:ascii="宋体" w:hAnsi="宋体" w:cs="Calibri"/>
                <w:color w:val="auto"/>
                <w:sz w:val="24"/>
                <w:szCs w:val="24"/>
                <w:highlight w:val="none"/>
              </w:rPr>
            </w:pPr>
            <w:r>
              <w:rPr>
                <w:rFonts w:hint="eastAsia" w:ascii="宋体" w:hAnsi="宋体" w:cs="Calibri"/>
                <w:color w:val="auto"/>
                <w:sz w:val="24"/>
                <w:szCs w:val="21"/>
                <w:highlight w:val="none"/>
              </w:rPr>
              <w:t>建设项目变压器底部设地下钢筋混凝土贮油坑，容积大于主变压器油量的20%，贮油坑四周设挡油坎，高出地面100mm。坑内铺设卵石，坑底设有排油管，能将事故油排至事故油池中。</w:t>
            </w:r>
            <w:r>
              <w:rPr>
                <w:rFonts w:hint="eastAsia" w:ascii="宋体" w:hAnsi="宋体" w:cs="Arial"/>
                <w:color w:val="auto"/>
                <w:kern w:val="0"/>
                <w:sz w:val="24"/>
                <w:szCs w:val="21"/>
                <w:highlight w:val="none"/>
              </w:rPr>
              <w:t>建设项目的变压器下的储油坑及总事故油池建设满足上述规范要求。</w:t>
            </w:r>
            <w:r>
              <w:rPr>
                <w:rFonts w:hint="eastAsia" w:ascii="宋体" w:hAnsi="宋体" w:cs="宋体"/>
                <w:color w:val="auto"/>
                <w:sz w:val="24"/>
                <w:szCs w:val="24"/>
                <w:highlight w:val="none"/>
              </w:rPr>
              <w:t>防渗层为至少1m厚</w:t>
            </w:r>
            <w:r>
              <w:rPr>
                <w:rFonts w:hint="eastAsia" w:ascii="宋体" w:hAnsi="宋体" w:cs="宋体"/>
                <w:color w:val="auto"/>
                <w:sz w:val="24"/>
                <w:szCs w:val="24"/>
                <w:highlight w:val="none"/>
                <w:lang w:eastAsia="zh-CN"/>
              </w:rPr>
              <w:t>黏土</w:t>
            </w:r>
            <w:r>
              <w:rPr>
                <w:rFonts w:hint="eastAsia" w:ascii="宋体" w:hAnsi="宋体" w:cs="宋体"/>
                <w:color w:val="auto"/>
                <w:sz w:val="24"/>
                <w:szCs w:val="24"/>
                <w:highlight w:val="none"/>
              </w:rPr>
              <w:t>层</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渗透系数≤10</w:t>
            </w:r>
            <w:r>
              <w:rPr>
                <w:rFonts w:hint="eastAsia" w:ascii="宋体" w:hAnsi="宋体" w:cs="宋体"/>
                <w:color w:val="auto"/>
                <w:sz w:val="24"/>
                <w:szCs w:val="24"/>
                <w:highlight w:val="none"/>
                <w:vertAlign w:val="superscript"/>
              </w:rPr>
              <w:t>-7</w:t>
            </w:r>
            <w:r>
              <w:rPr>
                <w:rFonts w:hint="eastAsia" w:ascii="宋体" w:hAnsi="宋体" w:cs="宋体"/>
                <w:color w:val="auto"/>
                <w:sz w:val="24"/>
                <w:szCs w:val="24"/>
                <w:highlight w:val="none"/>
              </w:rPr>
              <w:t>cm/s</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或2mm厚高密度聚乙烯，或至少2mm厚的</w:t>
            </w:r>
            <w:r>
              <w:rPr>
                <w:rFonts w:hint="eastAsia" w:ascii="宋体" w:hAnsi="宋体" w:cs="宋体"/>
                <w:color w:val="auto"/>
                <w:sz w:val="24"/>
                <w:szCs w:val="24"/>
                <w:highlight w:val="none"/>
                <w:lang w:eastAsia="zh-CN"/>
              </w:rPr>
              <w:t>其他人工</w:t>
            </w:r>
            <w:r>
              <w:rPr>
                <w:rFonts w:hint="eastAsia" w:ascii="宋体" w:hAnsi="宋体" w:cs="宋体"/>
                <w:color w:val="auto"/>
                <w:sz w:val="24"/>
                <w:szCs w:val="24"/>
                <w:highlight w:val="none"/>
              </w:rPr>
              <w:t>材料，渗透系数≤10</w:t>
            </w:r>
            <w:r>
              <w:rPr>
                <w:rFonts w:hint="eastAsia" w:ascii="宋体" w:hAnsi="宋体" w:cs="宋体"/>
                <w:color w:val="auto"/>
                <w:sz w:val="24"/>
                <w:szCs w:val="24"/>
                <w:highlight w:val="none"/>
                <w:vertAlign w:val="superscript"/>
              </w:rPr>
              <w:t>-10</w:t>
            </w:r>
            <w:r>
              <w:rPr>
                <w:rFonts w:hint="eastAsia" w:ascii="宋体" w:hAnsi="宋体" w:cs="宋体"/>
                <w:color w:val="auto"/>
                <w:sz w:val="24"/>
                <w:szCs w:val="24"/>
                <w:highlight w:val="none"/>
              </w:rPr>
              <w:t>cm/s。</w:t>
            </w:r>
          </w:p>
          <w:p w14:paraId="49F7694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cs="Calibri"/>
                <w:color w:val="auto"/>
                <w:sz w:val="24"/>
                <w:szCs w:val="21"/>
                <w:highlight w:val="none"/>
              </w:rPr>
              <w:t>根据物质危险性判定标准，变压器事故排油属废矿物油，根据《国家危险废物名录</w:t>
            </w:r>
            <w:r>
              <w:rPr>
                <w:rFonts w:hint="eastAsia" w:ascii="宋体" w:hAnsi="宋体" w:cs="Calibri"/>
                <w:color w:val="auto"/>
                <w:sz w:val="24"/>
                <w:szCs w:val="21"/>
                <w:highlight w:val="none"/>
                <w:lang w:eastAsia="zh-CN"/>
              </w:rPr>
              <w:t>（</w:t>
            </w:r>
            <w:r>
              <w:rPr>
                <w:rFonts w:hint="eastAsia" w:ascii="宋体" w:hAnsi="宋体" w:cs="Calibri"/>
                <w:color w:val="auto"/>
                <w:sz w:val="24"/>
                <w:szCs w:val="21"/>
                <w:highlight w:val="none"/>
              </w:rPr>
              <w:t>202</w:t>
            </w:r>
            <w:r>
              <w:rPr>
                <w:rFonts w:hint="eastAsia" w:ascii="宋体" w:hAnsi="宋体" w:cs="Calibri"/>
                <w:color w:val="auto"/>
                <w:sz w:val="24"/>
                <w:szCs w:val="21"/>
                <w:highlight w:val="none"/>
                <w:lang w:val="en-US" w:eastAsia="zh-CN"/>
              </w:rPr>
              <w:t>5</w:t>
            </w:r>
            <w:r>
              <w:rPr>
                <w:rFonts w:hint="eastAsia" w:ascii="宋体" w:hAnsi="宋体" w:cs="Calibri"/>
                <w:color w:val="auto"/>
                <w:sz w:val="24"/>
                <w:szCs w:val="21"/>
                <w:highlight w:val="none"/>
              </w:rPr>
              <w:t>年版</w:t>
            </w:r>
            <w:r>
              <w:rPr>
                <w:rFonts w:hint="eastAsia" w:ascii="宋体" w:hAnsi="宋体" w:cs="Calibri"/>
                <w:color w:val="auto"/>
                <w:sz w:val="24"/>
                <w:szCs w:val="21"/>
                <w:highlight w:val="none"/>
                <w:lang w:eastAsia="zh-CN"/>
              </w:rPr>
              <w:t>）</w:t>
            </w:r>
            <w:r>
              <w:rPr>
                <w:rFonts w:hint="eastAsia" w:ascii="宋体" w:hAnsi="宋体" w:cs="Calibri"/>
                <w:color w:val="auto"/>
                <w:sz w:val="24"/>
                <w:szCs w:val="21"/>
                <w:highlight w:val="none"/>
              </w:rPr>
              <w:t>》</w:t>
            </w:r>
            <w:r>
              <w:rPr>
                <w:rFonts w:hint="eastAsia" w:ascii="宋体" w:hAnsi="宋体" w:cs="Calibri"/>
                <w:color w:val="auto"/>
                <w:sz w:val="24"/>
                <w:szCs w:val="21"/>
                <w:highlight w:val="none"/>
                <w:lang w:eastAsia="zh-CN"/>
              </w:rPr>
              <w:t>（</w:t>
            </w:r>
            <w:r>
              <w:rPr>
                <w:rFonts w:hint="eastAsia" w:ascii="宋体" w:hAnsi="宋体" w:cs="Calibri"/>
                <w:color w:val="auto"/>
                <w:sz w:val="24"/>
                <w:szCs w:val="21"/>
                <w:highlight w:val="none"/>
              </w:rPr>
              <w:t>部令第</w:t>
            </w:r>
            <w:r>
              <w:rPr>
                <w:rFonts w:hint="eastAsia" w:ascii="宋体" w:hAnsi="宋体" w:cs="Calibri"/>
                <w:color w:val="auto"/>
                <w:sz w:val="24"/>
                <w:szCs w:val="21"/>
                <w:highlight w:val="none"/>
                <w:lang w:val="en-US" w:eastAsia="zh-CN"/>
              </w:rPr>
              <w:t>36</w:t>
            </w:r>
            <w:r>
              <w:rPr>
                <w:rFonts w:hint="eastAsia" w:ascii="宋体" w:hAnsi="宋体" w:cs="Calibri"/>
                <w:color w:val="auto"/>
                <w:sz w:val="24"/>
                <w:szCs w:val="21"/>
                <w:highlight w:val="none"/>
              </w:rPr>
              <w:t>号，202</w:t>
            </w:r>
            <w:r>
              <w:rPr>
                <w:rFonts w:hint="eastAsia" w:ascii="宋体" w:hAnsi="宋体" w:cs="Calibri"/>
                <w:color w:val="auto"/>
                <w:sz w:val="24"/>
                <w:szCs w:val="21"/>
                <w:highlight w:val="none"/>
                <w:lang w:val="en-US" w:eastAsia="zh-CN"/>
              </w:rPr>
              <w:t>4</w:t>
            </w:r>
            <w:r>
              <w:rPr>
                <w:rFonts w:hint="eastAsia" w:ascii="宋体" w:hAnsi="宋体" w:cs="Calibri"/>
                <w:color w:val="auto"/>
                <w:sz w:val="24"/>
                <w:szCs w:val="21"/>
                <w:highlight w:val="none"/>
              </w:rPr>
              <w:t>年1</w:t>
            </w:r>
            <w:r>
              <w:rPr>
                <w:rFonts w:hint="eastAsia" w:ascii="宋体" w:hAnsi="宋体" w:cs="Calibri"/>
                <w:color w:val="auto"/>
                <w:sz w:val="24"/>
                <w:szCs w:val="21"/>
                <w:highlight w:val="none"/>
                <w:lang w:val="en-US" w:eastAsia="zh-CN"/>
              </w:rPr>
              <w:t>1</w:t>
            </w:r>
            <w:r>
              <w:rPr>
                <w:rFonts w:hint="eastAsia" w:ascii="宋体" w:hAnsi="宋体" w:cs="Calibri"/>
                <w:color w:val="auto"/>
                <w:sz w:val="24"/>
                <w:szCs w:val="21"/>
                <w:highlight w:val="none"/>
              </w:rPr>
              <w:t>月</w:t>
            </w:r>
            <w:r>
              <w:rPr>
                <w:rFonts w:hint="eastAsia" w:ascii="宋体" w:hAnsi="宋体" w:cs="Calibri"/>
                <w:color w:val="auto"/>
                <w:sz w:val="24"/>
                <w:szCs w:val="21"/>
                <w:highlight w:val="none"/>
                <w:lang w:val="en-US" w:eastAsia="zh-CN"/>
              </w:rPr>
              <w:t>29</w:t>
            </w:r>
            <w:r>
              <w:rPr>
                <w:rFonts w:hint="eastAsia" w:ascii="宋体" w:hAnsi="宋体" w:cs="Calibri"/>
                <w:color w:val="auto"/>
                <w:sz w:val="24"/>
                <w:szCs w:val="21"/>
                <w:highlight w:val="none"/>
              </w:rPr>
              <w:t>日</w:t>
            </w:r>
            <w:r>
              <w:rPr>
                <w:rFonts w:hint="eastAsia" w:ascii="宋体" w:hAnsi="宋体" w:cs="Calibri"/>
                <w:color w:val="auto"/>
                <w:sz w:val="24"/>
                <w:szCs w:val="21"/>
                <w:highlight w:val="none"/>
                <w:lang w:eastAsia="zh-CN"/>
              </w:rPr>
              <w:t>）</w:t>
            </w:r>
            <w:r>
              <w:rPr>
                <w:rFonts w:hint="eastAsia" w:ascii="宋体" w:hAnsi="宋体" w:cs="Calibri"/>
                <w:color w:val="auto"/>
                <w:sz w:val="24"/>
                <w:szCs w:val="21"/>
                <w:highlight w:val="none"/>
              </w:rPr>
              <w:t>，建设项目事故排油属于“HW08</w:t>
            </w:r>
            <w:r>
              <w:rPr>
                <w:rFonts w:hint="eastAsia" w:ascii="Calibri" w:hAnsi="Calibri" w:cs="Calibri"/>
                <w:color w:val="auto"/>
                <w:sz w:val="24"/>
                <w:szCs w:val="21"/>
                <w:highlight w:val="none"/>
              </w:rPr>
              <w:t>废矿物油与含矿物油废物</w:t>
            </w:r>
            <w:r>
              <w:rPr>
                <w:rFonts w:hint="eastAsia" w:ascii="宋体" w:hAnsi="宋体" w:cs="Calibri"/>
                <w:color w:val="auto"/>
                <w:sz w:val="24"/>
                <w:szCs w:val="21"/>
                <w:highlight w:val="none"/>
              </w:rPr>
              <w:t>”中的“</w:t>
            </w:r>
            <w:r>
              <w:rPr>
                <w:rFonts w:hint="eastAsia" w:ascii="Calibri" w:hAnsi="Calibri" w:cs="Calibri"/>
                <w:color w:val="auto"/>
                <w:sz w:val="24"/>
                <w:szCs w:val="21"/>
                <w:highlight w:val="none"/>
              </w:rPr>
              <w:t>变压器维护、更换和拆解过程中产生的废变压器油</w:t>
            </w:r>
            <w:r>
              <w:rPr>
                <w:rFonts w:hint="eastAsia" w:ascii="宋体" w:hAnsi="宋体" w:cs="Calibri"/>
                <w:color w:val="auto"/>
                <w:sz w:val="24"/>
                <w:szCs w:val="21"/>
                <w:highlight w:val="none"/>
              </w:rPr>
              <w:t>”，废物代码“900-220-08”。因该废矿物油由变压器发生事故状态产生，变压器事故油池主要起临时收集贮存作用，废油产生后</w:t>
            </w:r>
            <w:r>
              <w:rPr>
                <w:rFonts w:hint="eastAsia" w:ascii="宋体" w:hAnsi="宋体" w:cs="Calibri"/>
                <w:color w:val="auto"/>
                <w:sz w:val="24"/>
                <w:szCs w:val="21"/>
                <w:highlight w:val="none"/>
                <w:lang w:val="en-US" w:eastAsia="zh-CN"/>
              </w:rPr>
              <w:t>贮存于场内危废贮存点，交有危废处理资质的单位进行回收处理</w:t>
            </w:r>
            <w:r>
              <w:rPr>
                <w:rFonts w:hint="eastAsia" w:ascii="宋体" w:hAnsi="宋体" w:cs="Calibri"/>
                <w:color w:val="auto"/>
                <w:sz w:val="24"/>
                <w:szCs w:val="21"/>
                <w:highlight w:val="none"/>
              </w:rPr>
              <w:t>。</w:t>
            </w:r>
          </w:p>
          <w:p w14:paraId="3492B50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3</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废弃含油抹布及废手套</w:t>
            </w:r>
          </w:p>
          <w:p w14:paraId="077CB9A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含油抹布及废手套根据《国家危险废物名录</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202</w:t>
            </w:r>
            <w:r>
              <w:rPr>
                <w:rFonts w:hint="eastAsia" w:ascii="宋体" w:hAnsi="宋体" w:eastAsia="宋体" w:cs="宋体"/>
                <w:color w:val="auto"/>
                <w:sz w:val="24"/>
                <w:szCs w:val="24"/>
                <w:highlight w:val="none"/>
                <w:lang w:val="en-US" w:eastAsia="zh-CN"/>
              </w:rPr>
              <w:t>5年</w:t>
            </w:r>
            <w:r>
              <w:rPr>
                <w:rFonts w:hint="eastAsia" w:ascii="宋体" w:hAnsi="宋体" w:eastAsia="宋体" w:cs="宋体"/>
                <w:color w:val="auto"/>
                <w:sz w:val="24"/>
                <w:szCs w:val="24"/>
                <w:highlight w:val="none"/>
              </w:rPr>
              <w:t>版</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w:t>
            </w:r>
            <w:r>
              <w:rPr>
                <w:rFonts w:hint="eastAsia" w:ascii="宋体" w:hAnsi="宋体" w:cs="Calibri"/>
                <w:color w:val="auto"/>
                <w:sz w:val="24"/>
                <w:szCs w:val="21"/>
                <w:highlight w:val="none"/>
              </w:rPr>
              <w:t>部令第</w:t>
            </w:r>
            <w:r>
              <w:rPr>
                <w:rFonts w:hint="eastAsia" w:ascii="宋体" w:hAnsi="宋体" w:cs="Calibri"/>
                <w:color w:val="auto"/>
                <w:sz w:val="24"/>
                <w:szCs w:val="21"/>
                <w:highlight w:val="none"/>
                <w:lang w:val="en-US" w:eastAsia="zh-CN"/>
              </w:rPr>
              <w:t>36</w:t>
            </w:r>
            <w:r>
              <w:rPr>
                <w:rFonts w:hint="eastAsia" w:ascii="宋体" w:hAnsi="宋体" w:cs="Calibri"/>
                <w:color w:val="auto"/>
                <w:sz w:val="24"/>
                <w:szCs w:val="21"/>
                <w:highlight w:val="none"/>
              </w:rPr>
              <w:t>号，202</w:t>
            </w:r>
            <w:r>
              <w:rPr>
                <w:rFonts w:hint="eastAsia" w:ascii="宋体" w:hAnsi="宋体" w:cs="Calibri"/>
                <w:color w:val="auto"/>
                <w:sz w:val="24"/>
                <w:szCs w:val="21"/>
                <w:highlight w:val="none"/>
                <w:lang w:val="en-US" w:eastAsia="zh-CN"/>
              </w:rPr>
              <w:t>4</w:t>
            </w:r>
            <w:r>
              <w:rPr>
                <w:rFonts w:hint="eastAsia" w:ascii="宋体" w:hAnsi="宋体" w:cs="Calibri"/>
                <w:color w:val="auto"/>
                <w:sz w:val="24"/>
                <w:szCs w:val="21"/>
                <w:highlight w:val="none"/>
              </w:rPr>
              <w:t>年1</w:t>
            </w:r>
            <w:r>
              <w:rPr>
                <w:rFonts w:hint="eastAsia" w:ascii="宋体" w:hAnsi="宋体" w:cs="Calibri"/>
                <w:color w:val="auto"/>
                <w:sz w:val="24"/>
                <w:szCs w:val="21"/>
                <w:highlight w:val="none"/>
                <w:lang w:val="en-US" w:eastAsia="zh-CN"/>
              </w:rPr>
              <w:t>1</w:t>
            </w:r>
            <w:r>
              <w:rPr>
                <w:rFonts w:hint="eastAsia" w:ascii="宋体" w:hAnsi="宋体" w:cs="Calibri"/>
                <w:color w:val="auto"/>
                <w:sz w:val="24"/>
                <w:szCs w:val="21"/>
                <w:highlight w:val="none"/>
              </w:rPr>
              <w:t>月</w:t>
            </w:r>
            <w:r>
              <w:rPr>
                <w:rFonts w:hint="eastAsia" w:ascii="宋体" w:hAnsi="宋体" w:cs="Calibri"/>
                <w:color w:val="auto"/>
                <w:sz w:val="24"/>
                <w:szCs w:val="21"/>
                <w:highlight w:val="none"/>
                <w:lang w:val="en-US" w:eastAsia="zh-CN"/>
              </w:rPr>
              <w:t>29</w:t>
            </w:r>
            <w:r>
              <w:rPr>
                <w:rFonts w:hint="eastAsia" w:ascii="宋体" w:hAnsi="宋体" w:cs="Calibri"/>
                <w:color w:val="auto"/>
                <w:sz w:val="24"/>
                <w:szCs w:val="21"/>
                <w:highlight w:val="none"/>
              </w:rPr>
              <w:t>日</w:t>
            </w:r>
            <w:r>
              <w:rPr>
                <w:rFonts w:hint="eastAsia" w:ascii="宋体" w:hAnsi="宋体" w:cs="Calibri"/>
                <w:color w:val="auto"/>
                <w:sz w:val="24"/>
                <w:szCs w:val="21"/>
                <w:highlight w:val="none"/>
                <w:lang w:eastAsia="zh-CN"/>
              </w:rPr>
              <w:t>）</w:t>
            </w:r>
            <w:r>
              <w:rPr>
                <w:rFonts w:hint="eastAsia" w:ascii="宋体" w:hAnsi="宋体" w:eastAsia="宋体" w:cs="宋体"/>
                <w:color w:val="auto"/>
                <w:sz w:val="24"/>
                <w:szCs w:val="24"/>
                <w:highlight w:val="none"/>
              </w:rPr>
              <w:t>属于“HW49其他废物”中的“非特定行业”，废物代码“900-041-49”。根据该名录附录“危险废物豁免管理清单”内容，含油抹布及废手套为“未分类收集”状态时，全过程可进行豁免，不按危险废物管理。</w:t>
            </w:r>
            <w:r>
              <w:rPr>
                <w:rFonts w:hint="eastAsia" w:ascii="宋体" w:hAnsi="宋体" w:eastAsia="宋体" w:cs="宋体"/>
                <w:color w:val="auto"/>
                <w:sz w:val="24"/>
                <w:szCs w:val="24"/>
                <w:highlight w:val="none"/>
                <w:lang w:val="zh-CN"/>
              </w:rPr>
              <w:t>本项目检修过程中含油抹布及废手套与人员生活垃圾一同处置。</w:t>
            </w:r>
          </w:p>
          <w:p w14:paraId="7A95ACE0">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eastAsia" w:ascii="宋体" w:hAnsi="宋体" w:eastAsia="宋体" w:cs="宋体"/>
                <w:b/>
                <w:color w:val="auto"/>
                <w:sz w:val="24"/>
                <w:szCs w:val="24"/>
                <w:highlight w:val="none"/>
                <w:lang w:val="en-US" w:eastAsia="zh-CN"/>
              </w:rPr>
            </w:pPr>
            <w:r>
              <w:rPr>
                <w:rFonts w:hint="eastAsia" w:ascii="宋体" w:hAnsi="宋体" w:eastAsia="宋体" w:cs="宋体"/>
                <w:color w:val="auto"/>
                <w:sz w:val="24"/>
                <w:szCs w:val="24"/>
                <w:highlight w:val="none"/>
              </w:rPr>
              <w:t>综上分析，对固体废物采取相应治理措施后，固废可以得到合理</w:t>
            </w:r>
            <w:r>
              <w:rPr>
                <w:rFonts w:hint="eastAsia" w:hAnsi="宋体" w:eastAsia="宋体" w:cs="宋体"/>
                <w:color w:val="auto"/>
                <w:sz w:val="24"/>
                <w:szCs w:val="24"/>
                <w:highlight w:val="none"/>
                <w:lang w:eastAsia="zh-CN"/>
              </w:rPr>
              <w:t>地</w:t>
            </w:r>
            <w:r>
              <w:rPr>
                <w:rFonts w:hint="eastAsia" w:ascii="宋体" w:hAnsi="宋体" w:eastAsia="宋体" w:cs="宋体"/>
                <w:color w:val="auto"/>
                <w:sz w:val="24"/>
                <w:szCs w:val="24"/>
                <w:highlight w:val="none"/>
              </w:rPr>
              <w:t>处置，产生的固体废物对周围环境的影响不大。</w:t>
            </w:r>
          </w:p>
          <w:p w14:paraId="1FA2C7C0">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6</w:t>
            </w:r>
            <w:r>
              <w:rPr>
                <w:rFonts w:hint="eastAsia" w:ascii="宋体" w:hAnsi="宋体" w:eastAsia="宋体" w:cs="宋体"/>
                <w:b/>
                <w:color w:val="auto"/>
                <w:sz w:val="24"/>
                <w:szCs w:val="24"/>
                <w:highlight w:val="none"/>
              </w:rPr>
              <w:t>运营期电磁环境影响分析</w:t>
            </w:r>
          </w:p>
          <w:p w14:paraId="0B395582">
            <w:pPr>
              <w:keepNext w:val="0"/>
              <w:keepLines w:val="0"/>
              <w:suppressLineNumbers w:val="0"/>
              <w:snapToGrid w:val="0"/>
              <w:spacing w:before="0" w:beforeAutospacing="0" w:after="0" w:afterAutospacing="0" w:line="360" w:lineRule="auto"/>
              <w:ind w:left="0" w:right="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根据类比预测</w:t>
            </w:r>
            <w:r>
              <w:rPr>
                <w:rFonts w:hint="eastAsia" w:ascii="宋体" w:hAnsi="宋体" w:cs="宋体"/>
                <w:color w:val="auto"/>
                <w:sz w:val="24"/>
                <w:szCs w:val="24"/>
                <w:highlight w:val="none"/>
                <w:lang w:val="en-US" w:eastAsia="zh-CN"/>
              </w:rPr>
              <w:t>及模式预测</w:t>
            </w:r>
            <w:r>
              <w:rPr>
                <w:rFonts w:hint="eastAsia" w:ascii="宋体" w:hAnsi="宋体" w:cs="宋体"/>
                <w:color w:val="auto"/>
                <w:sz w:val="24"/>
                <w:szCs w:val="24"/>
                <w:highlight w:val="none"/>
              </w:rPr>
              <w:t>结果分析可知，</w:t>
            </w:r>
            <w:r>
              <w:rPr>
                <w:rFonts w:hint="eastAsia" w:ascii="宋体" w:hAnsi="宋体" w:cs="宋体"/>
                <w:color w:val="auto"/>
                <w:sz w:val="24"/>
                <w:szCs w:val="24"/>
                <w:highlight w:val="none"/>
                <w:lang w:eastAsia="zh-CN"/>
              </w:rPr>
              <w:t>本项目</w:t>
            </w:r>
            <w:r>
              <w:rPr>
                <w:rFonts w:hint="eastAsia" w:ascii="宋体" w:hAnsi="宋体" w:cs="宋体"/>
                <w:color w:val="auto"/>
                <w:sz w:val="24"/>
                <w:szCs w:val="24"/>
                <w:highlight w:val="none"/>
                <w:lang w:val="en-US" w:eastAsia="zh-CN"/>
              </w:rPr>
              <w:t>220kV升压</w:t>
            </w:r>
            <w:r>
              <w:rPr>
                <w:rFonts w:hint="eastAsia" w:ascii="宋体" w:hAnsi="宋体" w:cs="宋体"/>
                <w:color w:val="auto"/>
                <w:sz w:val="24"/>
                <w:szCs w:val="24"/>
                <w:highlight w:val="none"/>
              </w:rPr>
              <w:t>站</w:t>
            </w:r>
            <w:r>
              <w:rPr>
                <w:rFonts w:hint="eastAsia" w:ascii="宋体" w:hAnsi="宋体" w:cs="宋体"/>
                <w:color w:val="auto"/>
                <w:sz w:val="24"/>
                <w:szCs w:val="24"/>
                <w:highlight w:val="none"/>
                <w:lang w:val="en-US" w:eastAsia="zh-CN"/>
              </w:rPr>
              <w:t>和220kV送出线路</w:t>
            </w:r>
            <w:r>
              <w:rPr>
                <w:rFonts w:hint="eastAsia" w:ascii="宋体" w:hAnsi="宋体" w:cs="宋体"/>
                <w:color w:val="auto"/>
                <w:sz w:val="24"/>
                <w:szCs w:val="24"/>
                <w:highlight w:val="none"/>
              </w:rPr>
              <w:t>运行时产生的工频电场强度和工频磁感应强度可满足《电磁环境控制限值》</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GB8702-2014</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中的公众曝露控制限值工频电场强度4000V/m，工频磁感应强度100μT要求。</w:t>
            </w:r>
          </w:p>
          <w:p w14:paraId="63F57A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cs="Calibri"/>
                <w:color w:val="auto"/>
                <w:sz w:val="24"/>
                <w:szCs w:val="24"/>
                <w:highlight w:val="none"/>
              </w:rPr>
              <w:t>电磁环境影响分析详见“附录电磁环境影响专题评价”</w:t>
            </w:r>
            <w:r>
              <w:rPr>
                <w:rFonts w:hint="eastAsia" w:ascii="宋体" w:hAnsi="宋体" w:eastAsia="宋体" w:cs="宋体"/>
                <w:color w:val="auto"/>
                <w:spacing w:val="-4"/>
                <w:kern w:val="0"/>
                <w:sz w:val="24"/>
                <w:szCs w:val="24"/>
                <w:highlight w:val="none"/>
                <w:lang w:val="en-US" w:eastAsia="zh-CN"/>
              </w:rPr>
              <w:t>。</w:t>
            </w:r>
          </w:p>
          <w:p w14:paraId="7C1B8D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outlineLvl w:val="9"/>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7环境风险分析</w:t>
            </w:r>
          </w:p>
          <w:p w14:paraId="04EBF405">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cs="宋体"/>
                <w:color w:val="auto"/>
                <w:sz w:val="24"/>
                <w:highlight w:val="none"/>
                <w:lang w:val="en-US" w:eastAsia="zh-CN"/>
              </w:rPr>
            </w:pPr>
            <w:r>
              <w:rPr>
                <w:rFonts w:hint="eastAsia" w:cs="宋体"/>
                <w:color w:val="auto"/>
                <w:sz w:val="24"/>
                <w:szCs w:val="24"/>
              </w:rPr>
              <w:t>本项</w:t>
            </w:r>
            <w:r>
              <w:rPr>
                <w:rFonts w:hint="eastAsia" w:cs="宋体"/>
                <w:color w:val="auto"/>
                <w:sz w:val="24"/>
                <w:szCs w:val="24"/>
                <w:highlight w:val="none"/>
              </w:rPr>
              <w:t>目涉及的</w:t>
            </w:r>
            <w:r>
              <w:rPr>
                <w:rFonts w:hint="eastAsia" w:cs="宋体"/>
                <w:color w:val="auto"/>
                <w:sz w:val="24"/>
                <w:szCs w:val="24"/>
                <w:highlight w:val="none"/>
                <w:lang w:val="en-US" w:eastAsia="zh-CN"/>
              </w:rPr>
              <w:t>环境风险</w:t>
            </w:r>
            <w:r>
              <w:rPr>
                <w:rFonts w:hint="eastAsia" w:cs="宋体"/>
                <w:color w:val="auto"/>
                <w:sz w:val="24"/>
                <w:szCs w:val="24"/>
                <w:highlight w:val="none"/>
              </w:rPr>
              <w:t>物质主要是</w:t>
            </w:r>
            <w:r>
              <w:rPr>
                <w:rFonts w:hint="eastAsia" w:cs="宋体"/>
                <w:color w:val="auto"/>
                <w:sz w:val="24"/>
                <w:szCs w:val="24"/>
                <w:highlight w:val="none"/>
                <w:lang w:val="en-US" w:eastAsia="zh-CN"/>
              </w:rPr>
              <w:t>升压站主变</w:t>
            </w:r>
            <w:r>
              <w:rPr>
                <w:rFonts w:hint="eastAsia" w:cs="宋体"/>
                <w:color w:val="auto"/>
                <w:sz w:val="24"/>
                <w:szCs w:val="24"/>
                <w:highlight w:val="none"/>
              </w:rPr>
              <w:t>内变压器油</w:t>
            </w:r>
            <w:r>
              <w:rPr>
                <w:rFonts w:hint="eastAsia" w:cs="宋体"/>
                <w:color w:val="auto"/>
                <w:sz w:val="24"/>
                <w:szCs w:val="24"/>
                <w:highlight w:val="none"/>
                <w:lang w:eastAsia="zh-CN"/>
              </w:rPr>
              <w:t>。</w:t>
            </w:r>
            <w:r>
              <w:rPr>
                <w:rFonts w:hint="eastAsia" w:ascii="宋体" w:hAnsi="宋体" w:cs="宋体"/>
                <w:color w:val="auto"/>
                <w:sz w:val="24"/>
                <w:highlight w:val="none"/>
                <w:lang w:val="en-US" w:eastAsia="zh-CN"/>
              </w:rPr>
              <w:t>升压站</w:t>
            </w:r>
            <w:r>
              <w:rPr>
                <w:rFonts w:hint="eastAsia" w:ascii="宋体" w:hAnsi="宋体" w:eastAsia="宋体" w:cs="宋体"/>
                <w:color w:val="auto"/>
                <w:sz w:val="24"/>
                <w:highlight w:val="none"/>
                <w:lang w:eastAsia="zh-CN"/>
              </w:rPr>
              <w:t>内的变压器为了绝缘和冷却的需要，在变压器外壳内装有变压器油</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主变内的变压器油</w:t>
            </w:r>
            <w:r>
              <w:rPr>
                <w:rFonts w:hint="eastAsia" w:ascii="宋体" w:hAnsi="宋体" w:eastAsia="宋体" w:cs="宋体"/>
                <w:color w:val="auto"/>
                <w:sz w:val="24"/>
                <w:highlight w:val="none"/>
                <w:lang w:eastAsia="zh-CN"/>
              </w:rPr>
              <w:t>一般只有</w:t>
            </w:r>
            <w:r>
              <w:rPr>
                <w:rFonts w:hint="eastAsia" w:ascii="宋体" w:hAnsi="宋体" w:cs="宋体"/>
                <w:color w:val="auto"/>
                <w:sz w:val="24"/>
                <w:highlight w:val="none"/>
                <w:lang w:val="en-US" w:eastAsia="zh-CN"/>
              </w:rPr>
              <w:t>检修或者事故状态下才会发生泄漏，若未合理收集处置，则会导致地下水环境和土壤环境的污染，泄漏后若遇明火燃烧则会产生有毒有害气体污染大气环境。废变压器油在运输过程中因不慎侧翻或其他原因造成风险物质泄漏后，会对运输沿线的大气环境、土壤环境和地下水环境造成污染。</w:t>
            </w:r>
          </w:p>
          <w:p w14:paraId="1023F5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升压站内</w:t>
            </w:r>
            <w:r>
              <w:rPr>
                <w:rFonts w:hint="eastAsia" w:ascii="宋体" w:hAnsi="宋体" w:eastAsia="宋体" w:cs="宋体"/>
                <w:color w:val="auto"/>
                <w:sz w:val="24"/>
                <w:highlight w:val="none"/>
                <w:lang w:val="en-US" w:eastAsia="zh-CN"/>
              </w:rPr>
              <w:t>设置</w:t>
            </w:r>
            <w:r>
              <w:rPr>
                <w:rFonts w:hint="eastAsia" w:ascii="宋体" w:hAnsi="宋体" w:eastAsia="宋体" w:cs="宋体"/>
                <w:color w:val="auto"/>
                <w:sz w:val="24"/>
                <w:highlight w:val="none"/>
                <w:lang w:eastAsia="zh-CN"/>
              </w:rPr>
              <w:t>事故油池1座，可使变压器在发生事故时，壳体内的油经过铸铁管排入事故贮油池，防止变压器油随意乱排造成对环境的污染。事故油池容积约</w:t>
            </w:r>
            <w:r>
              <w:rPr>
                <w:rFonts w:hint="eastAsia" w:ascii="宋体" w:hAnsi="宋体" w:cs="宋体"/>
                <w:color w:val="auto"/>
                <w:sz w:val="24"/>
                <w:highlight w:val="none"/>
                <w:lang w:val="en-US" w:eastAsia="zh-CN"/>
              </w:rPr>
              <w:t>8</w:t>
            </w:r>
            <w:r>
              <w:rPr>
                <w:rFonts w:hint="eastAsia" w:ascii="宋体" w:hAnsi="宋体" w:eastAsia="宋体" w:cs="宋体"/>
                <w:color w:val="auto"/>
                <w:sz w:val="24"/>
                <w:highlight w:val="none"/>
                <w:lang w:val="en-US" w:eastAsia="zh-CN"/>
              </w:rPr>
              <w:t>0m</w:t>
            </w:r>
            <w:r>
              <w:rPr>
                <w:rFonts w:hint="eastAsia" w:ascii="宋体" w:hAnsi="宋体" w:eastAsia="宋体" w:cs="宋体"/>
                <w:color w:val="auto"/>
                <w:sz w:val="24"/>
                <w:highlight w:val="none"/>
                <w:vertAlign w:val="superscript"/>
                <w:lang w:val="en-US" w:eastAsia="zh-CN"/>
              </w:rPr>
              <w:t>3</w:t>
            </w:r>
            <w:r>
              <w:rPr>
                <w:rFonts w:hint="eastAsia" w:ascii="宋体" w:hAnsi="宋体" w:cs="宋体"/>
                <w:color w:val="auto"/>
                <w:sz w:val="24"/>
                <w:highlight w:val="none"/>
                <w:vertAlign w:val="superscript"/>
                <w:lang w:val="en-US" w:eastAsia="zh-CN"/>
              </w:rPr>
              <w:t>（</w:t>
            </w:r>
            <w:r>
              <w:rPr>
                <w:rFonts w:hint="eastAsia" w:ascii="宋体" w:hAnsi="宋体" w:eastAsia="宋体" w:cs="宋体"/>
                <w:color w:val="auto"/>
                <w:sz w:val="24"/>
                <w:highlight w:val="none"/>
                <w:lang w:eastAsia="zh-CN"/>
              </w:rPr>
              <w:t>建设满足《电力设备典型消防规程》DL5027-2015</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lang w:eastAsia="zh-CN"/>
              </w:rPr>
              <w:t>中“总事故油池容积应按最大单台变压器排油量100%确定”的要求即可</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lang w:eastAsia="zh-CN"/>
              </w:rPr>
              <w:t>，事故油池及贮油坑应设有防渗措施，防渗层为至少1m厚</w:t>
            </w:r>
            <w:r>
              <w:rPr>
                <w:rFonts w:hint="eastAsia" w:ascii="宋体" w:hAnsi="宋体" w:cs="宋体"/>
                <w:color w:val="auto"/>
                <w:sz w:val="24"/>
                <w:highlight w:val="none"/>
                <w:lang w:eastAsia="zh-CN"/>
              </w:rPr>
              <w:t>黏土</w:t>
            </w:r>
            <w:r>
              <w:rPr>
                <w:rFonts w:hint="eastAsia" w:ascii="宋体" w:hAnsi="宋体" w:eastAsia="宋体" w:cs="宋体"/>
                <w:color w:val="auto"/>
                <w:sz w:val="24"/>
                <w:highlight w:val="none"/>
                <w:lang w:eastAsia="zh-CN"/>
              </w:rPr>
              <w:t>层</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lang w:eastAsia="zh-CN"/>
              </w:rPr>
              <w:t>渗透系数</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lang w:eastAsia="zh-CN"/>
              </w:rPr>
              <w:t>10</w:t>
            </w:r>
            <w:r>
              <w:rPr>
                <w:rFonts w:hint="eastAsia" w:ascii="宋体" w:hAnsi="宋体" w:eastAsia="宋体" w:cs="宋体"/>
                <w:color w:val="auto"/>
                <w:sz w:val="24"/>
                <w:highlight w:val="none"/>
                <w:vertAlign w:val="superscript"/>
                <w:lang w:eastAsia="zh-CN"/>
              </w:rPr>
              <w:t>-7</w:t>
            </w:r>
            <w:r>
              <w:rPr>
                <w:rFonts w:hint="eastAsia" w:ascii="宋体" w:hAnsi="宋体" w:eastAsia="宋体" w:cs="宋体"/>
                <w:color w:val="auto"/>
                <w:sz w:val="24"/>
                <w:highlight w:val="none"/>
                <w:lang w:eastAsia="zh-CN"/>
              </w:rPr>
              <w:t>cm/s</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lang w:eastAsia="zh-CN"/>
              </w:rPr>
              <w:t>或2mm厚高密度聚乙烯，或至少2mm厚的</w:t>
            </w:r>
            <w:r>
              <w:rPr>
                <w:rFonts w:hint="eastAsia" w:ascii="宋体" w:hAnsi="宋体" w:cs="宋体"/>
                <w:color w:val="auto"/>
                <w:sz w:val="24"/>
                <w:highlight w:val="none"/>
                <w:lang w:eastAsia="zh-CN"/>
              </w:rPr>
              <w:t>其他人工</w:t>
            </w:r>
            <w:r>
              <w:rPr>
                <w:rFonts w:hint="eastAsia" w:ascii="宋体" w:hAnsi="宋体" w:eastAsia="宋体" w:cs="宋体"/>
                <w:color w:val="auto"/>
                <w:sz w:val="24"/>
                <w:highlight w:val="none"/>
                <w:lang w:eastAsia="zh-CN"/>
              </w:rPr>
              <w:t>材料，渗透系数</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lang w:eastAsia="zh-CN"/>
              </w:rPr>
              <w:t>10</w:t>
            </w:r>
            <w:r>
              <w:rPr>
                <w:rFonts w:hint="eastAsia" w:ascii="宋体" w:hAnsi="宋体" w:eastAsia="宋体" w:cs="宋体"/>
                <w:color w:val="auto"/>
                <w:sz w:val="24"/>
                <w:highlight w:val="none"/>
                <w:vertAlign w:val="superscript"/>
                <w:lang w:eastAsia="zh-CN"/>
              </w:rPr>
              <w:t>-</w:t>
            </w:r>
            <w:r>
              <w:rPr>
                <w:rFonts w:hint="eastAsia" w:ascii="宋体" w:hAnsi="宋体" w:eastAsia="宋体" w:cs="宋体"/>
                <w:color w:val="auto"/>
                <w:sz w:val="24"/>
                <w:highlight w:val="none"/>
                <w:vertAlign w:val="superscript"/>
                <w:lang w:val="en-US" w:eastAsia="zh-CN"/>
              </w:rPr>
              <w:t>10</w:t>
            </w:r>
            <w:r>
              <w:rPr>
                <w:rFonts w:hint="eastAsia" w:ascii="宋体" w:hAnsi="宋体" w:eastAsia="宋体" w:cs="宋体"/>
                <w:color w:val="auto"/>
                <w:sz w:val="24"/>
                <w:highlight w:val="none"/>
                <w:lang w:eastAsia="zh-CN"/>
              </w:rPr>
              <w:t>cm/s</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lang w:eastAsia="zh-CN"/>
              </w:rPr>
              <w:t>防止油污染地下水，废油属HW08类危险废物，产</w:t>
            </w:r>
            <w:r>
              <w:rPr>
                <w:rFonts w:hint="eastAsia" w:ascii="宋体" w:hAnsi="宋体" w:cs="宋体"/>
                <w:color w:val="auto"/>
                <w:sz w:val="24"/>
                <w:highlight w:val="none"/>
                <w:lang w:eastAsia="zh-CN"/>
              </w:rPr>
              <w:t>生的</w:t>
            </w:r>
            <w:r>
              <w:rPr>
                <w:rFonts w:hint="eastAsia" w:ascii="宋体" w:hAnsi="宋体" w:eastAsia="宋体" w:cs="宋体"/>
                <w:color w:val="auto"/>
                <w:sz w:val="24"/>
                <w:highlight w:val="none"/>
                <w:lang w:eastAsia="zh-CN"/>
              </w:rPr>
              <w:t>废油将交由与公司签订合作协议的具有相关资质的单位进行回收处理。</w:t>
            </w:r>
          </w:p>
          <w:p w14:paraId="69B7C7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default" w:ascii="Times New Roman" w:hAnsi="Times New Roman" w:cs="Times New Roman"/>
                <w:color w:val="auto"/>
                <w:sz w:val="24"/>
                <w:highlight w:val="none"/>
                <w:lang w:val="en-US" w:eastAsia="zh-CN"/>
              </w:rPr>
            </w:pPr>
            <w:r>
              <w:rPr>
                <w:rFonts w:hint="eastAsia" w:ascii="宋体" w:hAnsi="宋体" w:eastAsia="宋体" w:cs="宋体"/>
                <w:color w:val="auto"/>
                <w:sz w:val="24"/>
                <w:highlight w:val="none"/>
                <w:lang w:eastAsia="zh-CN"/>
              </w:rPr>
              <w:t>综上所述，通过采取相应污染防治措施后，变电站的事故排油对环境无不良影响。</w:t>
            </w:r>
            <w:r>
              <w:rPr>
                <w:rFonts w:hint="default" w:ascii="Times New Roman" w:hAnsi="Times New Roman" w:cs="Times New Roman"/>
                <w:color w:val="auto"/>
                <w:sz w:val="24"/>
                <w:highlight w:val="none"/>
                <w:lang w:val="en-US" w:eastAsia="zh-CN"/>
              </w:rPr>
              <w:t>同时，项目建设单位</w:t>
            </w:r>
            <w:r>
              <w:rPr>
                <w:rFonts w:hint="default" w:ascii="Times New Roman" w:hAnsi="Times New Roman" w:cs="Times New Roman"/>
                <w:color w:val="auto"/>
                <w:sz w:val="24"/>
                <w:highlight w:val="none"/>
              </w:rPr>
              <w:t>建立环境风险事故应急响应机制，</w:t>
            </w:r>
            <w:r>
              <w:rPr>
                <w:rFonts w:hint="default" w:ascii="Times New Roman" w:hAnsi="Times New Roman" w:cs="Times New Roman"/>
                <w:color w:val="auto"/>
                <w:sz w:val="24"/>
                <w:highlight w:val="none"/>
                <w:lang w:val="en-US" w:eastAsia="zh-CN"/>
              </w:rPr>
              <w:t>可对突发环境事件及时采取应对措施，</w:t>
            </w:r>
            <w:r>
              <w:rPr>
                <w:rFonts w:hint="eastAsia" w:ascii="Times New Roman" w:hAnsi="Times New Roman" w:cs="Times New Roman"/>
                <w:color w:val="auto"/>
                <w:sz w:val="24"/>
                <w:highlight w:val="none"/>
                <w:lang w:val="en-US" w:eastAsia="zh-CN"/>
              </w:rPr>
              <w:t>在采取相应的环境风险防范措施后，</w:t>
            </w:r>
            <w:r>
              <w:rPr>
                <w:rFonts w:hint="default" w:ascii="Times New Roman" w:hAnsi="Times New Roman" w:cs="Times New Roman"/>
                <w:color w:val="auto"/>
                <w:sz w:val="24"/>
                <w:highlight w:val="none"/>
                <w:lang w:val="en-US" w:eastAsia="zh-CN"/>
              </w:rPr>
              <w:t>本项目环境风险可接受。</w:t>
            </w:r>
          </w:p>
          <w:p w14:paraId="7DC717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default" w:ascii="Times New Roman" w:hAnsi="Times New Roman" w:cs="Times New Roman"/>
                <w:color w:val="auto"/>
                <w:sz w:val="24"/>
                <w:highlight w:val="none"/>
                <w:lang w:val="en-US" w:eastAsia="zh-CN"/>
              </w:rPr>
            </w:pPr>
          </w:p>
          <w:p w14:paraId="535290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default" w:ascii="Times New Roman" w:hAnsi="Times New Roman" w:cs="Times New Roman"/>
                <w:color w:val="auto"/>
                <w:sz w:val="24"/>
                <w:highlight w:val="none"/>
                <w:lang w:val="en-US" w:eastAsia="zh-CN"/>
              </w:rPr>
            </w:pPr>
          </w:p>
          <w:p w14:paraId="202E99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default" w:ascii="Times New Roman" w:hAnsi="Times New Roman" w:cs="Times New Roman"/>
                <w:color w:val="auto"/>
                <w:sz w:val="24"/>
                <w:highlight w:val="none"/>
                <w:lang w:val="en-US" w:eastAsia="zh-CN"/>
              </w:rPr>
            </w:pPr>
          </w:p>
          <w:p w14:paraId="317020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default" w:ascii="Times New Roman" w:hAnsi="Times New Roman" w:cs="Times New Roman"/>
                <w:color w:val="auto"/>
                <w:sz w:val="24"/>
                <w:highlight w:val="none"/>
                <w:lang w:val="en-US" w:eastAsia="zh-CN"/>
              </w:rPr>
            </w:pPr>
          </w:p>
          <w:p w14:paraId="08AD44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default" w:ascii="Times New Roman" w:hAnsi="Times New Roman" w:cs="Times New Roman"/>
                <w:color w:val="auto"/>
                <w:sz w:val="24"/>
                <w:highlight w:val="none"/>
                <w:lang w:val="en-US" w:eastAsia="zh-CN"/>
              </w:rPr>
            </w:pPr>
          </w:p>
          <w:p w14:paraId="7BC368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default" w:ascii="Times New Roman" w:hAnsi="Times New Roman" w:cs="Times New Roman"/>
                <w:color w:val="auto"/>
                <w:sz w:val="24"/>
                <w:highlight w:val="none"/>
                <w:lang w:val="en-US" w:eastAsia="zh-CN"/>
              </w:rPr>
            </w:pPr>
          </w:p>
          <w:p w14:paraId="65D795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default" w:ascii="Times New Roman" w:hAnsi="Times New Roman" w:cs="Times New Roman"/>
                <w:color w:val="auto"/>
                <w:sz w:val="24"/>
                <w:highlight w:val="none"/>
                <w:lang w:val="en-US" w:eastAsia="zh-CN"/>
              </w:rPr>
            </w:pPr>
          </w:p>
          <w:p w14:paraId="5D93FF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default" w:ascii="Times New Roman" w:hAnsi="Times New Roman" w:cs="Times New Roman"/>
                <w:color w:val="auto"/>
                <w:sz w:val="24"/>
                <w:highlight w:val="none"/>
                <w:lang w:val="en-US" w:eastAsia="zh-CN"/>
              </w:rPr>
            </w:pPr>
          </w:p>
          <w:p w14:paraId="620972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default" w:ascii="Times New Roman" w:hAnsi="Times New Roman" w:cs="Times New Roman"/>
                <w:color w:val="auto"/>
                <w:sz w:val="24"/>
                <w:highlight w:val="none"/>
                <w:lang w:val="en-US" w:eastAsia="zh-CN"/>
              </w:rPr>
            </w:pPr>
          </w:p>
          <w:p w14:paraId="013A84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default" w:ascii="Times New Roman" w:hAnsi="Times New Roman" w:cs="Times New Roman"/>
                <w:color w:val="auto"/>
                <w:sz w:val="24"/>
                <w:highlight w:val="none"/>
                <w:lang w:val="en-US" w:eastAsia="zh-CN"/>
              </w:rPr>
            </w:pPr>
          </w:p>
          <w:p w14:paraId="228CD4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default" w:ascii="Times New Roman" w:hAnsi="Times New Roman" w:cs="Times New Roman"/>
                <w:color w:val="auto"/>
                <w:sz w:val="24"/>
                <w:highlight w:val="none"/>
                <w:lang w:val="en-US" w:eastAsia="zh-CN"/>
              </w:rPr>
            </w:pPr>
          </w:p>
        </w:tc>
      </w:tr>
      <w:tr w14:paraId="043BA0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83" w:hRule="atLeast"/>
          <w:jc w:val="center"/>
        </w:trPr>
        <w:tc>
          <w:tcPr>
            <w:tcW w:w="546" w:type="dxa"/>
            <w:noWrap w:val="0"/>
            <w:vAlign w:val="center"/>
          </w:tcPr>
          <w:p w14:paraId="4517C9F9">
            <w:pPr>
              <w:pStyle w:val="29"/>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bCs/>
                <w:color w:val="0000FF"/>
                <w:kern w:val="2"/>
                <w:sz w:val="21"/>
                <w:szCs w:val="21"/>
                <w:highlight w:val="none"/>
                <w:lang w:val="en-US" w:eastAsia="zh-CN"/>
              </w:rPr>
            </w:pPr>
            <w:r>
              <w:rPr>
                <w:rFonts w:hint="eastAsia" w:ascii="宋体" w:hAnsi="宋体" w:eastAsia="宋体" w:cs="宋体"/>
                <w:bCs/>
                <w:color w:val="auto"/>
                <w:kern w:val="2"/>
                <w:sz w:val="24"/>
                <w:szCs w:val="24"/>
                <w:highlight w:val="none"/>
                <w:lang w:val="en-US" w:eastAsia="zh-CN"/>
              </w:rPr>
              <w:t>选址选线环境合理性分析</w:t>
            </w:r>
          </w:p>
        </w:tc>
        <w:tc>
          <w:tcPr>
            <w:tcW w:w="7962" w:type="dxa"/>
            <w:noWrap w:val="0"/>
            <w:vAlign w:val="top"/>
          </w:tcPr>
          <w:p w14:paraId="2AB95D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根据</w:t>
            </w:r>
            <w:r>
              <w:rPr>
                <w:rFonts w:hint="eastAsia" w:ascii="宋体" w:hAnsi="宋体" w:eastAsia="宋体" w:cs="宋体"/>
                <w:snapToGrid w:val="0"/>
                <w:color w:val="auto"/>
                <w:sz w:val="24"/>
                <w:szCs w:val="24"/>
                <w:highlight w:val="none"/>
              </w:rPr>
              <w:t>《环境影响评价技术导则</w:t>
            </w:r>
            <w:r>
              <w:rPr>
                <w:rFonts w:hint="eastAsia" w:ascii="宋体" w:hAnsi="宋体" w:cs="宋体"/>
                <w:snapToGrid w:val="0"/>
                <w:color w:val="auto"/>
                <w:sz w:val="24"/>
                <w:szCs w:val="24"/>
                <w:highlight w:val="none"/>
                <w:lang w:val="en-US" w:eastAsia="zh-CN"/>
              </w:rPr>
              <w:t xml:space="preserve"> </w:t>
            </w:r>
            <w:r>
              <w:rPr>
                <w:rFonts w:hint="eastAsia" w:ascii="宋体" w:hAnsi="宋体" w:eastAsia="宋体" w:cs="宋体"/>
                <w:snapToGrid w:val="0"/>
                <w:color w:val="auto"/>
                <w:sz w:val="24"/>
                <w:szCs w:val="24"/>
                <w:highlight w:val="none"/>
              </w:rPr>
              <w:t>输变电》(HJ24-2020)</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lang w:val="en-US" w:eastAsia="zh-CN"/>
              </w:rPr>
              <w:t>应按照</w:t>
            </w:r>
            <w:r>
              <w:rPr>
                <w:rFonts w:hint="eastAsia" w:ascii="宋体" w:hAnsi="宋体" w:eastAsia="宋体" w:cs="宋体"/>
                <w:color w:val="auto"/>
                <w:sz w:val="24"/>
                <w:szCs w:val="24"/>
                <w:highlight w:val="none"/>
              </w:rPr>
              <w:t>《输变电建设项目环境保护技术要求》</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HJ1113-2020</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的规定进行选址环境合理性分析。</w:t>
            </w:r>
          </w:p>
          <w:p w14:paraId="663B42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sz w:val="24"/>
                <w:szCs w:val="24"/>
                <w:highlight w:val="yellow"/>
                <w:lang w:val="en-US" w:eastAsia="zh-CN" w:bidi="ar-SA"/>
              </w:rPr>
            </w:pPr>
            <w:r>
              <w:rPr>
                <w:rFonts w:hint="eastAsia" w:ascii="宋体" w:hAnsi="宋体" w:eastAsia="宋体" w:cs="宋体"/>
                <w:color w:val="auto"/>
                <w:sz w:val="24"/>
                <w:szCs w:val="24"/>
                <w:highlight w:val="none"/>
                <w:lang w:val="en-US" w:eastAsia="zh-CN" w:bidi="ar-SA"/>
              </w:rPr>
              <w:t>本次评价根据《输变电建设项目环境保护技术要求》</w:t>
            </w:r>
            <w:r>
              <w:rPr>
                <w:rFonts w:hint="eastAsia" w:ascii="宋体" w:hAnsi="宋体" w:cs="宋体"/>
                <w:color w:val="auto"/>
                <w:sz w:val="24"/>
                <w:szCs w:val="24"/>
                <w:highlight w:val="none"/>
                <w:lang w:val="en-US" w:eastAsia="zh-CN" w:bidi="ar-SA"/>
              </w:rPr>
              <w:t>（</w:t>
            </w:r>
            <w:r>
              <w:rPr>
                <w:rFonts w:hint="eastAsia" w:ascii="宋体" w:hAnsi="宋体" w:eastAsia="宋体" w:cs="宋体"/>
                <w:color w:val="auto"/>
                <w:sz w:val="24"/>
                <w:szCs w:val="24"/>
                <w:highlight w:val="none"/>
                <w:lang w:val="en-US" w:eastAsia="zh-CN" w:bidi="ar-SA"/>
              </w:rPr>
              <w:t>HJ1113-2020</w:t>
            </w:r>
            <w:r>
              <w:rPr>
                <w:rFonts w:hint="eastAsia" w:ascii="宋体" w:hAnsi="宋体" w:cs="宋体"/>
                <w:color w:val="auto"/>
                <w:sz w:val="24"/>
                <w:szCs w:val="24"/>
                <w:highlight w:val="none"/>
                <w:lang w:val="en-US" w:eastAsia="zh-CN" w:bidi="ar-SA"/>
              </w:rPr>
              <w:t>）</w:t>
            </w:r>
            <w:r>
              <w:rPr>
                <w:rFonts w:hint="eastAsia" w:ascii="宋体" w:hAnsi="宋体" w:eastAsia="宋体" w:cs="宋体"/>
                <w:color w:val="auto"/>
                <w:sz w:val="24"/>
                <w:szCs w:val="24"/>
                <w:highlight w:val="none"/>
                <w:lang w:val="en-US" w:eastAsia="zh-CN" w:bidi="ar-SA"/>
              </w:rPr>
              <w:t>中选址等相关技术要求，对比分析相关符合性，见本报告“一、建设项目基本情况”</w:t>
            </w:r>
            <w:r>
              <w:rPr>
                <w:rFonts w:hint="eastAsia" w:ascii="宋体" w:hAnsi="宋体" w:cs="宋体"/>
                <w:color w:val="auto"/>
                <w:sz w:val="24"/>
                <w:szCs w:val="24"/>
                <w:highlight w:val="none"/>
                <w:lang w:val="en-US" w:eastAsia="zh-CN" w:bidi="ar-SA"/>
              </w:rPr>
              <w:t>－</w:t>
            </w:r>
            <w:r>
              <w:rPr>
                <w:rFonts w:hint="eastAsia" w:ascii="宋体" w:hAnsi="宋体" w:eastAsia="宋体" w:cs="宋体"/>
                <w:color w:val="auto"/>
                <w:sz w:val="24"/>
                <w:szCs w:val="24"/>
                <w:highlight w:val="none"/>
                <w:lang w:val="en-US" w:eastAsia="zh-CN" w:bidi="ar-SA"/>
              </w:rPr>
              <w:t>“其他符合性分析”</w:t>
            </w:r>
            <w:r>
              <w:rPr>
                <w:rFonts w:hint="eastAsia" w:ascii="宋体" w:hAnsi="宋体" w:cs="宋体"/>
                <w:color w:val="auto"/>
                <w:sz w:val="24"/>
                <w:szCs w:val="24"/>
                <w:highlight w:val="none"/>
                <w:lang w:val="en-US" w:eastAsia="zh-CN" w:bidi="ar-SA"/>
              </w:rPr>
              <w:t>－</w:t>
            </w:r>
            <w:r>
              <w:rPr>
                <w:rFonts w:hint="eastAsia" w:ascii="宋体" w:hAnsi="宋体" w:eastAsia="宋体" w:cs="宋体"/>
                <w:color w:val="auto"/>
                <w:sz w:val="24"/>
                <w:szCs w:val="24"/>
                <w:highlight w:val="none"/>
                <w:lang w:val="en-US" w:eastAsia="zh-CN" w:bidi="ar-SA"/>
              </w:rPr>
              <w:t>“3与《输变电建设项目环境保护技术要求》符合性分析”表1-</w:t>
            </w:r>
            <w:r>
              <w:rPr>
                <w:rFonts w:hint="eastAsia" w:ascii="宋体" w:hAnsi="宋体" w:cs="宋体"/>
                <w:color w:val="auto"/>
                <w:sz w:val="24"/>
                <w:szCs w:val="24"/>
                <w:highlight w:val="none"/>
                <w:lang w:val="en-US" w:eastAsia="zh-CN" w:bidi="ar-SA"/>
              </w:rPr>
              <w:t>5</w:t>
            </w:r>
            <w:r>
              <w:rPr>
                <w:rFonts w:hint="eastAsia" w:ascii="宋体" w:hAnsi="宋体" w:eastAsia="宋体" w:cs="宋体"/>
                <w:color w:val="auto"/>
                <w:sz w:val="24"/>
                <w:szCs w:val="24"/>
                <w:highlight w:val="none"/>
                <w:lang w:val="en-US" w:eastAsia="zh-CN" w:bidi="ar-SA"/>
              </w:rPr>
              <w:t>中“选址”内容。</w:t>
            </w:r>
          </w:p>
          <w:p w14:paraId="5E731F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根据表1-</w:t>
            </w:r>
            <w:r>
              <w:rPr>
                <w:rFonts w:hint="eastAsia" w:ascii="宋体" w:hAnsi="宋体" w:cs="宋体"/>
                <w:color w:val="auto"/>
                <w:sz w:val="24"/>
                <w:szCs w:val="24"/>
                <w:highlight w:val="none"/>
                <w:lang w:val="en-US" w:eastAsia="zh-CN" w:bidi="ar-SA"/>
              </w:rPr>
              <w:t>5</w:t>
            </w:r>
            <w:r>
              <w:rPr>
                <w:rFonts w:hint="eastAsia" w:ascii="宋体" w:hAnsi="宋体" w:eastAsia="宋体" w:cs="宋体"/>
                <w:color w:val="auto"/>
                <w:sz w:val="24"/>
                <w:szCs w:val="24"/>
                <w:highlight w:val="none"/>
                <w:lang w:val="en-US" w:eastAsia="zh-CN" w:bidi="ar-SA"/>
              </w:rPr>
              <w:t>中“选址”内容分析可知：建设项目选址不存在环境制约因素，环境影响程度可接受，因此符合《输变电建设项目环境保护技术要求》</w:t>
            </w:r>
            <w:r>
              <w:rPr>
                <w:rFonts w:hint="eastAsia" w:ascii="宋体" w:hAnsi="宋体" w:cs="宋体"/>
                <w:color w:val="auto"/>
                <w:sz w:val="24"/>
                <w:szCs w:val="24"/>
                <w:highlight w:val="none"/>
                <w:lang w:val="en-US" w:eastAsia="zh-CN" w:bidi="ar-SA"/>
              </w:rPr>
              <w:t>（</w:t>
            </w:r>
            <w:r>
              <w:rPr>
                <w:rFonts w:hint="eastAsia" w:ascii="宋体" w:hAnsi="宋体" w:eastAsia="宋体" w:cs="宋体"/>
                <w:color w:val="auto"/>
                <w:sz w:val="24"/>
                <w:szCs w:val="24"/>
                <w:highlight w:val="none"/>
                <w:lang w:val="en-US" w:eastAsia="zh-CN" w:bidi="ar-SA"/>
              </w:rPr>
              <w:t>HJ1113-2020</w:t>
            </w:r>
            <w:r>
              <w:rPr>
                <w:rFonts w:hint="eastAsia" w:ascii="宋体" w:hAnsi="宋体" w:cs="宋体"/>
                <w:color w:val="auto"/>
                <w:sz w:val="24"/>
                <w:szCs w:val="24"/>
                <w:highlight w:val="none"/>
                <w:lang w:val="en-US" w:eastAsia="zh-CN" w:bidi="ar-SA"/>
              </w:rPr>
              <w:t>）</w:t>
            </w:r>
            <w:r>
              <w:rPr>
                <w:rFonts w:hint="eastAsia" w:ascii="宋体" w:hAnsi="宋体" w:eastAsia="宋体" w:cs="宋体"/>
                <w:color w:val="auto"/>
                <w:sz w:val="24"/>
                <w:szCs w:val="24"/>
                <w:highlight w:val="none"/>
                <w:lang w:val="en-US" w:eastAsia="zh-CN" w:bidi="ar-SA"/>
              </w:rPr>
              <w:t>中选址等相关技术要求，故建设项目的选址环境合理。</w:t>
            </w:r>
          </w:p>
          <w:p w14:paraId="11EA76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sz w:val="24"/>
                <w:szCs w:val="24"/>
                <w:highlight w:val="none"/>
                <w:lang w:val="en-US" w:eastAsia="zh-CN" w:bidi="ar-SA"/>
              </w:rPr>
            </w:pPr>
          </w:p>
          <w:p w14:paraId="5F13A6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sz w:val="24"/>
                <w:szCs w:val="24"/>
                <w:highlight w:val="none"/>
                <w:lang w:val="en-US" w:eastAsia="zh-CN" w:bidi="ar-SA"/>
              </w:rPr>
            </w:pPr>
          </w:p>
          <w:p w14:paraId="352BA8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sz w:val="24"/>
                <w:szCs w:val="24"/>
                <w:highlight w:val="none"/>
                <w:lang w:val="en-US" w:eastAsia="zh-CN" w:bidi="ar-SA"/>
              </w:rPr>
            </w:pPr>
          </w:p>
          <w:p w14:paraId="6C761E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sz w:val="24"/>
                <w:szCs w:val="24"/>
                <w:highlight w:val="none"/>
                <w:lang w:val="en-US" w:eastAsia="zh-CN" w:bidi="ar-SA"/>
              </w:rPr>
            </w:pPr>
          </w:p>
          <w:p w14:paraId="554490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sz w:val="24"/>
                <w:szCs w:val="24"/>
                <w:highlight w:val="none"/>
                <w:lang w:val="en-US" w:eastAsia="zh-CN" w:bidi="ar-SA"/>
              </w:rPr>
            </w:pPr>
          </w:p>
          <w:p w14:paraId="723D8513">
            <w:pPr>
              <w:pStyle w:val="39"/>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lang w:val="en-US" w:eastAsia="zh-CN" w:bidi="ar-SA"/>
              </w:rPr>
            </w:pPr>
          </w:p>
          <w:p w14:paraId="0BB1A106">
            <w:pPr>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lang w:val="en-US" w:eastAsia="zh-CN" w:bidi="ar-SA"/>
              </w:rPr>
            </w:pPr>
          </w:p>
          <w:p w14:paraId="7E90662F">
            <w:pPr>
              <w:pStyle w:val="39"/>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lang w:val="en-US" w:eastAsia="zh-CN" w:bidi="ar-SA"/>
              </w:rPr>
            </w:pPr>
          </w:p>
          <w:p w14:paraId="35AE8D15">
            <w:pPr>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lang w:val="en-US" w:eastAsia="zh-CN" w:bidi="ar-SA"/>
              </w:rPr>
            </w:pPr>
          </w:p>
          <w:p w14:paraId="60BE5708">
            <w:pPr>
              <w:pStyle w:val="39"/>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lang w:val="en-US" w:eastAsia="zh-CN" w:bidi="ar-SA"/>
              </w:rPr>
            </w:pPr>
          </w:p>
          <w:p w14:paraId="4BB75309">
            <w:pPr>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lang w:val="en-US" w:eastAsia="zh-CN" w:bidi="ar-SA"/>
              </w:rPr>
            </w:pPr>
          </w:p>
          <w:p w14:paraId="5C986435">
            <w:pPr>
              <w:pStyle w:val="39"/>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lang w:val="en-US" w:eastAsia="zh-CN" w:bidi="ar-SA"/>
              </w:rPr>
            </w:pPr>
          </w:p>
          <w:p w14:paraId="4A331A30">
            <w:pPr>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lang w:val="en-US" w:eastAsia="zh-CN" w:bidi="ar-SA"/>
              </w:rPr>
            </w:pPr>
          </w:p>
          <w:p w14:paraId="30FA1135">
            <w:pPr>
              <w:pStyle w:val="39"/>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lang w:val="en-US" w:eastAsia="zh-CN" w:bidi="ar-SA"/>
              </w:rPr>
            </w:pPr>
          </w:p>
          <w:p w14:paraId="0A7FB0D2">
            <w:pPr>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lang w:val="en-US" w:eastAsia="zh-CN" w:bidi="ar-SA"/>
              </w:rPr>
            </w:pPr>
          </w:p>
          <w:p w14:paraId="7184767A">
            <w:pPr>
              <w:pStyle w:val="39"/>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lang w:val="en-US" w:eastAsia="zh-CN" w:bidi="ar-SA"/>
              </w:rPr>
            </w:pPr>
          </w:p>
          <w:p w14:paraId="23BCF6BB">
            <w:pPr>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lang w:val="en-US" w:eastAsia="zh-CN" w:bidi="ar-SA"/>
              </w:rPr>
            </w:pPr>
          </w:p>
          <w:p w14:paraId="7B5383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0000FF"/>
                <w:sz w:val="24"/>
                <w:szCs w:val="24"/>
                <w:highlight w:val="none"/>
                <w:lang w:val="en-US" w:eastAsia="zh-CN" w:bidi="ar-SA"/>
              </w:rPr>
            </w:pPr>
          </w:p>
          <w:p w14:paraId="5760DE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0000FF"/>
                <w:sz w:val="24"/>
                <w:szCs w:val="24"/>
                <w:highlight w:val="none"/>
                <w:lang w:val="en-US" w:eastAsia="zh-CN" w:bidi="ar-SA"/>
              </w:rPr>
            </w:pPr>
          </w:p>
          <w:p w14:paraId="293DBC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0000FF"/>
                <w:sz w:val="24"/>
                <w:szCs w:val="24"/>
                <w:highlight w:val="none"/>
                <w:lang w:val="en-US" w:eastAsia="zh-CN" w:bidi="ar-SA"/>
              </w:rPr>
            </w:pPr>
          </w:p>
          <w:p w14:paraId="6B0EFA06">
            <w:pPr>
              <w:pStyle w:val="39"/>
              <w:keepNext w:val="0"/>
              <w:keepLines w:val="0"/>
              <w:suppressLineNumbers w:val="0"/>
              <w:spacing w:before="0" w:beforeAutospacing="0" w:after="0" w:afterAutospacing="0"/>
              <w:ind w:left="0" w:right="0"/>
              <w:rPr>
                <w:rFonts w:hint="eastAsia" w:ascii="宋体" w:hAnsi="宋体" w:eastAsia="宋体" w:cs="宋体"/>
                <w:color w:val="0000FF"/>
                <w:sz w:val="24"/>
                <w:szCs w:val="24"/>
                <w:highlight w:val="none"/>
                <w:lang w:val="en-US" w:eastAsia="zh-CN" w:bidi="ar-SA"/>
              </w:rPr>
            </w:pPr>
          </w:p>
          <w:p w14:paraId="2E8CFBFE">
            <w:pPr>
              <w:keepNext w:val="0"/>
              <w:keepLines w:val="0"/>
              <w:suppressLineNumbers w:val="0"/>
              <w:spacing w:before="0" w:beforeAutospacing="0" w:after="0" w:afterAutospacing="0"/>
              <w:ind w:left="0" w:right="0"/>
              <w:rPr>
                <w:rFonts w:hint="eastAsia" w:ascii="宋体" w:hAnsi="宋体" w:eastAsia="宋体" w:cs="宋体"/>
                <w:color w:val="0000FF"/>
                <w:sz w:val="24"/>
                <w:szCs w:val="24"/>
                <w:highlight w:val="none"/>
                <w:lang w:val="en-US" w:eastAsia="zh-CN" w:bidi="ar-SA"/>
              </w:rPr>
            </w:pPr>
          </w:p>
          <w:p w14:paraId="4C366E17">
            <w:pPr>
              <w:pStyle w:val="39"/>
              <w:keepNext w:val="0"/>
              <w:keepLines w:val="0"/>
              <w:suppressLineNumbers w:val="0"/>
              <w:spacing w:before="0" w:beforeAutospacing="0" w:after="0" w:afterAutospacing="0"/>
              <w:ind w:left="0" w:right="0"/>
              <w:rPr>
                <w:rFonts w:hint="eastAsia" w:ascii="宋体" w:hAnsi="宋体" w:eastAsia="宋体" w:cs="宋体"/>
                <w:color w:val="0000FF"/>
                <w:sz w:val="24"/>
                <w:szCs w:val="24"/>
                <w:highlight w:val="none"/>
                <w:lang w:val="en-US" w:eastAsia="zh-CN" w:bidi="ar-SA"/>
              </w:rPr>
            </w:pPr>
          </w:p>
          <w:p w14:paraId="7BC9A202">
            <w:pPr>
              <w:keepNext w:val="0"/>
              <w:keepLines w:val="0"/>
              <w:suppressLineNumbers w:val="0"/>
              <w:spacing w:before="0" w:beforeAutospacing="0" w:after="0" w:afterAutospacing="0"/>
              <w:ind w:left="0" w:right="0"/>
              <w:rPr>
                <w:rFonts w:hint="eastAsia"/>
                <w:lang w:val="en-US" w:eastAsia="zh-CN"/>
              </w:rPr>
            </w:pPr>
          </w:p>
          <w:p w14:paraId="4F1C08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0000FF"/>
                <w:sz w:val="24"/>
                <w:szCs w:val="24"/>
                <w:highlight w:val="none"/>
                <w:lang w:val="en-US" w:eastAsia="zh-CN" w:bidi="ar-SA"/>
              </w:rPr>
            </w:pPr>
          </w:p>
          <w:p w14:paraId="2F8311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outlineLvl w:val="9"/>
              <w:rPr>
                <w:rFonts w:hint="default" w:ascii="宋体" w:hAnsi="宋体" w:eastAsia="宋体" w:cs="宋体"/>
                <w:bCs/>
                <w:color w:val="0000FF"/>
                <w:szCs w:val="21"/>
                <w:highlight w:val="none"/>
                <w:lang w:val="en-US" w:eastAsia="zh-CN"/>
              </w:rPr>
            </w:pPr>
          </w:p>
        </w:tc>
      </w:tr>
    </w:tbl>
    <w:p w14:paraId="2AF6DDC5">
      <w:pPr>
        <w:pStyle w:val="29"/>
        <w:jc w:val="center"/>
        <w:outlineLvl w:val="9"/>
        <w:rPr>
          <w:rFonts w:hint="eastAsia" w:ascii="宋体" w:hAnsi="宋体" w:eastAsia="宋体" w:cs="宋体"/>
          <w:snapToGrid w:val="0"/>
          <w:color w:val="0000FF"/>
          <w:sz w:val="36"/>
          <w:szCs w:val="36"/>
          <w:highlight w:val="none"/>
        </w:rPr>
        <w:sectPr>
          <w:pgSz w:w="11906" w:h="16838"/>
          <w:pgMar w:top="1134" w:right="1800" w:bottom="1134" w:left="1800" w:header="851" w:footer="1077" w:gutter="0"/>
          <w:pgBorders>
            <w:top w:val="none" w:sz="0" w:space="0"/>
            <w:left w:val="none" w:sz="0" w:space="0"/>
            <w:bottom w:val="none" w:sz="0" w:space="0"/>
            <w:right w:val="none" w:sz="0" w:space="0"/>
          </w:pgBorders>
          <w:pgNumType w:fmt="decimal"/>
          <w:cols w:space="720" w:num="1"/>
          <w:docGrid w:linePitch="312" w:charSpace="0"/>
        </w:sectPr>
      </w:pPr>
    </w:p>
    <w:p w14:paraId="0F6837C1">
      <w:pPr>
        <w:pStyle w:val="29"/>
        <w:keepNext w:val="0"/>
        <w:keepLines w:val="0"/>
        <w:pageBreakBefore w:val="0"/>
        <w:widowControl/>
        <w:kinsoku/>
        <w:wordWrap/>
        <w:overflowPunct/>
        <w:topLinePunct w:val="0"/>
        <w:autoSpaceDE/>
        <w:autoSpaceDN/>
        <w:bidi w:val="0"/>
        <w:adjustRightInd/>
        <w:snapToGrid/>
        <w:jc w:val="center"/>
        <w:textAlignment w:val="auto"/>
        <w:outlineLvl w:val="0"/>
        <w:rPr>
          <w:rFonts w:hint="eastAsia" w:ascii="宋体" w:hAnsi="宋体" w:eastAsia="宋体" w:cs="宋体"/>
          <w:b/>
          <w:bCs/>
          <w:snapToGrid w:val="0"/>
          <w:color w:val="auto"/>
          <w:sz w:val="30"/>
          <w:szCs w:val="30"/>
          <w:highlight w:val="none"/>
        </w:rPr>
      </w:pPr>
      <w:bookmarkStart w:id="49" w:name="_Toc8473"/>
      <w:bookmarkStart w:id="50" w:name="_Toc17599"/>
      <w:bookmarkStart w:id="51" w:name="_Toc4524"/>
      <w:bookmarkStart w:id="52" w:name="_Toc13807"/>
      <w:bookmarkStart w:id="53" w:name="_Toc14011"/>
      <w:bookmarkStart w:id="54" w:name="_Toc27920"/>
      <w:bookmarkStart w:id="55" w:name="_Toc9191"/>
      <w:bookmarkStart w:id="56" w:name="_Toc27479"/>
      <w:bookmarkStart w:id="57" w:name="_Toc1108"/>
      <w:r>
        <w:rPr>
          <w:rFonts w:hint="eastAsia" w:ascii="宋体" w:hAnsi="宋体" w:eastAsia="宋体" w:cs="宋体"/>
          <w:b/>
          <w:bCs/>
          <w:snapToGrid w:val="0"/>
          <w:color w:val="auto"/>
          <w:sz w:val="30"/>
          <w:szCs w:val="30"/>
          <w:highlight w:val="none"/>
        </w:rPr>
        <w:t>五、主要生态环境保护措施</w:t>
      </w:r>
      <w:bookmarkEnd w:id="49"/>
      <w:bookmarkEnd w:id="50"/>
      <w:bookmarkEnd w:id="51"/>
      <w:bookmarkEnd w:id="52"/>
      <w:bookmarkEnd w:id="53"/>
      <w:bookmarkEnd w:id="54"/>
      <w:bookmarkEnd w:id="55"/>
      <w:bookmarkEnd w:id="56"/>
      <w:bookmarkEnd w:id="57"/>
    </w:p>
    <w:tbl>
      <w:tblPr>
        <w:tblStyle w:val="32"/>
        <w:tblW w:w="844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8"/>
        <w:gridCol w:w="7921"/>
      </w:tblGrid>
      <w:tr w14:paraId="380FD4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0493" w:hRule="atLeast"/>
          <w:jc w:val="center"/>
        </w:trPr>
        <w:tc>
          <w:tcPr>
            <w:tcW w:w="528" w:type="dxa"/>
            <w:noWrap w:val="0"/>
            <w:tcMar>
              <w:left w:w="28" w:type="dxa"/>
              <w:right w:w="28" w:type="dxa"/>
            </w:tcMar>
            <w:vAlign w:val="center"/>
          </w:tcPr>
          <w:p w14:paraId="17D50B54">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bCs/>
                <w:color w:val="0000FF"/>
                <w:szCs w:val="21"/>
                <w:highlight w:val="none"/>
              </w:rPr>
            </w:pPr>
            <w:r>
              <w:rPr>
                <w:rFonts w:hint="eastAsia" w:ascii="宋体" w:hAnsi="宋体" w:eastAsia="宋体" w:cs="宋体"/>
                <w:bCs/>
                <w:color w:val="auto"/>
                <w:spacing w:val="10"/>
                <w:sz w:val="24"/>
                <w:szCs w:val="24"/>
                <w:highlight w:val="none"/>
              </w:rPr>
              <w:t>施工期生态环境保护措施</w:t>
            </w:r>
          </w:p>
        </w:tc>
        <w:tc>
          <w:tcPr>
            <w:tcW w:w="7921" w:type="dxa"/>
            <w:noWrap w:val="0"/>
            <w:vAlign w:val="top"/>
          </w:tcPr>
          <w:p w14:paraId="6E359A7B">
            <w:pPr>
              <w:keepNext w:val="0"/>
              <w:keepLines w:val="0"/>
              <w:suppressLineNumbers w:val="0"/>
              <w:adjustRightInd w:val="0"/>
              <w:snapToGrid w:val="0"/>
              <w:spacing w:before="0" w:beforeAutospacing="0" w:after="0" w:afterAutospacing="0" w:line="360" w:lineRule="auto"/>
              <w:ind w:left="0" w:right="0"/>
              <w:outlineLvl w:val="9"/>
              <w:rPr>
                <w:rFonts w:hint="eastAsia" w:ascii="宋体" w:hAnsi="宋体" w:eastAsia="宋体" w:cs="宋体"/>
                <w:b/>
                <w:bCs/>
                <w:color w:val="auto"/>
                <w:sz w:val="24"/>
              </w:rPr>
            </w:pPr>
            <w:r>
              <w:rPr>
                <w:rFonts w:hint="eastAsia" w:ascii="宋体" w:hAnsi="宋体" w:eastAsia="宋体" w:cs="宋体"/>
                <w:b/>
                <w:bCs/>
                <w:color w:val="auto"/>
                <w:sz w:val="24"/>
              </w:rPr>
              <w:t>1施工期生态环境保护措施</w:t>
            </w:r>
          </w:p>
          <w:p w14:paraId="0B640D1A">
            <w:pPr>
              <w:pStyle w:val="1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textAlignment w:val="auto"/>
              <w:outlineLvl w:val="9"/>
              <w:rPr>
                <w:rFonts w:hint="eastAsia" w:ascii="宋体" w:hAnsi="宋体" w:eastAsia="宋体" w:cs="宋体"/>
                <w:b/>
                <w:bCs/>
                <w:color w:val="auto"/>
                <w:sz w:val="24"/>
                <w:lang w:val="en-US" w:eastAsia="zh-CN"/>
              </w:rPr>
            </w:pPr>
            <w:r>
              <w:rPr>
                <w:rFonts w:hint="eastAsia" w:ascii="宋体" w:hAnsi="宋体" w:eastAsia="宋体" w:cs="宋体"/>
                <w:b/>
                <w:bCs/>
                <w:color w:val="auto"/>
                <w:sz w:val="24"/>
                <w:lang w:val="en-US" w:eastAsia="zh-CN"/>
              </w:rPr>
              <w:t>1.1土地利用的影响</w:t>
            </w:r>
          </w:p>
          <w:p w14:paraId="70138AE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施工活动严格控制在征地范围内，尽可能减少对周围土地的破坏；考虑对进场道路与施工道路进行一次性规划，施工道路不再单独临时征用土地；道路尽可能在现有道路的基础上布置规划，尽量减少对土地的破坏、占用。</w:t>
            </w:r>
          </w:p>
          <w:p w14:paraId="0EBA263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outlineLvl w:val="9"/>
              <w:rPr>
                <w:rFonts w:hint="eastAsia" w:ascii="宋体" w:hAnsi="宋体" w:eastAsia="宋体" w:cs="宋体"/>
                <w:color w:val="auto"/>
                <w:lang w:val="en-US" w:eastAsia="zh-CN"/>
              </w:rPr>
            </w:pP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2</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各施工机械和设备必须严格</w:t>
            </w:r>
            <w:r>
              <w:rPr>
                <w:rFonts w:hint="eastAsia" w:ascii="宋体" w:hAnsi="宋体" w:cs="宋体"/>
                <w:color w:val="auto"/>
                <w:sz w:val="24"/>
                <w:szCs w:val="24"/>
                <w:lang w:val="en-US" w:eastAsia="zh-CN"/>
              </w:rPr>
              <w:t>按照</w:t>
            </w:r>
            <w:r>
              <w:rPr>
                <w:rFonts w:hint="eastAsia" w:ascii="宋体" w:hAnsi="宋体" w:eastAsia="宋体" w:cs="宋体"/>
                <w:color w:val="auto"/>
                <w:sz w:val="24"/>
                <w:szCs w:val="24"/>
                <w:lang w:val="en-US" w:eastAsia="zh-CN"/>
              </w:rPr>
              <w:t>设计规划指定位置来放置，不得随意堆放，以便能有效地控制占地面积，更好地保护原地貌。</w:t>
            </w:r>
          </w:p>
          <w:p w14:paraId="4FC56799">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3</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在施工过程中，做好表土的集中堆存和保护，并要求完工后及时利用原表土对施工造成的裸露面进行覆土。</w:t>
            </w:r>
          </w:p>
          <w:p w14:paraId="2B7D7842">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4</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尽量减少大型机械施工，基坑开挖后，尽快浇筑混凝土，并及时回填，</w:t>
            </w:r>
            <w:r>
              <w:rPr>
                <w:rFonts w:hint="eastAsia" w:ascii="宋体" w:hAnsi="宋体" w:cs="宋体"/>
                <w:color w:val="auto"/>
                <w:sz w:val="24"/>
                <w:szCs w:val="24"/>
                <w:lang w:val="en-US" w:eastAsia="zh-CN"/>
              </w:rPr>
              <w:t>对</w:t>
            </w:r>
            <w:r>
              <w:rPr>
                <w:rFonts w:hint="eastAsia" w:ascii="宋体" w:hAnsi="宋体" w:eastAsia="宋体" w:cs="宋体"/>
                <w:color w:val="auto"/>
                <w:sz w:val="24"/>
                <w:szCs w:val="24"/>
                <w:lang w:val="en-US" w:eastAsia="zh-CN"/>
              </w:rPr>
              <w:t>表层进行碾压，缩短裸露时间，减少扬尘发生。基坑开挖严禁爆破，以减少粉尘及</w:t>
            </w:r>
            <w:r>
              <w:rPr>
                <w:rFonts w:hint="eastAsia" w:ascii="宋体" w:hAnsi="宋体" w:cs="宋体"/>
                <w:color w:val="auto"/>
                <w:sz w:val="24"/>
                <w:szCs w:val="24"/>
                <w:lang w:val="en-US" w:eastAsia="zh-CN"/>
              </w:rPr>
              <w:t>振动</w:t>
            </w:r>
            <w:r>
              <w:rPr>
                <w:rFonts w:hint="eastAsia" w:ascii="宋体" w:hAnsi="宋体" w:eastAsia="宋体" w:cs="宋体"/>
                <w:color w:val="auto"/>
                <w:sz w:val="24"/>
                <w:szCs w:val="24"/>
                <w:lang w:val="en-US" w:eastAsia="zh-CN"/>
              </w:rPr>
              <w:t>对周围环境的影响。</w:t>
            </w:r>
          </w:p>
          <w:p w14:paraId="3DA277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cs="宋体"/>
                <w:color w:val="auto"/>
                <w:kern w:val="2"/>
                <w:sz w:val="24"/>
                <w:szCs w:val="22"/>
                <w:lang w:val="en-US" w:eastAsia="zh-CN" w:bidi="ar-SA"/>
              </w:rPr>
              <w:t>（5）</w:t>
            </w:r>
            <w:r>
              <w:rPr>
                <w:rFonts w:hint="eastAsia" w:ascii="宋体" w:hAnsi="宋体" w:eastAsia="宋体" w:cs="宋体"/>
                <w:color w:val="auto"/>
                <w:kern w:val="2"/>
                <w:sz w:val="24"/>
                <w:szCs w:val="22"/>
                <w:lang w:val="en-US" w:eastAsia="zh-CN" w:bidi="ar-SA"/>
              </w:rPr>
              <w:t>合理规划临时工程的位置，尽可能减小扰动范围；临时施工占地在施工结束后及时清理施工垃圾，对施工场地进行平整、压实。</w:t>
            </w:r>
          </w:p>
          <w:p w14:paraId="5F9490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cs="宋体"/>
                <w:color w:val="auto"/>
                <w:kern w:val="2"/>
                <w:sz w:val="24"/>
                <w:szCs w:val="22"/>
                <w:lang w:val="en-US" w:eastAsia="zh-CN" w:bidi="ar-SA"/>
              </w:rPr>
              <w:t>（6）</w:t>
            </w:r>
            <w:r>
              <w:rPr>
                <w:rFonts w:hint="eastAsia" w:ascii="宋体" w:hAnsi="宋体" w:eastAsia="宋体" w:cs="宋体"/>
                <w:color w:val="auto"/>
                <w:kern w:val="2"/>
                <w:sz w:val="24"/>
                <w:szCs w:val="24"/>
                <w:lang w:val="en-US" w:eastAsia="zh-CN" w:bidi="ar-SA"/>
              </w:rPr>
              <w:t>施工期间应划定施工活动范围，严格控制和管理运输车辆及重型机械的运行线路和范围，不得离开运输道路及随意行驶，由专人负责，以防破坏土壤和植被，加剧土地荒漠化。</w:t>
            </w:r>
          </w:p>
          <w:p w14:paraId="62C402F5">
            <w:pPr>
              <w:keepNext w:val="0"/>
              <w:keepLines w:val="0"/>
              <w:suppressLineNumbers w:val="0"/>
              <w:adjustRightInd w:val="0"/>
              <w:snapToGrid w:val="0"/>
              <w:spacing w:before="0" w:beforeAutospacing="0" w:after="0" w:afterAutospacing="0" w:line="360" w:lineRule="auto"/>
              <w:ind w:left="0" w:right="0" w:firstLine="480" w:firstLineChars="200"/>
              <w:outlineLvl w:val="9"/>
              <w:rPr>
                <w:rFonts w:hint="eastAsia" w:ascii="宋体" w:hAnsi="宋体" w:cs="宋体"/>
                <w:color w:val="auto"/>
                <w:sz w:val="24"/>
                <w:szCs w:val="24"/>
                <w:lang w:val="en-US" w:eastAsia="zh-CN"/>
              </w:rPr>
            </w:pPr>
            <w:r>
              <w:rPr>
                <w:rFonts w:hint="eastAsia" w:ascii="宋体" w:hAnsi="宋体" w:cs="宋体"/>
                <w:color w:val="auto"/>
                <w:sz w:val="24"/>
                <w:lang w:eastAsia="zh-CN"/>
              </w:rPr>
              <w:t>（</w:t>
            </w:r>
            <w:r>
              <w:rPr>
                <w:rFonts w:hint="eastAsia" w:ascii="宋体" w:hAnsi="宋体" w:cs="宋体"/>
                <w:color w:val="auto"/>
                <w:sz w:val="24"/>
                <w:lang w:val="en-US" w:eastAsia="zh-CN"/>
              </w:rPr>
              <w:t>7）</w:t>
            </w:r>
            <w:r>
              <w:rPr>
                <w:rFonts w:hint="eastAsia" w:ascii="宋体" w:hAnsi="宋体" w:eastAsia="宋体" w:cs="宋体"/>
                <w:color w:val="auto"/>
                <w:sz w:val="24"/>
                <w:szCs w:val="24"/>
                <w:lang w:val="en-US" w:eastAsia="zh-CN"/>
              </w:rPr>
              <w:t>工程施工过程中和施工结束后，应及时并严格按照本项目所提出的各种水土保持措施对各水土流失防治部位进行治理，防止新增水土流失。</w:t>
            </w:r>
          </w:p>
          <w:p w14:paraId="66FE26CE">
            <w:pPr>
              <w:keepNext w:val="0"/>
              <w:keepLines w:val="0"/>
              <w:suppressLineNumbers w:val="0"/>
              <w:adjustRightInd w:val="0"/>
              <w:snapToGrid w:val="0"/>
              <w:spacing w:before="0" w:beforeAutospacing="0" w:after="0" w:afterAutospacing="0" w:line="360" w:lineRule="auto"/>
              <w:ind w:left="0" w:right="0" w:firstLine="480" w:firstLineChars="200"/>
              <w:outlineLvl w:val="9"/>
              <w:rPr>
                <w:rFonts w:hint="eastAsia"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（8）</w:t>
            </w:r>
            <w:r>
              <w:rPr>
                <w:rFonts w:hint="eastAsia" w:ascii="宋体" w:hAnsi="宋体" w:eastAsia="宋体" w:cs="宋体"/>
                <w:color w:val="auto"/>
                <w:kern w:val="2"/>
                <w:sz w:val="24"/>
                <w:szCs w:val="24"/>
                <w:lang w:val="en-US" w:eastAsia="zh-CN" w:bidi="ar-SA"/>
              </w:rPr>
              <w:t>项目建设完成后，对施工临时占地的废渣及一切废弃物资、设备应及时清理，施工临时占地使用后应立即恢复原状，场地须平整，做到工完料净场地清，确保周围环境无污染。</w:t>
            </w:r>
          </w:p>
          <w:p w14:paraId="662F9884">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color w:val="auto"/>
                <w:sz w:val="24"/>
                <w:szCs w:val="24"/>
                <w:lang w:val="en-US" w:eastAsia="zh-CN"/>
              </w:rPr>
            </w:pPr>
            <w:r>
              <w:rPr>
                <w:rFonts w:hint="eastAsia"/>
                <w:color w:val="auto"/>
                <w:sz w:val="24"/>
                <w:szCs w:val="24"/>
                <w:lang w:val="en-US" w:eastAsia="zh-CN"/>
              </w:rPr>
              <w:t>以上措施均是常用的，也是有效的，防治措施可行。施工活动严格控制在征地范围内，施工道路应有固定路线，不要随意向两边拓展或单独开道，减少对土地的破坏、占用。</w:t>
            </w:r>
          </w:p>
          <w:p w14:paraId="11B2D34C">
            <w:pPr>
              <w:keepNext w:val="0"/>
              <w:keepLines w:val="0"/>
              <w:suppressLineNumbers w:val="0"/>
              <w:adjustRightInd w:val="0"/>
              <w:snapToGrid w:val="0"/>
              <w:spacing w:before="0" w:beforeAutospacing="0" w:after="0" w:afterAutospacing="0" w:line="360" w:lineRule="auto"/>
              <w:ind w:left="0" w:right="0"/>
              <w:outlineLvl w:val="9"/>
              <w:rPr>
                <w:rFonts w:hint="eastAsia" w:ascii="宋体" w:hAnsi="宋体" w:eastAsia="宋体" w:cs="宋体"/>
                <w:b/>
                <w:color w:val="auto"/>
                <w:sz w:val="24"/>
              </w:rPr>
            </w:pPr>
            <w:r>
              <w:rPr>
                <w:rFonts w:hint="eastAsia" w:ascii="宋体" w:hAnsi="宋体" w:eastAsia="宋体" w:cs="宋体"/>
                <w:b/>
                <w:color w:val="auto"/>
                <w:sz w:val="24"/>
              </w:rPr>
              <w:t>1.2植物保护措施</w:t>
            </w:r>
          </w:p>
          <w:p w14:paraId="16DA03E3">
            <w:pPr>
              <w:keepNext w:val="0"/>
              <w:keepLines w:val="0"/>
              <w:suppressLineNumbers w:val="0"/>
              <w:adjustRightInd w:val="0"/>
              <w:snapToGrid w:val="0"/>
              <w:spacing w:before="0" w:beforeAutospacing="0" w:after="0" w:afterAutospacing="0" w:line="360" w:lineRule="auto"/>
              <w:ind w:left="0" w:right="0" w:firstLine="480" w:firstLineChars="200"/>
              <w:outlineLvl w:val="9"/>
              <w:rPr>
                <w:rFonts w:hint="eastAsia" w:ascii="宋体" w:hAnsi="宋体" w:eastAsia="宋体" w:cs="宋体"/>
                <w:snapToGrid w:val="0"/>
                <w:color w:val="auto"/>
                <w:kern w:val="0"/>
                <w:sz w:val="24"/>
              </w:rPr>
            </w:pPr>
            <w:r>
              <w:rPr>
                <w:rFonts w:hint="eastAsia" w:ascii="宋体" w:hAnsi="宋体" w:cs="宋体"/>
                <w:color w:val="auto"/>
                <w:sz w:val="24"/>
                <w:lang w:eastAsia="zh-CN"/>
              </w:rPr>
              <w:t>（</w:t>
            </w:r>
            <w:r>
              <w:rPr>
                <w:rFonts w:hint="eastAsia" w:ascii="宋体" w:hAnsi="宋体" w:eastAsia="宋体" w:cs="宋体"/>
                <w:color w:val="auto"/>
                <w:sz w:val="24"/>
              </w:rPr>
              <w:t>1</w:t>
            </w:r>
            <w:r>
              <w:rPr>
                <w:rFonts w:hint="eastAsia" w:ascii="宋体" w:hAnsi="宋体" w:cs="宋体"/>
                <w:color w:val="auto"/>
                <w:sz w:val="24"/>
                <w:lang w:eastAsia="zh-CN"/>
              </w:rPr>
              <w:t>）</w:t>
            </w:r>
            <w:r>
              <w:rPr>
                <w:rFonts w:hint="eastAsia" w:ascii="宋体" w:hAnsi="宋体" w:eastAsia="宋体" w:cs="宋体"/>
                <w:snapToGrid w:val="0"/>
                <w:color w:val="auto"/>
                <w:kern w:val="0"/>
                <w:sz w:val="24"/>
              </w:rPr>
              <w:t>合理规划、设计施工场地，各种机械和车辆固定行车路线，不能随意下道行驶或另开辟便道，以保证周围地表</w:t>
            </w:r>
            <w:r>
              <w:rPr>
                <w:rFonts w:hint="eastAsia" w:ascii="宋体" w:hAnsi="宋体" w:cs="宋体"/>
                <w:snapToGrid w:val="0"/>
                <w:color w:val="auto"/>
                <w:kern w:val="0"/>
                <w:sz w:val="24"/>
                <w:lang w:val="en-US" w:eastAsia="zh-CN"/>
              </w:rPr>
              <w:t>砾幕</w:t>
            </w:r>
            <w:r>
              <w:rPr>
                <w:rFonts w:hint="eastAsia" w:ascii="宋体" w:hAnsi="宋体" w:eastAsia="宋体" w:cs="宋体"/>
                <w:snapToGrid w:val="0"/>
                <w:color w:val="auto"/>
                <w:kern w:val="0"/>
                <w:sz w:val="24"/>
              </w:rPr>
              <w:t>和植被不受破坏。</w:t>
            </w:r>
          </w:p>
          <w:p w14:paraId="1BF5765F">
            <w:pPr>
              <w:keepNext w:val="0"/>
              <w:keepLines w:val="0"/>
              <w:suppressLineNumbers w:val="0"/>
              <w:adjustRightInd w:val="0"/>
              <w:snapToGrid w:val="0"/>
              <w:spacing w:before="0" w:beforeAutospacing="0" w:after="0" w:afterAutospacing="0" w:line="360" w:lineRule="auto"/>
              <w:ind w:left="0" w:right="0" w:firstLine="480" w:firstLineChars="200"/>
              <w:outlineLvl w:val="9"/>
              <w:rPr>
                <w:rFonts w:hint="eastAsia" w:ascii="宋体" w:hAnsi="宋体" w:eastAsia="宋体" w:cs="宋体"/>
                <w:snapToGrid w:val="0"/>
                <w:color w:val="auto"/>
                <w:kern w:val="0"/>
                <w:sz w:val="24"/>
              </w:rPr>
            </w:pPr>
            <w:r>
              <w:rPr>
                <w:rFonts w:hint="eastAsia" w:ascii="宋体" w:hAnsi="宋体" w:cs="宋体"/>
                <w:color w:val="auto"/>
                <w:sz w:val="24"/>
                <w:lang w:eastAsia="zh-CN"/>
              </w:rPr>
              <w:t>（</w:t>
            </w:r>
            <w:r>
              <w:rPr>
                <w:rFonts w:hint="eastAsia" w:ascii="宋体" w:hAnsi="宋体" w:eastAsia="宋体" w:cs="宋体"/>
                <w:color w:val="auto"/>
                <w:sz w:val="24"/>
                <w:lang w:val="en-US" w:eastAsia="zh-CN"/>
              </w:rPr>
              <w:t>2</w:t>
            </w:r>
            <w:r>
              <w:rPr>
                <w:rFonts w:hint="eastAsia" w:ascii="宋体" w:hAnsi="宋体" w:cs="宋体"/>
                <w:color w:val="auto"/>
                <w:sz w:val="24"/>
                <w:lang w:val="en-US" w:eastAsia="zh-CN"/>
              </w:rPr>
              <w:t>）</w:t>
            </w:r>
            <w:r>
              <w:rPr>
                <w:rFonts w:hint="eastAsia" w:ascii="宋体" w:hAnsi="宋体" w:eastAsia="宋体" w:cs="宋体"/>
                <w:snapToGrid w:val="0"/>
                <w:color w:val="auto"/>
                <w:kern w:val="0"/>
                <w:sz w:val="24"/>
              </w:rPr>
              <w:t>施工时应在工期安排上合理有序，先设置围栏措施，后进行工程建设，尽量减少对地表和植被的破坏，除施工必须不得不铲除或碾压植被外，不允许以</w:t>
            </w:r>
            <w:r>
              <w:rPr>
                <w:rFonts w:hint="eastAsia" w:ascii="宋体" w:hAnsi="宋体" w:cs="宋体"/>
                <w:snapToGrid w:val="0"/>
                <w:color w:val="auto"/>
                <w:kern w:val="0"/>
                <w:sz w:val="24"/>
                <w:lang w:eastAsia="zh-CN"/>
              </w:rPr>
              <w:t>其他</w:t>
            </w:r>
            <w:r>
              <w:rPr>
                <w:rFonts w:hint="eastAsia" w:ascii="宋体" w:hAnsi="宋体" w:eastAsia="宋体" w:cs="宋体"/>
                <w:snapToGrid w:val="0"/>
                <w:color w:val="auto"/>
                <w:kern w:val="0"/>
                <w:sz w:val="24"/>
              </w:rPr>
              <w:t>任何理由铲除植被，以减少对生态环境的破坏。</w:t>
            </w:r>
          </w:p>
          <w:p w14:paraId="258C174C">
            <w:pPr>
              <w:keepNext w:val="0"/>
              <w:keepLines w:val="0"/>
              <w:suppressLineNumbers w:val="0"/>
              <w:adjustRightInd w:val="0"/>
              <w:snapToGrid w:val="0"/>
              <w:spacing w:before="0" w:beforeAutospacing="0" w:after="0" w:afterAutospacing="0" w:line="360" w:lineRule="auto"/>
              <w:ind w:left="0" w:right="0" w:firstLine="480" w:firstLineChars="200"/>
              <w:outlineLvl w:val="9"/>
              <w:rPr>
                <w:rFonts w:hint="eastAsia" w:ascii="宋体" w:hAnsi="宋体" w:eastAsia="宋体" w:cs="宋体"/>
                <w:snapToGrid w:val="0"/>
                <w:color w:val="auto"/>
                <w:kern w:val="0"/>
                <w:sz w:val="24"/>
              </w:rPr>
            </w:pPr>
            <w:r>
              <w:rPr>
                <w:rFonts w:hint="eastAsia" w:ascii="宋体" w:hAnsi="宋体" w:cs="宋体"/>
                <w:color w:val="auto"/>
                <w:sz w:val="24"/>
                <w:lang w:eastAsia="zh-CN"/>
              </w:rPr>
              <w:t>（</w:t>
            </w:r>
            <w:r>
              <w:rPr>
                <w:rFonts w:hint="eastAsia" w:ascii="宋体" w:hAnsi="宋体" w:cs="宋体"/>
                <w:color w:val="auto"/>
                <w:sz w:val="24"/>
                <w:lang w:val="en-US" w:eastAsia="zh-CN"/>
              </w:rPr>
              <w:t>3）合理安排施工时序，</w:t>
            </w:r>
            <w:r>
              <w:rPr>
                <w:rFonts w:hint="eastAsia" w:ascii="宋体" w:hAnsi="宋体" w:eastAsia="宋体" w:cs="宋体"/>
                <w:color w:val="auto"/>
                <w:sz w:val="24"/>
              </w:rPr>
              <w:t>减少地表开挖裸露时间、避开雨季及大风天气施工、及时进行迹地恢复等生态防护措施，以减少本项目施工对生态环境及水土流失的影响</w:t>
            </w:r>
            <w:r>
              <w:rPr>
                <w:rFonts w:hint="eastAsia" w:ascii="宋体" w:hAnsi="宋体" w:eastAsia="宋体" w:cs="宋体"/>
                <w:snapToGrid w:val="0"/>
                <w:color w:val="auto"/>
                <w:kern w:val="0"/>
                <w:sz w:val="24"/>
              </w:rPr>
              <w:t>。</w:t>
            </w:r>
          </w:p>
          <w:p w14:paraId="1323DB51">
            <w:pPr>
              <w:keepNext w:val="0"/>
              <w:keepLines w:val="0"/>
              <w:suppressLineNumbers w:val="0"/>
              <w:adjustRightInd w:val="0"/>
              <w:snapToGrid w:val="0"/>
              <w:spacing w:before="0" w:beforeAutospacing="0" w:after="0" w:afterAutospacing="0" w:line="360" w:lineRule="auto"/>
              <w:ind w:left="0" w:right="0" w:firstLine="480" w:firstLineChars="200"/>
              <w:outlineLvl w:val="9"/>
              <w:rPr>
                <w:rFonts w:hint="eastAsia" w:ascii="宋体" w:hAnsi="宋体" w:eastAsia="宋体" w:cs="宋体"/>
                <w:snapToGrid w:val="0"/>
                <w:color w:val="auto"/>
                <w:kern w:val="0"/>
                <w:sz w:val="24"/>
              </w:rPr>
            </w:pPr>
            <w:r>
              <w:rPr>
                <w:rFonts w:hint="eastAsia" w:ascii="宋体" w:hAnsi="宋体" w:cs="宋体"/>
                <w:color w:val="auto"/>
                <w:sz w:val="24"/>
                <w:lang w:eastAsia="zh-CN"/>
              </w:rPr>
              <w:t>（</w:t>
            </w:r>
            <w:r>
              <w:rPr>
                <w:rFonts w:hint="eastAsia" w:ascii="宋体" w:hAnsi="宋体" w:cs="宋体"/>
                <w:color w:val="auto"/>
                <w:sz w:val="24"/>
                <w:lang w:val="en-US" w:eastAsia="zh-CN"/>
              </w:rPr>
              <w:t>4）</w:t>
            </w:r>
            <w:r>
              <w:rPr>
                <w:rFonts w:hint="eastAsia" w:ascii="宋体" w:hAnsi="宋体" w:eastAsia="宋体" w:cs="宋体"/>
                <w:snapToGrid w:val="0"/>
                <w:color w:val="auto"/>
                <w:kern w:val="0"/>
                <w:sz w:val="24"/>
              </w:rPr>
              <w:t>在基础施工完毕后，应按设计要求立即对基础周边开挖部分进行覆土，并进行平整夯实，以减少水土流失</w:t>
            </w:r>
            <w:r>
              <w:rPr>
                <w:rFonts w:hint="eastAsia" w:ascii="宋体" w:hAnsi="宋体" w:eastAsia="宋体" w:cs="宋体"/>
                <w:snapToGrid w:val="0"/>
                <w:color w:val="auto"/>
                <w:kern w:val="0"/>
                <w:sz w:val="24"/>
                <w:lang w:eastAsia="zh-CN"/>
              </w:rPr>
              <w:t>，</w:t>
            </w:r>
            <w:r>
              <w:rPr>
                <w:rFonts w:hint="eastAsia" w:ascii="宋体" w:hAnsi="宋体" w:eastAsia="宋体" w:cs="宋体"/>
                <w:snapToGrid w:val="0"/>
                <w:color w:val="auto"/>
                <w:kern w:val="0"/>
                <w:sz w:val="24"/>
              </w:rPr>
              <w:t>必要时进行喷水增湿，以便自然植被的生长恢复。</w:t>
            </w:r>
          </w:p>
          <w:p w14:paraId="2E968D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outlineLvl w:val="9"/>
              <w:rPr>
                <w:rFonts w:hint="eastAsia" w:ascii="宋体" w:hAnsi="宋体" w:eastAsia="宋体" w:cs="宋体"/>
                <w:color w:val="auto"/>
                <w:kern w:val="2"/>
                <w:sz w:val="24"/>
                <w:szCs w:val="22"/>
                <w:lang w:val="en-US" w:eastAsia="zh-CN" w:bidi="ar-SA"/>
              </w:rPr>
            </w:pPr>
            <w:r>
              <w:rPr>
                <w:rFonts w:hint="eastAsia" w:ascii="宋体" w:hAnsi="宋体" w:cs="宋体"/>
                <w:color w:val="auto"/>
                <w:kern w:val="2"/>
                <w:sz w:val="24"/>
                <w:szCs w:val="22"/>
                <w:lang w:val="en-US" w:eastAsia="zh-CN" w:bidi="ar-SA"/>
              </w:rPr>
              <w:t>（5）</w:t>
            </w:r>
            <w:r>
              <w:rPr>
                <w:rFonts w:hint="eastAsia" w:ascii="宋体" w:hAnsi="宋体" w:eastAsia="宋体" w:cs="宋体"/>
                <w:color w:val="auto"/>
                <w:kern w:val="2"/>
                <w:sz w:val="24"/>
                <w:szCs w:val="22"/>
                <w:lang w:val="en-US" w:eastAsia="zh-CN" w:bidi="ar-SA"/>
              </w:rPr>
              <w:t>施工道路两侧布设彩条旗进行围护，防止施工车辆跨越施工道路征地范围作业，造成大面积的地表扰动，工程完结后对扰动的区域进行平整，恢复生态。</w:t>
            </w:r>
          </w:p>
          <w:p w14:paraId="0B4D77B0">
            <w:pPr>
              <w:keepNext w:val="0"/>
              <w:keepLines w:val="0"/>
              <w:widowControl/>
              <w:suppressLineNumbers w:val="0"/>
              <w:spacing w:before="0" w:beforeAutospacing="0" w:after="0" w:afterAutospacing="0" w:line="360" w:lineRule="auto"/>
              <w:ind w:left="0" w:right="0" w:firstLine="0" w:firstLineChars="0"/>
              <w:jc w:val="left"/>
              <w:outlineLvl w:val="9"/>
              <w:rPr>
                <w:rFonts w:hint="default" w:ascii="宋体" w:hAnsi="宋体" w:eastAsia="宋体" w:cs="宋体"/>
                <w:b/>
                <w:bCs w:val="0"/>
                <w:color w:val="auto"/>
                <w:kern w:val="0"/>
                <w:sz w:val="24"/>
                <w:szCs w:val="24"/>
                <w:lang w:val="en-US" w:eastAsia="zh-CN" w:bidi="ar"/>
              </w:rPr>
            </w:pPr>
            <w:r>
              <w:rPr>
                <w:rFonts w:hint="default" w:ascii="宋体" w:hAnsi="宋体" w:eastAsia="宋体" w:cs="宋体"/>
                <w:b/>
                <w:bCs w:val="0"/>
                <w:color w:val="auto"/>
                <w:kern w:val="0"/>
                <w:sz w:val="24"/>
                <w:szCs w:val="24"/>
                <w:lang w:val="en-US" w:eastAsia="zh-CN" w:bidi="ar"/>
              </w:rPr>
              <w:t>1.</w:t>
            </w:r>
            <w:r>
              <w:rPr>
                <w:rFonts w:hint="eastAsia" w:ascii="宋体" w:hAnsi="宋体" w:eastAsia="宋体" w:cs="宋体"/>
                <w:b/>
                <w:bCs w:val="0"/>
                <w:color w:val="auto"/>
                <w:kern w:val="0"/>
                <w:sz w:val="24"/>
                <w:szCs w:val="24"/>
                <w:lang w:val="en-US" w:eastAsia="zh-CN" w:bidi="ar"/>
              </w:rPr>
              <w:t>3</w:t>
            </w:r>
            <w:r>
              <w:rPr>
                <w:rFonts w:hint="default" w:ascii="宋体" w:hAnsi="宋体" w:eastAsia="宋体" w:cs="宋体"/>
                <w:b/>
                <w:bCs w:val="0"/>
                <w:color w:val="auto"/>
                <w:kern w:val="0"/>
                <w:sz w:val="24"/>
                <w:szCs w:val="24"/>
                <w:lang w:val="en-US" w:eastAsia="zh-CN" w:bidi="ar"/>
              </w:rPr>
              <w:t xml:space="preserve"> </w:t>
            </w:r>
            <w:r>
              <w:rPr>
                <w:rFonts w:hint="eastAsia" w:ascii="宋体" w:hAnsi="宋体" w:eastAsia="宋体" w:cs="宋体"/>
                <w:b/>
                <w:bCs w:val="0"/>
                <w:color w:val="auto"/>
                <w:kern w:val="0"/>
                <w:sz w:val="24"/>
                <w:szCs w:val="24"/>
                <w:lang w:val="en-US" w:eastAsia="zh-CN" w:bidi="ar"/>
              </w:rPr>
              <w:t>天然牧草地</w:t>
            </w:r>
            <w:r>
              <w:rPr>
                <w:rFonts w:hint="default" w:ascii="宋体" w:hAnsi="宋体" w:eastAsia="宋体" w:cs="宋体"/>
                <w:b/>
                <w:bCs w:val="0"/>
                <w:color w:val="auto"/>
                <w:kern w:val="0"/>
                <w:sz w:val="24"/>
                <w:szCs w:val="24"/>
                <w:lang w:val="en-US" w:eastAsia="zh-CN" w:bidi="ar"/>
              </w:rPr>
              <w:t>环保措施</w:t>
            </w:r>
          </w:p>
          <w:p w14:paraId="49441A7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本项目</w:t>
            </w:r>
            <w:r>
              <w:rPr>
                <w:rFonts w:hint="eastAsia" w:cs="Times New Roman"/>
                <w:color w:val="auto"/>
                <w:sz w:val="24"/>
                <w:lang w:val="en-US" w:eastAsia="zh-CN"/>
              </w:rPr>
              <w:t>升压站和输电线路塔基</w:t>
            </w:r>
            <w:r>
              <w:rPr>
                <w:rFonts w:hint="eastAsia" w:ascii="Times New Roman" w:hAnsi="Times New Roman" w:cs="Times New Roman"/>
                <w:color w:val="auto"/>
                <w:sz w:val="24"/>
                <w:lang w:val="en-US" w:eastAsia="zh-CN"/>
              </w:rPr>
              <w:t>一定程度破坏</w:t>
            </w:r>
            <w:r>
              <w:rPr>
                <w:rFonts w:hint="eastAsia" w:cs="Times New Roman"/>
                <w:color w:val="auto"/>
                <w:sz w:val="24"/>
                <w:lang w:val="en-US" w:eastAsia="zh-CN"/>
              </w:rPr>
              <w:t>天然牧</w:t>
            </w:r>
            <w:r>
              <w:rPr>
                <w:rFonts w:hint="eastAsia" w:ascii="Times New Roman" w:hAnsi="Times New Roman" w:cs="Times New Roman"/>
                <w:color w:val="auto"/>
                <w:sz w:val="24"/>
                <w:lang w:val="en-US" w:eastAsia="zh-CN"/>
              </w:rPr>
              <w:t>草地。</w:t>
            </w:r>
          </w:p>
          <w:p w14:paraId="48E750D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snapToGrid w:val="0"/>
                <w:color w:val="auto"/>
                <w:kern w:val="0"/>
                <w:sz w:val="24"/>
              </w:rPr>
            </w:pP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1</w:t>
            </w:r>
            <w:r>
              <w:rPr>
                <w:rFonts w:hint="eastAsia" w:cs="Times New Roman"/>
                <w:color w:val="auto"/>
                <w:sz w:val="24"/>
                <w:lang w:eastAsia="zh-CN"/>
              </w:rPr>
              <w:t>）</w:t>
            </w:r>
            <w:r>
              <w:rPr>
                <w:rFonts w:hint="default" w:ascii="Times New Roman" w:hAnsi="Times New Roman" w:cs="Times New Roman"/>
                <w:snapToGrid w:val="0"/>
                <w:color w:val="auto"/>
                <w:kern w:val="0"/>
                <w:sz w:val="24"/>
                <w:lang w:eastAsia="zh-CN"/>
              </w:rPr>
              <w:t>本项目</w:t>
            </w:r>
            <w:r>
              <w:rPr>
                <w:rFonts w:hint="default" w:ascii="Times New Roman" w:hAnsi="Times New Roman" w:cs="Times New Roman"/>
                <w:snapToGrid w:val="0"/>
                <w:color w:val="auto"/>
                <w:kern w:val="0"/>
                <w:sz w:val="24"/>
              </w:rPr>
              <w:t>施工前需按国家有关占用草场程序办理手续，缴纳草场植被恢复费。</w:t>
            </w:r>
          </w:p>
          <w:p w14:paraId="3378134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snapToGrid w:val="0"/>
                <w:color w:val="auto"/>
                <w:kern w:val="0"/>
                <w:sz w:val="24"/>
              </w:rPr>
            </w:pP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2</w:t>
            </w:r>
            <w:r>
              <w:rPr>
                <w:rFonts w:hint="eastAsia" w:cs="Times New Roman"/>
                <w:color w:val="auto"/>
                <w:sz w:val="24"/>
                <w:lang w:eastAsia="zh-CN"/>
              </w:rPr>
              <w:t>）</w:t>
            </w:r>
            <w:r>
              <w:rPr>
                <w:rFonts w:hint="default" w:ascii="Times New Roman" w:hAnsi="Times New Roman" w:cs="Times New Roman"/>
                <w:snapToGrid w:val="0"/>
                <w:color w:val="auto"/>
                <w:kern w:val="0"/>
                <w:sz w:val="24"/>
              </w:rPr>
              <w:t>规范施工</w:t>
            </w:r>
            <w:r>
              <w:rPr>
                <w:rFonts w:hint="default" w:ascii="Times New Roman" w:hAnsi="Times New Roman" w:cs="Times New Roman"/>
                <w:snapToGrid w:val="0"/>
                <w:color w:val="auto"/>
                <w:kern w:val="0"/>
                <w:sz w:val="24"/>
                <w:lang w:eastAsia="zh-CN"/>
              </w:rPr>
              <w:t>行为</w:t>
            </w:r>
            <w:r>
              <w:rPr>
                <w:rFonts w:hint="default" w:ascii="Times New Roman" w:hAnsi="Times New Roman" w:cs="Times New Roman"/>
                <w:snapToGrid w:val="0"/>
                <w:color w:val="auto"/>
                <w:kern w:val="0"/>
                <w:sz w:val="24"/>
              </w:rPr>
              <w:t>，禁止</w:t>
            </w:r>
            <w:r>
              <w:rPr>
                <w:rFonts w:hint="default" w:ascii="Times New Roman" w:hAnsi="Times New Roman" w:cs="Times New Roman"/>
                <w:snapToGrid w:val="0"/>
                <w:color w:val="auto"/>
                <w:kern w:val="0"/>
                <w:sz w:val="24"/>
                <w:lang w:eastAsia="zh-CN"/>
              </w:rPr>
              <w:t>施工</w:t>
            </w:r>
            <w:r>
              <w:rPr>
                <w:rFonts w:hint="default" w:ascii="Times New Roman" w:hAnsi="Times New Roman" w:cs="Times New Roman"/>
                <w:snapToGrid w:val="0"/>
                <w:color w:val="auto"/>
                <w:kern w:val="0"/>
                <w:sz w:val="24"/>
              </w:rPr>
              <w:t>车辆</w:t>
            </w:r>
            <w:r>
              <w:rPr>
                <w:rFonts w:hint="default" w:ascii="Times New Roman" w:hAnsi="Times New Roman" w:cs="Times New Roman"/>
                <w:snapToGrid w:val="0"/>
                <w:color w:val="auto"/>
                <w:kern w:val="0"/>
                <w:sz w:val="24"/>
                <w:lang w:val="en-US" w:eastAsia="zh-CN"/>
              </w:rPr>
              <w:t>随意碾压草地</w:t>
            </w:r>
            <w:r>
              <w:rPr>
                <w:rFonts w:hint="default" w:ascii="Times New Roman" w:hAnsi="Times New Roman" w:cs="Times New Roman"/>
                <w:snapToGrid w:val="0"/>
                <w:color w:val="auto"/>
                <w:kern w:val="0"/>
                <w:sz w:val="24"/>
              </w:rPr>
              <w:t>。</w:t>
            </w:r>
          </w:p>
          <w:p w14:paraId="10ECDFA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snapToGrid w:val="0"/>
                <w:color w:val="auto"/>
                <w:kern w:val="0"/>
                <w:sz w:val="24"/>
              </w:rPr>
            </w:pP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3</w:t>
            </w:r>
            <w:r>
              <w:rPr>
                <w:rFonts w:hint="eastAsia" w:cs="Times New Roman"/>
                <w:color w:val="auto"/>
                <w:sz w:val="24"/>
                <w:lang w:eastAsia="zh-CN"/>
              </w:rPr>
              <w:t>）</w:t>
            </w:r>
            <w:r>
              <w:rPr>
                <w:rFonts w:hint="default" w:ascii="Times New Roman" w:hAnsi="Times New Roman" w:cs="Times New Roman"/>
                <w:color w:val="auto"/>
                <w:sz w:val="24"/>
              </w:rPr>
              <w:t>对道路两侧设置彩条旗限界</w:t>
            </w:r>
            <w:r>
              <w:rPr>
                <w:rFonts w:hint="default" w:ascii="Times New Roman" w:hAnsi="Times New Roman" w:cs="Times New Roman"/>
                <w:color w:val="auto"/>
                <w:sz w:val="24"/>
                <w:lang w:eastAsia="zh-CN"/>
              </w:rPr>
              <w:t>，施工结束后对道路扰动区域采取土地平整</w:t>
            </w:r>
            <w:r>
              <w:rPr>
                <w:rFonts w:hint="default" w:ascii="Times New Roman" w:hAnsi="Times New Roman" w:cs="Times New Roman"/>
                <w:color w:val="auto"/>
                <w:sz w:val="24"/>
                <w:lang w:val="en-US" w:eastAsia="zh-CN"/>
              </w:rPr>
              <w:t>并进行洒水</w:t>
            </w:r>
            <w:r>
              <w:rPr>
                <w:rFonts w:hint="default" w:ascii="Times New Roman" w:hAnsi="Times New Roman" w:cs="Times New Roman"/>
                <w:snapToGrid w:val="0"/>
                <w:color w:val="auto"/>
                <w:kern w:val="0"/>
                <w:sz w:val="24"/>
              </w:rPr>
              <w:t>。</w:t>
            </w:r>
          </w:p>
          <w:p w14:paraId="5D6510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4</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施工结束后对</w:t>
            </w:r>
            <w:r>
              <w:rPr>
                <w:rFonts w:hint="default" w:ascii="Times New Roman" w:hAnsi="Times New Roman" w:eastAsia="宋体" w:cs="Times New Roman"/>
                <w:color w:val="auto"/>
                <w:sz w:val="24"/>
                <w:highlight w:val="none"/>
                <w:lang w:eastAsia="zh-CN"/>
              </w:rPr>
              <w:t>扰动的</w:t>
            </w:r>
            <w:r>
              <w:rPr>
                <w:rFonts w:hint="default" w:ascii="Times New Roman" w:hAnsi="Times New Roman" w:cs="Times New Roman"/>
                <w:color w:val="auto"/>
                <w:sz w:val="24"/>
                <w:highlight w:val="none"/>
                <w:lang w:val="en-US" w:eastAsia="zh-CN"/>
              </w:rPr>
              <w:t>临时占地</w:t>
            </w:r>
            <w:r>
              <w:rPr>
                <w:rFonts w:hint="default" w:ascii="Times New Roman" w:hAnsi="Times New Roman" w:eastAsia="宋体" w:cs="Times New Roman"/>
                <w:color w:val="auto"/>
                <w:sz w:val="24"/>
                <w:highlight w:val="none"/>
                <w:lang w:eastAsia="zh-CN"/>
              </w:rPr>
              <w:t>进行</w:t>
            </w:r>
            <w:r>
              <w:rPr>
                <w:rFonts w:hint="default" w:ascii="Times New Roman" w:hAnsi="Times New Roman" w:eastAsia="宋体" w:cs="Times New Roman"/>
                <w:color w:val="auto"/>
                <w:sz w:val="24"/>
                <w:highlight w:val="none"/>
                <w:lang w:val="en-US" w:eastAsia="zh-CN"/>
              </w:rPr>
              <w:t>平整，</w:t>
            </w:r>
            <w:r>
              <w:rPr>
                <w:rFonts w:hint="default" w:ascii="Times New Roman" w:hAnsi="Times New Roman" w:cs="Times New Roman"/>
                <w:color w:val="auto"/>
                <w:sz w:val="24"/>
                <w:highlight w:val="none"/>
                <w:lang w:val="en-US" w:eastAsia="zh-CN"/>
              </w:rPr>
              <w:t>并采取</w:t>
            </w:r>
            <w:r>
              <w:rPr>
                <w:rFonts w:hint="eastAsia" w:cs="Times New Roman"/>
                <w:color w:val="auto"/>
                <w:sz w:val="24"/>
                <w:highlight w:val="none"/>
                <w:lang w:val="en-US" w:eastAsia="zh-CN"/>
              </w:rPr>
              <w:t>播撒草籽、</w:t>
            </w:r>
            <w:r>
              <w:rPr>
                <w:rFonts w:hint="default" w:ascii="Times New Roman" w:hAnsi="Times New Roman" w:cs="Times New Roman"/>
                <w:color w:val="auto"/>
                <w:sz w:val="24"/>
                <w:highlight w:val="none"/>
                <w:lang w:val="en-US" w:eastAsia="zh-CN"/>
              </w:rPr>
              <w:t>洒水增湿，恢复植被。</w:t>
            </w:r>
          </w:p>
          <w:p w14:paraId="53F22231">
            <w:pPr>
              <w:keepNext w:val="0"/>
              <w:keepLines w:val="0"/>
              <w:widowControl/>
              <w:suppressLineNumbers w:val="0"/>
              <w:spacing w:before="0" w:beforeAutospacing="0" w:after="0" w:afterAutospacing="0" w:line="360" w:lineRule="auto"/>
              <w:ind w:left="0" w:right="0" w:firstLine="0" w:firstLineChars="0"/>
              <w:jc w:val="left"/>
              <w:outlineLvl w:val="9"/>
              <w:rPr>
                <w:rFonts w:hint="eastAsia" w:ascii="宋体" w:hAnsi="宋体" w:eastAsia="宋体" w:cs="宋体"/>
                <w:b/>
                <w:bCs w:val="0"/>
                <w:color w:val="auto"/>
              </w:rPr>
            </w:pPr>
            <w:r>
              <w:rPr>
                <w:rFonts w:hint="eastAsia" w:ascii="宋体" w:hAnsi="宋体" w:eastAsia="宋体" w:cs="宋体"/>
                <w:b/>
                <w:bCs w:val="0"/>
                <w:color w:val="auto"/>
                <w:kern w:val="0"/>
                <w:sz w:val="24"/>
                <w:szCs w:val="24"/>
                <w:lang w:val="en-US" w:eastAsia="zh-CN" w:bidi="ar"/>
              </w:rPr>
              <w:t>1.</w:t>
            </w:r>
            <w:r>
              <w:rPr>
                <w:rFonts w:hint="eastAsia" w:ascii="宋体" w:hAnsi="宋体" w:cs="宋体"/>
                <w:b/>
                <w:bCs w:val="0"/>
                <w:color w:val="auto"/>
                <w:kern w:val="0"/>
                <w:sz w:val="24"/>
                <w:szCs w:val="24"/>
                <w:lang w:val="en-US" w:eastAsia="zh-CN" w:bidi="ar"/>
              </w:rPr>
              <w:t>4</w:t>
            </w:r>
            <w:r>
              <w:rPr>
                <w:rFonts w:hint="eastAsia" w:ascii="宋体" w:hAnsi="宋体" w:eastAsia="宋体" w:cs="宋体"/>
                <w:b/>
                <w:bCs w:val="0"/>
                <w:color w:val="auto"/>
                <w:kern w:val="0"/>
                <w:sz w:val="24"/>
                <w:szCs w:val="24"/>
                <w:lang w:val="en-US" w:eastAsia="zh-CN" w:bidi="ar"/>
              </w:rPr>
              <w:t>对野生动物保护措施</w:t>
            </w:r>
          </w:p>
          <w:p w14:paraId="4C352AF9">
            <w:pPr>
              <w:keepNext w:val="0"/>
              <w:keepLines w:val="0"/>
              <w:widowControl/>
              <w:suppressLineNumbers w:val="0"/>
              <w:spacing w:before="0" w:beforeAutospacing="0" w:after="0" w:afterAutospacing="0" w:line="360" w:lineRule="auto"/>
              <w:ind w:left="0" w:right="0" w:firstLine="480" w:firstLineChars="200"/>
              <w:jc w:val="both"/>
              <w:outlineLvl w:val="9"/>
              <w:rPr>
                <w:rFonts w:hint="eastAsia" w:ascii="宋体" w:hAnsi="宋体" w:eastAsia="宋体" w:cs="宋体"/>
                <w:b w:val="0"/>
                <w:bCs/>
                <w:color w:val="auto"/>
              </w:rPr>
            </w:pPr>
            <w:r>
              <w:rPr>
                <w:rFonts w:hint="eastAsia" w:ascii="宋体" w:hAnsi="宋体" w:cs="宋体"/>
                <w:b w:val="0"/>
                <w:bCs/>
                <w:color w:val="auto"/>
                <w:kern w:val="0"/>
                <w:sz w:val="24"/>
                <w:szCs w:val="24"/>
                <w:lang w:val="en-US" w:eastAsia="zh-CN" w:bidi="ar"/>
              </w:rPr>
              <w:t>（</w:t>
            </w:r>
            <w:r>
              <w:rPr>
                <w:rFonts w:hint="eastAsia" w:ascii="宋体" w:hAnsi="宋体" w:eastAsia="宋体" w:cs="宋体"/>
                <w:b w:val="0"/>
                <w:bCs/>
                <w:color w:val="auto"/>
                <w:kern w:val="0"/>
                <w:sz w:val="24"/>
                <w:szCs w:val="24"/>
                <w:lang w:val="en-US" w:eastAsia="zh-CN" w:bidi="ar"/>
              </w:rPr>
              <w:t>1</w:t>
            </w:r>
            <w:r>
              <w:rPr>
                <w:rFonts w:hint="eastAsia" w:ascii="宋体" w:hAnsi="宋体" w:cs="宋体"/>
                <w:b w:val="0"/>
                <w:bCs/>
                <w:color w:val="auto"/>
                <w:kern w:val="0"/>
                <w:sz w:val="24"/>
                <w:szCs w:val="24"/>
                <w:lang w:val="en-US" w:eastAsia="zh-CN" w:bidi="ar"/>
              </w:rPr>
              <w:t>）</w:t>
            </w:r>
            <w:r>
              <w:rPr>
                <w:rFonts w:hint="eastAsia" w:ascii="宋体" w:hAnsi="宋体" w:eastAsia="宋体" w:cs="宋体"/>
                <w:b w:val="0"/>
                <w:bCs/>
                <w:color w:val="auto"/>
                <w:kern w:val="0"/>
                <w:sz w:val="24"/>
                <w:szCs w:val="24"/>
                <w:lang w:val="en-US" w:eastAsia="zh-CN" w:bidi="ar"/>
              </w:rPr>
              <w:t>施工前对施工人员进行宣传和教育，严禁发生捕捉伤害野生动物的行为，提高保护野生动物的意识。</w:t>
            </w:r>
          </w:p>
          <w:p w14:paraId="209951F9">
            <w:pPr>
              <w:keepNext w:val="0"/>
              <w:keepLines w:val="0"/>
              <w:widowControl/>
              <w:suppressLineNumbers w:val="0"/>
              <w:spacing w:before="0" w:beforeAutospacing="0" w:after="0" w:afterAutospacing="0" w:line="360" w:lineRule="auto"/>
              <w:ind w:left="0" w:right="0" w:firstLine="480" w:firstLineChars="200"/>
              <w:jc w:val="both"/>
              <w:outlineLvl w:val="9"/>
              <w:rPr>
                <w:rFonts w:hint="eastAsia" w:ascii="宋体" w:hAnsi="宋体" w:eastAsia="宋体" w:cs="宋体"/>
                <w:b w:val="0"/>
                <w:bCs/>
                <w:color w:val="auto"/>
              </w:rPr>
            </w:pPr>
            <w:r>
              <w:rPr>
                <w:rFonts w:hint="eastAsia" w:ascii="宋体" w:hAnsi="宋体" w:cs="宋体"/>
                <w:b w:val="0"/>
                <w:bCs/>
                <w:color w:val="auto"/>
                <w:kern w:val="0"/>
                <w:sz w:val="24"/>
                <w:szCs w:val="24"/>
                <w:lang w:val="en-US" w:eastAsia="zh-CN" w:bidi="ar"/>
              </w:rPr>
              <w:t>（</w:t>
            </w:r>
            <w:r>
              <w:rPr>
                <w:rFonts w:hint="eastAsia" w:ascii="宋体" w:hAnsi="宋体" w:eastAsia="宋体" w:cs="宋体"/>
                <w:b w:val="0"/>
                <w:bCs/>
                <w:color w:val="auto"/>
                <w:kern w:val="0"/>
                <w:sz w:val="24"/>
                <w:szCs w:val="24"/>
                <w:lang w:val="en-US" w:eastAsia="zh-CN" w:bidi="ar"/>
              </w:rPr>
              <w:t>2</w:t>
            </w:r>
            <w:r>
              <w:rPr>
                <w:rFonts w:hint="eastAsia" w:ascii="宋体" w:hAnsi="宋体" w:cs="宋体"/>
                <w:b w:val="0"/>
                <w:bCs/>
                <w:color w:val="auto"/>
                <w:kern w:val="0"/>
                <w:sz w:val="24"/>
                <w:szCs w:val="24"/>
                <w:lang w:val="en-US" w:eastAsia="zh-CN" w:bidi="ar"/>
              </w:rPr>
              <w:t>）</w:t>
            </w:r>
            <w:r>
              <w:rPr>
                <w:rFonts w:hint="eastAsia" w:ascii="宋体" w:hAnsi="宋体" w:eastAsia="宋体" w:cs="宋体"/>
                <w:b w:val="0"/>
                <w:bCs/>
                <w:color w:val="auto"/>
                <w:kern w:val="0"/>
                <w:sz w:val="24"/>
                <w:szCs w:val="24"/>
                <w:lang w:val="en-US" w:eastAsia="zh-CN" w:bidi="ar"/>
              </w:rPr>
              <w:t>选用低噪声的施工设备及工艺，施工活动主要集中在白天进行，尽量避免夜间施工作业，减少灯光、噪声对夜间动物活动的惊扰。在施工过程中若发现野生动物的活动处，应进行避让和保护，以防影响野生动物的栖息。</w:t>
            </w:r>
          </w:p>
          <w:p w14:paraId="3997811F">
            <w:pPr>
              <w:keepNext w:val="0"/>
              <w:keepLines w:val="0"/>
              <w:widowControl/>
              <w:suppressLineNumbers w:val="0"/>
              <w:spacing w:before="0" w:beforeAutospacing="0" w:after="0" w:afterAutospacing="0" w:line="360" w:lineRule="auto"/>
              <w:ind w:left="0" w:right="0" w:firstLine="480" w:firstLineChars="200"/>
              <w:jc w:val="both"/>
              <w:outlineLvl w:val="9"/>
              <w:rPr>
                <w:rFonts w:hint="eastAsia" w:ascii="宋体" w:hAnsi="宋体" w:eastAsia="宋体" w:cs="宋体"/>
                <w:b/>
                <w:bCs w:val="0"/>
                <w:color w:val="auto"/>
                <w:kern w:val="0"/>
                <w:sz w:val="24"/>
                <w:szCs w:val="24"/>
                <w:lang w:val="en-US" w:eastAsia="zh-CN" w:bidi="ar"/>
              </w:rPr>
            </w:pPr>
            <w:r>
              <w:rPr>
                <w:rFonts w:hint="eastAsia" w:ascii="宋体" w:hAnsi="宋体" w:cs="宋体"/>
                <w:b w:val="0"/>
                <w:bCs/>
                <w:color w:val="auto"/>
                <w:kern w:val="0"/>
                <w:sz w:val="24"/>
                <w:szCs w:val="24"/>
                <w:lang w:val="en-US" w:eastAsia="zh-CN" w:bidi="ar"/>
              </w:rPr>
              <w:t>（</w:t>
            </w:r>
            <w:r>
              <w:rPr>
                <w:rFonts w:hint="eastAsia" w:ascii="宋体" w:hAnsi="宋体" w:eastAsia="宋体" w:cs="宋体"/>
                <w:b w:val="0"/>
                <w:bCs/>
                <w:color w:val="auto"/>
                <w:kern w:val="0"/>
                <w:sz w:val="24"/>
                <w:szCs w:val="24"/>
                <w:lang w:val="en-US" w:eastAsia="zh-CN" w:bidi="ar"/>
              </w:rPr>
              <w:t>3</w:t>
            </w:r>
            <w:r>
              <w:rPr>
                <w:rFonts w:hint="eastAsia" w:ascii="宋体" w:hAnsi="宋体" w:cs="宋体"/>
                <w:b w:val="0"/>
                <w:bCs/>
                <w:color w:val="auto"/>
                <w:kern w:val="0"/>
                <w:sz w:val="24"/>
                <w:szCs w:val="24"/>
                <w:lang w:val="en-US" w:eastAsia="zh-CN" w:bidi="ar"/>
              </w:rPr>
              <w:t>）</w:t>
            </w:r>
            <w:r>
              <w:rPr>
                <w:rFonts w:hint="eastAsia" w:ascii="宋体" w:hAnsi="宋体" w:eastAsia="宋体" w:cs="宋体"/>
                <w:b w:val="0"/>
                <w:bCs/>
                <w:color w:val="auto"/>
                <w:kern w:val="0"/>
                <w:sz w:val="24"/>
                <w:szCs w:val="24"/>
                <w:lang w:val="en-US" w:eastAsia="zh-CN" w:bidi="ar"/>
              </w:rPr>
              <w:t>施工</w:t>
            </w:r>
            <w:r>
              <w:rPr>
                <w:rFonts w:hint="eastAsia" w:ascii="宋体" w:hAnsi="宋体" w:cs="宋体"/>
                <w:b w:val="0"/>
                <w:bCs/>
                <w:color w:val="auto"/>
                <w:kern w:val="0"/>
                <w:sz w:val="24"/>
                <w:szCs w:val="24"/>
                <w:lang w:val="en-US" w:eastAsia="zh-CN" w:bidi="ar"/>
              </w:rPr>
              <w:t>期间</w:t>
            </w:r>
            <w:r>
              <w:rPr>
                <w:rFonts w:hint="eastAsia" w:ascii="宋体" w:hAnsi="宋体" w:eastAsia="宋体" w:cs="宋体"/>
                <w:b w:val="0"/>
                <w:bCs/>
                <w:color w:val="auto"/>
                <w:kern w:val="0"/>
                <w:sz w:val="24"/>
                <w:szCs w:val="24"/>
                <w:lang w:val="en-US" w:eastAsia="zh-CN" w:bidi="ar"/>
              </w:rPr>
              <w:t>如发现野生保护动物应采取妥善措施进行保护，不得杀害和损伤保护动物。对受伤的动物应及时联系野生动物保护部门，及时救治。</w:t>
            </w:r>
          </w:p>
          <w:p w14:paraId="1A30A552">
            <w:pPr>
              <w:keepNext w:val="0"/>
              <w:keepLines w:val="0"/>
              <w:widowControl/>
              <w:suppressLineNumbers w:val="0"/>
              <w:spacing w:before="0" w:beforeAutospacing="0" w:after="0" w:afterAutospacing="0" w:line="360" w:lineRule="auto"/>
              <w:ind w:left="0" w:right="0" w:firstLine="0" w:firstLineChars="0"/>
              <w:jc w:val="left"/>
              <w:outlineLvl w:val="9"/>
              <w:rPr>
                <w:rFonts w:hint="eastAsia" w:ascii="宋体" w:hAnsi="宋体" w:eastAsia="宋体" w:cs="宋体"/>
                <w:b/>
                <w:bCs w:val="0"/>
                <w:color w:val="auto"/>
              </w:rPr>
            </w:pPr>
            <w:r>
              <w:rPr>
                <w:rFonts w:hint="eastAsia" w:ascii="宋体" w:hAnsi="宋体" w:eastAsia="宋体" w:cs="宋体"/>
                <w:b/>
                <w:bCs w:val="0"/>
                <w:color w:val="auto"/>
                <w:kern w:val="0"/>
                <w:sz w:val="24"/>
                <w:szCs w:val="24"/>
                <w:lang w:val="en-US" w:eastAsia="zh-CN" w:bidi="ar"/>
              </w:rPr>
              <w:t>1.</w:t>
            </w:r>
            <w:r>
              <w:rPr>
                <w:rFonts w:hint="eastAsia" w:ascii="宋体" w:hAnsi="宋体" w:cs="宋体"/>
                <w:b/>
                <w:bCs w:val="0"/>
                <w:color w:val="auto"/>
                <w:kern w:val="0"/>
                <w:sz w:val="24"/>
                <w:szCs w:val="24"/>
                <w:lang w:val="en-US" w:eastAsia="zh-CN" w:bidi="ar"/>
              </w:rPr>
              <w:t>5</w:t>
            </w:r>
            <w:r>
              <w:rPr>
                <w:rFonts w:hint="eastAsia" w:ascii="宋体" w:hAnsi="宋体" w:eastAsia="宋体" w:cs="宋体"/>
                <w:b/>
                <w:bCs w:val="0"/>
                <w:color w:val="auto"/>
                <w:kern w:val="0"/>
                <w:sz w:val="24"/>
                <w:szCs w:val="24"/>
                <w:lang w:val="en-US" w:eastAsia="zh-CN" w:bidi="ar"/>
              </w:rPr>
              <w:t>水土保持措施</w:t>
            </w:r>
          </w:p>
          <w:p w14:paraId="511B1A37">
            <w:pPr>
              <w:keepNext w:val="0"/>
              <w:keepLines w:val="0"/>
              <w:widowControl w:val="0"/>
              <w:suppressLineNumbers w:val="0"/>
              <w:spacing w:before="0" w:beforeAutospacing="0" w:after="0" w:afterAutospacing="0" w:line="360" w:lineRule="auto"/>
              <w:ind w:left="0" w:leftChars="0" w:right="0"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项目工程水土流失治理措施体系主要由工程措施、临时措施等构成。工程措施包括砾石压盖；临时措施为防尘网苫盖、洒水、彩钢板围栏。具体措施如下：</w:t>
            </w:r>
          </w:p>
          <w:p w14:paraId="32901AE8">
            <w:pPr>
              <w:keepNext w:val="0"/>
              <w:keepLines w:val="0"/>
              <w:widowControl w:val="0"/>
              <w:suppressLineNumbers w:val="0"/>
              <w:spacing w:before="0" w:beforeAutospacing="0" w:after="0" w:afterAutospacing="0" w:line="360" w:lineRule="auto"/>
              <w:ind w:left="0" w:leftChars="0" w:right="0"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工程措施：基础回填后，</w:t>
            </w:r>
            <w:r>
              <w:rPr>
                <w:rFonts w:hint="eastAsia" w:ascii="宋体" w:hAnsi="宋体" w:eastAsia="宋体" w:cs="宋体"/>
                <w:color w:val="auto"/>
                <w:kern w:val="2"/>
                <w:sz w:val="24"/>
                <w:szCs w:val="28"/>
                <w:highlight w:val="none"/>
                <w:lang w:val="en-US" w:eastAsia="zh-CN" w:bidi="ar-SA"/>
              </w:rPr>
              <w:t>采用砾石压盖防治地表水土流失</w:t>
            </w:r>
            <w:r>
              <w:rPr>
                <w:rFonts w:hint="eastAsia" w:ascii="宋体" w:hAnsi="宋体" w:eastAsia="宋体" w:cs="宋体"/>
                <w:color w:val="auto"/>
                <w:kern w:val="2"/>
                <w:sz w:val="24"/>
                <w:szCs w:val="24"/>
                <w:highlight w:val="none"/>
                <w:lang w:val="en-US" w:eastAsia="zh-CN" w:bidi="ar-SA"/>
              </w:rPr>
              <w:t>；临时堆土采取自然稳定边坡堆放，并用防尘网苫盖，可根据施工时序重复使用防尘网。</w:t>
            </w:r>
          </w:p>
          <w:p w14:paraId="0331838B">
            <w:pPr>
              <w:keepNext w:val="0"/>
              <w:keepLines w:val="0"/>
              <w:widowControl w:val="0"/>
              <w:suppressLineNumbers w:val="0"/>
              <w:spacing w:before="0" w:beforeAutospacing="0" w:after="0" w:afterAutospacing="0" w:line="360" w:lineRule="auto"/>
              <w:ind w:left="0" w:leftChars="0" w:right="0"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临时措施</w:t>
            </w:r>
            <w:r>
              <w:rPr>
                <w:rFonts w:hint="eastAsia" w:ascii="宋体" w:hAnsi="宋体" w:cs="宋体"/>
                <w:color w:val="auto"/>
                <w:kern w:val="2"/>
                <w:sz w:val="24"/>
                <w:szCs w:val="24"/>
                <w:highlight w:val="none"/>
                <w:lang w:val="en-US" w:eastAsia="zh-CN" w:bidi="ar-SA"/>
              </w:rPr>
              <w:t>：采</w:t>
            </w:r>
            <w:r>
              <w:rPr>
                <w:rFonts w:hint="eastAsia" w:ascii="宋体" w:hAnsi="宋体" w:eastAsia="宋体" w:cs="宋体"/>
                <w:color w:val="auto"/>
                <w:kern w:val="2"/>
                <w:sz w:val="24"/>
                <w:szCs w:val="24"/>
                <w:highlight w:val="none"/>
                <w:lang w:val="en-US" w:eastAsia="zh-CN" w:bidi="ar-SA"/>
              </w:rPr>
              <w:t>取临时堆土的自然稳定边坡堆放，在堆土场表面外围采取防尘网苫盖，表面压盖砾石块的临时防护措施。施工道路在使用过程中应及时洒水防护。</w:t>
            </w:r>
          </w:p>
          <w:p w14:paraId="54051D70">
            <w:pPr>
              <w:keepNext w:val="0"/>
              <w:keepLines w:val="0"/>
              <w:widowControl w:val="0"/>
              <w:suppressLineNumbers w:val="0"/>
              <w:spacing w:before="0" w:beforeAutospacing="0" w:after="0" w:afterAutospacing="0" w:line="360" w:lineRule="auto"/>
              <w:ind w:left="0" w:leftChars="0" w:right="0"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管理措施：①基础开挖形成的临时堆土按稳定边坡堆放，堆放高度控制在0.5m以下；②堆渣形成后必须及时采取平整，并将临时堆放的弃土表面拍实；③施工组织设计严密，安排好开挖与基础回填的连接施工工序，尽量减少从开挖到回填的堆放时间：④按照规定的路面宽度进行砾石压盖，同时及时洒水；⑤严格管理和控制车辆及重型机械的运行范围，所有车辆采用“—”字型作业法，尽量缩小扰动范围，保护原始地表，使新增水土流失得到有效控制，保护和恢复本区域的生态环境。</w:t>
            </w:r>
          </w:p>
          <w:p w14:paraId="5D6C90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工程完工后，由施工单位对</w:t>
            </w:r>
            <w:r>
              <w:rPr>
                <w:rFonts w:hint="eastAsia" w:ascii="宋体" w:hAnsi="宋体" w:cs="宋体"/>
                <w:color w:val="auto"/>
                <w:kern w:val="2"/>
                <w:sz w:val="24"/>
                <w:szCs w:val="24"/>
                <w:highlight w:val="none"/>
                <w:lang w:val="en-US" w:eastAsia="zh-CN" w:bidi="ar-SA"/>
              </w:rPr>
              <w:t>固体废弃物</w:t>
            </w:r>
            <w:r>
              <w:rPr>
                <w:rFonts w:hint="eastAsia" w:ascii="宋体" w:hAnsi="宋体" w:eastAsia="宋体" w:cs="宋体"/>
                <w:color w:val="auto"/>
                <w:kern w:val="2"/>
                <w:sz w:val="24"/>
                <w:szCs w:val="24"/>
                <w:highlight w:val="none"/>
                <w:lang w:val="en-US" w:eastAsia="zh-CN" w:bidi="ar-SA"/>
              </w:rPr>
              <w:t>进行清扫、集中，拉至指定垃圾场进行处理，待场地全部清理完后，经过1年的自然恢复期，地表可恢复到原始状态。</w:t>
            </w:r>
          </w:p>
          <w:p w14:paraId="206CF06D">
            <w:pPr>
              <w:keepNext w:val="0"/>
              <w:keepLines w:val="0"/>
              <w:suppressLineNumbers w:val="0"/>
              <w:adjustRightInd w:val="0"/>
              <w:snapToGrid w:val="0"/>
              <w:spacing w:before="0" w:beforeAutospacing="0" w:after="0" w:afterAutospacing="0" w:line="360" w:lineRule="auto"/>
              <w:ind w:left="0" w:right="0"/>
              <w:outlineLvl w:val="9"/>
              <w:rPr>
                <w:rFonts w:hint="eastAsia" w:ascii="宋体" w:hAnsi="宋体" w:eastAsia="宋体" w:cs="宋体"/>
                <w:b/>
                <w:color w:val="auto"/>
                <w:sz w:val="24"/>
              </w:rPr>
            </w:pPr>
            <w:r>
              <w:rPr>
                <w:rFonts w:hint="eastAsia" w:ascii="宋体" w:hAnsi="宋体" w:eastAsia="宋体" w:cs="宋体"/>
                <w:b/>
                <w:color w:val="auto"/>
                <w:sz w:val="24"/>
              </w:rPr>
              <w:t>1.</w:t>
            </w:r>
            <w:r>
              <w:rPr>
                <w:rFonts w:hint="eastAsia" w:ascii="宋体" w:hAnsi="宋体" w:cs="宋体"/>
                <w:b/>
                <w:color w:val="auto"/>
                <w:sz w:val="24"/>
                <w:lang w:val="en-US" w:eastAsia="zh-CN"/>
              </w:rPr>
              <w:t>6</w:t>
            </w:r>
            <w:r>
              <w:rPr>
                <w:rFonts w:hint="eastAsia" w:ascii="宋体" w:hAnsi="宋体" w:eastAsia="宋体" w:cs="宋体"/>
                <w:b/>
                <w:color w:val="auto"/>
                <w:sz w:val="24"/>
                <w:lang w:val="en-US" w:eastAsia="zh-CN"/>
              </w:rPr>
              <w:t>防沙治沙</w:t>
            </w:r>
            <w:r>
              <w:rPr>
                <w:rFonts w:hint="eastAsia" w:ascii="宋体" w:hAnsi="宋体" w:eastAsia="宋体" w:cs="宋体"/>
                <w:b/>
                <w:bCs/>
                <w:snapToGrid w:val="0"/>
                <w:color w:val="auto"/>
                <w:kern w:val="0"/>
                <w:sz w:val="24"/>
              </w:rPr>
              <w:t>措施</w:t>
            </w:r>
          </w:p>
          <w:p w14:paraId="4FACC6BE">
            <w:pPr>
              <w:keepNext w:val="0"/>
              <w:keepLines w:val="0"/>
              <w:suppressLineNumbers w:val="0"/>
              <w:spacing w:before="0" w:beforeAutospacing="0" w:after="0" w:afterAutospacing="0" w:line="360" w:lineRule="auto"/>
              <w:ind w:left="0" w:right="0"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本项目位于</w:t>
            </w:r>
            <w:r>
              <w:rPr>
                <w:rFonts w:hint="eastAsia" w:ascii="宋体" w:hAnsi="宋体" w:eastAsia="宋体" w:cs="宋体"/>
                <w:color w:val="auto"/>
                <w:sz w:val="24"/>
                <w:lang w:val="en-US" w:eastAsia="zh-CN"/>
              </w:rPr>
              <w:t>戈壁荒漠</w:t>
            </w:r>
            <w:r>
              <w:rPr>
                <w:rFonts w:hint="eastAsia" w:ascii="宋体" w:hAnsi="宋体" w:eastAsia="宋体" w:cs="宋体"/>
                <w:color w:val="auto"/>
                <w:sz w:val="24"/>
              </w:rPr>
              <w:t>区域，根据新疆维吾尔自治区实施《中华人民共和国防沙治沙法》办法，本项目施工期间要严格执行防沙治沙要求。</w:t>
            </w:r>
          </w:p>
          <w:p w14:paraId="2BE4AF66">
            <w:pPr>
              <w:keepNext w:val="0"/>
              <w:keepLines w:val="0"/>
              <w:suppressLineNumbers w:val="0"/>
              <w:spacing w:before="0" w:beforeAutospacing="0" w:after="0" w:afterAutospacing="0" w:line="360" w:lineRule="auto"/>
              <w:ind w:left="0" w:right="0" w:firstLine="480" w:firstLineChars="200"/>
              <w:outlineLvl w:val="9"/>
              <w:rPr>
                <w:rFonts w:hint="eastAsia" w:ascii="宋体" w:hAnsi="宋体" w:eastAsia="宋体" w:cs="宋体"/>
                <w:color w:val="auto"/>
                <w:sz w:val="24"/>
              </w:rPr>
            </w:pPr>
            <w:r>
              <w:rPr>
                <w:rFonts w:hint="eastAsia" w:ascii="宋体" w:hAnsi="宋体" w:cs="宋体"/>
                <w:color w:val="auto"/>
                <w:sz w:val="24"/>
                <w:lang w:eastAsia="zh-CN"/>
              </w:rPr>
              <w:t>（</w:t>
            </w:r>
            <w:r>
              <w:rPr>
                <w:rFonts w:hint="eastAsia" w:ascii="宋体" w:hAnsi="宋体" w:eastAsia="宋体" w:cs="宋体"/>
                <w:color w:val="auto"/>
                <w:sz w:val="24"/>
              </w:rPr>
              <w:t>1</w:t>
            </w:r>
            <w:r>
              <w:rPr>
                <w:rFonts w:hint="eastAsia" w:ascii="宋体" w:hAnsi="宋体" w:cs="宋体"/>
                <w:color w:val="auto"/>
                <w:sz w:val="24"/>
                <w:lang w:eastAsia="zh-CN"/>
              </w:rPr>
              <w:t>）</w:t>
            </w:r>
            <w:r>
              <w:rPr>
                <w:rFonts w:hint="eastAsia" w:ascii="宋体" w:hAnsi="宋体" w:cs="宋体"/>
                <w:color w:val="auto"/>
                <w:sz w:val="24"/>
                <w:lang w:val="en-US" w:eastAsia="zh-CN"/>
              </w:rPr>
              <w:t>升压站</w:t>
            </w:r>
            <w:r>
              <w:rPr>
                <w:rFonts w:hint="eastAsia" w:ascii="宋体" w:hAnsi="宋体" w:eastAsia="宋体" w:cs="宋体"/>
                <w:color w:val="auto"/>
                <w:sz w:val="24"/>
                <w:highlight w:val="none"/>
                <w:lang w:val="en-US" w:eastAsia="zh-CN"/>
              </w:rPr>
              <w:t>基础</w:t>
            </w:r>
            <w:r>
              <w:rPr>
                <w:rFonts w:hint="eastAsia" w:ascii="宋体" w:hAnsi="宋体" w:eastAsia="宋体" w:cs="宋体"/>
                <w:snapToGrid w:val="0"/>
                <w:color w:val="auto"/>
                <w:kern w:val="0"/>
                <w:sz w:val="24"/>
              </w:rPr>
              <w:t>除施工必须不得不铲除或碾压植被外，不允许以</w:t>
            </w:r>
            <w:r>
              <w:rPr>
                <w:rFonts w:hint="eastAsia" w:ascii="宋体" w:hAnsi="宋体" w:cs="宋体"/>
                <w:snapToGrid w:val="0"/>
                <w:color w:val="auto"/>
                <w:kern w:val="0"/>
                <w:sz w:val="24"/>
                <w:lang w:eastAsia="zh-CN"/>
              </w:rPr>
              <w:t>其他</w:t>
            </w:r>
            <w:r>
              <w:rPr>
                <w:rFonts w:hint="eastAsia" w:ascii="宋体" w:hAnsi="宋体" w:eastAsia="宋体" w:cs="宋体"/>
                <w:snapToGrid w:val="0"/>
                <w:color w:val="auto"/>
                <w:kern w:val="0"/>
                <w:sz w:val="24"/>
              </w:rPr>
              <w:t>任何理由铲除植被，以减少对</w:t>
            </w:r>
            <w:r>
              <w:rPr>
                <w:rFonts w:hint="eastAsia" w:ascii="宋体" w:hAnsi="宋体" w:eastAsia="宋体" w:cs="宋体"/>
                <w:snapToGrid w:val="0"/>
                <w:color w:val="auto"/>
                <w:kern w:val="0"/>
                <w:sz w:val="24"/>
                <w:lang w:val="en-US" w:eastAsia="zh-CN"/>
              </w:rPr>
              <w:t>荒漠植被</w:t>
            </w:r>
            <w:r>
              <w:rPr>
                <w:rFonts w:hint="eastAsia" w:ascii="宋体" w:hAnsi="宋体" w:eastAsia="宋体" w:cs="宋体"/>
                <w:snapToGrid w:val="0"/>
                <w:color w:val="auto"/>
                <w:kern w:val="0"/>
                <w:sz w:val="24"/>
              </w:rPr>
              <w:t>的破坏</w:t>
            </w:r>
            <w:r>
              <w:rPr>
                <w:rFonts w:hint="eastAsia" w:ascii="宋体" w:hAnsi="宋体" w:eastAsia="宋体" w:cs="宋体"/>
                <w:color w:val="auto"/>
                <w:sz w:val="24"/>
              </w:rPr>
              <w:t>。</w:t>
            </w:r>
          </w:p>
          <w:p w14:paraId="48AC72A0">
            <w:pPr>
              <w:keepNext w:val="0"/>
              <w:keepLines w:val="0"/>
              <w:suppressLineNumbers w:val="0"/>
              <w:spacing w:before="0" w:beforeAutospacing="0" w:after="0" w:afterAutospacing="0" w:line="360" w:lineRule="auto"/>
              <w:ind w:left="0" w:right="0" w:firstLine="480" w:firstLineChars="200"/>
              <w:outlineLvl w:val="9"/>
              <w:rPr>
                <w:rFonts w:hint="eastAsia" w:ascii="宋体" w:hAnsi="宋体" w:eastAsia="宋体" w:cs="宋体"/>
                <w:color w:val="auto"/>
                <w:sz w:val="24"/>
                <w:lang w:eastAsia="zh-CN"/>
              </w:rPr>
            </w:pPr>
            <w:r>
              <w:rPr>
                <w:rFonts w:hint="eastAsia" w:ascii="宋体" w:hAnsi="宋体" w:cs="宋体"/>
                <w:color w:val="auto"/>
                <w:sz w:val="24"/>
                <w:lang w:eastAsia="zh-CN"/>
              </w:rPr>
              <w:t>（</w:t>
            </w:r>
            <w:r>
              <w:rPr>
                <w:rFonts w:hint="eastAsia" w:ascii="宋体" w:hAnsi="宋体" w:eastAsia="宋体" w:cs="宋体"/>
                <w:color w:val="auto"/>
                <w:sz w:val="24"/>
                <w:lang w:val="en-US" w:eastAsia="zh-CN"/>
              </w:rPr>
              <w:t>2</w:t>
            </w:r>
            <w:r>
              <w:rPr>
                <w:rFonts w:hint="eastAsia" w:ascii="宋体" w:hAnsi="宋体" w:cs="宋体"/>
                <w:color w:val="auto"/>
                <w:sz w:val="24"/>
                <w:lang w:val="en-US" w:eastAsia="zh-CN"/>
              </w:rPr>
              <w:t>）</w:t>
            </w:r>
            <w:r>
              <w:rPr>
                <w:rFonts w:hint="eastAsia" w:ascii="宋体" w:hAnsi="宋体" w:eastAsia="宋体" w:cs="宋体"/>
                <w:color w:val="auto"/>
                <w:sz w:val="24"/>
              </w:rPr>
              <w:t>扰动范围控制在占地范围内，严格控制扰动面积</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现场采用设置彩旗标识的方式划定具体施工作业占地范围</w:t>
            </w:r>
            <w:r>
              <w:rPr>
                <w:rFonts w:hint="eastAsia" w:ascii="宋体" w:hAnsi="宋体" w:eastAsia="宋体" w:cs="宋体"/>
                <w:color w:val="auto"/>
                <w:sz w:val="24"/>
                <w:lang w:eastAsia="zh-CN"/>
              </w:rPr>
              <w:t>。</w:t>
            </w:r>
          </w:p>
          <w:p w14:paraId="472D1302">
            <w:pPr>
              <w:keepNext w:val="0"/>
              <w:keepLines w:val="0"/>
              <w:suppressLineNumbers w:val="0"/>
              <w:spacing w:before="0" w:beforeAutospacing="0" w:after="0" w:afterAutospacing="0" w:line="360" w:lineRule="auto"/>
              <w:ind w:left="0" w:right="0" w:firstLine="480" w:firstLineChars="200"/>
              <w:outlineLvl w:val="9"/>
              <w:rPr>
                <w:rFonts w:hint="eastAsia" w:ascii="宋体" w:hAnsi="宋体" w:eastAsia="宋体" w:cs="宋体"/>
                <w:color w:val="auto"/>
                <w:sz w:val="24"/>
              </w:rPr>
            </w:pPr>
            <w:r>
              <w:rPr>
                <w:rFonts w:hint="eastAsia" w:ascii="宋体" w:hAnsi="宋体" w:cs="宋体"/>
                <w:color w:val="auto"/>
                <w:sz w:val="24"/>
                <w:lang w:eastAsia="zh-CN"/>
              </w:rPr>
              <w:t>（</w:t>
            </w:r>
            <w:r>
              <w:rPr>
                <w:rFonts w:hint="eastAsia" w:ascii="宋体" w:hAnsi="宋体" w:eastAsia="宋体" w:cs="宋体"/>
                <w:color w:val="auto"/>
                <w:sz w:val="24"/>
                <w:lang w:val="en-US" w:eastAsia="zh-CN"/>
              </w:rPr>
              <w:t>3</w:t>
            </w:r>
            <w:r>
              <w:rPr>
                <w:rFonts w:hint="eastAsia" w:ascii="宋体" w:hAnsi="宋体" w:cs="宋体"/>
                <w:color w:val="auto"/>
                <w:sz w:val="24"/>
                <w:lang w:val="en-US" w:eastAsia="zh-CN"/>
              </w:rPr>
              <w:t>）</w:t>
            </w:r>
            <w:r>
              <w:rPr>
                <w:rFonts w:hint="eastAsia" w:ascii="宋体" w:hAnsi="宋体" w:eastAsia="宋体" w:cs="宋体"/>
                <w:color w:val="auto"/>
                <w:sz w:val="24"/>
              </w:rPr>
              <w:t>施工期间严格执行生态保护措施，杜绝破坏植被，造成沙化的行为。</w:t>
            </w:r>
          </w:p>
          <w:p w14:paraId="0EABDEBE">
            <w:pPr>
              <w:keepNext w:val="0"/>
              <w:keepLines w:val="0"/>
              <w:suppressLineNumbers w:val="0"/>
              <w:spacing w:before="0" w:beforeAutospacing="0" w:after="0" w:afterAutospacing="0" w:line="360" w:lineRule="auto"/>
              <w:ind w:left="0" w:right="0" w:firstLine="480" w:firstLineChars="200"/>
              <w:outlineLvl w:val="9"/>
              <w:rPr>
                <w:rFonts w:hint="eastAsia" w:ascii="宋体" w:hAnsi="宋体" w:eastAsia="宋体" w:cs="宋体"/>
                <w:color w:val="auto"/>
                <w:sz w:val="24"/>
                <w:lang w:val="en-US" w:eastAsia="zh-CN"/>
              </w:rPr>
            </w:pPr>
            <w:r>
              <w:rPr>
                <w:rFonts w:hint="eastAsia" w:ascii="宋体" w:hAnsi="宋体" w:cs="宋体"/>
                <w:color w:val="auto"/>
                <w:sz w:val="24"/>
                <w:lang w:eastAsia="zh-CN"/>
              </w:rPr>
              <w:t>（</w:t>
            </w:r>
            <w:r>
              <w:rPr>
                <w:rFonts w:hint="eastAsia" w:ascii="宋体" w:hAnsi="宋体" w:cs="宋体"/>
                <w:color w:val="auto"/>
                <w:sz w:val="24"/>
                <w:lang w:val="en-US" w:eastAsia="zh-CN"/>
              </w:rPr>
              <w:t>4）</w:t>
            </w:r>
            <w:r>
              <w:rPr>
                <w:rFonts w:hint="eastAsia" w:ascii="宋体" w:hAnsi="宋体" w:eastAsia="宋体" w:cs="宋体"/>
                <w:color w:val="auto"/>
                <w:sz w:val="24"/>
              </w:rPr>
              <w:t>土地使用过程中发现土地沙化或者沙化程度加重的，应当及时报告当地人民政府。</w:t>
            </w:r>
          </w:p>
          <w:p w14:paraId="4A62EE67">
            <w:pPr>
              <w:keepNext w:val="0"/>
              <w:keepLines w:val="0"/>
              <w:suppressLineNumbers w:val="0"/>
              <w:adjustRightInd w:val="0"/>
              <w:snapToGrid w:val="0"/>
              <w:spacing w:before="0" w:beforeAutospacing="0" w:after="0" w:afterAutospacing="0" w:line="360" w:lineRule="auto"/>
              <w:ind w:left="0" w:right="0" w:firstLine="480" w:firstLineChars="200"/>
              <w:outlineLvl w:val="9"/>
              <w:rPr>
                <w:rFonts w:hint="eastAsia" w:ascii="宋体" w:hAnsi="宋体" w:eastAsia="宋体" w:cs="宋体"/>
                <w:color w:val="auto"/>
                <w:sz w:val="24"/>
              </w:rPr>
            </w:pPr>
            <w:r>
              <w:rPr>
                <w:rFonts w:hint="eastAsia" w:ascii="宋体" w:hAnsi="宋体" w:cs="宋体"/>
                <w:color w:val="auto"/>
                <w:sz w:val="24"/>
                <w:lang w:eastAsia="zh-CN"/>
              </w:rPr>
              <w:t>（</w:t>
            </w:r>
            <w:r>
              <w:rPr>
                <w:rFonts w:hint="eastAsia" w:ascii="宋体" w:hAnsi="宋体" w:cs="宋体"/>
                <w:color w:val="auto"/>
                <w:sz w:val="24"/>
                <w:lang w:val="en-US" w:eastAsia="zh-CN"/>
              </w:rPr>
              <w:t>5）</w:t>
            </w:r>
            <w:r>
              <w:rPr>
                <w:rFonts w:hint="eastAsia" w:ascii="宋体" w:hAnsi="宋体" w:eastAsia="宋体" w:cs="宋体"/>
                <w:color w:val="auto"/>
                <w:sz w:val="24"/>
              </w:rPr>
              <w:t>强化封禁保护，实行“三禁”制度。切实汲取长期存在的边治理、边破坏的教训，杜绝滥垦、滥牧、滥采等破坏行为，遏制沙地活化，保护</w:t>
            </w:r>
            <w:r>
              <w:rPr>
                <w:rFonts w:hint="eastAsia" w:ascii="宋体" w:hAnsi="宋体" w:eastAsia="宋体" w:cs="宋体"/>
                <w:color w:val="auto"/>
                <w:sz w:val="24"/>
                <w:lang w:val="en-US" w:eastAsia="zh-CN"/>
              </w:rPr>
              <w:t>荒漠区</w:t>
            </w:r>
            <w:r>
              <w:rPr>
                <w:rFonts w:hint="eastAsia" w:ascii="宋体" w:hAnsi="宋体" w:eastAsia="宋体" w:cs="宋体"/>
                <w:color w:val="auto"/>
                <w:sz w:val="24"/>
              </w:rPr>
              <w:t>植被。</w:t>
            </w:r>
          </w:p>
          <w:p w14:paraId="06507980">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color w:val="auto"/>
                <w:sz w:val="24"/>
                <w:szCs w:val="24"/>
              </w:rPr>
            </w:pPr>
            <w:r>
              <w:rPr>
                <w:rFonts w:hint="eastAsia"/>
                <w:color w:val="auto"/>
                <w:sz w:val="24"/>
                <w:szCs w:val="24"/>
                <w:lang w:val="en-US" w:eastAsia="zh-CN"/>
              </w:rPr>
              <w:t>采取以上措施后，可防止区域土地沙化，项目建设对区域内生态环境的影响较小。</w:t>
            </w:r>
          </w:p>
          <w:p w14:paraId="6404FC50">
            <w:pPr>
              <w:keepNext w:val="0"/>
              <w:keepLines w:val="0"/>
              <w:suppressLineNumbers w:val="0"/>
              <w:adjustRightInd w:val="0"/>
              <w:snapToGrid w:val="0"/>
              <w:spacing w:before="0" w:beforeAutospacing="0" w:after="0" w:afterAutospacing="0" w:line="360" w:lineRule="auto"/>
              <w:ind w:left="0" w:right="0"/>
              <w:outlineLvl w:val="9"/>
              <w:rPr>
                <w:rFonts w:hint="eastAsia" w:ascii="宋体" w:hAnsi="宋体" w:eastAsia="宋体" w:cs="宋体"/>
                <w:b/>
                <w:color w:val="auto"/>
                <w:sz w:val="24"/>
              </w:rPr>
            </w:pPr>
            <w:r>
              <w:rPr>
                <w:rFonts w:hint="eastAsia" w:ascii="宋体" w:hAnsi="宋体" w:eastAsia="宋体" w:cs="宋体"/>
                <w:b/>
                <w:color w:val="auto"/>
                <w:sz w:val="24"/>
              </w:rPr>
              <w:t>1.</w:t>
            </w:r>
            <w:r>
              <w:rPr>
                <w:rFonts w:hint="eastAsia" w:ascii="宋体" w:hAnsi="宋体" w:cs="宋体"/>
                <w:b/>
                <w:color w:val="auto"/>
                <w:sz w:val="24"/>
                <w:lang w:val="en-US" w:eastAsia="zh-CN"/>
              </w:rPr>
              <w:t>7</w:t>
            </w:r>
            <w:r>
              <w:rPr>
                <w:rFonts w:hint="eastAsia" w:ascii="宋体" w:hAnsi="宋体" w:eastAsia="宋体" w:cs="宋体"/>
                <w:b/>
                <w:color w:val="auto"/>
                <w:sz w:val="24"/>
              </w:rPr>
              <w:t>人员行为规范</w:t>
            </w:r>
          </w:p>
          <w:p w14:paraId="34FACF0B">
            <w:pPr>
              <w:keepNext w:val="0"/>
              <w:keepLines w:val="0"/>
              <w:suppressLineNumbers w:val="0"/>
              <w:adjustRightInd w:val="0"/>
              <w:snapToGrid w:val="0"/>
              <w:spacing w:before="0" w:beforeAutospacing="0" w:after="0" w:afterAutospacing="0" w:line="360" w:lineRule="auto"/>
              <w:ind w:left="0" w:right="0" w:firstLine="480" w:firstLineChars="200"/>
              <w:outlineLvl w:val="9"/>
              <w:rPr>
                <w:rFonts w:hint="eastAsia" w:ascii="宋体" w:hAnsi="宋体" w:eastAsia="宋体" w:cs="宋体"/>
                <w:color w:val="auto"/>
                <w:sz w:val="24"/>
              </w:rPr>
            </w:pPr>
            <w:r>
              <w:rPr>
                <w:rFonts w:hint="eastAsia" w:ascii="宋体" w:hAnsi="宋体" w:cs="宋体"/>
                <w:color w:val="auto"/>
                <w:sz w:val="24"/>
                <w:lang w:eastAsia="zh-CN"/>
              </w:rPr>
              <w:t>（</w:t>
            </w:r>
            <w:r>
              <w:rPr>
                <w:rFonts w:hint="eastAsia" w:ascii="宋体" w:hAnsi="宋体" w:eastAsia="宋体" w:cs="宋体"/>
                <w:color w:val="auto"/>
                <w:sz w:val="24"/>
              </w:rPr>
              <w:t>1</w:t>
            </w:r>
            <w:r>
              <w:rPr>
                <w:rFonts w:hint="eastAsia" w:ascii="宋体" w:hAnsi="宋体" w:cs="宋体"/>
                <w:color w:val="auto"/>
                <w:sz w:val="24"/>
                <w:lang w:eastAsia="zh-CN"/>
              </w:rPr>
              <w:t>）</w:t>
            </w:r>
            <w:r>
              <w:rPr>
                <w:rFonts w:hint="eastAsia" w:ascii="宋体" w:hAnsi="宋体" w:eastAsia="宋体" w:cs="宋体"/>
                <w:color w:val="auto"/>
                <w:sz w:val="24"/>
              </w:rPr>
              <w:t>加强对管理人员和施工人员的教育，提高其环保意识，设置环保宣传牌。</w:t>
            </w:r>
          </w:p>
          <w:p w14:paraId="09CEC411">
            <w:pPr>
              <w:keepNext w:val="0"/>
              <w:keepLines w:val="0"/>
              <w:suppressLineNumbers w:val="0"/>
              <w:adjustRightInd w:val="0"/>
              <w:snapToGrid w:val="0"/>
              <w:spacing w:before="0" w:beforeAutospacing="0" w:after="0" w:afterAutospacing="0" w:line="360" w:lineRule="auto"/>
              <w:ind w:left="0" w:right="0" w:firstLine="480" w:firstLineChars="200"/>
              <w:outlineLvl w:val="9"/>
              <w:rPr>
                <w:rFonts w:hint="eastAsia" w:ascii="宋体" w:hAnsi="宋体" w:eastAsia="宋体" w:cs="宋体"/>
                <w:color w:val="auto"/>
                <w:sz w:val="24"/>
              </w:rPr>
            </w:pPr>
            <w:r>
              <w:rPr>
                <w:rFonts w:hint="eastAsia" w:ascii="宋体" w:hAnsi="宋体" w:cs="宋体"/>
                <w:color w:val="auto"/>
                <w:sz w:val="24"/>
                <w:lang w:eastAsia="zh-CN"/>
              </w:rPr>
              <w:t>（</w:t>
            </w:r>
            <w:r>
              <w:rPr>
                <w:rFonts w:hint="eastAsia" w:ascii="宋体" w:hAnsi="宋体" w:eastAsia="宋体" w:cs="宋体"/>
                <w:color w:val="auto"/>
                <w:sz w:val="24"/>
              </w:rPr>
              <w:t>2</w:t>
            </w:r>
            <w:r>
              <w:rPr>
                <w:rFonts w:hint="eastAsia" w:ascii="宋体" w:hAnsi="宋体" w:cs="宋体"/>
                <w:color w:val="auto"/>
                <w:sz w:val="24"/>
                <w:lang w:eastAsia="zh-CN"/>
              </w:rPr>
              <w:t>）</w:t>
            </w:r>
            <w:r>
              <w:rPr>
                <w:rFonts w:hint="eastAsia" w:ascii="宋体" w:hAnsi="宋体" w:eastAsia="宋体" w:cs="宋体"/>
                <w:color w:val="auto"/>
                <w:sz w:val="24"/>
              </w:rPr>
              <w:t>注意保护植被，施工人员和施工机械不得在规定区域范围外随意活动和行驶。</w:t>
            </w:r>
          </w:p>
          <w:p w14:paraId="1B612270">
            <w:pPr>
              <w:keepNext w:val="0"/>
              <w:keepLines w:val="0"/>
              <w:suppressLineNumbers w:val="0"/>
              <w:adjustRightInd w:val="0"/>
              <w:snapToGrid w:val="0"/>
              <w:spacing w:before="0" w:beforeAutospacing="0" w:after="0" w:afterAutospacing="0" w:line="360" w:lineRule="auto"/>
              <w:ind w:left="0" w:right="0" w:firstLine="480" w:firstLineChars="200"/>
              <w:outlineLvl w:val="9"/>
              <w:rPr>
                <w:rFonts w:hint="eastAsia" w:ascii="宋体" w:hAnsi="宋体" w:eastAsia="宋体" w:cs="宋体"/>
                <w:color w:val="auto"/>
                <w:sz w:val="24"/>
              </w:rPr>
            </w:pPr>
            <w:r>
              <w:rPr>
                <w:rFonts w:hint="eastAsia" w:ascii="宋体" w:hAnsi="宋体" w:cs="宋体"/>
                <w:color w:val="auto"/>
                <w:sz w:val="24"/>
                <w:lang w:eastAsia="zh-CN"/>
              </w:rPr>
              <w:t>（</w:t>
            </w:r>
            <w:r>
              <w:rPr>
                <w:rFonts w:hint="eastAsia" w:ascii="宋体" w:hAnsi="宋体" w:cs="宋体"/>
                <w:color w:val="auto"/>
                <w:sz w:val="24"/>
                <w:lang w:val="en-US" w:eastAsia="zh-CN"/>
              </w:rPr>
              <w:t>3）</w:t>
            </w:r>
            <w:r>
              <w:rPr>
                <w:rFonts w:hint="eastAsia" w:ascii="宋体" w:hAnsi="宋体" w:eastAsia="宋体" w:cs="宋体"/>
                <w:color w:val="auto"/>
                <w:sz w:val="24"/>
              </w:rPr>
              <w:t>生活垃圾和建筑垃圾集中收集、集中处理，不得随意丢弃。</w:t>
            </w:r>
          </w:p>
          <w:p w14:paraId="0B7FB4F7">
            <w:pPr>
              <w:keepNext w:val="0"/>
              <w:keepLines w:val="0"/>
              <w:suppressLineNumbers w:val="0"/>
              <w:adjustRightInd w:val="0"/>
              <w:snapToGrid w:val="0"/>
              <w:spacing w:before="0" w:beforeAutospacing="0" w:after="0" w:afterAutospacing="0" w:line="360" w:lineRule="auto"/>
              <w:ind w:left="0" w:right="0" w:firstLine="480" w:firstLineChars="200"/>
              <w:outlineLvl w:val="9"/>
              <w:rPr>
                <w:rFonts w:hint="eastAsia" w:ascii="宋体" w:hAnsi="宋体" w:eastAsia="宋体" w:cs="宋体"/>
                <w:color w:val="auto"/>
              </w:rPr>
            </w:pPr>
            <w:r>
              <w:rPr>
                <w:rFonts w:hint="eastAsia" w:ascii="宋体" w:hAnsi="宋体" w:cs="宋体"/>
                <w:color w:val="auto"/>
                <w:sz w:val="24"/>
                <w:lang w:eastAsia="zh-CN"/>
              </w:rPr>
              <w:t>（</w:t>
            </w:r>
            <w:r>
              <w:rPr>
                <w:rFonts w:hint="eastAsia" w:ascii="宋体" w:hAnsi="宋体" w:cs="宋体"/>
                <w:color w:val="auto"/>
                <w:sz w:val="24"/>
                <w:lang w:val="en-US" w:eastAsia="zh-CN"/>
              </w:rPr>
              <w:t>4）</w:t>
            </w:r>
            <w:r>
              <w:rPr>
                <w:rFonts w:hint="eastAsia" w:ascii="宋体" w:hAnsi="宋体" w:eastAsia="宋体" w:cs="宋体"/>
                <w:color w:val="auto"/>
                <w:sz w:val="24"/>
              </w:rPr>
              <w:t>对事故贮油池的防渗施工过程</w:t>
            </w:r>
            <w:r>
              <w:rPr>
                <w:rFonts w:hint="eastAsia" w:ascii="宋体" w:hAnsi="宋体" w:eastAsia="宋体" w:cs="宋体"/>
                <w:color w:val="auto"/>
                <w:sz w:val="24"/>
                <w:lang w:val="en-US" w:eastAsia="zh-CN"/>
              </w:rPr>
              <w:t>进行</w:t>
            </w:r>
            <w:r>
              <w:rPr>
                <w:rFonts w:hint="eastAsia" w:ascii="宋体" w:hAnsi="宋体" w:eastAsia="宋体" w:cs="宋体"/>
                <w:color w:val="auto"/>
                <w:sz w:val="24"/>
              </w:rPr>
              <w:t>质量监督</w:t>
            </w:r>
            <w:r>
              <w:rPr>
                <w:rFonts w:hint="eastAsia" w:ascii="宋体" w:hAnsi="宋体" w:eastAsia="宋体" w:cs="宋体"/>
                <w:color w:val="auto"/>
                <w:sz w:val="24"/>
                <w:lang w:eastAsia="zh-CN"/>
              </w:rPr>
              <w:t>。</w:t>
            </w:r>
          </w:p>
          <w:p w14:paraId="67B70C52">
            <w:pPr>
              <w:keepNext w:val="0"/>
              <w:keepLines w:val="0"/>
              <w:suppressLineNumbers w:val="0"/>
              <w:adjustRightInd w:val="0"/>
              <w:snapToGrid w:val="0"/>
              <w:spacing w:before="0" w:beforeAutospacing="0" w:after="0" w:afterAutospacing="0" w:line="360" w:lineRule="auto"/>
              <w:ind w:left="0" w:right="0"/>
              <w:outlineLvl w:val="9"/>
              <w:rPr>
                <w:rFonts w:hint="eastAsia" w:ascii="宋体" w:hAnsi="宋体" w:eastAsia="宋体" w:cs="宋体"/>
                <w:b/>
                <w:bCs/>
                <w:color w:val="auto"/>
                <w:sz w:val="24"/>
              </w:rPr>
            </w:pPr>
            <w:r>
              <w:rPr>
                <w:rFonts w:hint="eastAsia" w:ascii="宋体" w:hAnsi="宋体" w:eastAsia="宋体" w:cs="宋体"/>
                <w:b/>
                <w:bCs/>
                <w:color w:val="auto"/>
                <w:sz w:val="24"/>
              </w:rPr>
              <w:t>2施工期大气污染物防治措施</w:t>
            </w:r>
          </w:p>
          <w:p w14:paraId="1B8EC47C">
            <w:pPr>
              <w:keepNext w:val="0"/>
              <w:keepLines w:val="0"/>
              <w:suppressLineNumbers w:val="0"/>
              <w:adjustRightInd w:val="0"/>
              <w:snapToGrid w:val="0"/>
              <w:spacing w:before="0" w:beforeAutospacing="0" w:after="0" w:afterAutospacing="0" w:line="360" w:lineRule="auto"/>
              <w:ind w:left="0" w:right="0"/>
              <w:outlineLvl w:val="9"/>
              <w:rPr>
                <w:rFonts w:hint="eastAsia" w:ascii="宋体" w:hAnsi="宋体" w:eastAsia="宋体" w:cs="宋体"/>
                <w:b/>
                <w:bCs/>
                <w:color w:val="auto"/>
                <w:sz w:val="24"/>
                <w:lang w:val="en-US" w:eastAsia="zh-CN"/>
              </w:rPr>
            </w:pPr>
            <w:r>
              <w:rPr>
                <w:rFonts w:hint="eastAsia" w:ascii="宋体" w:hAnsi="宋体" w:eastAsia="宋体" w:cs="宋体"/>
                <w:b/>
                <w:bCs/>
                <w:color w:val="auto"/>
                <w:sz w:val="24"/>
                <w:lang w:val="en-US" w:eastAsia="zh-CN"/>
              </w:rPr>
              <w:t>2.1施工期扬尘废气防治措施</w:t>
            </w:r>
          </w:p>
          <w:p w14:paraId="3157CC90">
            <w:pPr>
              <w:keepNext w:val="0"/>
              <w:keepLines w:val="0"/>
              <w:widowControl/>
              <w:suppressLineNumbers w:val="0"/>
              <w:adjustRightInd w:val="0"/>
              <w:snapToGrid w:val="0"/>
              <w:spacing w:before="0" w:beforeAutospacing="0" w:after="0" w:afterAutospacing="0" w:line="360" w:lineRule="auto"/>
              <w:ind w:left="0" w:right="0" w:firstLine="480" w:firstLineChars="200"/>
              <w:textAlignment w:val="baseline"/>
              <w:outlineLvl w:val="9"/>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val="en-US" w:eastAsia="zh-CN"/>
              </w:rPr>
              <w:t>1</w:t>
            </w: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加强施工管理，做到文明施工，严禁大风</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风速≥5m/s</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天气进行易产尘施工作业。</w:t>
            </w:r>
          </w:p>
          <w:p w14:paraId="1D3DE60F">
            <w:pPr>
              <w:keepNext w:val="0"/>
              <w:keepLines w:val="0"/>
              <w:widowControl/>
              <w:suppressLineNumbers w:val="0"/>
              <w:adjustRightInd w:val="0"/>
              <w:snapToGrid w:val="0"/>
              <w:spacing w:before="0" w:beforeAutospacing="0" w:after="0" w:afterAutospacing="0" w:line="360" w:lineRule="auto"/>
              <w:ind w:left="0" w:right="0" w:firstLine="480" w:firstLineChars="200"/>
              <w:textAlignment w:val="baseline"/>
              <w:outlineLvl w:val="9"/>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val="en-US" w:eastAsia="zh-CN"/>
              </w:rPr>
              <w:t>2</w:t>
            </w: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做好施工规划，合理安排土石方临时堆放场地，对临时堆放土石方表面进行遮盖、四周进行围挡或定期对临时堆放土石方表面洒水。尽可能</w:t>
            </w:r>
            <w:r>
              <w:rPr>
                <w:rFonts w:hint="eastAsia" w:ascii="宋体" w:hAnsi="宋体" w:cs="宋体"/>
                <w:color w:val="auto"/>
                <w:kern w:val="0"/>
                <w:sz w:val="24"/>
                <w:szCs w:val="24"/>
                <w:highlight w:val="none"/>
                <w:lang w:eastAsia="zh-CN"/>
              </w:rPr>
              <w:t>地</w:t>
            </w:r>
            <w:r>
              <w:rPr>
                <w:rFonts w:hint="eastAsia" w:ascii="宋体" w:hAnsi="宋体" w:eastAsia="宋体" w:cs="宋体"/>
                <w:color w:val="auto"/>
                <w:kern w:val="0"/>
                <w:sz w:val="24"/>
                <w:szCs w:val="24"/>
                <w:highlight w:val="none"/>
              </w:rPr>
              <w:t>降低对周边大气环境的影响。</w:t>
            </w:r>
          </w:p>
          <w:p w14:paraId="430DEC31">
            <w:pPr>
              <w:keepNext w:val="0"/>
              <w:keepLines w:val="0"/>
              <w:widowControl/>
              <w:suppressLineNumbers w:val="0"/>
              <w:adjustRightInd w:val="0"/>
              <w:snapToGrid w:val="0"/>
              <w:spacing w:before="0" w:beforeAutospacing="0" w:after="0" w:afterAutospacing="0" w:line="360" w:lineRule="auto"/>
              <w:ind w:left="0" w:right="0" w:firstLine="480" w:firstLineChars="200"/>
              <w:textAlignment w:val="baseline"/>
              <w:outlineLvl w:val="9"/>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val="en-US" w:eastAsia="zh-CN"/>
              </w:rPr>
              <w:t>3</w:t>
            </w: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对施工场地和运输道路每天洒水2～3次，遇大风或干燥天气应适当增加洒水次数，对于施工场地裸露地面，应覆盖防尘布或防尘网，定时定量洒水。</w:t>
            </w:r>
          </w:p>
          <w:p w14:paraId="4957BF89">
            <w:pPr>
              <w:keepNext w:val="0"/>
              <w:keepLines w:val="0"/>
              <w:widowControl/>
              <w:suppressLineNumbers w:val="0"/>
              <w:adjustRightInd w:val="0"/>
              <w:snapToGrid w:val="0"/>
              <w:spacing w:before="0" w:beforeAutospacing="0" w:after="0" w:afterAutospacing="0" w:line="360" w:lineRule="auto"/>
              <w:ind w:left="0" w:right="0" w:firstLine="480" w:firstLineChars="200"/>
              <w:textAlignment w:val="baseline"/>
              <w:outlineLvl w:val="9"/>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val="en-US" w:eastAsia="zh-CN"/>
              </w:rPr>
              <w:t>4</w:t>
            </w: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对运输施工垃圾的车辆应加盖篷布或采取密闭运输方式，运输车辆的装载量应适当，严禁超载，应严格按照规定行车路线和速度行驶，并定期对运输道路路面进行清扫和洒水。</w:t>
            </w:r>
          </w:p>
          <w:p w14:paraId="56F6D5A0">
            <w:pPr>
              <w:keepNext w:val="0"/>
              <w:keepLines w:val="0"/>
              <w:widowControl/>
              <w:suppressLineNumbers w:val="0"/>
              <w:adjustRightInd w:val="0"/>
              <w:snapToGrid w:val="0"/>
              <w:spacing w:before="0" w:beforeAutospacing="0" w:after="0" w:afterAutospacing="0" w:line="360" w:lineRule="auto"/>
              <w:ind w:left="0" w:right="0" w:firstLine="480" w:firstLineChars="200"/>
              <w:textAlignment w:val="baseline"/>
              <w:outlineLvl w:val="9"/>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val="en-US" w:eastAsia="zh-CN"/>
              </w:rPr>
              <w:t>5</w:t>
            </w: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合理集中安排建筑材料临时堆放场所和施工垃圾临时堆放场所，尽量设置在远离人群集中场所的下风向且避风处，严禁露天堆放粉砂状建筑材料和施工垃圾，应对其表面进行遮盖或四周进行围挡，并尽量采用成品建筑材料。</w:t>
            </w:r>
          </w:p>
          <w:p w14:paraId="0B634CC8">
            <w:pPr>
              <w:keepNext w:val="0"/>
              <w:keepLines w:val="0"/>
              <w:widowControl/>
              <w:suppressLineNumbers w:val="0"/>
              <w:adjustRightInd w:val="0"/>
              <w:snapToGrid w:val="0"/>
              <w:spacing w:before="0" w:beforeAutospacing="0" w:after="0" w:afterAutospacing="0" w:line="360" w:lineRule="auto"/>
              <w:ind w:left="0" w:right="0" w:firstLine="480" w:firstLineChars="200"/>
              <w:textAlignment w:val="baseline"/>
              <w:outlineLvl w:val="9"/>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val="en-US" w:eastAsia="zh-CN"/>
              </w:rPr>
              <w:t>6</w:t>
            </w: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装卸施工垃圾过程中应采用隔板阻挡以防洒落，对不慎洒落的应及时进行清理，并尽量降低装卸落差。</w:t>
            </w:r>
          </w:p>
          <w:p w14:paraId="0AF20C8A">
            <w:pPr>
              <w:keepNext w:val="0"/>
              <w:keepLines w:val="0"/>
              <w:widowControl/>
              <w:suppressLineNumbers w:val="0"/>
              <w:adjustRightInd w:val="0"/>
              <w:snapToGrid w:val="0"/>
              <w:spacing w:before="0" w:beforeAutospacing="0" w:after="0" w:afterAutospacing="0" w:line="360" w:lineRule="auto"/>
              <w:ind w:left="0" w:right="0" w:firstLine="480" w:firstLineChars="200"/>
              <w:textAlignment w:val="baseline"/>
              <w:outlineLvl w:val="9"/>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val="en-US" w:eastAsia="zh-CN"/>
              </w:rPr>
              <w:t>7</w:t>
            </w: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在施工场地四周设置临时性围栏或围墙，在易产尘施工作业点四周设置临时性细目滞尘防护网。</w:t>
            </w:r>
          </w:p>
          <w:p w14:paraId="437423AF">
            <w:pPr>
              <w:keepNext w:val="0"/>
              <w:keepLines w:val="0"/>
              <w:widowControl/>
              <w:suppressLineNumbers w:val="0"/>
              <w:adjustRightInd w:val="0"/>
              <w:snapToGrid w:val="0"/>
              <w:spacing w:before="0" w:beforeAutospacing="0" w:after="0" w:afterAutospacing="0" w:line="360" w:lineRule="auto"/>
              <w:ind w:left="0" w:right="0" w:firstLine="480" w:firstLineChars="200"/>
              <w:textAlignment w:val="baseline"/>
              <w:outlineLvl w:val="9"/>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val="en-US" w:eastAsia="zh-CN"/>
              </w:rPr>
              <w:t>8</w:t>
            </w: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加强施工人员个体防护措施，如在进行易产尘作业时佩戴防尘面罩等。</w:t>
            </w:r>
          </w:p>
          <w:p w14:paraId="0A3CC8EC">
            <w:pPr>
              <w:keepNext w:val="0"/>
              <w:keepLines w:val="0"/>
              <w:widowControl/>
              <w:suppressLineNumbers w:val="0"/>
              <w:adjustRightInd w:val="0"/>
              <w:snapToGrid w:val="0"/>
              <w:spacing w:before="0" w:beforeAutospacing="0" w:after="0" w:afterAutospacing="0" w:line="360" w:lineRule="auto"/>
              <w:ind w:left="0" w:right="0" w:firstLine="480" w:firstLineChars="200"/>
              <w:textAlignment w:val="baseline"/>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采取以上措施后对大气环境的影响会有所降低，施工期产生的扬尘会采取以上措施后对大气环境的影响会有所降低，施工期产生的扬尘会随施工结束而消失，建议缩短工期，不会长期影响周边大气环境质量。</w:t>
            </w:r>
          </w:p>
          <w:p w14:paraId="4034AEBA">
            <w:pPr>
              <w:keepNext w:val="0"/>
              <w:keepLines w:val="0"/>
              <w:suppressLineNumbers w:val="0"/>
              <w:adjustRightInd w:val="0"/>
              <w:snapToGrid w:val="0"/>
              <w:spacing w:before="0" w:beforeAutospacing="0" w:after="0" w:afterAutospacing="0" w:line="360" w:lineRule="auto"/>
              <w:ind w:left="0" w:right="0"/>
              <w:outlineLvl w:val="9"/>
              <w:rPr>
                <w:rFonts w:hint="eastAsia" w:ascii="宋体" w:hAnsi="宋体" w:eastAsia="宋体" w:cs="宋体"/>
                <w:b/>
                <w:bCs/>
                <w:color w:val="auto"/>
                <w:sz w:val="24"/>
              </w:rPr>
            </w:pPr>
            <w:r>
              <w:rPr>
                <w:rFonts w:hint="eastAsia" w:ascii="宋体" w:hAnsi="宋体" w:eastAsia="宋体" w:cs="宋体"/>
                <w:b/>
                <w:bCs/>
                <w:color w:val="auto"/>
                <w:sz w:val="24"/>
                <w:lang w:val="en-US" w:eastAsia="zh-CN"/>
              </w:rPr>
              <w:t>2.2设备燃油废气防治措施</w:t>
            </w:r>
          </w:p>
          <w:p w14:paraId="2D23816C">
            <w:pPr>
              <w:keepNext w:val="0"/>
              <w:keepLines w:val="0"/>
              <w:suppressLineNumbers w:val="0"/>
              <w:adjustRightInd w:val="0"/>
              <w:snapToGrid w:val="0"/>
              <w:spacing w:before="0" w:beforeAutospacing="0" w:after="0" w:afterAutospacing="0" w:line="360" w:lineRule="auto"/>
              <w:ind w:left="0" w:right="0" w:firstLine="480" w:firstLineChars="200"/>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①加强施工车辆运行管理与维护保养。</w:t>
            </w:r>
          </w:p>
          <w:p w14:paraId="0AE7961E">
            <w:pPr>
              <w:keepNext w:val="0"/>
              <w:keepLines w:val="0"/>
              <w:suppressLineNumbers w:val="0"/>
              <w:adjustRightInd w:val="0"/>
              <w:snapToGrid w:val="0"/>
              <w:spacing w:before="0" w:beforeAutospacing="0" w:after="0" w:afterAutospacing="0" w:line="360" w:lineRule="auto"/>
              <w:ind w:left="0" w:right="0" w:firstLine="480" w:firstLineChars="200"/>
              <w:outlineLvl w:val="9"/>
              <w:rPr>
                <w:rFonts w:hint="eastAsia" w:ascii="宋体" w:hAnsi="宋体" w:eastAsia="宋体" w:cs="宋体"/>
                <w:b w:val="0"/>
                <w:bCs w:val="0"/>
                <w:color w:val="auto"/>
                <w:kern w:val="0"/>
                <w:sz w:val="24"/>
                <w:szCs w:val="24"/>
              </w:rPr>
            </w:pPr>
            <w:r>
              <w:rPr>
                <w:rFonts w:hint="eastAsia" w:ascii="宋体" w:hAnsi="宋体" w:eastAsia="宋体" w:cs="宋体"/>
                <w:color w:val="auto"/>
                <w:kern w:val="0"/>
                <w:sz w:val="24"/>
                <w:szCs w:val="24"/>
              </w:rPr>
              <w:t>②使用满足《车用柴油》</w:t>
            </w:r>
            <w:r>
              <w:rPr>
                <w:rFonts w:hint="eastAsia" w:ascii="宋体" w:hAnsi="宋体" w:cs="宋体"/>
                <w:color w:val="auto"/>
                <w:kern w:val="0"/>
                <w:sz w:val="24"/>
                <w:szCs w:val="24"/>
                <w:lang w:eastAsia="zh-CN"/>
              </w:rPr>
              <w:t>（</w:t>
            </w:r>
            <w:r>
              <w:rPr>
                <w:rFonts w:hint="eastAsia" w:ascii="宋体" w:hAnsi="宋体" w:eastAsia="宋体" w:cs="宋体"/>
                <w:color w:val="auto"/>
                <w:kern w:val="0"/>
                <w:sz w:val="24"/>
                <w:szCs w:val="24"/>
              </w:rPr>
              <w:t>GB19147-2016</w:t>
            </w:r>
            <w:r>
              <w:rPr>
                <w:rFonts w:hint="eastAsia" w:ascii="宋体" w:hAnsi="宋体" w:cs="宋体"/>
                <w:color w:val="auto"/>
                <w:kern w:val="0"/>
                <w:sz w:val="24"/>
                <w:szCs w:val="24"/>
                <w:lang w:eastAsia="zh-CN"/>
              </w:rPr>
              <w:t>）</w:t>
            </w:r>
            <w:r>
              <w:rPr>
                <w:rFonts w:hint="eastAsia" w:ascii="宋体" w:hAnsi="宋体" w:eastAsia="宋体" w:cs="宋体"/>
                <w:color w:val="auto"/>
                <w:kern w:val="0"/>
                <w:sz w:val="24"/>
                <w:szCs w:val="24"/>
              </w:rPr>
              <w:t>标准的柴油，柴油机废气排放满足《重型柴油车污染物排放限值及测量方法</w:t>
            </w:r>
            <w:r>
              <w:rPr>
                <w:rFonts w:hint="eastAsia" w:ascii="宋体" w:hAnsi="宋体" w:cs="宋体"/>
                <w:color w:val="auto"/>
                <w:kern w:val="0"/>
                <w:sz w:val="24"/>
                <w:szCs w:val="24"/>
                <w:lang w:eastAsia="zh-CN"/>
              </w:rPr>
              <w:t>（</w:t>
            </w:r>
            <w:r>
              <w:rPr>
                <w:rFonts w:hint="eastAsia" w:ascii="宋体" w:hAnsi="宋体" w:eastAsia="宋体" w:cs="宋体"/>
                <w:color w:val="auto"/>
                <w:kern w:val="0"/>
                <w:sz w:val="24"/>
                <w:szCs w:val="24"/>
              </w:rPr>
              <w:t>中国第六阶段</w:t>
            </w:r>
            <w:r>
              <w:rPr>
                <w:rFonts w:hint="eastAsia" w:ascii="宋体" w:hAnsi="宋体" w:cs="宋体"/>
                <w:color w:val="auto"/>
                <w:kern w:val="0"/>
                <w:sz w:val="24"/>
                <w:szCs w:val="24"/>
                <w:lang w:eastAsia="zh-CN"/>
              </w:rPr>
              <w:t>）</w:t>
            </w:r>
            <w:r>
              <w:rPr>
                <w:rFonts w:hint="eastAsia" w:ascii="宋体" w:hAnsi="宋体" w:eastAsia="宋体" w:cs="宋体"/>
                <w:color w:val="auto"/>
                <w:kern w:val="0"/>
                <w:sz w:val="24"/>
                <w:szCs w:val="24"/>
              </w:rPr>
              <w:t>》</w:t>
            </w:r>
            <w:r>
              <w:rPr>
                <w:rFonts w:hint="eastAsia" w:ascii="宋体" w:hAnsi="宋体" w:cs="宋体"/>
                <w:color w:val="auto"/>
                <w:kern w:val="0"/>
                <w:sz w:val="24"/>
                <w:szCs w:val="24"/>
                <w:lang w:eastAsia="zh-CN"/>
              </w:rPr>
              <w:t>（</w:t>
            </w:r>
            <w:r>
              <w:rPr>
                <w:rFonts w:hint="eastAsia" w:ascii="宋体" w:hAnsi="宋体" w:eastAsia="宋体" w:cs="宋体"/>
                <w:b w:val="0"/>
                <w:bCs w:val="0"/>
                <w:color w:val="auto"/>
                <w:kern w:val="0"/>
                <w:sz w:val="24"/>
                <w:szCs w:val="24"/>
              </w:rPr>
              <w:t>GB17691-2018</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及《非道路柴油移动机械排气烟度限值及测量方法》(GB36886-2018)。</w:t>
            </w:r>
          </w:p>
          <w:p w14:paraId="1161E4F7">
            <w:pPr>
              <w:keepNext w:val="0"/>
              <w:keepLines w:val="0"/>
              <w:suppressLineNumbers w:val="0"/>
              <w:adjustRightInd w:val="0"/>
              <w:snapToGrid w:val="0"/>
              <w:spacing w:before="0" w:beforeAutospacing="0" w:after="0" w:afterAutospacing="0" w:line="360" w:lineRule="auto"/>
              <w:ind w:left="0" w:right="0"/>
              <w:outlineLvl w:val="9"/>
              <w:rPr>
                <w:rFonts w:hint="eastAsia" w:ascii="宋体" w:hAnsi="宋体" w:eastAsia="宋体" w:cs="宋体"/>
                <w:b/>
                <w:bCs/>
                <w:color w:val="auto"/>
                <w:sz w:val="24"/>
              </w:rPr>
            </w:pPr>
            <w:r>
              <w:rPr>
                <w:rFonts w:hint="eastAsia" w:ascii="宋体" w:hAnsi="宋体" w:eastAsia="宋体" w:cs="宋体"/>
                <w:b/>
                <w:bCs/>
                <w:color w:val="auto"/>
                <w:sz w:val="24"/>
              </w:rPr>
              <w:t>3施工期废水防治措施</w:t>
            </w:r>
          </w:p>
          <w:p w14:paraId="2A0E7EB0">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outlineLvl w:val="9"/>
              <w:rPr>
                <w:rFonts w:hint="eastAsia" w:ascii="宋体" w:hAnsi="宋体" w:eastAsia="宋体" w:cs="宋体"/>
                <w:b w:val="0"/>
                <w:bCs w:val="0"/>
                <w:color w:val="auto"/>
              </w:rPr>
            </w:pPr>
            <w:r>
              <w:rPr>
                <w:rFonts w:hint="eastAsia" w:ascii="宋体" w:hAnsi="宋体" w:eastAsia="宋体" w:cs="宋体"/>
                <w:color w:val="auto"/>
                <w:sz w:val="24"/>
                <w:highlight w:val="none"/>
              </w:rPr>
              <w:t>本项目施工期间产生的废</w:t>
            </w:r>
            <w:r>
              <w:rPr>
                <w:rFonts w:hint="eastAsia" w:ascii="宋体" w:hAnsi="宋体" w:eastAsia="宋体" w:cs="宋体"/>
                <w:color w:val="auto"/>
                <w:sz w:val="24"/>
                <w:highlight w:val="none"/>
                <w:lang w:val="en-US" w:eastAsia="zh-CN"/>
              </w:rPr>
              <w:t>污</w:t>
            </w:r>
            <w:r>
              <w:rPr>
                <w:rFonts w:hint="eastAsia" w:ascii="宋体" w:hAnsi="宋体" w:eastAsia="宋体" w:cs="宋体"/>
                <w:color w:val="auto"/>
                <w:sz w:val="24"/>
                <w:highlight w:val="none"/>
              </w:rPr>
              <w:t>水主要来自施工废水及施工人员生活污水。</w:t>
            </w:r>
          </w:p>
          <w:p w14:paraId="547ABF34">
            <w:pPr>
              <w:keepNext w:val="0"/>
              <w:keepLines w:val="0"/>
              <w:suppressLineNumbers w:val="0"/>
              <w:spacing w:before="0" w:beforeAutospacing="0" w:after="0" w:afterAutospacing="0" w:line="360" w:lineRule="auto"/>
              <w:ind w:left="0" w:right="0" w:firstLine="480" w:firstLineChars="200"/>
              <w:outlineLvl w:val="9"/>
              <w:rPr>
                <w:rFonts w:hint="eastAsia" w:ascii="宋体" w:hAnsi="宋体" w:cs="宋体"/>
                <w:color w:val="auto"/>
                <w:kern w:val="0"/>
                <w:sz w:val="24"/>
                <w:szCs w:val="24"/>
                <w:lang w:val="en-US" w:eastAsia="zh-CN" w:bidi="ar-SA"/>
              </w:rPr>
            </w:pPr>
            <w:r>
              <w:rPr>
                <w:rFonts w:hint="eastAsia" w:ascii="宋体" w:hAnsi="宋体" w:cs="宋体"/>
                <w:color w:val="auto"/>
                <w:kern w:val="0"/>
                <w:sz w:val="24"/>
                <w:szCs w:val="24"/>
                <w:lang w:val="en-US" w:eastAsia="zh-CN" w:bidi="ar-SA"/>
              </w:rPr>
              <w:t>施工营地设置移动卫生厕所和防渗污水收集池，营地食堂及洗漱废水经隔油隔渣池后排入防渗污水收集池，移动卫生厕所用于解决施工人员的生活排污，及时委托环卫部门清运至鄯善县污水处理厂，避免生活污水外排。</w:t>
            </w:r>
          </w:p>
          <w:p w14:paraId="0510FCEA">
            <w:pPr>
              <w:keepNext w:val="0"/>
              <w:keepLines w:val="0"/>
              <w:suppressLineNumbers w:val="0"/>
              <w:spacing w:before="0" w:beforeAutospacing="0" w:after="0" w:afterAutospacing="0" w:line="360" w:lineRule="auto"/>
              <w:ind w:left="0" w:right="0" w:firstLine="480" w:firstLineChars="200"/>
              <w:outlineLvl w:val="9"/>
              <w:rPr>
                <w:rFonts w:hint="eastAsia" w:ascii="宋体" w:hAnsi="宋体" w:eastAsia="宋体" w:cs="宋体"/>
                <w:color w:val="auto"/>
                <w:lang w:val="en-US" w:eastAsia="zh-CN"/>
              </w:rPr>
            </w:pPr>
            <w:r>
              <w:rPr>
                <w:rFonts w:hint="eastAsia" w:ascii="宋体" w:hAnsi="宋体" w:eastAsia="宋体" w:cs="宋体"/>
                <w:color w:val="auto"/>
                <w:sz w:val="24"/>
                <w:highlight w:val="none"/>
              </w:rPr>
              <w:t>工程施工生产废水主要由混凝土运输车和施工机械的冲洗、混凝土养护等产生，主要成分是含泥沙废水，施工期废水设防渗沉淀池，可回用于</w:t>
            </w:r>
            <w:r>
              <w:rPr>
                <w:rFonts w:hint="eastAsia" w:ascii="宋体" w:hAnsi="宋体" w:eastAsia="宋体" w:cs="宋体"/>
                <w:color w:val="auto"/>
                <w:sz w:val="24"/>
                <w:highlight w:val="none"/>
                <w:lang w:val="en-US" w:eastAsia="zh-CN"/>
              </w:rPr>
              <w:t>施工区域洒水降尘</w:t>
            </w:r>
            <w:r>
              <w:rPr>
                <w:rFonts w:hint="eastAsia" w:ascii="宋体" w:hAnsi="宋体" w:eastAsia="宋体" w:cs="宋体"/>
                <w:color w:val="auto"/>
                <w:sz w:val="24"/>
                <w:highlight w:val="none"/>
              </w:rPr>
              <w:t>，对周边环境影响较小。</w:t>
            </w:r>
          </w:p>
          <w:p w14:paraId="0CA1F4E8">
            <w:pPr>
              <w:keepNext w:val="0"/>
              <w:keepLines w:val="0"/>
              <w:suppressLineNumbers w:val="0"/>
              <w:adjustRightInd w:val="0"/>
              <w:snapToGrid w:val="0"/>
              <w:spacing w:before="0" w:beforeAutospacing="0" w:after="0" w:afterAutospacing="0" w:line="360" w:lineRule="auto"/>
              <w:ind w:left="0" w:right="0"/>
              <w:outlineLvl w:val="9"/>
              <w:rPr>
                <w:rFonts w:hint="eastAsia" w:ascii="宋体" w:hAnsi="宋体" w:eastAsia="宋体" w:cs="宋体"/>
                <w:b/>
                <w:bCs/>
                <w:color w:val="auto"/>
                <w:sz w:val="24"/>
              </w:rPr>
            </w:pPr>
            <w:r>
              <w:rPr>
                <w:rFonts w:hint="eastAsia" w:ascii="宋体" w:hAnsi="宋体" w:eastAsia="宋体" w:cs="宋体"/>
                <w:b/>
                <w:bCs/>
                <w:color w:val="auto"/>
                <w:sz w:val="24"/>
              </w:rPr>
              <w:t>4施工期噪声防治措施</w:t>
            </w:r>
          </w:p>
          <w:p w14:paraId="3BA8CAF7">
            <w:pPr>
              <w:keepNext w:val="0"/>
              <w:keepLines w:val="0"/>
              <w:widowControl/>
              <w:suppressLineNumbers w:val="0"/>
              <w:adjustRightInd w:val="0"/>
              <w:snapToGrid w:val="0"/>
              <w:spacing w:before="0" w:beforeAutospacing="0" w:after="0" w:afterAutospacing="0" w:line="360" w:lineRule="auto"/>
              <w:ind w:left="0" w:right="0"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施工期噪声主要为施工机械设备所产生的作业噪声，具有阶段性、临时性和不固定性等特点。本项目采取的噪声污染防治措施如下所示：</w:t>
            </w:r>
          </w:p>
          <w:p w14:paraId="1D51AFC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eastAsia" w:ascii="宋体" w:hAnsi="宋体" w:eastAsia="宋体" w:cs="宋体"/>
                <w:color w:val="auto"/>
                <w:sz w:val="24"/>
              </w:rPr>
            </w:pPr>
            <w:r>
              <w:rPr>
                <w:rFonts w:hint="eastAsia" w:ascii="宋体" w:hAnsi="宋体" w:cs="宋体"/>
                <w:color w:val="auto"/>
                <w:sz w:val="24"/>
                <w:lang w:eastAsia="zh-CN"/>
              </w:rPr>
              <w:t>（</w:t>
            </w:r>
            <w:r>
              <w:rPr>
                <w:rFonts w:hint="eastAsia" w:ascii="宋体" w:hAnsi="宋体" w:eastAsia="宋体" w:cs="宋体"/>
                <w:color w:val="auto"/>
                <w:sz w:val="24"/>
              </w:rPr>
              <w:t>1</w:t>
            </w:r>
            <w:r>
              <w:rPr>
                <w:rFonts w:hint="eastAsia" w:ascii="宋体" w:hAnsi="宋体" w:cs="宋体"/>
                <w:color w:val="auto"/>
                <w:sz w:val="24"/>
                <w:lang w:eastAsia="zh-CN"/>
              </w:rPr>
              <w:t>）</w:t>
            </w:r>
            <w:r>
              <w:rPr>
                <w:rFonts w:hint="eastAsia" w:ascii="宋体" w:hAnsi="宋体" w:eastAsia="宋体" w:cs="宋体"/>
                <w:color w:val="auto"/>
                <w:sz w:val="24"/>
              </w:rPr>
              <w:t>合理布置施工现场，避免在同一地点安排大量动力机械设备，以避免局部声级过高。</w:t>
            </w:r>
          </w:p>
          <w:p w14:paraId="127767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eastAsia" w:ascii="宋体" w:hAnsi="宋体" w:eastAsia="宋体" w:cs="宋体"/>
                <w:color w:val="auto"/>
                <w:sz w:val="24"/>
              </w:rPr>
            </w:pPr>
            <w:r>
              <w:rPr>
                <w:rFonts w:hint="eastAsia" w:ascii="宋体" w:hAnsi="宋体" w:cs="宋体"/>
                <w:color w:val="auto"/>
                <w:sz w:val="24"/>
                <w:lang w:eastAsia="zh-CN"/>
              </w:rPr>
              <w:t>（</w:t>
            </w:r>
            <w:r>
              <w:rPr>
                <w:rFonts w:hint="eastAsia" w:ascii="宋体" w:hAnsi="宋体" w:cs="宋体"/>
                <w:color w:val="auto"/>
                <w:sz w:val="24"/>
                <w:lang w:val="en-US" w:eastAsia="zh-CN"/>
              </w:rPr>
              <w:t>2）</w:t>
            </w:r>
            <w:r>
              <w:rPr>
                <w:rFonts w:hint="eastAsia" w:ascii="宋体" w:hAnsi="宋体" w:eastAsia="宋体" w:cs="宋体"/>
                <w:color w:val="auto"/>
                <w:sz w:val="24"/>
              </w:rPr>
              <w:t>积极采取各种噪声控制措施，如尽量采用低噪施工设备，以液压工具代替气压工具，严禁使用冲击式打桩机，选用静压式打桩机。对于高噪声设备应搭建隔声棚。</w:t>
            </w:r>
          </w:p>
          <w:p w14:paraId="36C1CC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eastAsia" w:ascii="宋体" w:hAnsi="宋体" w:eastAsia="宋体" w:cs="宋体"/>
                <w:color w:val="auto"/>
                <w:sz w:val="24"/>
              </w:rPr>
            </w:pPr>
            <w:r>
              <w:rPr>
                <w:rFonts w:hint="eastAsia" w:ascii="宋体" w:hAnsi="宋体" w:cs="宋体"/>
                <w:color w:val="auto"/>
                <w:sz w:val="24"/>
                <w:lang w:eastAsia="zh-CN"/>
              </w:rPr>
              <w:t>（</w:t>
            </w:r>
            <w:r>
              <w:rPr>
                <w:rFonts w:hint="eastAsia" w:ascii="宋体" w:hAnsi="宋体" w:cs="宋体"/>
                <w:color w:val="auto"/>
                <w:sz w:val="24"/>
                <w:lang w:val="en-US" w:eastAsia="zh-CN"/>
              </w:rPr>
              <w:t>3）</w:t>
            </w:r>
            <w:r>
              <w:rPr>
                <w:rFonts w:hint="eastAsia" w:ascii="宋体" w:hAnsi="宋体" w:eastAsia="宋体" w:cs="宋体"/>
                <w:color w:val="auto"/>
                <w:sz w:val="24"/>
              </w:rPr>
              <w:t>施工机械产生的噪声往往具有突发、无规则、不连续和高强度等特点，施工单位应采取合理安排施工机械操作时间的方法加以缓解，并减少同时作业的高噪施工机械数量，尽可能减轻声源叠加影响。</w:t>
            </w:r>
          </w:p>
          <w:p w14:paraId="3E43C4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eastAsia" w:ascii="宋体" w:hAnsi="宋体" w:eastAsia="宋体" w:cs="宋体"/>
                <w:color w:val="auto"/>
                <w:sz w:val="24"/>
              </w:rPr>
            </w:pPr>
            <w:r>
              <w:rPr>
                <w:rFonts w:hint="eastAsia" w:ascii="宋体" w:hAnsi="宋体" w:cs="宋体"/>
                <w:color w:val="auto"/>
                <w:sz w:val="24"/>
                <w:lang w:eastAsia="zh-CN"/>
              </w:rPr>
              <w:t>（</w:t>
            </w:r>
            <w:r>
              <w:rPr>
                <w:rFonts w:hint="eastAsia" w:ascii="宋体" w:hAnsi="宋体" w:cs="宋体"/>
                <w:color w:val="auto"/>
                <w:sz w:val="24"/>
                <w:lang w:val="en-US" w:eastAsia="zh-CN"/>
              </w:rPr>
              <w:t>4）</w:t>
            </w:r>
            <w:r>
              <w:rPr>
                <w:rFonts w:hint="eastAsia" w:ascii="宋体" w:hAnsi="宋体" w:eastAsia="宋体" w:cs="宋体"/>
                <w:color w:val="auto"/>
                <w:sz w:val="24"/>
              </w:rPr>
              <w:t>对于施工期间的材料运输、敲击、人的喊叫等噪声源，要求施工单位文明施工</w:t>
            </w:r>
            <w:r>
              <w:rPr>
                <w:rFonts w:hint="eastAsia" w:ascii="宋体" w:hAnsi="宋体" w:cs="宋体"/>
                <w:color w:val="auto"/>
                <w:sz w:val="24"/>
                <w:lang w:eastAsia="zh-CN"/>
              </w:rPr>
              <w:t>，</w:t>
            </w:r>
            <w:r>
              <w:rPr>
                <w:rFonts w:hint="eastAsia" w:ascii="宋体" w:hAnsi="宋体" w:eastAsia="宋体" w:cs="宋体"/>
                <w:color w:val="auto"/>
                <w:sz w:val="24"/>
              </w:rPr>
              <w:t>遵守作业规定，减少碰撞噪声，减少人为噪声</w:t>
            </w:r>
            <w:r>
              <w:rPr>
                <w:rFonts w:hint="eastAsia" w:ascii="宋体" w:hAnsi="宋体" w:cs="宋体"/>
                <w:color w:val="auto"/>
                <w:sz w:val="24"/>
                <w:lang w:eastAsia="zh-CN"/>
              </w:rPr>
              <w:t>，</w:t>
            </w:r>
            <w:r>
              <w:rPr>
                <w:rFonts w:hint="eastAsia" w:ascii="宋体" w:hAnsi="宋体" w:eastAsia="宋体" w:cs="宋体"/>
                <w:color w:val="auto"/>
                <w:sz w:val="24"/>
              </w:rPr>
              <w:t>加强有效管理以缓解其影响。</w:t>
            </w:r>
          </w:p>
          <w:p w14:paraId="7487F0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eastAsia" w:ascii="宋体" w:hAnsi="宋体" w:eastAsia="宋体" w:cs="宋体"/>
                <w:color w:val="auto"/>
                <w:sz w:val="24"/>
              </w:rPr>
            </w:pPr>
            <w:r>
              <w:rPr>
                <w:rFonts w:hint="eastAsia" w:ascii="宋体" w:hAnsi="宋体" w:cs="宋体"/>
                <w:color w:val="auto"/>
                <w:sz w:val="24"/>
                <w:lang w:eastAsia="zh-CN"/>
              </w:rPr>
              <w:t>（</w:t>
            </w:r>
            <w:r>
              <w:rPr>
                <w:rFonts w:hint="eastAsia" w:ascii="宋体" w:hAnsi="宋体" w:cs="宋体"/>
                <w:color w:val="auto"/>
                <w:sz w:val="24"/>
                <w:lang w:val="en-US" w:eastAsia="zh-CN"/>
              </w:rPr>
              <w:t>5）</w:t>
            </w:r>
            <w:r>
              <w:rPr>
                <w:rFonts w:hint="eastAsia" w:ascii="宋体" w:hAnsi="宋体" w:eastAsia="宋体" w:cs="宋体"/>
                <w:color w:val="auto"/>
                <w:sz w:val="24"/>
              </w:rPr>
              <w:t>优化施工车辆行车路线。</w:t>
            </w:r>
          </w:p>
          <w:p w14:paraId="0C2300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eastAsia" w:ascii="宋体" w:hAnsi="宋体" w:eastAsia="宋体" w:cs="宋体"/>
                <w:color w:val="auto"/>
                <w:sz w:val="24"/>
              </w:rPr>
            </w:pPr>
            <w:r>
              <w:rPr>
                <w:rFonts w:hint="eastAsia" w:ascii="宋体" w:hAnsi="宋体" w:eastAsia="宋体" w:cs="宋体"/>
                <w:color w:val="auto"/>
                <w:sz w:val="24"/>
              </w:rPr>
              <w:t>施工期环境噪声影响是短期的，随着施工期的结束而消失，受人为和自然条件的影响较大，因此应加强对施工现场管理，并采取有效的防护措施，则项目施工期噪声对环境影响较小。</w:t>
            </w:r>
          </w:p>
          <w:p w14:paraId="786C881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outlineLvl w:val="9"/>
              <w:rPr>
                <w:rFonts w:hint="eastAsia" w:ascii="宋体" w:hAnsi="宋体" w:eastAsia="宋体" w:cs="宋体"/>
                <w:b/>
                <w:bCs/>
                <w:color w:val="auto"/>
                <w:sz w:val="24"/>
              </w:rPr>
            </w:pPr>
            <w:r>
              <w:rPr>
                <w:rFonts w:hint="eastAsia" w:ascii="宋体" w:hAnsi="宋体" w:eastAsia="宋体" w:cs="宋体"/>
                <w:b/>
                <w:bCs/>
                <w:color w:val="auto"/>
                <w:sz w:val="24"/>
              </w:rPr>
              <w:t>5施工期固体废物防治措施</w:t>
            </w:r>
          </w:p>
          <w:p w14:paraId="39FF0239">
            <w:pPr>
              <w:keepNext w:val="0"/>
              <w:keepLines w:val="0"/>
              <w:widowControl/>
              <w:suppressLineNumbers w:val="0"/>
              <w:snapToGrid w:val="0"/>
              <w:spacing w:before="0" w:beforeAutospacing="0" w:after="0" w:afterAutospacing="0" w:line="360" w:lineRule="auto"/>
              <w:ind w:left="0" w:right="0" w:firstLine="480" w:firstLineChars="200"/>
              <w:jc w:val="left"/>
              <w:outlineLvl w:val="9"/>
              <w:rPr>
                <w:rFonts w:hint="eastAsia" w:ascii="宋体" w:hAnsi="宋体" w:eastAsia="宋体" w:cs="宋体"/>
                <w:b w:val="0"/>
                <w:bCs w:val="0"/>
                <w:color w:val="auto"/>
                <w:kern w:val="0"/>
                <w:sz w:val="24"/>
                <w:szCs w:val="24"/>
                <w:lang w:val="en-US" w:eastAsia="zh-CN" w:bidi="ar-SA"/>
              </w:rPr>
            </w:pPr>
            <w:r>
              <w:rPr>
                <w:rFonts w:hint="eastAsia" w:ascii="宋体" w:hAnsi="宋体" w:cs="宋体"/>
                <w:b w:val="0"/>
                <w:bCs w:val="0"/>
                <w:color w:val="auto"/>
                <w:kern w:val="0"/>
                <w:sz w:val="24"/>
                <w:szCs w:val="24"/>
                <w:lang w:val="en-US" w:eastAsia="zh-CN" w:bidi="ar-SA"/>
              </w:rPr>
              <w:t>（</w:t>
            </w:r>
            <w:r>
              <w:rPr>
                <w:rFonts w:hint="eastAsia" w:ascii="宋体" w:hAnsi="宋体" w:eastAsia="宋体" w:cs="宋体"/>
                <w:b w:val="0"/>
                <w:bCs w:val="0"/>
                <w:color w:val="auto"/>
                <w:kern w:val="0"/>
                <w:sz w:val="24"/>
                <w:szCs w:val="24"/>
                <w:lang w:val="en-US" w:eastAsia="zh-CN" w:bidi="ar-SA"/>
              </w:rPr>
              <w:t>1</w:t>
            </w:r>
            <w:r>
              <w:rPr>
                <w:rFonts w:hint="eastAsia" w:ascii="宋体" w:hAnsi="宋体" w:cs="宋体"/>
                <w:b w:val="0"/>
                <w:bCs w:val="0"/>
                <w:color w:val="auto"/>
                <w:kern w:val="0"/>
                <w:sz w:val="24"/>
                <w:szCs w:val="24"/>
                <w:lang w:val="en-US" w:eastAsia="zh-CN" w:bidi="ar-SA"/>
              </w:rPr>
              <w:t>）</w:t>
            </w:r>
            <w:r>
              <w:rPr>
                <w:rFonts w:hint="eastAsia" w:ascii="宋体" w:hAnsi="宋体" w:eastAsia="宋体" w:cs="宋体"/>
                <w:b w:val="0"/>
                <w:bCs w:val="0"/>
                <w:color w:val="auto"/>
                <w:kern w:val="0"/>
                <w:sz w:val="24"/>
                <w:szCs w:val="24"/>
                <w:lang w:val="en-US" w:eastAsia="zh-CN" w:bidi="ar-SA"/>
              </w:rPr>
              <w:t>设置生活垃圾箱，固定地堆放，收集后</w:t>
            </w:r>
            <w:r>
              <w:rPr>
                <w:rFonts w:hint="eastAsia" w:ascii="宋体" w:hAnsi="宋体" w:cs="宋体"/>
                <w:b w:val="0"/>
                <w:bCs w:val="0"/>
                <w:color w:val="auto"/>
                <w:kern w:val="0"/>
                <w:sz w:val="24"/>
                <w:szCs w:val="24"/>
                <w:lang w:val="en-US" w:eastAsia="zh-CN" w:bidi="ar-SA"/>
              </w:rPr>
              <w:t>委托环卫部门</w:t>
            </w:r>
            <w:r>
              <w:rPr>
                <w:rFonts w:hint="eastAsia" w:ascii="宋体" w:hAnsi="宋体" w:eastAsia="宋体" w:cs="宋体"/>
                <w:b w:val="0"/>
                <w:bCs w:val="0"/>
                <w:color w:val="auto"/>
                <w:kern w:val="0"/>
                <w:sz w:val="24"/>
                <w:szCs w:val="24"/>
                <w:lang w:val="en-US" w:eastAsia="zh-CN" w:bidi="ar-SA"/>
              </w:rPr>
              <w:t>统一</w:t>
            </w:r>
            <w:r>
              <w:rPr>
                <w:rFonts w:hint="eastAsia" w:ascii="宋体" w:hAnsi="宋体" w:cs="宋体"/>
                <w:b w:val="0"/>
                <w:bCs w:val="0"/>
                <w:color w:val="auto"/>
                <w:kern w:val="0"/>
                <w:sz w:val="24"/>
                <w:szCs w:val="24"/>
                <w:lang w:val="en-US" w:eastAsia="zh-CN" w:bidi="ar-SA"/>
              </w:rPr>
              <w:t>清</w:t>
            </w:r>
            <w:r>
              <w:rPr>
                <w:rFonts w:hint="eastAsia" w:ascii="宋体" w:hAnsi="宋体" w:eastAsia="宋体" w:cs="宋体"/>
                <w:b w:val="0"/>
                <w:bCs w:val="0"/>
                <w:color w:val="auto"/>
                <w:kern w:val="0"/>
                <w:sz w:val="24"/>
                <w:szCs w:val="24"/>
                <w:lang w:val="en-US" w:eastAsia="zh-CN" w:bidi="ar-SA"/>
              </w:rPr>
              <w:t>运至</w:t>
            </w:r>
            <w:r>
              <w:rPr>
                <w:rFonts w:hint="eastAsia" w:ascii="宋体" w:hAnsi="宋体" w:cs="宋体"/>
                <w:b w:val="0"/>
                <w:bCs w:val="0"/>
                <w:color w:val="auto"/>
                <w:kern w:val="0"/>
                <w:sz w:val="24"/>
                <w:szCs w:val="24"/>
                <w:lang w:val="en-US" w:eastAsia="zh-CN" w:bidi="ar-SA"/>
              </w:rPr>
              <w:t>鄯善县生活垃圾填埋场处置</w:t>
            </w:r>
            <w:r>
              <w:rPr>
                <w:rFonts w:hint="eastAsia" w:ascii="宋体" w:hAnsi="宋体" w:eastAsia="宋体" w:cs="宋体"/>
                <w:b w:val="0"/>
                <w:bCs w:val="0"/>
                <w:color w:val="auto"/>
                <w:kern w:val="0"/>
                <w:sz w:val="24"/>
                <w:szCs w:val="24"/>
                <w:lang w:val="en-US" w:eastAsia="zh-CN" w:bidi="ar-SA"/>
              </w:rPr>
              <w:t>，包装袋由施工单位统一回收，综合利用。</w:t>
            </w:r>
          </w:p>
          <w:p w14:paraId="2F599A2B">
            <w:pPr>
              <w:keepNext w:val="0"/>
              <w:keepLines w:val="0"/>
              <w:widowControl/>
              <w:suppressLineNumbers w:val="0"/>
              <w:snapToGrid w:val="0"/>
              <w:spacing w:before="0" w:beforeAutospacing="0" w:after="0" w:afterAutospacing="0" w:line="360" w:lineRule="auto"/>
              <w:ind w:left="0" w:right="0" w:firstLine="480" w:firstLineChars="200"/>
              <w:jc w:val="left"/>
              <w:outlineLvl w:val="9"/>
              <w:rPr>
                <w:rFonts w:hint="eastAsia" w:ascii="宋体" w:hAnsi="宋体" w:eastAsia="宋体" w:cs="宋体"/>
                <w:b w:val="0"/>
                <w:bCs w:val="0"/>
                <w:color w:val="auto"/>
                <w:kern w:val="0"/>
                <w:sz w:val="24"/>
                <w:szCs w:val="24"/>
                <w:lang w:val="en-US" w:eastAsia="zh-CN" w:bidi="ar-SA"/>
              </w:rPr>
            </w:pPr>
            <w:r>
              <w:rPr>
                <w:rFonts w:hint="eastAsia" w:ascii="宋体" w:hAnsi="宋体" w:cs="宋体"/>
                <w:b w:val="0"/>
                <w:bCs w:val="0"/>
                <w:color w:val="auto"/>
                <w:kern w:val="0"/>
                <w:sz w:val="24"/>
                <w:szCs w:val="24"/>
                <w:lang w:val="en-US" w:eastAsia="zh-CN" w:bidi="ar-SA"/>
              </w:rPr>
              <w:t>（</w:t>
            </w:r>
            <w:r>
              <w:rPr>
                <w:rFonts w:hint="eastAsia" w:ascii="宋体" w:hAnsi="宋体" w:eastAsia="宋体" w:cs="宋体"/>
                <w:b w:val="0"/>
                <w:bCs w:val="0"/>
                <w:color w:val="auto"/>
                <w:kern w:val="0"/>
                <w:sz w:val="24"/>
                <w:szCs w:val="24"/>
                <w:lang w:val="en-US" w:eastAsia="zh-CN" w:bidi="ar-SA"/>
              </w:rPr>
              <w:t>2</w:t>
            </w:r>
            <w:r>
              <w:rPr>
                <w:rFonts w:hint="eastAsia" w:ascii="宋体" w:hAnsi="宋体" w:cs="宋体"/>
                <w:b w:val="0"/>
                <w:bCs w:val="0"/>
                <w:color w:val="auto"/>
                <w:kern w:val="0"/>
                <w:sz w:val="24"/>
                <w:szCs w:val="24"/>
                <w:lang w:val="en-US" w:eastAsia="zh-CN" w:bidi="ar-SA"/>
              </w:rPr>
              <w:t>）</w:t>
            </w:r>
            <w:r>
              <w:rPr>
                <w:rFonts w:hint="eastAsia" w:ascii="宋体" w:hAnsi="宋体" w:eastAsia="宋体" w:cs="宋体"/>
                <w:b w:val="0"/>
                <w:bCs w:val="0"/>
                <w:color w:val="auto"/>
                <w:kern w:val="0"/>
                <w:sz w:val="24"/>
                <w:szCs w:val="24"/>
                <w:lang w:val="en-US" w:eastAsia="zh-CN" w:bidi="ar-SA"/>
              </w:rPr>
              <w:t>地基处理，开挖产生的土石方，要尽可能回填于场区地基。</w:t>
            </w:r>
          </w:p>
          <w:p w14:paraId="1FFFF7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eastAsia" w:ascii="宋体" w:hAnsi="宋体" w:eastAsia="宋体" w:cs="宋体"/>
                <w:b w:val="0"/>
                <w:bCs w:val="0"/>
                <w:color w:val="auto"/>
                <w:sz w:val="24"/>
              </w:rPr>
            </w:pPr>
            <w:r>
              <w:rPr>
                <w:rFonts w:hint="eastAsia" w:ascii="宋体" w:hAnsi="宋体" w:cs="宋体"/>
                <w:b w:val="0"/>
                <w:bCs w:val="0"/>
                <w:color w:val="auto"/>
                <w:sz w:val="24"/>
                <w:lang w:eastAsia="zh-CN"/>
              </w:rPr>
              <w:t>（</w:t>
            </w:r>
            <w:r>
              <w:rPr>
                <w:rFonts w:hint="eastAsia" w:ascii="宋体" w:hAnsi="宋体" w:eastAsia="宋体" w:cs="宋体"/>
                <w:b w:val="0"/>
                <w:bCs w:val="0"/>
                <w:color w:val="auto"/>
                <w:sz w:val="24"/>
              </w:rPr>
              <w:t>3</w:t>
            </w:r>
            <w:r>
              <w:rPr>
                <w:rFonts w:hint="eastAsia" w:ascii="宋体" w:hAnsi="宋体" w:cs="宋体"/>
                <w:b w:val="0"/>
                <w:bCs w:val="0"/>
                <w:color w:val="auto"/>
                <w:sz w:val="24"/>
                <w:lang w:eastAsia="zh-CN"/>
              </w:rPr>
              <w:t>）</w:t>
            </w:r>
            <w:r>
              <w:rPr>
                <w:rFonts w:hint="eastAsia" w:ascii="宋体" w:hAnsi="宋体" w:eastAsia="宋体" w:cs="宋体"/>
                <w:b w:val="0"/>
                <w:bCs w:val="0"/>
                <w:color w:val="auto"/>
                <w:sz w:val="24"/>
              </w:rPr>
              <w:t>施工期建筑垃圾与生活垃圾应分类堆放，分别处置，严禁乱堆乱倒。</w:t>
            </w:r>
          </w:p>
          <w:p w14:paraId="7983748A">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4</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车辆运输散体物料和废物时，应加盖篷布，防止沿途漏撒；运载车辆在规定的时间内，按指定路段行驶，尽量集中并避开暴雨期。</w:t>
            </w:r>
          </w:p>
          <w:p w14:paraId="211BA2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lang w:val="en-US" w:eastAsia="zh-CN" w:bidi="ar-SA"/>
              </w:rPr>
              <w:t>本项目施工期各固体废弃物均得到了合理处置，不会造成周边环境的污染。</w:t>
            </w:r>
          </w:p>
          <w:p w14:paraId="2F759A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outlineLvl w:val="9"/>
              <w:rPr>
                <w:rFonts w:hint="eastAsia" w:ascii="宋体" w:hAnsi="宋体" w:eastAsia="宋体" w:cs="宋体"/>
                <w:b/>
                <w:bCs/>
                <w:color w:val="auto"/>
                <w:sz w:val="24"/>
              </w:rPr>
            </w:pPr>
            <w:r>
              <w:rPr>
                <w:rFonts w:hint="eastAsia" w:ascii="宋体" w:hAnsi="宋体" w:eastAsia="宋体" w:cs="宋体"/>
                <w:b/>
                <w:bCs/>
                <w:color w:val="auto"/>
                <w:sz w:val="24"/>
                <w:lang w:val="en-US" w:eastAsia="zh-CN"/>
              </w:rPr>
              <w:t>6</w:t>
            </w:r>
            <w:r>
              <w:rPr>
                <w:rFonts w:hint="eastAsia" w:ascii="宋体" w:hAnsi="宋体" w:eastAsia="宋体" w:cs="宋体"/>
                <w:b/>
                <w:bCs/>
                <w:color w:val="auto"/>
                <w:sz w:val="24"/>
              </w:rPr>
              <w:t>施工期生态环境保护措施及预期效果</w:t>
            </w:r>
          </w:p>
          <w:p w14:paraId="07AF2653">
            <w:pPr>
              <w:keepNext w:val="0"/>
              <w:keepLines w:val="0"/>
              <w:suppressLineNumbers w:val="0"/>
              <w:adjustRightInd w:val="0"/>
              <w:snapToGrid w:val="0"/>
              <w:spacing w:before="0" w:beforeAutospacing="0" w:after="0" w:afterAutospacing="0" w:line="360" w:lineRule="auto"/>
              <w:ind w:left="0" w:right="0" w:firstLine="480" w:firstLineChars="200"/>
              <w:jc w:val="left"/>
              <w:outlineLvl w:val="9"/>
              <w:rPr>
                <w:rFonts w:hint="eastAsia" w:ascii="宋体" w:hAnsi="宋体" w:eastAsia="宋体" w:cs="宋体"/>
                <w:color w:val="auto"/>
                <w:sz w:val="24"/>
              </w:rPr>
            </w:pPr>
            <w:r>
              <w:rPr>
                <w:rFonts w:hint="eastAsia" w:ascii="宋体" w:hAnsi="宋体" w:eastAsia="宋体" w:cs="宋体"/>
                <w:color w:val="auto"/>
                <w:sz w:val="24"/>
              </w:rPr>
              <w:t>本项目施工期主要生态环境保护措施及预期效果详见表5-1。</w:t>
            </w:r>
          </w:p>
          <w:p w14:paraId="519516E2">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b/>
                <w:color w:val="auto"/>
                <w:sz w:val="24"/>
                <w:highlight w:val="yellow"/>
              </w:rPr>
            </w:pPr>
            <w:r>
              <w:rPr>
                <w:rFonts w:hint="eastAsia" w:ascii="宋体" w:hAnsi="宋体" w:eastAsia="宋体" w:cs="宋体"/>
                <w:b/>
                <w:color w:val="auto"/>
                <w:sz w:val="24"/>
                <w:highlight w:val="none"/>
              </w:rPr>
              <w:t>表5-1</w:t>
            </w:r>
            <w:r>
              <w:rPr>
                <w:rFonts w:hint="eastAsia" w:ascii="宋体" w:hAnsi="宋体" w:cs="宋体"/>
                <w:b/>
                <w:color w:val="auto"/>
                <w:sz w:val="24"/>
                <w:highlight w:val="none"/>
                <w:lang w:val="en-US" w:eastAsia="zh-CN"/>
              </w:rPr>
              <w:t xml:space="preserve">    </w:t>
            </w:r>
            <w:r>
              <w:rPr>
                <w:rFonts w:hint="eastAsia" w:ascii="宋体" w:hAnsi="宋体" w:eastAsia="宋体" w:cs="宋体"/>
                <w:b/>
                <w:color w:val="auto"/>
                <w:sz w:val="24"/>
                <w:highlight w:val="none"/>
              </w:rPr>
              <w:t>施工期生态环境保护措施及预期效果一览表</w:t>
            </w:r>
          </w:p>
          <w:tbl>
            <w:tblPr>
              <w:tblStyle w:val="32"/>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1"/>
              <w:gridCol w:w="2275"/>
              <w:gridCol w:w="642"/>
              <w:gridCol w:w="764"/>
              <w:gridCol w:w="756"/>
              <w:gridCol w:w="1264"/>
              <w:gridCol w:w="1542"/>
            </w:tblGrid>
            <w:tr w14:paraId="603E6E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noWrap w:val="0"/>
                  <w:vAlign w:val="center"/>
                </w:tcPr>
                <w:p w14:paraId="580A4D3B">
                  <w:pPr>
                    <w:keepNext w:val="0"/>
                    <w:keepLines w:val="0"/>
                    <w:suppressLineNumbers w:val="0"/>
                    <w:snapToGrid w:val="0"/>
                    <w:spacing w:before="0" w:beforeAutospacing="0" w:after="0" w:afterAutospacing="0" w:line="240" w:lineRule="auto"/>
                    <w:ind w:left="0" w:right="0"/>
                    <w:jc w:val="center"/>
                    <w:rPr>
                      <w:rFonts w:hint="eastAsia" w:hAnsi="宋体" w:cs="宋体"/>
                      <w:b/>
                      <w:bCs w:val="0"/>
                      <w:color w:val="auto"/>
                      <w:kern w:val="0"/>
                      <w:sz w:val="21"/>
                      <w:szCs w:val="21"/>
                    </w:rPr>
                  </w:pPr>
                  <w:r>
                    <w:rPr>
                      <w:rFonts w:hint="eastAsia" w:hAnsi="宋体" w:cs="宋体"/>
                      <w:b/>
                      <w:bCs w:val="0"/>
                      <w:color w:val="auto"/>
                      <w:kern w:val="0"/>
                      <w:sz w:val="21"/>
                      <w:szCs w:val="21"/>
                    </w:rPr>
                    <w:t>序号</w:t>
                  </w:r>
                </w:p>
              </w:tc>
              <w:tc>
                <w:tcPr>
                  <w:tcW w:w="1482" w:type="pct"/>
                  <w:noWrap w:val="0"/>
                  <w:vAlign w:val="center"/>
                </w:tcPr>
                <w:p w14:paraId="228FF3F1">
                  <w:pPr>
                    <w:keepNext w:val="0"/>
                    <w:keepLines w:val="0"/>
                    <w:suppressLineNumbers w:val="0"/>
                    <w:snapToGrid w:val="0"/>
                    <w:spacing w:before="0" w:beforeAutospacing="0" w:after="0" w:afterAutospacing="0" w:line="240" w:lineRule="auto"/>
                    <w:ind w:left="0" w:right="0"/>
                    <w:jc w:val="center"/>
                    <w:rPr>
                      <w:rFonts w:hint="eastAsia" w:hAnsi="宋体" w:cs="宋体"/>
                      <w:b/>
                      <w:bCs w:val="0"/>
                      <w:color w:val="auto"/>
                      <w:kern w:val="0"/>
                      <w:sz w:val="21"/>
                      <w:szCs w:val="21"/>
                    </w:rPr>
                  </w:pPr>
                  <w:r>
                    <w:rPr>
                      <w:rFonts w:hint="eastAsia" w:hAnsi="宋体" w:cs="宋体"/>
                      <w:b/>
                      <w:bCs w:val="0"/>
                      <w:color w:val="auto"/>
                      <w:kern w:val="0"/>
                      <w:sz w:val="21"/>
                      <w:szCs w:val="21"/>
                    </w:rPr>
                    <w:t>生态保护措施要求</w:t>
                  </w:r>
                </w:p>
              </w:tc>
              <w:tc>
                <w:tcPr>
                  <w:tcW w:w="418" w:type="pct"/>
                  <w:noWrap w:val="0"/>
                  <w:vAlign w:val="center"/>
                </w:tcPr>
                <w:p w14:paraId="06FC68B0">
                  <w:pPr>
                    <w:keepNext w:val="0"/>
                    <w:keepLines w:val="0"/>
                    <w:suppressLineNumbers w:val="0"/>
                    <w:snapToGrid w:val="0"/>
                    <w:spacing w:before="0" w:beforeAutospacing="0" w:after="0" w:afterAutospacing="0" w:line="240" w:lineRule="auto"/>
                    <w:ind w:left="0" w:right="0"/>
                    <w:jc w:val="center"/>
                    <w:rPr>
                      <w:rFonts w:hint="eastAsia" w:hAnsi="宋体" w:cs="宋体"/>
                      <w:b/>
                      <w:bCs w:val="0"/>
                      <w:color w:val="auto"/>
                      <w:kern w:val="0"/>
                      <w:sz w:val="21"/>
                      <w:szCs w:val="21"/>
                    </w:rPr>
                  </w:pPr>
                  <w:r>
                    <w:rPr>
                      <w:rFonts w:hint="eastAsia" w:hAnsi="宋体" w:cs="宋体"/>
                      <w:b/>
                      <w:bCs w:val="0"/>
                      <w:color w:val="auto"/>
                      <w:kern w:val="0"/>
                      <w:sz w:val="21"/>
                      <w:szCs w:val="21"/>
                    </w:rPr>
                    <w:t>实施</w:t>
                  </w:r>
                </w:p>
                <w:p w14:paraId="65196D1A">
                  <w:pPr>
                    <w:keepNext w:val="0"/>
                    <w:keepLines w:val="0"/>
                    <w:suppressLineNumbers w:val="0"/>
                    <w:snapToGrid w:val="0"/>
                    <w:spacing w:before="0" w:beforeAutospacing="0" w:after="0" w:afterAutospacing="0" w:line="240" w:lineRule="auto"/>
                    <w:ind w:left="0" w:right="0"/>
                    <w:jc w:val="center"/>
                    <w:rPr>
                      <w:rFonts w:hint="eastAsia" w:hAnsi="宋体" w:cs="宋体"/>
                      <w:b/>
                      <w:bCs w:val="0"/>
                      <w:color w:val="auto"/>
                      <w:kern w:val="0"/>
                      <w:sz w:val="21"/>
                      <w:szCs w:val="21"/>
                    </w:rPr>
                  </w:pPr>
                  <w:r>
                    <w:rPr>
                      <w:rFonts w:hint="eastAsia" w:hAnsi="宋体" w:cs="宋体"/>
                      <w:b/>
                      <w:bCs w:val="0"/>
                      <w:color w:val="auto"/>
                      <w:kern w:val="0"/>
                      <w:sz w:val="21"/>
                      <w:szCs w:val="21"/>
                    </w:rPr>
                    <w:t>部位</w:t>
                  </w:r>
                </w:p>
              </w:tc>
              <w:tc>
                <w:tcPr>
                  <w:tcW w:w="497" w:type="pct"/>
                  <w:noWrap w:val="0"/>
                  <w:vAlign w:val="center"/>
                </w:tcPr>
                <w:p w14:paraId="5822E898">
                  <w:pPr>
                    <w:keepNext w:val="0"/>
                    <w:keepLines w:val="0"/>
                    <w:suppressLineNumbers w:val="0"/>
                    <w:snapToGrid w:val="0"/>
                    <w:spacing w:before="0" w:beforeAutospacing="0" w:after="0" w:afterAutospacing="0" w:line="240" w:lineRule="auto"/>
                    <w:ind w:left="0" w:right="0"/>
                    <w:jc w:val="center"/>
                    <w:rPr>
                      <w:rFonts w:hint="eastAsia" w:hAnsi="宋体" w:cs="宋体"/>
                      <w:b/>
                      <w:bCs w:val="0"/>
                      <w:color w:val="auto"/>
                      <w:kern w:val="0"/>
                      <w:sz w:val="21"/>
                      <w:szCs w:val="21"/>
                    </w:rPr>
                  </w:pPr>
                  <w:r>
                    <w:rPr>
                      <w:rFonts w:hint="eastAsia" w:hAnsi="宋体" w:cs="宋体"/>
                      <w:b/>
                      <w:bCs w:val="0"/>
                      <w:color w:val="auto"/>
                      <w:kern w:val="0"/>
                      <w:sz w:val="21"/>
                      <w:szCs w:val="21"/>
                    </w:rPr>
                    <w:t>实施</w:t>
                  </w:r>
                </w:p>
                <w:p w14:paraId="1BF2AE66">
                  <w:pPr>
                    <w:keepNext w:val="0"/>
                    <w:keepLines w:val="0"/>
                    <w:suppressLineNumbers w:val="0"/>
                    <w:snapToGrid w:val="0"/>
                    <w:spacing w:before="0" w:beforeAutospacing="0" w:after="0" w:afterAutospacing="0" w:line="240" w:lineRule="auto"/>
                    <w:ind w:left="0" w:right="0"/>
                    <w:jc w:val="center"/>
                    <w:rPr>
                      <w:rFonts w:hint="eastAsia" w:hAnsi="宋体" w:cs="宋体"/>
                      <w:b/>
                      <w:bCs w:val="0"/>
                      <w:color w:val="auto"/>
                      <w:kern w:val="0"/>
                      <w:sz w:val="21"/>
                      <w:szCs w:val="21"/>
                    </w:rPr>
                  </w:pPr>
                  <w:r>
                    <w:rPr>
                      <w:rFonts w:hint="eastAsia" w:hAnsi="宋体" w:cs="宋体"/>
                      <w:b/>
                      <w:bCs w:val="0"/>
                      <w:color w:val="auto"/>
                      <w:kern w:val="0"/>
                      <w:sz w:val="21"/>
                      <w:szCs w:val="21"/>
                    </w:rPr>
                    <w:t>时间</w:t>
                  </w:r>
                </w:p>
              </w:tc>
              <w:tc>
                <w:tcPr>
                  <w:tcW w:w="492" w:type="pct"/>
                  <w:noWrap w:val="0"/>
                  <w:vAlign w:val="center"/>
                </w:tcPr>
                <w:p w14:paraId="3B3FE96E">
                  <w:pPr>
                    <w:keepNext w:val="0"/>
                    <w:keepLines w:val="0"/>
                    <w:suppressLineNumbers w:val="0"/>
                    <w:snapToGrid w:val="0"/>
                    <w:spacing w:before="0" w:beforeAutospacing="0" w:after="0" w:afterAutospacing="0" w:line="240" w:lineRule="auto"/>
                    <w:ind w:left="0" w:right="0"/>
                    <w:jc w:val="center"/>
                    <w:rPr>
                      <w:rFonts w:hint="eastAsia" w:hAnsi="宋体" w:cs="宋体"/>
                      <w:b/>
                      <w:bCs w:val="0"/>
                      <w:color w:val="auto"/>
                      <w:kern w:val="0"/>
                      <w:sz w:val="21"/>
                      <w:szCs w:val="21"/>
                    </w:rPr>
                  </w:pPr>
                  <w:r>
                    <w:rPr>
                      <w:rFonts w:hint="eastAsia" w:hAnsi="宋体" w:cs="宋体"/>
                      <w:b/>
                      <w:bCs w:val="0"/>
                      <w:color w:val="auto"/>
                      <w:kern w:val="0"/>
                      <w:sz w:val="21"/>
                      <w:szCs w:val="21"/>
                    </w:rPr>
                    <w:t>责任主体</w:t>
                  </w:r>
                </w:p>
              </w:tc>
              <w:tc>
                <w:tcPr>
                  <w:tcW w:w="823" w:type="pct"/>
                  <w:noWrap w:val="0"/>
                  <w:vAlign w:val="center"/>
                </w:tcPr>
                <w:p w14:paraId="25404BAB">
                  <w:pPr>
                    <w:keepNext w:val="0"/>
                    <w:keepLines w:val="0"/>
                    <w:suppressLineNumbers w:val="0"/>
                    <w:snapToGrid w:val="0"/>
                    <w:spacing w:before="0" w:beforeAutospacing="0" w:after="0" w:afterAutospacing="0" w:line="240" w:lineRule="auto"/>
                    <w:ind w:left="0" w:right="0"/>
                    <w:jc w:val="center"/>
                    <w:rPr>
                      <w:rFonts w:hint="eastAsia" w:hAnsi="宋体" w:cs="宋体"/>
                      <w:b/>
                      <w:bCs w:val="0"/>
                      <w:color w:val="auto"/>
                      <w:kern w:val="0"/>
                      <w:sz w:val="21"/>
                      <w:szCs w:val="21"/>
                    </w:rPr>
                  </w:pPr>
                  <w:r>
                    <w:rPr>
                      <w:rFonts w:hint="eastAsia" w:hAnsi="宋体" w:cs="宋体"/>
                      <w:b/>
                      <w:bCs w:val="0"/>
                      <w:color w:val="auto"/>
                      <w:kern w:val="0"/>
                      <w:sz w:val="21"/>
                      <w:szCs w:val="21"/>
                    </w:rPr>
                    <w:t>实施保障</w:t>
                  </w:r>
                </w:p>
              </w:tc>
              <w:tc>
                <w:tcPr>
                  <w:tcW w:w="1004" w:type="pct"/>
                  <w:noWrap w:val="0"/>
                  <w:vAlign w:val="center"/>
                </w:tcPr>
                <w:p w14:paraId="440C724D">
                  <w:pPr>
                    <w:keepNext w:val="0"/>
                    <w:keepLines w:val="0"/>
                    <w:suppressLineNumbers w:val="0"/>
                    <w:snapToGrid w:val="0"/>
                    <w:spacing w:before="0" w:beforeAutospacing="0" w:after="0" w:afterAutospacing="0" w:line="240" w:lineRule="auto"/>
                    <w:ind w:left="0" w:right="0"/>
                    <w:jc w:val="center"/>
                    <w:rPr>
                      <w:rFonts w:hint="eastAsia" w:hAnsi="宋体" w:cs="宋体"/>
                      <w:b/>
                      <w:bCs w:val="0"/>
                      <w:color w:val="auto"/>
                      <w:kern w:val="0"/>
                      <w:sz w:val="21"/>
                      <w:szCs w:val="21"/>
                    </w:rPr>
                  </w:pPr>
                  <w:r>
                    <w:rPr>
                      <w:rFonts w:hint="eastAsia" w:hAnsi="宋体" w:cs="宋体"/>
                      <w:b/>
                      <w:bCs w:val="0"/>
                      <w:color w:val="auto"/>
                      <w:kern w:val="0"/>
                      <w:sz w:val="21"/>
                      <w:szCs w:val="21"/>
                    </w:rPr>
                    <w:t>实施效果</w:t>
                  </w:r>
                </w:p>
              </w:tc>
            </w:tr>
            <w:tr w14:paraId="312478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noWrap w:val="0"/>
                  <w:vAlign w:val="center"/>
                </w:tcPr>
                <w:p w14:paraId="27AC58D2">
                  <w:pPr>
                    <w:keepNext w:val="0"/>
                    <w:keepLines w:val="0"/>
                    <w:suppressLineNumbers w:val="0"/>
                    <w:snapToGrid w:val="0"/>
                    <w:spacing w:before="0" w:beforeAutospacing="0" w:after="0" w:afterAutospacing="0" w:line="240" w:lineRule="auto"/>
                    <w:ind w:left="0" w:right="0"/>
                    <w:jc w:val="center"/>
                    <w:rPr>
                      <w:rFonts w:hint="eastAsia" w:hAnsi="宋体" w:cs="宋体"/>
                      <w:bCs/>
                      <w:color w:val="auto"/>
                      <w:kern w:val="0"/>
                      <w:sz w:val="21"/>
                      <w:szCs w:val="21"/>
                    </w:rPr>
                  </w:pPr>
                  <w:r>
                    <w:rPr>
                      <w:rFonts w:hint="eastAsia" w:hAnsi="宋体" w:cs="宋体"/>
                      <w:bCs/>
                      <w:color w:val="auto"/>
                      <w:kern w:val="0"/>
                      <w:sz w:val="21"/>
                      <w:szCs w:val="21"/>
                    </w:rPr>
                    <w:t>1</w:t>
                  </w:r>
                </w:p>
              </w:tc>
              <w:tc>
                <w:tcPr>
                  <w:tcW w:w="1482" w:type="pct"/>
                  <w:noWrap w:val="0"/>
                  <w:vAlign w:val="center"/>
                </w:tcPr>
                <w:p w14:paraId="28E153FE">
                  <w:pPr>
                    <w:keepNext w:val="0"/>
                    <w:keepLines w:val="0"/>
                    <w:suppressLineNumbers w:val="0"/>
                    <w:snapToGrid w:val="0"/>
                    <w:spacing w:before="0" w:beforeAutospacing="0" w:after="0" w:afterAutospacing="0" w:line="240" w:lineRule="auto"/>
                    <w:ind w:left="0" w:right="0"/>
                    <w:rPr>
                      <w:rFonts w:hint="eastAsia" w:hAnsi="宋体" w:cs="宋体"/>
                      <w:bCs/>
                      <w:color w:val="auto"/>
                      <w:kern w:val="0"/>
                      <w:sz w:val="21"/>
                      <w:szCs w:val="21"/>
                    </w:rPr>
                  </w:pPr>
                  <w:r>
                    <w:rPr>
                      <w:rFonts w:hint="eastAsia" w:hAnsi="宋体" w:cs="宋体"/>
                      <w:bCs/>
                      <w:color w:val="auto"/>
                      <w:sz w:val="21"/>
                      <w:szCs w:val="21"/>
                    </w:rPr>
                    <w:t>及时办理土地征用手续。</w:t>
                  </w:r>
                </w:p>
              </w:tc>
              <w:tc>
                <w:tcPr>
                  <w:tcW w:w="418" w:type="pct"/>
                  <w:vMerge w:val="restart"/>
                  <w:noWrap w:val="0"/>
                  <w:vAlign w:val="center"/>
                </w:tcPr>
                <w:p w14:paraId="420C6303">
                  <w:pPr>
                    <w:keepNext w:val="0"/>
                    <w:keepLines w:val="0"/>
                    <w:suppressLineNumbers w:val="0"/>
                    <w:snapToGrid w:val="0"/>
                    <w:spacing w:before="0" w:beforeAutospacing="0" w:after="0" w:afterAutospacing="0" w:line="240" w:lineRule="auto"/>
                    <w:ind w:left="0" w:right="0"/>
                    <w:jc w:val="center"/>
                    <w:rPr>
                      <w:rFonts w:hint="eastAsia" w:hAnsi="宋体" w:cs="宋体"/>
                      <w:bCs/>
                      <w:color w:val="auto"/>
                      <w:kern w:val="0"/>
                      <w:sz w:val="21"/>
                      <w:szCs w:val="21"/>
                    </w:rPr>
                  </w:pPr>
                  <w:r>
                    <w:rPr>
                      <w:rFonts w:hint="eastAsia" w:hAnsi="宋体" w:cs="宋体"/>
                      <w:bCs/>
                      <w:color w:val="auto"/>
                      <w:kern w:val="0"/>
                      <w:sz w:val="21"/>
                      <w:szCs w:val="21"/>
                    </w:rPr>
                    <w:t>项目施工场所、区域</w:t>
                  </w:r>
                </w:p>
              </w:tc>
              <w:tc>
                <w:tcPr>
                  <w:tcW w:w="497" w:type="pct"/>
                  <w:noWrap w:val="0"/>
                  <w:vAlign w:val="center"/>
                </w:tcPr>
                <w:p w14:paraId="68BCD389">
                  <w:pPr>
                    <w:keepNext w:val="0"/>
                    <w:keepLines w:val="0"/>
                    <w:suppressLineNumbers w:val="0"/>
                    <w:snapToGrid w:val="0"/>
                    <w:spacing w:before="0" w:beforeAutospacing="0" w:after="0" w:afterAutospacing="0" w:line="240" w:lineRule="auto"/>
                    <w:ind w:left="0" w:right="0"/>
                    <w:jc w:val="center"/>
                    <w:rPr>
                      <w:rFonts w:hint="eastAsia" w:hAnsi="宋体" w:cs="宋体"/>
                      <w:bCs/>
                      <w:color w:val="auto"/>
                      <w:kern w:val="0"/>
                      <w:sz w:val="21"/>
                      <w:szCs w:val="21"/>
                    </w:rPr>
                  </w:pPr>
                  <w:r>
                    <w:rPr>
                      <w:rFonts w:hint="eastAsia" w:hAnsi="宋体" w:cs="宋体"/>
                      <w:bCs/>
                      <w:color w:val="auto"/>
                      <w:kern w:val="0"/>
                      <w:sz w:val="21"/>
                      <w:szCs w:val="21"/>
                    </w:rPr>
                    <w:t>开工前</w:t>
                  </w:r>
                </w:p>
              </w:tc>
              <w:tc>
                <w:tcPr>
                  <w:tcW w:w="492" w:type="pct"/>
                  <w:noWrap w:val="0"/>
                  <w:vAlign w:val="center"/>
                </w:tcPr>
                <w:p w14:paraId="2625BD48">
                  <w:pPr>
                    <w:keepNext w:val="0"/>
                    <w:keepLines w:val="0"/>
                    <w:suppressLineNumbers w:val="0"/>
                    <w:snapToGrid w:val="0"/>
                    <w:spacing w:before="0" w:beforeAutospacing="0" w:after="0" w:afterAutospacing="0" w:line="240" w:lineRule="auto"/>
                    <w:ind w:left="0" w:right="0"/>
                    <w:jc w:val="center"/>
                    <w:rPr>
                      <w:rFonts w:hint="eastAsia" w:hAnsi="宋体" w:cs="宋体"/>
                      <w:bCs/>
                      <w:color w:val="auto"/>
                      <w:kern w:val="0"/>
                      <w:sz w:val="21"/>
                      <w:szCs w:val="21"/>
                    </w:rPr>
                  </w:pPr>
                  <w:r>
                    <w:rPr>
                      <w:rFonts w:hint="eastAsia" w:hAnsi="宋体" w:cs="宋体"/>
                      <w:bCs/>
                      <w:color w:val="auto"/>
                      <w:kern w:val="0"/>
                      <w:sz w:val="21"/>
                      <w:szCs w:val="21"/>
                    </w:rPr>
                    <w:t>建设单位</w:t>
                  </w:r>
                </w:p>
              </w:tc>
              <w:tc>
                <w:tcPr>
                  <w:tcW w:w="823" w:type="pct"/>
                  <w:vMerge w:val="restart"/>
                  <w:noWrap w:val="0"/>
                  <w:vAlign w:val="center"/>
                </w:tcPr>
                <w:p w14:paraId="6F58FE31">
                  <w:pPr>
                    <w:keepNext w:val="0"/>
                    <w:keepLines w:val="0"/>
                    <w:suppressLineNumbers w:val="0"/>
                    <w:snapToGrid w:val="0"/>
                    <w:spacing w:before="0" w:beforeAutospacing="0" w:after="0" w:afterAutospacing="0" w:line="240" w:lineRule="auto"/>
                    <w:ind w:left="0" w:right="0"/>
                    <w:rPr>
                      <w:rFonts w:hint="eastAsia" w:hAnsi="宋体" w:cs="宋体"/>
                      <w:bCs/>
                      <w:color w:val="auto"/>
                      <w:kern w:val="0"/>
                      <w:sz w:val="21"/>
                      <w:szCs w:val="21"/>
                    </w:rPr>
                  </w:pPr>
                  <w:r>
                    <w:rPr>
                      <w:rFonts w:hint="eastAsia" w:hAnsi="宋体" w:cs="宋体"/>
                      <w:bCs/>
                      <w:color w:val="auto"/>
                      <w:kern w:val="0"/>
                      <w:sz w:val="21"/>
                      <w:szCs w:val="21"/>
                    </w:rPr>
                    <w:t>①建立环境管理机构，配备专职或兼职环保管理人员；</w:t>
                  </w:r>
                </w:p>
                <w:p w14:paraId="46040C32">
                  <w:pPr>
                    <w:keepNext w:val="0"/>
                    <w:keepLines w:val="0"/>
                    <w:suppressLineNumbers w:val="0"/>
                    <w:snapToGrid w:val="0"/>
                    <w:spacing w:before="0" w:beforeAutospacing="0" w:after="0" w:afterAutospacing="0" w:line="240" w:lineRule="auto"/>
                    <w:ind w:left="0" w:right="0"/>
                    <w:rPr>
                      <w:rFonts w:hint="eastAsia" w:hAnsi="宋体" w:cs="宋体"/>
                      <w:bCs/>
                      <w:color w:val="auto"/>
                      <w:kern w:val="0"/>
                      <w:sz w:val="21"/>
                      <w:szCs w:val="21"/>
                    </w:rPr>
                  </w:pPr>
                  <w:r>
                    <w:rPr>
                      <w:rFonts w:hint="eastAsia" w:hAnsi="宋体" w:cs="宋体"/>
                      <w:bCs/>
                      <w:color w:val="auto"/>
                      <w:kern w:val="0"/>
                      <w:sz w:val="21"/>
                      <w:szCs w:val="21"/>
                    </w:rPr>
                    <w:t>②制定相关方环境管理条例、质量管理规定；</w:t>
                  </w:r>
                </w:p>
                <w:p w14:paraId="244E1111">
                  <w:pPr>
                    <w:keepNext w:val="0"/>
                    <w:keepLines w:val="0"/>
                    <w:suppressLineNumbers w:val="0"/>
                    <w:snapToGrid w:val="0"/>
                    <w:spacing w:before="0" w:beforeAutospacing="0" w:after="0" w:afterAutospacing="0" w:line="240" w:lineRule="auto"/>
                    <w:ind w:left="0" w:right="0"/>
                    <w:rPr>
                      <w:rFonts w:hint="eastAsia" w:hAnsi="宋体" w:cs="宋体"/>
                      <w:bCs/>
                      <w:color w:val="auto"/>
                      <w:kern w:val="0"/>
                      <w:sz w:val="21"/>
                      <w:szCs w:val="21"/>
                    </w:rPr>
                  </w:pPr>
                  <w:r>
                    <w:rPr>
                      <w:rFonts w:hint="eastAsia" w:hAnsi="宋体" w:cs="宋体"/>
                      <w:bCs/>
                      <w:color w:val="auto"/>
                      <w:kern w:val="0"/>
                      <w:sz w:val="21"/>
                      <w:szCs w:val="21"/>
                    </w:rPr>
                    <w:t>③加强环境监理，开展经常性检查、监督，发现问题及时解决、纠正。</w:t>
                  </w:r>
                </w:p>
              </w:tc>
              <w:tc>
                <w:tcPr>
                  <w:tcW w:w="1004" w:type="pct"/>
                  <w:noWrap w:val="0"/>
                  <w:vAlign w:val="center"/>
                </w:tcPr>
                <w:p w14:paraId="50D8F6D9">
                  <w:pPr>
                    <w:keepNext w:val="0"/>
                    <w:keepLines w:val="0"/>
                    <w:suppressLineNumbers w:val="0"/>
                    <w:snapToGrid w:val="0"/>
                    <w:spacing w:before="0" w:beforeAutospacing="0" w:after="0" w:afterAutospacing="0" w:line="240" w:lineRule="auto"/>
                    <w:ind w:left="0" w:right="0"/>
                    <w:rPr>
                      <w:rFonts w:hint="eastAsia" w:hAnsi="宋体" w:cs="宋体"/>
                      <w:bCs/>
                      <w:color w:val="auto"/>
                      <w:kern w:val="0"/>
                      <w:sz w:val="21"/>
                      <w:szCs w:val="21"/>
                    </w:rPr>
                  </w:pPr>
                  <w:r>
                    <w:rPr>
                      <w:rFonts w:hint="eastAsia" w:hAnsi="宋体" w:cs="宋体"/>
                      <w:bCs/>
                      <w:color w:val="auto"/>
                      <w:kern w:val="0"/>
                      <w:sz w:val="21"/>
                      <w:szCs w:val="21"/>
                    </w:rPr>
                    <w:t>取得征地手续。</w:t>
                  </w:r>
                </w:p>
              </w:tc>
            </w:tr>
            <w:tr w14:paraId="4F721F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noWrap w:val="0"/>
                  <w:vAlign w:val="center"/>
                </w:tcPr>
                <w:p w14:paraId="7BD20DC3">
                  <w:pPr>
                    <w:keepNext w:val="0"/>
                    <w:keepLines w:val="0"/>
                    <w:suppressLineNumbers w:val="0"/>
                    <w:snapToGrid w:val="0"/>
                    <w:spacing w:before="0" w:beforeAutospacing="0" w:after="0" w:afterAutospacing="0" w:line="240" w:lineRule="auto"/>
                    <w:ind w:left="0" w:right="0"/>
                    <w:jc w:val="center"/>
                    <w:rPr>
                      <w:rFonts w:hint="eastAsia" w:hAnsi="宋体" w:cs="宋体"/>
                      <w:bCs/>
                      <w:color w:val="auto"/>
                      <w:kern w:val="0"/>
                      <w:sz w:val="21"/>
                      <w:szCs w:val="21"/>
                    </w:rPr>
                  </w:pPr>
                  <w:r>
                    <w:rPr>
                      <w:rFonts w:hint="eastAsia" w:hAnsi="宋体" w:cs="宋体"/>
                      <w:bCs/>
                      <w:color w:val="auto"/>
                      <w:kern w:val="0"/>
                      <w:sz w:val="21"/>
                      <w:szCs w:val="21"/>
                    </w:rPr>
                    <w:t>2</w:t>
                  </w:r>
                </w:p>
              </w:tc>
              <w:tc>
                <w:tcPr>
                  <w:tcW w:w="1482" w:type="pct"/>
                  <w:noWrap w:val="0"/>
                  <w:vAlign w:val="center"/>
                </w:tcPr>
                <w:p w14:paraId="2E85D004">
                  <w:pPr>
                    <w:keepNext w:val="0"/>
                    <w:keepLines w:val="0"/>
                    <w:suppressLineNumbers w:val="0"/>
                    <w:snapToGrid w:val="0"/>
                    <w:spacing w:before="0" w:beforeAutospacing="0" w:after="0" w:afterAutospacing="0" w:line="240" w:lineRule="auto"/>
                    <w:ind w:left="0" w:right="0"/>
                    <w:rPr>
                      <w:rFonts w:hint="eastAsia" w:hAnsi="宋体" w:cs="宋体"/>
                      <w:bCs/>
                      <w:color w:val="auto"/>
                      <w:kern w:val="0"/>
                      <w:sz w:val="21"/>
                      <w:szCs w:val="21"/>
                    </w:rPr>
                  </w:pPr>
                  <w:r>
                    <w:rPr>
                      <w:rFonts w:hint="eastAsia" w:hAnsi="宋体" w:cs="宋体"/>
                      <w:bCs/>
                      <w:color w:val="auto"/>
                      <w:sz w:val="21"/>
                      <w:szCs w:val="21"/>
                    </w:rPr>
                    <w:t>尽量减少占地、控制施工范围、减少扰动面积，</w:t>
                  </w:r>
                  <w:r>
                    <w:rPr>
                      <w:rFonts w:hint="eastAsia" w:hAnsi="宋体" w:cs="宋体"/>
                      <w:bCs/>
                      <w:color w:val="auto"/>
                      <w:kern w:val="0"/>
                      <w:sz w:val="21"/>
                      <w:szCs w:val="21"/>
                    </w:rPr>
                    <w:t>作业区四周设置彩带控制作业范围。</w:t>
                  </w:r>
                </w:p>
              </w:tc>
              <w:tc>
                <w:tcPr>
                  <w:tcW w:w="418" w:type="pct"/>
                  <w:vMerge w:val="continue"/>
                  <w:noWrap w:val="0"/>
                  <w:vAlign w:val="center"/>
                </w:tcPr>
                <w:p w14:paraId="3116FD3E">
                  <w:pPr>
                    <w:keepNext w:val="0"/>
                    <w:keepLines w:val="0"/>
                    <w:widowControl/>
                    <w:suppressLineNumbers w:val="0"/>
                    <w:snapToGrid w:val="0"/>
                    <w:spacing w:before="0" w:beforeAutospacing="0" w:after="0" w:afterAutospacing="0" w:line="240" w:lineRule="auto"/>
                    <w:ind w:left="0" w:right="0"/>
                    <w:rPr>
                      <w:rFonts w:hint="eastAsia" w:hAnsi="宋体" w:cs="宋体"/>
                      <w:bCs/>
                      <w:color w:val="auto"/>
                      <w:kern w:val="0"/>
                      <w:sz w:val="21"/>
                      <w:szCs w:val="21"/>
                    </w:rPr>
                  </w:pPr>
                </w:p>
              </w:tc>
              <w:tc>
                <w:tcPr>
                  <w:tcW w:w="497" w:type="pct"/>
                  <w:vMerge w:val="restart"/>
                  <w:noWrap w:val="0"/>
                  <w:vAlign w:val="center"/>
                </w:tcPr>
                <w:p w14:paraId="209231C8">
                  <w:pPr>
                    <w:keepNext w:val="0"/>
                    <w:keepLines w:val="0"/>
                    <w:suppressLineNumbers w:val="0"/>
                    <w:snapToGrid w:val="0"/>
                    <w:spacing w:before="0" w:beforeAutospacing="0" w:after="0" w:afterAutospacing="0" w:line="240" w:lineRule="auto"/>
                    <w:ind w:left="0" w:right="0"/>
                    <w:jc w:val="center"/>
                    <w:rPr>
                      <w:rFonts w:hint="eastAsia" w:hAnsi="宋体" w:cs="宋体"/>
                      <w:bCs/>
                      <w:color w:val="auto"/>
                      <w:kern w:val="0"/>
                      <w:sz w:val="21"/>
                      <w:szCs w:val="21"/>
                    </w:rPr>
                  </w:pPr>
                  <w:r>
                    <w:rPr>
                      <w:rFonts w:hint="eastAsia" w:hAnsi="宋体" w:cs="宋体"/>
                      <w:bCs/>
                      <w:color w:val="auto"/>
                      <w:kern w:val="0"/>
                      <w:sz w:val="21"/>
                      <w:szCs w:val="21"/>
                    </w:rPr>
                    <w:t>全部施工期</w:t>
                  </w:r>
                </w:p>
              </w:tc>
              <w:tc>
                <w:tcPr>
                  <w:tcW w:w="492" w:type="pct"/>
                  <w:vMerge w:val="restart"/>
                  <w:noWrap w:val="0"/>
                  <w:vAlign w:val="center"/>
                </w:tcPr>
                <w:p w14:paraId="09499E05">
                  <w:pPr>
                    <w:keepNext w:val="0"/>
                    <w:keepLines w:val="0"/>
                    <w:suppressLineNumbers w:val="0"/>
                    <w:snapToGrid w:val="0"/>
                    <w:spacing w:before="0" w:beforeAutospacing="0" w:after="0" w:afterAutospacing="0" w:line="240" w:lineRule="auto"/>
                    <w:ind w:left="0" w:right="0"/>
                    <w:jc w:val="center"/>
                    <w:rPr>
                      <w:rFonts w:hint="eastAsia" w:hAnsi="宋体" w:cs="宋体"/>
                      <w:bCs/>
                      <w:color w:val="auto"/>
                      <w:kern w:val="0"/>
                      <w:sz w:val="21"/>
                      <w:szCs w:val="21"/>
                    </w:rPr>
                  </w:pPr>
                  <w:r>
                    <w:rPr>
                      <w:rFonts w:hint="eastAsia" w:hAnsi="宋体" w:cs="宋体"/>
                      <w:bCs/>
                      <w:color w:val="auto"/>
                      <w:kern w:val="0"/>
                      <w:sz w:val="21"/>
                      <w:szCs w:val="21"/>
                    </w:rPr>
                    <w:t>施工单位</w:t>
                  </w:r>
                </w:p>
              </w:tc>
              <w:tc>
                <w:tcPr>
                  <w:tcW w:w="823" w:type="pct"/>
                  <w:vMerge w:val="continue"/>
                  <w:noWrap w:val="0"/>
                  <w:vAlign w:val="center"/>
                </w:tcPr>
                <w:p w14:paraId="6AF0C369">
                  <w:pPr>
                    <w:keepNext w:val="0"/>
                    <w:keepLines w:val="0"/>
                    <w:widowControl/>
                    <w:suppressLineNumbers w:val="0"/>
                    <w:snapToGrid w:val="0"/>
                    <w:spacing w:before="0" w:beforeAutospacing="0" w:after="0" w:afterAutospacing="0" w:line="240" w:lineRule="auto"/>
                    <w:ind w:left="0" w:right="0"/>
                    <w:jc w:val="left"/>
                    <w:rPr>
                      <w:rFonts w:hint="eastAsia" w:hAnsi="宋体" w:cs="宋体"/>
                      <w:bCs/>
                      <w:color w:val="auto"/>
                      <w:kern w:val="0"/>
                      <w:sz w:val="21"/>
                      <w:szCs w:val="21"/>
                    </w:rPr>
                  </w:pPr>
                </w:p>
              </w:tc>
              <w:tc>
                <w:tcPr>
                  <w:tcW w:w="1004" w:type="pct"/>
                  <w:noWrap w:val="0"/>
                  <w:vAlign w:val="center"/>
                </w:tcPr>
                <w:p w14:paraId="30DC11B0">
                  <w:pPr>
                    <w:keepNext w:val="0"/>
                    <w:keepLines w:val="0"/>
                    <w:suppressLineNumbers w:val="0"/>
                    <w:snapToGrid w:val="0"/>
                    <w:spacing w:before="0" w:beforeAutospacing="0" w:after="0" w:afterAutospacing="0" w:line="240" w:lineRule="auto"/>
                    <w:ind w:left="0" w:right="0"/>
                    <w:rPr>
                      <w:rFonts w:hint="eastAsia" w:hAnsi="宋体" w:cs="宋体"/>
                      <w:bCs/>
                      <w:color w:val="auto"/>
                      <w:kern w:val="0"/>
                      <w:sz w:val="21"/>
                      <w:szCs w:val="21"/>
                    </w:rPr>
                  </w:pPr>
                  <w:r>
                    <w:rPr>
                      <w:rFonts w:hint="eastAsia" w:hAnsi="宋体" w:cs="宋体"/>
                      <w:bCs/>
                      <w:color w:val="auto"/>
                      <w:kern w:val="0"/>
                      <w:sz w:val="21"/>
                      <w:szCs w:val="21"/>
                    </w:rPr>
                    <w:t>划定施工作业范围，将施工占地控制在最小范围。</w:t>
                  </w:r>
                </w:p>
              </w:tc>
            </w:tr>
            <w:tr w14:paraId="20295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noWrap w:val="0"/>
                  <w:vAlign w:val="center"/>
                </w:tcPr>
                <w:p w14:paraId="234CBC43">
                  <w:pPr>
                    <w:keepNext w:val="0"/>
                    <w:keepLines w:val="0"/>
                    <w:suppressLineNumbers w:val="0"/>
                    <w:snapToGrid w:val="0"/>
                    <w:spacing w:before="0" w:beforeAutospacing="0" w:after="0" w:afterAutospacing="0" w:line="240" w:lineRule="auto"/>
                    <w:ind w:left="0" w:right="0"/>
                    <w:jc w:val="center"/>
                    <w:rPr>
                      <w:rFonts w:hint="eastAsia" w:hAnsi="宋体" w:cs="宋体"/>
                      <w:bCs/>
                      <w:color w:val="auto"/>
                      <w:kern w:val="0"/>
                      <w:sz w:val="21"/>
                      <w:szCs w:val="21"/>
                    </w:rPr>
                  </w:pPr>
                  <w:r>
                    <w:rPr>
                      <w:rFonts w:hint="eastAsia" w:hAnsi="宋体" w:cs="宋体"/>
                      <w:bCs/>
                      <w:color w:val="auto"/>
                      <w:kern w:val="0"/>
                      <w:sz w:val="21"/>
                      <w:szCs w:val="21"/>
                    </w:rPr>
                    <w:t>3</w:t>
                  </w:r>
                </w:p>
              </w:tc>
              <w:tc>
                <w:tcPr>
                  <w:tcW w:w="1482" w:type="pct"/>
                  <w:noWrap w:val="0"/>
                  <w:vAlign w:val="center"/>
                </w:tcPr>
                <w:p w14:paraId="41E2610C">
                  <w:pPr>
                    <w:keepNext w:val="0"/>
                    <w:keepLines w:val="0"/>
                    <w:suppressLineNumbers w:val="0"/>
                    <w:snapToGrid w:val="0"/>
                    <w:spacing w:before="0" w:beforeAutospacing="0" w:after="0" w:afterAutospacing="0" w:line="240" w:lineRule="auto"/>
                    <w:ind w:left="0" w:right="0"/>
                    <w:rPr>
                      <w:rFonts w:hint="eastAsia" w:hAnsi="宋体" w:cs="宋体"/>
                      <w:bCs/>
                      <w:color w:val="auto"/>
                      <w:kern w:val="0"/>
                      <w:sz w:val="21"/>
                      <w:szCs w:val="21"/>
                    </w:rPr>
                  </w:pPr>
                  <w:r>
                    <w:rPr>
                      <w:rFonts w:hint="eastAsia" w:hAnsi="宋体" w:cs="宋体"/>
                      <w:bCs/>
                      <w:color w:val="auto"/>
                      <w:sz w:val="21"/>
                      <w:szCs w:val="21"/>
                    </w:rPr>
                    <w:t>开挖回填、</w:t>
                  </w:r>
                  <w:r>
                    <w:rPr>
                      <w:rFonts w:hint="eastAsia" w:hAnsi="宋体" w:cs="宋体"/>
                      <w:bCs/>
                      <w:color w:val="auto"/>
                      <w:kern w:val="0"/>
                      <w:sz w:val="21"/>
                      <w:szCs w:val="21"/>
                    </w:rPr>
                    <w:t>同时采取拦护等措施。</w:t>
                  </w:r>
                </w:p>
              </w:tc>
              <w:tc>
                <w:tcPr>
                  <w:tcW w:w="418" w:type="pct"/>
                  <w:vMerge w:val="continue"/>
                  <w:noWrap w:val="0"/>
                  <w:vAlign w:val="center"/>
                </w:tcPr>
                <w:p w14:paraId="6DC9EF48">
                  <w:pPr>
                    <w:keepNext w:val="0"/>
                    <w:keepLines w:val="0"/>
                    <w:widowControl/>
                    <w:suppressLineNumbers w:val="0"/>
                    <w:snapToGrid w:val="0"/>
                    <w:spacing w:before="0" w:beforeAutospacing="0" w:after="0" w:afterAutospacing="0" w:line="240" w:lineRule="auto"/>
                    <w:ind w:left="0" w:right="0"/>
                    <w:rPr>
                      <w:rFonts w:hint="eastAsia" w:hAnsi="宋体" w:cs="宋体"/>
                      <w:bCs/>
                      <w:color w:val="auto"/>
                      <w:kern w:val="0"/>
                      <w:sz w:val="21"/>
                      <w:szCs w:val="21"/>
                    </w:rPr>
                  </w:pPr>
                </w:p>
              </w:tc>
              <w:tc>
                <w:tcPr>
                  <w:tcW w:w="497" w:type="pct"/>
                  <w:vMerge w:val="continue"/>
                  <w:noWrap w:val="0"/>
                  <w:vAlign w:val="center"/>
                </w:tcPr>
                <w:p w14:paraId="4A38CECA">
                  <w:pPr>
                    <w:keepNext w:val="0"/>
                    <w:keepLines w:val="0"/>
                    <w:widowControl/>
                    <w:suppressLineNumbers w:val="0"/>
                    <w:snapToGrid w:val="0"/>
                    <w:spacing w:before="0" w:beforeAutospacing="0" w:after="0" w:afterAutospacing="0" w:line="240" w:lineRule="auto"/>
                    <w:ind w:left="0" w:right="0"/>
                    <w:jc w:val="left"/>
                    <w:rPr>
                      <w:rFonts w:hint="eastAsia" w:hAnsi="宋体" w:cs="宋体"/>
                      <w:bCs/>
                      <w:color w:val="auto"/>
                      <w:kern w:val="0"/>
                      <w:sz w:val="21"/>
                      <w:szCs w:val="21"/>
                    </w:rPr>
                  </w:pPr>
                </w:p>
              </w:tc>
              <w:tc>
                <w:tcPr>
                  <w:tcW w:w="492" w:type="pct"/>
                  <w:vMerge w:val="continue"/>
                  <w:noWrap w:val="0"/>
                  <w:vAlign w:val="center"/>
                </w:tcPr>
                <w:p w14:paraId="14350F56">
                  <w:pPr>
                    <w:keepNext w:val="0"/>
                    <w:keepLines w:val="0"/>
                    <w:widowControl/>
                    <w:suppressLineNumbers w:val="0"/>
                    <w:snapToGrid w:val="0"/>
                    <w:spacing w:before="0" w:beforeAutospacing="0" w:after="0" w:afterAutospacing="0" w:line="240" w:lineRule="auto"/>
                    <w:ind w:left="0" w:right="0"/>
                    <w:jc w:val="left"/>
                    <w:rPr>
                      <w:rFonts w:hint="eastAsia" w:hAnsi="宋体" w:cs="宋体"/>
                      <w:bCs/>
                      <w:color w:val="auto"/>
                      <w:kern w:val="0"/>
                      <w:sz w:val="21"/>
                      <w:szCs w:val="21"/>
                    </w:rPr>
                  </w:pPr>
                </w:p>
              </w:tc>
              <w:tc>
                <w:tcPr>
                  <w:tcW w:w="823" w:type="pct"/>
                  <w:vMerge w:val="continue"/>
                  <w:noWrap w:val="0"/>
                  <w:vAlign w:val="center"/>
                </w:tcPr>
                <w:p w14:paraId="4764A606">
                  <w:pPr>
                    <w:keepNext w:val="0"/>
                    <w:keepLines w:val="0"/>
                    <w:widowControl/>
                    <w:suppressLineNumbers w:val="0"/>
                    <w:snapToGrid w:val="0"/>
                    <w:spacing w:before="0" w:beforeAutospacing="0" w:after="0" w:afterAutospacing="0" w:line="240" w:lineRule="auto"/>
                    <w:ind w:left="0" w:right="0"/>
                    <w:jc w:val="left"/>
                    <w:rPr>
                      <w:rFonts w:hint="eastAsia" w:hAnsi="宋体" w:cs="宋体"/>
                      <w:bCs/>
                      <w:color w:val="auto"/>
                      <w:kern w:val="0"/>
                      <w:sz w:val="21"/>
                      <w:szCs w:val="21"/>
                    </w:rPr>
                  </w:pPr>
                </w:p>
              </w:tc>
              <w:tc>
                <w:tcPr>
                  <w:tcW w:w="1004" w:type="pct"/>
                  <w:vMerge w:val="restart"/>
                  <w:noWrap w:val="0"/>
                  <w:vAlign w:val="center"/>
                </w:tcPr>
                <w:p w14:paraId="7548B1F9">
                  <w:pPr>
                    <w:keepNext w:val="0"/>
                    <w:keepLines w:val="0"/>
                    <w:suppressLineNumbers w:val="0"/>
                    <w:snapToGrid w:val="0"/>
                    <w:spacing w:before="0" w:beforeAutospacing="0" w:after="0" w:afterAutospacing="0" w:line="240" w:lineRule="auto"/>
                    <w:ind w:left="0" w:right="0"/>
                    <w:rPr>
                      <w:rFonts w:hint="eastAsia" w:hAnsi="宋体" w:cs="宋体"/>
                      <w:bCs/>
                      <w:color w:val="auto"/>
                      <w:kern w:val="0"/>
                      <w:sz w:val="21"/>
                      <w:szCs w:val="21"/>
                    </w:rPr>
                  </w:pPr>
                  <w:r>
                    <w:rPr>
                      <w:rFonts w:hint="eastAsia" w:hAnsi="宋体" w:cs="宋体"/>
                      <w:bCs/>
                      <w:color w:val="auto"/>
                      <w:kern w:val="0"/>
                      <w:sz w:val="21"/>
                      <w:szCs w:val="21"/>
                    </w:rPr>
                    <w:t>减少土壤养分的流失，恢复土壤肥力和土壤理化性质，使土壤受影响程度最低。</w:t>
                  </w:r>
                </w:p>
              </w:tc>
            </w:tr>
            <w:tr w14:paraId="5B2235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noWrap w:val="0"/>
                  <w:vAlign w:val="center"/>
                </w:tcPr>
                <w:p w14:paraId="2C779F59">
                  <w:pPr>
                    <w:keepNext w:val="0"/>
                    <w:keepLines w:val="0"/>
                    <w:suppressLineNumbers w:val="0"/>
                    <w:snapToGrid w:val="0"/>
                    <w:spacing w:before="0" w:beforeAutospacing="0" w:after="0" w:afterAutospacing="0" w:line="240" w:lineRule="auto"/>
                    <w:ind w:left="0" w:right="0"/>
                    <w:jc w:val="center"/>
                    <w:rPr>
                      <w:rFonts w:hint="eastAsia" w:hAnsi="宋体" w:cs="宋体"/>
                      <w:bCs/>
                      <w:color w:val="auto"/>
                      <w:kern w:val="0"/>
                      <w:sz w:val="21"/>
                      <w:szCs w:val="21"/>
                    </w:rPr>
                  </w:pPr>
                  <w:r>
                    <w:rPr>
                      <w:rFonts w:hint="eastAsia" w:hAnsi="宋体" w:cs="宋体"/>
                      <w:bCs/>
                      <w:color w:val="auto"/>
                      <w:kern w:val="0"/>
                      <w:sz w:val="21"/>
                      <w:szCs w:val="21"/>
                    </w:rPr>
                    <w:t>4</w:t>
                  </w:r>
                </w:p>
              </w:tc>
              <w:tc>
                <w:tcPr>
                  <w:tcW w:w="1482" w:type="pct"/>
                  <w:noWrap w:val="0"/>
                  <w:vAlign w:val="center"/>
                </w:tcPr>
                <w:p w14:paraId="77A31268">
                  <w:pPr>
                    <w:keepNext w:val="0"/>
                    <w:keepLines w:val="0"/>
                    <w:suppressLineNumbers w:val="0"/>
                    <w:snapToGrid w:val="0"/>
                    <w:spacing w:before="0" w:beforeAutospacing="0" w:after="0" w:afterAutospacing="0" w:line="240" w:lineRule="auto"/>
                    <w:ind w:left="0" w:right="0"/>
                    <w:rPr>
                      <w:rFonts w:hint="eastAsia" w:hAnsi="宋体" w:cs="宋体"/>
                      <w:bCs/>
                      <w:color w:val="auto"/>
                      <w:kern w:val="0"/>
                      <w:sz w:val="21"/>
                      <w:szCs w:val="21"/>
                    </w:rPr>
                  </w:pPr>
                  <w:r>
                    <w:rPr>
                      <w:rFonts w:hint="eastAsia" w:hAnsi="宋体" w:cs="宋体"/>
                      <w:bCs/>
                      <w:color w:val="auto"/>
                      <w:sz w:val="21"/>
                      <w:szCs w:val="21"/>
                    </w:rPr>
                    <w:t>减少地表开挖裸露时间、避开大风天气施工、及时进行迹地恢复等。</w:t>
                  </w:r>
                </w:p>
              </w:tc>
              <w:tc>
                <w:tcPr>
                  <w:tcW w:w="418" w:type="pct"/>
                  <w:vMerge w:val="continue"/>
                  <w:noWrap w:val="0"/>
                  <w:vAlign w:val="center"/>
                </w:tcPr>
                <w:p w14:paraId="6BC47F09">
                  <w:pPr>
                    <w:keepNext w:val="0"/>
                    <w:keepLines w:val="0"/>
                    <w:widowControl/>
                    <w:suppressLineNumbers w:val="0"/>
                    <w:snapToGrid w:val="0"/>
                    <w:spacing w:before="0" w:beforeAutospacing="0" w:after="0" w:afterAutospacing="0" w:line="240" w:lineRule="auto"/>
                    <w:ind w:left="0" w:right="0"/>
                    <w:rPr>
                      <w:rFonts w:hint="eastAsia" w:hAnsi="宋体" w:cs="宋体"/>
                      <w:bCs/>
                      <w:color w:val="auto"/>
                      <w:kern w:val="0"/>
                      <w:sz w:val="21"/>
                      <w:szCs w:val="21"/>
                    </w:rPr>
                  </w:pPr>
                </w:p>
              </w:tc>
              <w:tc>
                <w:tcPr>
                  <w:tcW w:w="497" w:type="pct"/>
                  <w:vMerge w:val="continue"/>
                  <w:noWrap w:val="0"/>
                  <w:vAlign w:val="center"/>
                </w:tcPr>
                <w:p w14:paraId="7B6F8815">
                  <w:pPr>
                    <w:keepNext w:val="0"/>
                    <w:keepLines w:val="0"/>
                    <w:widowControl/>
                    <w:suppressLineNumbers w:val="0"/>
                    <w:snapToGrid w:val="0"/>
                    <w:spacing w:before="0" w:beforeAutospacing="0" w:after="0" w:afterAutospacing="0" w:line="240" w:lineRule="auto"/>
                    <w:ind w:left="0" w:right="0"/>
                    <w:jc w:val="left"/>
                    <w:rPr>
                      <w:rFonts w:hint="eastAsia" w:hAnsi="宋体" w:cs="宋体"/>
                      <w:bCs/>
                      <w:color w:val="auto"/>
                      <w:kern w:val="0"/>
                      <w:sz w:val="21"/>
                      <w:szCs w:val="21"/>
                    </w:rPr>
                  </w:pPr>
                </w:p>
              </w:tc>
              <w:tc>
                <w:tcPr>
                  <w:tcW w:w="492" w:type="pct"/>
                  <w:vMerge w:val="continue"/>
                  <w:noWrap w:val="0"/>
                  <w:vAlign w:val="center"/>
                </w:tcPr>
                <w:p w14:paraId="46C6E80F">
                  <w:pPr>
                    <w:keepNext w:val="0"/>
                    <w:keepLines w:val="0"/>
                    <w:widowControl/>
                    <w:suppressLineNumbers w:val="0"/>
                    <w:snapToGrid w:val="0"/>
                    <w:spacing w:before="0" w:beforeAutospacing="0" w:after="0" w:afterAutospacing="0" w:line="240" w:lineRule="auto"/>
                    <w:ind w:left="0" w:right="0"/>
                    <w:jc w:val="left"/>
                    <w:rPr>
                      <w:rFonts w:hint="eastAsia" w:hAnsi="宋体" w:cs="宋体"/>
                      <w:bCs/>
                      <w:color w:val="auto"/>
                      <w:kern w:val="0"/>
                      <w:sz w:val="21"/>
                      <w:szCs w:val="21"/>
                    </w:rPr>
                  </w:pPr>
                </w:p>
              </w:tc>
              <w:tc>
                <w:tcPr>
                  <w:tcW w:w="823" w:type="pct"/>
                  <w:vMerge w:val="continue"/>
                  <w:noWrap w:val="0"/>
                  <w:vAlign w:val="center"/>
                </w:tcPr>
                <w:p w14:paraId="74AB90C5">
                  <w:pPr>
                    <w:keepNext w:val="0"/>
                    <w:keepLines w:val="0"/>
                    <w:widowControl/>
                    <w:suppressLineNumbers w:val="0"/>
                    <w:snapToGrid w:val="0"/>
                    <w:spacing w:before="0" w:beforeAutospacing="0" w:after="0" w:afterAutospacing="0" w:line="240" w:lineRule="auto"/>
                    <w:ind w:left="0" w:right="0"/>
                    <w:jc w:val="left"/>
                    <w:rPr>
                      <w:rFonts w:hint="eastAsia" w:hAnsi="宋体" w:cs="宋体"/>
                      <w:bCs/>
                      <w:color w:val="auto"/>
                      <w:kern w:val="0"/>
                      <w:sz w:val="21"/>
                      <w:szCs w:val="21"/>
                    </w:rPr>
                  </w:pPr>
                </w:p>
              </w:tc>
              <w:tc>
                <w:tcPr>
                  <w:tcW w:w="1004" w:type="pct"/>
                  <w:vMerge w:val="continue"/>
                  <w:noWrap w:val="0"/>
                  <w:vAlign w:val="center"/>
                </w:tcPr>
                <w:p w14:paraId="343A01B8">
                  <w:pPr>
                    <w:keepNext w:val="0"/>
                    <w:keepLines w:val="0"/>
                    <w:widowControl/>
                    <w:suppressLineNumbers w:val="0"/>
                    <w:snapToGrid w:val="0"/>
                    <w:spacing w:before="0" w:beforeAutospacing="0" w:after="0" w:afterAutospacing="0" w:line="240" w:lineRule="auto"/>
                    <w:ind w:left="0" w:right="0"/>
                    <w:rPr>
                      <w:rFonts w:hint="eastAsia" w:hAnsi="宋体" w:cs="宋体"/>
                      <w:bCs/>
                      <w:color w:val="auto"/>
                      <w:kern w:val="0"/>
                      <w:sz w:val="21"/>
                      <w:szCs w:val="21"/>
                    </w:rPr>
                  </w:pPr>
                </w:p>
              </w:tc>
            </w:tr>
            <w:tr w14:paraId="10F627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280" w:type="pct"/>
                  <w:noWrap w:val="0"/>
                  <w:vAlign w:val="center"/>
                </w:tcPr>
                <w:p w14:paraId="3F16C13C">
                  <w:pPr>
                    <w:keepNext w:val="0"/>
                    <w:keepLines w:val="0"/>
                    <w:suppressLineNumbers w:val="0"/>
                    <w:snapToGrid w:val="0"/>
                    <w:spacing w:before="0" w:beforeAutospacing="0" w:after="0" w:afterAutospacing="0" w:line="240" w:lineRule="auto"/>
                    <w:ind w:left="0" w:right="0"/>
                    <w:jc w:val="center"/>
                    <w:rPr>
                      <w:rFonts w:hint="eastAsia" w:hAnsi="宋体" w:cs="宋体"/>
                      <w:bCs/>
                      <w:color w:val="auto"/>
                      <w:kern w:val="0"/>
                      <w:sz w:val="21"/>
                      <w:szCs w:val="21"/>
                    </w:rPr>
                  </w:pPr>
                  <w:r>
                    <w:rPr>
                      <w:rFonts w:hint="eastAsia" w:hAnsi="宋体" w:cs="宋体"/>
                      <w:bCs/>
                      <w:color w:val="auto"/>
                      <w:kern w:val="0"/>
                      <w:sz w:val="21"/>
                      <w:szCs w:val="21"/>
                    </w:rPr>
                    <w:t>5</w:t>
                  </w:r>
                </w:p>
              </w:tc>
              <w:tc>
                <w:tcPr>
                  <w:tcW w:w="1482" w:type="pct"/>
                  <w:noWrap w:val="0"/>
                  <w:vAlign w:val="center"/>
                </w:tcPr>
                <w:p w14:paraId="254AC9FE">
                  <w:pPr>
                    <w:keepNext w:val="0"/>
                    <w:keepLines w:val="0"/>
                    <w:suppressLineNumbers w:val="0"/>
                    <w:snapToGrid w:val="0"/>
                    <w:spacing w:before="0" w:beforeAutospacing="0" w:after="0" w:afterAutospacing="0" w:line="240" w:lineRule="auto"/>
                    <w:ind w:left="0" w:right="0"/>
                    <w:rPr>
                      <w:rFonts w:hint="eastAsia" w:hAnsi="宋体" w:cs="宋体"/>
                      <w:bCs/>
                      <w:color w:val="auto"/>
                      <w:kern w:val="0"/>
                      <w:sz w:val="21"/>
                      <w:szCs w:val="21"/>
                    </w:rPr>
                  </w:pPr>
                  <w:r>
                    <w:rPr>
                      <w:rFonts w:hint="eastAsia" w:hAnsi="宋体" w:cs="宋体"/>
                      <w:bCs/>
                      <w:color w:val="auto"/>
                      <w:kern w:val="0"/>
                      <w:sz w:val="21"/>
                      <w:szCs w:val="21"/>
                    </w:rPr>
                    <w:t>占地范围内清理平整，恢复地貌。</w:t>
                  </w:r>
                </w:p>
              </w:tc>
              <w:tc>
                <w:tcPr>
                  <w:tcW w:w="418" w:type="pct"/>
                  <w:vMerge w:val="continue"/>
                  <w:noWrap w:val="0"/>
                  <w:vAlign w:val="center"/>
                </w:tcPr>
                <w:p w14:paraId="0A9E5939">
                  <w:pPr>
                    <w:keepNext w:val="0"/>
                    <w:keepLines w:val="0"/>
                    <w:widowControl/>
                    <w:suppressLineNumbers w:val="0"/>
                    <w:snapToGrid w:val="0"/>
                    <w:spacing w:before="0" w:beforeAutospacing="0" w:after="0" w:afterAutospacing="0" w:line="240" w:lineRule="auto"/>
                    <w:ind w:left="0" w:right="0"/>
                    <w:rPr>
                      <w:rFonts w:hint="eastAsia" w:hAnsi="宋体" w:cs="宋体"/>
                      <w:bCs/>
                      <w:color w:val="auto"/>
                      <w:kern w:val="0"/>
                      <w:sz w:val="21"/>
                      <w:szCs w:val="21"/>
                    </w:rPr>
                  </w:pPr>
                </w:p>
              </w:tc>
              <w:tc>
                <w:tcPr>
                  <w:tcW w:w="497" w:type="pct"/>
                  <w:noWrap w:val="0"/>
                  <w:vAlign w:val="center"/>
                </w:tcPr>
                <w:p w14:paraId="40F7FD88">
                  <w:pPr>
                    <w:keepNext w:val="0"/>
                    <w:keepLines w:val="0"/>
                    <w:suppressLineNumbers w:val="0"/>
                    <w:snapToGrid w:val="0"/>
                    <w:spacing w:before="0" w:beforeAutospacing="0" w:after="0" w:afterAutospacing="0" w:line="240" w:lineRule="auto"/>
                    <w:ind w:left="0" w:right="0"/>
                    <w:jc w:val="center"/>
                    <w:rPr>
                      <w:rFonts w:hint="eastAsia" w:hAnsi="宋体" w:cs="宋体"/>
                      <w:bCs/>
                      <w:color w:val="auto"/>
                      <w:kern w:val="0"/>
                      <w:sz w:val="21"/>
                      <w:szCs w:val="21"/>
                    </w:rPr>
                  </w:pPr>
                  <w:r>
                    <w:rPr>
                      <w:rFonts w:hint="eastAsia" w:hAnsi="宋体" w:cs="宋体"/>
                      <w:bCs/>
                      <w:color w:val="auto"/>
                      <w:kern w:val="0"/>
                      <w:sz w:val="21"/>
                      <w:szCs w:val="21"/>
                    </w:rPr>
                    <w:t>施工</w:t>
                  </w:r>
                </w:p>
                <w:p w14:paraId="0191033B">
                  <w:pPr>
                    <w:keepNext w:val="0"/>
                    <w:keepLines w:val="0"/>
                    <w:suppressLineNumbers w:val="0"/>
                    <w:snapToGrid w:val="0"/>
                    <w:spacing w:before="0" w:beforeAutospacing="0" w:after="0" w:afterAutospacing="0" w:line="240" w:lineRule="auto"/>
                    <w:ind w:left="0" w:right="0"/>
                    <w:jc w:val="center"/>
                    <w:rPr>
                      <w:rFonts w:hint="eastAsia" w:hAnsi="宋体" w:cs="宋体"/>
                      <w:bCs/>
                      <w:color w:val="auto"/>
                      <w:kern w:val="0"/>
                      <w:sz w:val="21"/>
                      <w:szCs w:val="21"/>
                    </w:rPr>
                  </w:pPr>
                  <w:r>
                    <w:rPr>
                      <w:rFonts w:hint="eastAsia" w:hAnsi="宋体" w:cs="宋体"/>
                      <w:bCs/>
                      <w:color w:val="auto"/>
                      <w:kern w:val="0"/>
                      <w:sz w:val="21"/>
                      <w:szCs w:val="21"/>
                    </w:rPr>
                    <w:t>后期</w:t>
                  </w:r>
                </w:p>
              </w:tc>
              <w:tc>
                <w:tcPr>
                  <w:tcW w:w="492" w:type="pct"/>
                  <w:vMerge w:val="continue"/>
                  <w:noWrap w:val="0"/>
                  <w:vAlign w:val="center"/>
                </w:tcPr>
                <w:p w14:paraId="6AA7BD59">
                  <w:pPr>
                    <w:keepNext w:val="0"/>
                    <w:keepLines w:val="0"/>
                    <w:suppressLineNumbers w:val="0"/>
                    <w:snapToGrid w:val="0"/>
                    <w:spacing w:before="0" w:beforeAutospacing="0" w:after="0" w:afterAutospacing="0" w:line="240" w:lineRule="auto"/>
                    <w:ind w:left="0" w:right="0"/>
                    <w:jc w:val="center"/>
                    <w:rPr>
                      <w:rFonts w:hint="eastAsia" w:hAnsi="宋体" w:cs="宋体"/>
                      <w:bCs/>
                      <w:color w:val="auto"/>
                      <w:kern w:val="0"/>
                      <w:sz w:val="21"/>
                      <w:szCs w:val="21"/>
                    </w:rPr>
                  </w:pPr>
                </w:p>
              </w:tc>
              <w:tc>
                <w:tcPr>
                  <w:tcW w:w="823" w:type="pct"/>
                  <w:vMerge w:val="continue"/>
                  <w:noWrap w:val="0"/>
                  <w:vAlign w:val="center"/>
                </w:tcPr>
                <w:p w14:paraId="2BA3D7F3">
                  <w:pPr>
                    <w:keepNext w:val="0"/>
                    <w:keepLines w:val="0"/>
                    <w:widowControl/>
                    <w:suppressLineNumbers w:val="0"/>
                    <w:snapToGrid w:val="0"/>
                    <w:spacing w:before="0" w:beforeAutospacing="0" w:after="0" w:afterAutospacing="0" w:line="240" w:lineRule="auto"/>
                    <w:ind w:left="0" w:right="0"/>
                    <w:jc w:val="left"/>
                    <w:rPr>
                      <w:rFonts w:hint="eastAsia" w:hAnsi="宋体" w:cs="宋体"/>
                      <w:bCs/>
                      <w:color w:val="auto"/>
                      <w:kern w:val="0"/>
                      <w:sz w:val="21"/>
                      <w:szCs w:val="21"/>
                    </w:rPr>
                  </w:pPr>
                </w:p>
              </w:tc>
              <w:tc>
                <w:tcPr>
                  <w:tcW w:w="1004" w:type="pct"/>
                  <w:noWrap w:val="0"/>
                  <w:vAlign w:val="center"/>
                </w:tcPr>
                <w:p w14:paraId="71E0E871">
                  <w:pPr>
                    <w:keepNext w:val="0"/>
                    <w:keepLines w:val="0"/>
                    <w:suppressLineNumbers w:val="0"/>
                    <w:snapToGrid w:val="0"/>
                    <w:spacing w:before="0" w:beforeAutospacing="0" w:after="0" w:afterAutospacing="0" w:line="240" w:lineRule="auto"/>
                    <w:ind w:left="0" w:right="0"/>
                    <w:rPr>
                      <w:rFonts w:hint="eastAsia" w:hAnsi="宋体" w:cs="宋体"/>
                      <w:bCs/>
                      <w:color w:val="auto"/>
                      <w:kern w:val="0"/>
                      <w:sz w:val="21"/>
                      <w:szCs w:val="21"/>
                    </w:rPr>
                  </w:pPr>
                  <w:r>
                    <w:rPr>
                      <w:rFonts w:hint="eastAsia" w:hAnsi="宋体" w:cs="宋体"/>
                      <w:bCs/>
                      <w:color w:val="auto"/>
                      <w:kern w:val="0"/>
                      <w:sz w:val="21"/>
                      <w:szCs w:val="21"/>
                    </w:rPr>
                    <w:t>施工后做到工完料净场地清。</w:t>
                  </w:r>
                </w:p>
              </w:tc>
            </w:tr>
            <w:tr w14:paraId="13643D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noWrap w:val="0"/>
                  <w:vAlign w:val="center"/>
                </w:tcPr>
                <w:p w14:paraId="37A43373">
                  <w:pPr>
                    <w:keepNext w:val="0"/>
                    <w:keepLines w:val="0"/>
                    <w:suppressLineNumbers w:val="0"/>
                    <w:snapToGrid w:val="0"/>
                    <w:spacing w:before="0" w:beforeAutospacing="0" w:after="0" w:afterAutospacing="0" w:line="240" w:lineRule="auto"/>
                    <w:ind w:left="0" w:right="0"/>
                    <w:jc w:val="center"/>
                    <w:rPr>
                      <w:rFonts w:hint="eastAsia" w:hAnsi="宋体" w:cs="宋体"/>
                      <w:bCs/>
                      <w:color w:val="auto"/>
                      <w:kern w:val="0"/>
                      <w:sz w:val="21"/>
                      <w:szCs w:val="21"/>
                    </w:rPr>
                  </w:pPr>
                  <w:r>
                    <w:rPr>
                      <w:rFonts w:hint="eastAsia" w:hAnsi="宋体" w:cs="宋体"/>
                      <w:bCs/>
                      <w:color w:val="auto"/>
                      <w:kern w:val="0"/>
                      <w:sz w:val="21"/>
                      <w:szCs w:val="21"/>
                    </w:rPr>
                    <w:t>6</w:t>
                  </w:r>
                </w:p>
              </w:tc>
              <w:tc>
                <w:tcPr>
                  <w:tcW w:w="1482" w:type="pct"/>
                  <w:noWrap w:val="0"/>
                  <w:vAlign w:val="center"/>
                </w:tcPr>
                <w:p w14:paraId="2BEA290C">
                  <w:pPr>
                    <w:keepNext w:val="0"/>
                    <w:keepLines w:val="0"/>
                    <w:suppressLineNumbers w:val="0"/>
                    <w:snapToGrid w:val="0"/>
                    <w:spacing w:before="0" w:beforeAutospacing="0" w:after="0" w:afterAutospacing="0" w:line="240" w:lineRule="auto"/>
                    <w:ind w:left="0" w:right="0"/>
                    <w:rPr>
                      <w:rFonts w:hint="eastAsia" w:hAnsi="宋体" w:cs="宋体"/>
                      <w:bCs/>
                      <w:color w:val="auto"/>
                      <w:kern w:val="0"/>
                      <w:sz w:val="21"/>
                      <w:szCs w:val="21"/>
                    </w:rPr>
                  </w:pPr>
                  <w:r>
                    <w:rPr>
                      <w:rFonts w:hint="eastAsia" w:hAnsi="宋体" w:cs="宋体"/>
                      <w:bCs/>
                      <w:color w:val="auto"/>
                      <w:kern w:val="0"/>
                      <w:sz w:val="21"/>
                      <w:szCs w:val="21"/>
                    </w:rPr>
                    <w:t>规范施工道路，禁止车辆偏离道路行驶，碾压植被。在植被生长较好区域，施工时地表土壤采取分层开挖，顺序回填。</w:t>
                  </w:r>
                </w:p>
              </w:tc>
              <w:tc>
                <w:tcPr>
                  <w:tcW w:w="418" w:type="pct"/>
                  <w:vMerge w:val="continue"/>
                  <w:noWrap w:val="0"/>
                  <w:vAlign w:val="center"/>
                </w:tcPr>
                <w:p w14:paraId="6E7F25A4">
                  <w:pPr>
                    <w:keepNext w:val="0"/>
                    <w:keepLines w:val="0"/>
                    <w:widowControl/>
                    <w:suppressLineNumbers w:val="0"/>
                    <w:snapToGrid w:val="0"/>
                    <w:spacing w:before="0" w:beforeAutospacing="0" w:after="0" w:afterAutospacing="0" w:line="240" w:lineRule="auto"/>
                    <w:ind w:left="0" w:right="0"/>
                    <w:rPr>
                      <w:rFonts w:hint="eastAsia" w:hAnsi="宋体" w:cs="宋体"/>
                      <w:bCs/>
                      <w:color w:val="auto"/>
                      <w:kern w:val="0"/>
                      <w:sz w:val="21"/>
                      <w:szCs w:val="21"/>
                    </w:rPr>
                  </w:pPr>
                </w:p>
              </w:tc>
              <w:tc>
                <w:tcPr>
                  <w:tcW w:w="497" w:type="pct"/>
                  <w:noWrap w:val="0"/>
                  <w:vAlign w:val="center"/>
                </w:tcPr>
                <w:p w14:paraId="5BE0CC4F">
                  <w:pPr>
                    <w:keepNext w:val="0"/>
                    <w:keepLines w:val="0"/>
                    <w:suppressLineNumbers w:val="0"/>
                    <w:snapToGrid w:val="0"/>
                    <w:spacing w:before="0" w:beforeAutospacing="0" w:after="0" w:afterAutospacing="0" w:line="240" w:lineRule="auto"/>
                    <w:ind w:left="0" w:right="0"/>
                    <w:jc w:val="center"/>
                    <w:rPr>
                      <w:rFonts w:hint="eastAsia" w:hAnsi="宋体" w:cs="宋体"/>
                      <w:bCs/>
                      <w:color w:val="auto"/>
                      <w:kern w:val="0"/>
                      <w:sz w:val="21"/>
                      <w:szCs w:val="21"/>
                    </w:rPr>
                  </w:pPr>
                  <w:r>
                    <w:rPr>
                      <w:rFonts w:hint="eastAsia" w:hAnsi="宋体" w:cs="宋体"/>
                      <w:bCs/>
                      <w:color w:val="auto"/>
                      <w:kern w:val="0"/>
                      <w:sz w:val="21"/>
                      <w:szCs w:val="21"/>
                    </w:rPr>
                    <w:t>全部施工期</w:t>
                  </w:r>
                </w:p>
              </w:tc>
              <w:tc>
                <w:tcPr>
                  <w:tcW w:w="492" w:type="pct"/>
                  <w:vMerge w:val="continue"/>
                  <w:noWrap w:val="0"/>
                  <w:vAlign w:val="center"/>
                </w:tcPr>
                <w:p w14:paraId="4423524A">
                  <w:pPr>
                    <w:keepNext w:val="0"/>
                    <w:keepLines w:val="0"/>
                    <w:suppressLineNumbers w:val="0"/>
                    <w:snapToGrid w:val="0"/>
                    <w:spacing w:before="0" w:beforeAutospacing="0" w:after="0" w:afterAutospacing="0" w:line="240" w:lineRule="auto"/>
                    <w:ind w:left="0" w:right="0"/>
                    <w:jc w:val="center"/>
                    <w:rPr>
                      <w:rFonts w:hint="eastAsia" w:hAnsi="宋体" w:cs="宋体"/>
                      <w:bCs/>
                      <w:color w:val="auto"/>
                      <w:kern w:val="0"/>
                      <w:sz w:val="21"/>
                      <w:szCs w:val="21"/>
                    </w:rPr>
                  </w:pPr>
                </w:p>
              </w:tc>
              <w:tc>
                <w:tcPr>
                  <w:tcW w:w="823" w:type="pct"/>
                  <w:vMerge w:val="continue"/>
                  <w:noWrap w:val="0"/>
                  <w:vAlign w:val="center"/>
                </w:tcPr>
                <w:p w14:paraId="3AD1997A">
                  <w:pPr>
                    <w:keepNext w:val="0"/>
                    <w:keepLines w:val="0"/>
                    <w:widowControl/>
                    <w:suppressLineNumbers w:val="0"/>
                    <w:snapToGrid w:val="0"/>
                    <w:spacing w:before="0" w:beforeAutospacing="0" w:after="0" w:afterAutospacing="0" w:line="240" w:lineRule="auto"/>
                    <w:ind w:left="0" w:right="0"/>
                    <w:jc w:val="left"/>
                    <w:rPr>
                      <w:rFonts w:hint="eastAsia" w:hAnsi="宋体" w:cs="宋体"/>
                      <w:bCs/>
                      <w:color w:val="auto"/>
                      <w:kern w:val="0"/>
                      <w:sz w:val="21"/>
                      <w:szCs w:val="21"/>
                    </w:rPr>
                  </w:pPr>
                </w:p>
              </w:tc>
              <w:tc>
                <w:tcPr>
                  <w:tcW w:w="1004" w:type="pct"/>
                  <w:noWrap w:val="0"/>
                  <w:vAlign w:val="center"/>
                </w:tcPr>
                <w:p w14:paraId="4F513449">
                  <w:pPr>
                    <w:keepNext w:val="0"/>
                    <w:keepLines w:val="0"/>
                    <w:suppressLineNumbers w:val="0"/>
                    <w:snapToGrid w:val="0"/>
                    <w:spacing w:before="0" w:beforeAutospacing="0" w:after="0" w:afterAutospacing="0" w:line="240" w:lineRule="auto"/>
                    <w:ind w:left="0" w:right="0"/>
                    <w:rPr>
                      <w:rFonts w:hint="eastAsia" w:hAnsi="宋体" w:cs="宋体"/>
                      <w:bCs/>
                      <w:color w:val="auto"/>
                      <w:kern w:val="0"/>
                      <w:sz w:val="21"/>
                      <w:szCs w:val="21"/>
                    </w:rPr>
                  </w:pPr>
                  <w:r>
                    <w:rPr>
                      <w:rFonts w:hint="eastAsia" w:hAnsi="宋体" w:cs="宋体"/>
                      <w:bCs/>
                      <w:color w:val="auto"/>
                      <w:kern w:val="0"/>
                      <w:sz w:val="21"/>
                      <w:szCs w:val="21"/>
                    </w:rPr>
                    <w:t>取得用地手续，划定施工作业范围。</w:t>
                  </w:r>
                </w:p>
              </w:tc>
            </w:tr>
            <w:tr w14:paraId="2D708B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0" w:type="pct"/>
                  <w:noWrap w:val="0"/>
                  <w:vAlign w:val="center"/>
                </w:tcPr>
                <w:p w14:paraId="6263FC59">
                  <w:pPr>
                    <w:keepNext w:val="0"/>
                    <w:keepLines w:val="0"/>
                    <w:suppressLineNumbers w:val="0"/>
                    <w:snapToGrid w:val="0"/>
                    <w:spacing w:before="0" w:beforeAutospacing="0" w:after="0" w:afterAutospacing="0" w:line="240" w:lineRule="auto"/>
                    <w:ind w:left="0" w:right="0"/>
                    <w:jc w:val="center"/>
                    <w:rPr>
                      <w:rFonts w:hint="eastAsia" w:hAnsi="宋体" w:cs="宋体"/>
                      <w:bCs/>
                      <w:color w:val="auto"/>
                      <w:kern w:val="0"/>
                      <w:sz w:val="21"/>
                      <w:szCs w:val="21"/>
                    </w:rPr>
                  </w:pPr>
                  <w:r>
                    <w:rPr>
                      <w:rFonts w:hint="eastAsia" w:hAnsi="宋体" w:cs="宋体"/>
                      <w:bCs/>
                      <w:color w:val="auto"/>
                      <w:kern w:val="0"/>
                      <w:sz w:val="21"/>
                      <w:szCs w:val="21"/>
                    </w:rPr>
                    <w:t>7</w:t>
                  </w:r>
                </w:p>
              </w:tc>
              <w:tc>
                <w:tcPr>
                  <w:tcW w:w="1482" w:type="pct"/>
                  <w:noWrap w:val="0"/>
                  <w:vAlign w:val="center"/>
                </w:tcPr>
                <w:p w14:paraId="70CF3A59">
                  <w:pPr>
                    <w:keepNext w:val="0"/>
                    <w:keepLines w:val="0"/>
                    <w:suppressLineNumbers w:val="0"/>
                    <w:snapToGrid w:val="0"/>
                    <w:spacing w:before="0" w:beforeAutospacing="0" w:after="0" w:afterAutospacing="0" w:line="240" w:lineRule="auto"/>
                    <w:ind w:left="0" w:right="0"/>
                    <w:rPr>
                      <w:rFonts w:hint="eastAsia" w:hAnsi="宋体" w:cs="宋体"/>
                      <w:bCs/>
                      <w:color w:val="auto"/>
                      <w:kern w:val="0"/>
                      <w:sz w:val="21"/>
                      <w:szCs w:val="21"/>
                    </w:rPr>
                  </w:pPr>
                  <w:r>
                    <w:rPr>
                      <w:rFonts w:hint="eastAsia" w:hAnsi="宋体" w:cs="宋体"/>
                      <w:bCs/>
                      <w:color w:val="auto"/>
                      <w:kern w:val="0"/>
                      <w:sz w:val="21"/>
                      <w:szCs w:val="21"/>
                    </w:rPr>
                    <w:t>加强宣传教育，设置环保宣传</w:t>
                  </w:r>
                  <w:r>
                    <w:rPr>
                      <w:rFonts w:hint="eastAsia" w:hAnsi="宋体" w:cs="宋体"/>
                      <w:bCs/>
                      <w:color w:val="auto"/>
                      <w:kern w:val="0"/>
                      <w:sz w:val="21"/>
                      <w:szCs w:val="21"/>
                      <w:lang w:val="en-US" w:eastAsia="zh-CN"/>
                    </w:rPr>
                    <w:t>警示</w:t>
                  </w:r>
                  <w:r>
                    <w:rPr>
                      <w:rFonts w:hint="eastAsia" w:hAnsi="宋体" w:cs="宋体"/>
                      <w:bCs/>
                      <w:color w:val="auto"/>
                      <w:kern w:val="0"/>
                      <w:sz w:val="21"/>
                      <w:szCs w:val="21"/>
                    </w:rPr>
                    <w:t>牌。</w:t>
                  </w:r>
                </w:p>
              </w:tc>
              <w:tc>
                <w:tcPr>
                  <w:tcW w:w="418" w:type="pct"/>
                  <w:vMerge w:val="continue"/>
                  <w:noWrap w:val="0"/>
                  <w:vAlign w:val="center"/>
                </w:tcPr>
                <w:p w14:paraId="31D05D80">
                  <w:pPr>
                    <w:keepNext w:val="0"/>
                    <w:keepLines w:val="0"/>
                    <w:widowControl/>
                    <w:suppressLineNumbers w:val="0"/>
                    <w:snapToGrid w:val="0"/>
                    <w:spacing w:before="0" w:beforeAutospacing="0" w:after="0" w:afterAutospacing="0" w:line="240" w:lineRule="auto"/>
                    <w:ind w:left="0" w:right="0"/>
                    <w:rPr>
                      <w:rFonts w:hint="eastAsia" w:hAnsi="宋体" w:cs="宋体"/>
                      <w:bCs/>
                      <w:color w:val="auto"/>
                      <w:kern w:val="0"/>
                      <w:sz w:val="21"/>
                      <w:szCs w:val="21"/>
                    </w:rPr>
                  </w:pPr>
                </w:p>
              </w:tc>
              <w:tc>
                <w:tcPr>
                  <w:tcW w:w="497" w:type="pct"/>
                  <w:vMerge w:val="restart"/>
                  <w:noWrap w:val="0"/>
                  <w:vAlign w:val="center"/>
                </w:tcPr>
                <w:p w14:paraId="4F7A1D87">
                  <w:pPr>
                    <w:keepNext w:val="0"/>
                    <w:keepLines w:val="0"/>
                    <w:suppressLineNumbers w:val="0"/>
                    <w:snapToGrid w:val="0"/>
                    <w:spacing w:before="0" w:beforeAutospacing="0" w:after="0" w:afterAutospacing="0" w:line="240" w:lineRule="auto"/>
                    <w:ind w:left="0" w:right="0"/>
                    <w:jc w:val="center"/>
                    <w:rPr>
                      <w:rFonts w:hint="eastAsia" w:hAnsi="宋体" w:cs="宋体"/>
                      <w:bCs/>
                      <w:color w:val="auto"/>
                      <w:kern w:val="0"/>
                      <w:sz w:val="21"/>
                      <w:szCs w:val="21"/>
                    </w:rPr>
                  </w:pPr>
                  <w:r>
                    <w:rPr>
                      <w:rFonts w:hint="eastAsia" w:hAnsi="宋体" w:cs="宋体"/>
                      <w:bCs/>
                      <w:color w:val="auto"/>
                      <w:kern w:val="0"/>
                      <w:sz w:val="21"/>
                      <w:szCs w:val="21"/>
                    </w:rPr>
                    <w:t>全部施工期</w:t>
                  </w:r>
                </w:p>
                <w:p w14:paraId="298B182A">
                  <w:pPr>
                    <w:keepNext w:val="0"/>
                    <w:keepLines w:val="0"/>
                    <w:suppressLineNumbers w:val="0"/>
                    <w:snapToGrid w:val="0"/>
                    <w:spacing w:before="0" w:beforeAutospacing="0" w:after="0" w:afterAutospacing="0" w:line="240" w:lineRule="auto"/>
                    <w:ind w:left="0" w:right="0"/>
                    <w:jc w:val="center"/>
                    <w:rPr>
                      <w:rFonts w:hint="eastAsia" w:hAnsi="宋体" w:cs="宋体"/>
                      <w:bCs/>
                      <w:color w:val="auto"/>
                      <w:kern w:val="0"/>
                      <w:sz w:val="21"/>
                      <w:szCs w:val="21"/>
                    </w:rPr>
                  </w:pPr>
                </w:p>
              </w:tc>
              <w:tc>
                <w:tcPr>
                  <w:tcW w:w="492" w:type="pct"/>
                  <w:vMerge w:val="continue"/>
                  <w:noWrap w:val="0"/>
                  <w:vAlign w:val="center"/>
                </w:tcPr>
                <w:p w14:paraId="715A9764">
                  <w:pPr>
                    <w:keepNext w:val="0"/>
                    <w:keepLines w:val="0"/>
                    <w:widowControl/>
                    <w:suppressLineNumbers w:val="0"/>
                    <w:snapToGrid w:val="0"/>
                    <w:spacing w:before="0" w:beforeAutospacing="0" w:after="0" w:afterAutospacing="0" w:line="240" w:lineRule="auto"/>
                    <w:ind w:left="0" w:right="0"/>
                    <w:jc w:val="left"/>
                    <w:rPr>
                      <w:rFonts w:hint="eastAsia" w:hAnsi="宋体" w:cs="宋体"/>
                      <w:bCs/>
                      <w:color w:val="auto"/>
                      <w:kern w:val="0"/>
                      <w:sz w:val="21"/>
                      <w:szCs w:val="21"/>
                    </w:rPr>
                  </w:pPr>
                </w:p>
              </w:tc>
              <w:tc>
                <w:tcPr>
                  <w:tcW w:w="823" w:type="pct"/>
                  <w:vMerge w:val="continue"/>
                  <w:noWrap w:val="0"/>
                  <w:vAlign w:val="center"/>
                </w:tcPr>
                <w:p w14:paraId="6D1E7C78">
                  <w:pPr>
                    <w:keepNext w:val="0"/>
                    <w:keepLines w:val="0"/>
                    <w:widowControl/>
                    <w:suppressLineNumbers w:val="0"/>
                    <w:snapToGrid w:val="0"/>
                    <w:spacing w:before="0" w:beforeAutospacing="0" w:after="0" w:afterAutospacing="0" w:line="240" w:lineRule="auto"/>
                    <w:ind w:left="0" w:right="0"/>
                    <w:jc w:val="left"/>
                    <w:rPr>
                      <w:rFonts w:hint="eastAsia" w:hAnsi="宋体" w:cs="宋体"/>
                      <w:bCs/>
                      <w:color w:val="auto"/>
                      <w:kern w:val="0"/>
                      <w:sz w:val="21"/>
                      <w:szCs w:val="21"/>
                    </w:rPr>
                  </w:pPr>
                </w:p>
              </w:tc>
              <w:tc>
                <w:tcPr>
                  <w:tcW w:w="1004" w:type="pct"/>
                  <w:noWrap w:val="0"/>
                  <w:vAlign w:val="center"/>
                </w:tcPr>
                <w:p w14:paraId="3165CFEC">
                  <w:pPr>
                    <w:keepNext w:val="0"/>
                    <w:keepLines w:val="0"/>
                    <w:suppressLineNumbers w:val="0"/>
                    <w:snapToGrid w:val="0"/>
                    <w:spacing w:before="0" w:beforeAutospacing="0" w:after="0" w:afterAutospacing="0" w:line="240" w:lineRule="auto"/>
                    <w:ind w:left="0" w:right="0"/>
                    <w:rPr>
                      <w:rFonts w:hint="eastAsia" w:hAnsi="宋体" w:cs="宋体"/>
                      <w:bCs/>
                      <w:color w:val="auto"/>
                      <w:kern w:val="0"/>
                      <w:sz w:val="21"/>
                      <w:szCs w:val="21"/>
                    </w:rPr>
                  </w:pPr>
                  <w:r>
                    <w:rPr>
                      <w:rFonts w:hint="eastAsia" w:hAnsi="宋体" w:cs="宋体"/>
                      <w:bCs/>
                      <w:color w:val="auto"/>
                      <w:kern w:val="0"/>
                      <w:sz w:val="21"/>
                      <w:szCs w:val="21"/>
                    </w:rPr>
                    <w:t>避免发生施工人员随意惊吓、捕猎、宰杀野生动物，踩踏、破坏植被的现象。</w:t>
                  </w:r>
                </w:p>
              </w:tc>
            </w:tr>
            <w:tr w14:paraId="5AF966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80" w:type="pct"/>
                  <w:noWrap w:val="0"/>
                  <w:vAlign w:val="center"/>
                </w:tcPr>
                <w:p w14:paraId="5142A716">
                  <w:pPr>
                    <w:keepNext w:val="0"/>
                    <w:keepLines w:val="0"/>
                    <w:suppressLineNumbers w:val="0"/>
                    <w:snapToGrid w:val="0"/>
                    <w:spacing w:before="0" w:beforeAutospacing="0" w:after="0" w:afterAutospacing="0" w:line="240" w:lineRule="auto"/>
                    <w:ind w:left="0" w:right="0"/>
                    <w:jc w:val="center"/>
                    <w:rPr>
                      <w:rFonts w:hint="eastAsia" w:hAnsi="宋体" w:cs="宋体"/>
                      <w:bCs/>
                      <w:color w:val="auto"/>
                      <w:kern w:val="0"/>
                      <w:sz w:val="21"/>
                      <w:szCs w:val="21"/>
                    </w:rPr>
                  </w:pPr>
                  <w:r>
                    <w:rPr>
                      <w:rFonts w:hint="eastAsia" w:hAnsi="宋体" w:cs="宋体"/>
                      <w:bCs/>
                      <w:color w:val="auto"/>
                      <w:kern w:val="0"/>
                      <w:sz w:val="21"/>
                      <w:szCs w:val="21"/>
                    </w:rPr>
                    <w:t>8</w:t>
                  </w:r>
                </w:p>
              </w:tc>
              <w:tc>
                <w:tcPr>
                  <w:tcW w:w="1482" w:type="pct"/>
                  <w:noWrap w:val="0"/>
                  <w:vAlign w:val="center"/>
                </w:tcPr>
                <w:p w14:paraId="5B655FD3">
                  <w:pPr>
                    <w:keepNext w:val="0"/>
                    <w:keepLines w:val="0"/>
                    <w:widowControl/>
                    <w:suppressLineNumbers w:val="0"/>
                    <w:snapToGrid w:val="0"/>
                    <w:spacing w:before="0" w:beforeAutospacing="0" w:after="0" w:afterAutospacing="0" w:line="240" w:lineRule="auto"/>
                    <w:ind w:left="0" w:right="0"/>
                    <w:rPr>
                      <w:rFonts w:hint="eastAsia" w:hAnsi="宋体" w:cs="宋体"/>
                      <w:bCs/>
                      <w:color w:val="auto"/>
                      <w:kern w:val="0"/>
                      <w:sz w:val="21"/>
                      <w:szCs w:val="21"/>
                    </w:rPr>
                  </w:pPr>
                  <w:r>
                    <w:rPr>
                      <w:rFonts w:hint="eastAsia" w:hAnsi="宋体" w:cs="宋体"/>
                      <w:bCs/>
                      <w:color w:val="auto"/>
                      <w:kern w:val="0"/>
                      <w:sz w:val="21"/>
                      <w:szCs w:val="21"/>
                    </w:rPr>
                    <w:t>将易于收集的清洗废水等应排入施工营地内的防渗</w:t>
                  </w:r>
                  <w:r>
                    <w:rPr>
                      <w:rFonts w:hint="eastAsia" w:hAnsi="宋体" w:cs="宋体"/>
                      <w:bCs/>
                      <w:color w:val="auto"/>
                      <w:kern w:val="0"/>
                      <w:sz w:val="21"/>
                      <w:szCs w:val="21"/>
                      <w:lang w:val="en-US" w:eastAsia="zh-CN"/>
                    </w:rPr>
                    <w:t>沉淀池</w:t>
                  </w:r>
                  <w:r>
                    <w:rPr>
                      <w:rFonts w:hint="eastAsia" w:hAnsi="宋体" w:cs="宋体"/>
                      <w:bCs/>
                      <w:color w:val="auto"/>
                      <w:kern w:val="0"/>
                      <w:sz w:val="21"/>
                      <w:szCs w:val="21"/>
                    </w:rPr>
                    <w:t>，沉淀后用于施工道路洒水降尘，不外排；施工营地内移动环保公厕</w:t>
                  </w:r>
                  <w:r>
                    <w:rPr>
                      <w:rFonts w:hint="eastAsia" w:hAnsi="宋体" w:cs="宋体"/>
                      <w:bCs/>
                      <w:color w:val="auto"/>
                      <w:kern w:val="0"/>
                      <w:sz w:val="21"/>
                      <w:szCs w:val="21"/>
                      <w:lang w:val="en-US" w:eastAsia="zh-CN"/>
                    </w:rPr>
                    <w:t>及</w:t>
                  </w:r>
                  <w:r>
                    <w:rPr>
                      <w:rFonts w:hint="eastAsia" w:hAnsi="宋体" w:cs="宋体"/>
                      <w:bCs/>
                      <w:color w:val="auto"/>
                      <w:kern w:val="0"/>
                      <w:sz w:val="21"/>
                      <w:szCs w:val="21"/>
                    </w:rPr>
                    <w:t>防渗污水收集池用于解决施工人员生活排污，定期交由环卫部门拉运。</w:t>
                  </w:r>
                </w:p>
              </w:tc>
              <w:tc>
                <w:tcPr>
                  <w:tcW w:w="418" w:type="pct"/>
                  <w:noWrap w:val="0"/>
                  <w:vAlign w:val="center"/>
                </w:tcPr>
                <w:p w14:paraId="2B9C0526">
                  <w:pPr>
                    <w:keepNext w:val="0"/>
                    <w:keepLines w:val="0"/>
                    <w:widowControl/>
                    <w:suppressLineNumbers w:val="0"/>
                    <w:snapToGrid w:val="0"/>
                    <w:spacing w:before="0" w:beforeAutospacing="0" w:after="0" w:afterAutospacing="0" w:line="240" w:lineRule="auto"/>
                    <w:ind w:left="0" w:right="0"/>
                    <w:jc w:val="center"/>
                    <w:rPr>
                      <w:rFonts w:hint="eastAsia" w:hAnsi="宋体" w:cs="宋体"/>
                      <w:bCs/>
                      <w:color w:val="auto"/>
                      <w:kern w:val="0"/>
                      <w:sz w:val="21"/>
                      <w:szCs w:val="21"/>
                    </w:rPr>
                  </w:pPr>
                  <w:r>
                    <w:rPr>
                      <w:rFonts w:hint="eastAsia" w:hAnsi="宋体" w:cs="宋体"/>
                      <w:bCs/>
                      <w:color w:val="auto"/>
                      <w:kern w:val="0"/>
                      <w:sz w:val="21"/>
                      <w:szCs w:val="21"/>
                    </w:rPr>
                    <w:t>项目施工场所、区域</w:t>
                  </w:r>
                </w:p>
              </w:tc>
              <w:tc>
                <w:tcPr>
                  <w:tcW w:w="497" w:type="pct"/>
                  <w:vMerge w:val="continue"/>
                  <w:noWrap w:val="0"/>
                  <w:vAlign w:val="center"/>
                </w:tcPr>
                <w:p w14:paraId="5140D984">
                  <w:pPr>
                    <w:keepNext w:val="0"/>
                    <w:keepLines w:val="0"/>
                    <w:suppressLineNumbers w:val="0"/>
                    <w:snapToGrid w:val="0"/>
                    <w:spacing w:before="0" w:beforeAutospacing="0" w:after="0" w:afterAutospacing="0" w:line="240" w:lineRule="auto"/>
                    <w:ind w:left="0" w:right="0"/>
                    <w:jc w:val="center"/>
                    <w:rPr>
                      <w:rFonts w:hint="eastAsia" w:hAnsi="宋体" w:cs="宋体"/>
                      <w:bCs/>
                      <w:color w:val="auto"/>
                      <w:kern w:val="0"/>
                      <w:sz w:val="21"/>
                      <w:szCs w:val="21"/>
                    </w:rPr>
                  </w:pPr>
                </w:p>
              </w:tc>
              <w:tc>
                <w:tcPr>
                  <w:tcW w:w="492" w:type="pct"/>
                  <w:noWrap w:val="0"/>
                  <w:vAlign w:val="center"/>
                </w:tcPr>
                <w:p w14:paraId="6162FAB7">
                  <w:pPr>
                    <w:keepNext w:val="0"/>
                    <w:keepLines w:val="0"/>
                    <w:widowControl/>
                    <w:suppressLineNumbers w:val="0"/>
                    <w:snapToGrid w:val="0"/>
                    <w:spacing w:before="0" w:beforeAutospacing="0" w:after="0" w:afterAutospacing="0" w:line="240" w:lineRule="auto"/>
                    <w:ind w:left="0" w:right="0"/>
                    <w:jc w:val="center"/>
                    <w:rPr>
                      <w:rFonts w:hint="eastAsia" w:hAnsi="宋体" w:cs="宋体"/>
                      <w:bCs/>
                      <w:color w:val="auto"/>
                      <w:kern w:val="0"/>
                      <w:sz w:val="21"/>
                      <w:szCs w:val="21"/>
                    </w:rPr>
                  </w:pPr>
                  <w:r>
                    <w:rPr>
                      <w:rFonts w:hint="eastAsia" w:hAnsi="宋体" w:cs="宋体"/>
                      <w:bCs/>
                      <w:color w:val="auto"/>
                      <w:kern w:val="0"/>
                      <w:sz w:val="21"/>
                      <w:szCs w:val="21"/>
                    </w:rPr>
                    <w:t>施工单位</w:t>
                  </w:r>
                </w:p>
              </w:tc>
              <w:tc>
                <w:tcPr>
                  <w:tcW w:w="823" w:type="pct"/>
                  <w:vMerge w:val="continue"/>
                  <w:noWrap w:val="0"/>
                  <w:vAlign w:val="center"/>
                </w:tcPr>
                <w:p w14:paraId="682D6E45">
                  <w:pPr>
                    <w:keepNext w:val="0"/>
                    <w:keepLines w:val="0"/>
                    <w:widowControl/>
                    <w:suppressLineNumbers w:val="0"/>
                    <w:snapToGrid w:val="0"/>
                    <w:spacing w:before="0" w:beforeAutospacing="0" w:after="0" w:afterAutospacing="0" w:line="240" w:lineRule="auto"/>
                    <w:ind w:left="0" w:right="0"/>
                    <w:jc w:val="left"/>
                    <w:rPr>
                      <w:rFonts w:hint="eastAsia" w:hAnsi="宋体" w:cs="宋体"/>
                      <w:bCs/>
                      <w:color w:val="auto"/>
                      <w:kern w:val="0"/>
                      <w:sz w:val="21"/>
                      <w:szCs w:val="21"/>
                    </w:rPr>
                  </w:pPr>
                </w:p>
              </w:tc>
              <w:tc>
                <w:tcPr>
                  <w:tcW w:w="1004" w:type="pct"/>
                  <w:noWrap w:val="0"/>
                  <w:vAlign w:val="center"/>
                </w:tcPr>
                <w:p w14:paraId="352CC5B2">
                  <w:pPr>
                    <w:keepNext w:val="0"/>
                    <w:keepLines w:val="0"/>
                    <w:suppressLineNumbers w:val="0"/>
                    <w:snapToGrid w:val="0"/>
                    <w:spacing w:before="0" w:beforeAutospacing="0" w:after="0" w:afterAutospacing="0" w:line="240" w:lineRule="auto"/>
                    <w:ind w:left="0" w:right="0"/>
                    <w:rPr>
                      <w:rFonts w:hint="eastAsia" w:hAnsi="宋体" w:cs="宋体"/>
                      <w:bCs/>
                      <w:color w:val="auto"/>
                      <w:kern w:val="0"/>
                      <w:sz w:val="21"/>
                      <w:szCs w:val="21"/>
                    </w:rPr>
                  </w:pPr>
                  <w:r>
                    <w:rPr>
                      <w:rFonts w:hint="eastAsia" w:hAnsi="宋体" w:cs="宋体"/>
                      <w:bCs/>
                      <w:color w:val="auto"/>
                      <w:sz w:val="21"/>
                      <w:szCs w:val="21"/>
                    </w:rPr>
                    <w:t>对周围水环境影响较小。</w:t>
                  </w:r>
                </w:p>
              </w:tc>
            </w:tr>
            <w:tr w14:paraId="1B0983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280" w:type="pct"/>
                  <w:noWrap w:val="0"/>
                  <w:vAlign w:val="center"/>
                </w:tcPr>
                <w:p w14:paraId="2B5C4FD9">
                  <w:pPr>
                    <w:keepNext w:val="0"/>
                    <w:keepLines w:val="0"/>
                    <w:suppressLineNumbers w:val="0"/>
                    <w:snapToGrid w:val="0"/>
                    <w:spacing w:before="0" w:beforeAutospacing="0" w:after="0" w:afterAutospacing="0" w:line="240" w:lineRule="auto"/>
                    <w:ind w:left="0" w:right="0"/>
                    <w:jc w:val="center"/>
                    <w:rPr>
                      <w:rFonts w:hint="eastAsia" w:hAnsi="宋体" w:cs="宋体"/>
                      <w:bCs/>
                      <w:color w:val="auto"/>
                      <w:kern w:val="0"/>
                      <w:sz w:val="21"/>
                      <w:szCs w:val="21"/>
                    </w:rPr>
                  </w:pPr>
                  <w:r>
                    <w:rPr>
                      <w:rFonts w:hint="eastAsia" w:hAnsi="宋体" w:cs="宋体"/>
                      <w:bCs/>
                      <w:color w:val="auto"/>
                      <w:kern w:val="0"/>
                      <w:sz w:val="21"/>
                      <w:szCs w:val="21"/>
                    </w:rPr>
                    <w:t>9</w:t>
                  </w:r>
                </w:p>
              </w:tc>
              <w:tc>
                <w:tcPr>
                  <w:tcW w:w="1482" w:type="pct"/>
                  <w:noWrap w:val="0"/>
                  <w:vAlign w:val="center"/>
                </w:tcPr>
                <w:p w14:paraId="1D71068E">
                  <w:pPr>
                    <w:keepNext w:val="0"/>
                    <w:keepLines w:val="0"/>
                    <w:suppressLineNumbers w:val="0"/>
                    <w:snapToGrid w:val="0"/>
                    <w:spacing w:before="0" w:beforeAutospacing="0" w:after="0" w:afterAutospacing="0" w:line="240" w:lineRule="auto"/>
                    <w:ind w:left="0" w:right="0"/>
                    <w:rPr>
                      <w:rFonts w:hint="eastAsia" w:hAnsi="宋体" w:cs="宋体"/>
                      <w:bCs/>
                      <w:color w:val="auto"/>
                      <w:sz w:val="21"/>
                      <w:szCs w:val="21"/>
                    </w:rPr>
                  </w:pPr>
                  <w:r>
                    <w:rPr>
                      <w:rFonts w:hint="eastAsia" w:hAnsi="宋体" w:cs="宋体"/>
                      <w:bCs/>
                      <w:color w:val="auto"/>
                      <w:sz w:val="21"/>
                      <w:szCs w:val="21"/>
                    </w:rPr>
                    <w:t>道路及施工面洒水降尘、物料运输篷布遮盖、土石方采用防尘布</w:t>
                  </w:r>
                  <w:r>
                    <w:rPr>
                      <w:rFonts w:hint="eastAsia" w:hAnsi="宋体" w:cs="宋体"/>
                      <w:bCs/>
                      <w:color w:val="auto"/>
                      <w:sz w:val="21"/>
                      <w:szCs w:val="21"/>
                      <w:lang w:eastAsia="zh-CN"/>
                    </w:rPr>
                    <w:t>（</w:t>
                  </w:r>
                  <w:r>
                    <w:rPr>
                      <w:rFonts w:hint="eastAsia" w:hAnsi="宋体" w:cs="宋体"/>
                      <w:bCs/>
                      <w:color w:val="auto"/>
                      <w:sz w:val="21"/>
                      <w:szCs w:val="21"/>
                    </w:rPr>
                    <w:t>网</w:t>
                  </w:r>
                  <w:r>
                    <w:rPr>
                      <w:rFonts w:hint="eastAsia" w:hAnsi="宋体" w:cs="宋体"/>
                      <w:bCs/>
                      <w:color w:val="auto"/>
                      <w:sz w:val="21"/>
                      <w:szCs w:val="21"/>
                      <w:lang w:eastAsia="zh-CN"/>
                    </w:rPr>
                    <w:t>）</w:t>
                  </w:r>
                  <w:r>
                    <w:rPr>
                      <w:rFonts w:hint="eastAsia" w:hAnsi="宋体" w:cs="宋体"/>
                      <w:bCs/>
                      <w:color w:val="auto"/>
                      <w:sz w:val="21"/>
                      <w:szCs w:val="21"/>
                    </w:rPr>
                    <w:t>苫盖、禁止焚烧可燃垃圾。</w:t>
                  </w:r>
                </w:p>
              </w:tc>
              <w:tc>
                <w:tcPr>
                  <w:tcW w:w="418" w:type="pct"/>
                  <w:noWrap w:val="0"/>
                  <w:vAlign w:val="center"/>
                </w:tcPr>
                <w:p w14:paraId="16299EE8">
                  <w:pPr>
                    <w:keepNext w:val="0"/>
                    <w:keepLines w:val="0"/>
                    <w:widowControl/>
                    <w:suppressLineNumbers w:val="0"/>
                    <w:snapToGrid w:val="0"/>
                    <w:spacing w:before="0" w:beforeAutospacing="0" w:after="0" w:afterAutospacing="0" w:line="240" w:lineRule="auto"/>
                    <w:ind w:left="0" w:right="0"/>
                    <w:jc w:val="center"/>
                    <w:rPr>
                      <w:rFonts w:hint="eastAsia" w:hAnsi="宋体" w:cs="宋体"/>
                      <w:bCs/>
                      <w:color w:val="auto"/>
                      <w:sz w:val="21"/>
                      <w:szCs w:val="21"/>
                    </w:rPr>
                  </w:pPr>
                  <w:r>
                    <w:rPr>
                      <w:rFonts w:hint="eastAsia" w:hAnsi="宋体" w:cs="宋体"/>
                      <w:bCs/>
                      <w:color w:val="auto"/>
                      <w:kern w:val="0"/>
                      <w:sz w:val="21"/>
                      <w:szCs w:val="21"/>
                    </w:rPr>
                    <w:t>项目施工场所、区域</w:t>
                  </w:r>
                </w:p>
              </w:tc>
              <w:tc>
                <w:tcPr>
                  <w:tcW w:w="497" w:type="pct"/>
                  <w:vMerge w:val="continue"/>
                  <w:noWrap w:val="0"/>
                  <w:vAlign w:val="center"/>
                </w:tcPr>
                <w:p w14:paraId="34B8E2F4">
                  <w:pPr>
                    <w:keepNext w:val="0"/>
                    <w:keepLines w:val="0"/>
                    <w:suppressLineNumbers w:val="0"/>
                    <w:snapToGrid w:val="0"/>
                    <w:spacing w:before="0" w:beforeAutospacing="0" w:after="0" w:afterAutospacing="0" w:line="240" w:lineRule="auto"/>
                    <w:ind w:left="0" w:right="0"/>
                    <w:jc w:val="center"/>
                    <w:rPr>
                      <w:rFonts w:hint="eastAsia" w:hAnsi="宋体" w:cs="宋体"/>
                      <w:bCs/>
                      <w:color w:val="auto"/>
                      <w:kern w:val="0"/>
                      <w:sz w:val="21"/>
                      <w:szCs w:val="21"/>
                    </w:rPr>
                  </w:pPr>
                </w:p>
              </w:tc>
              <w:tc>
                <w:tcPr>
                  <w:tcW w:w="492" w:type="pct"/>
                  <w:noWrap w:val="0"/>
                  <w:vAlign w:val="center"/>
                </w:tcPr>
                <w:p w14:paraId="4593A931">
                  <w:pPr>
                    <w:keepNext w:val="0"/>
                    <w:keepLines w:val="0"/>
                    <w:widowControl/>
                    <w:suppressLineNumbers w:val="0"/>
                    <w:snapToGrid w:val="0"/>
                    <w:spacing w:before="0" w:beforeAutospacing="0" w:after="0" w:afterAutospacing="0" w:line="240" w:lineRule="auto"/>
                    <w:ind w:left="0" w:right="0"/>
                    <w:jc w:val="center"/>
                    <w:rPr>
                      <w:rFonts w:hint="eastAsia" w:hAnsi="宋体" w:cs="宋体"/>
                      <w:bCs/>
                      <w:color w:val="auto"/>
                      <w:kern w:val="0"/>
                      <w:sz w:val="21"/>
                      <w:szCs w:val="21"/>
                    </w:rPr>
                  </w:pPr>
                  <w:r>
                    <w:rPr>
                      <w:rFonts w:hint="eastAsia" w:hAnsi="宋体" w:cs="宋体"/>
                      <w:bCs/>
                      <w:color w:val="auto"/>
                      <w:kern w:val="0"/>
                      <w:sz w:val="21"/>
                      <w:szCs w:val="21"/>
                    </w:rPr>
                    <w:t>施工单位</w:t>
                  </w:r>
                </w:p>
              </w:tc>
              <w:tc>
                <w:tcPr>
                  <w:tcW w:w="823" w:type="pct"/>
                  <w:vMerge w:val="continue"/>
                  <w:noWrap w:val="0"/>
                  <w:vAlign w:val="center"/>
                </w:tcPr>
                <w:p w14:paraId="1B63E2BF">
                  <w:pPr>
                    <w:keepNext w:val="0"/>
                    <w:keepLines w:val="0"/>
                    <w:widowControl/>
                    <w:suppressLineNumbers w:val="0"/>
                    <w:snapToGrid w:val="0"/>
                    <w:spacing w:before="0" w:beforeAutospacing="0" w:after="0" w:afterAutospacing="0" w:line="240" w:lineRule="auto"/>
                    <w:ind w:left="0" w:right="0"/>
                    <w:jc w:val="left"/>
                    <w:rPr>
                      <w:rFonts w:hint="eastAsia" w:hAnsi="宋体" w:cs="宋体"/>
                      <w:bCs/>
                      <w:color w:val="auto"/>
                      <w:kern w:val="0"/>
                      <w:sz w:val="21"/>
                      <w:szCs w:val="21"/>
                    </w:rPr>
                  </w:pPr>
                </w:p>
              </w:tc>
              <w:tc>
                <w:tcPr>
                  <w:tcW w:w="1004" w:type="pct"/>
                  <w:noWrap w:val="0"/>
                  <w:vAlign w:val="center"/>
                </w:tcPr>
                <w:p w14:paraId="06AFB520">
                  <w:pPr>
                    <w:keepNext w:val="0"/>
                    <w:keepLines w:val="0"/>
                    <w:suppressLineNumbers w:val="0"/>
                    <w:snapToGrid w:val="0"/>
                    <w:spacing w:before="0" w:beforeAutospacing="0" w:after="0" w:afterAutospacing="0" w:line="240" w:lineRule="auto"/>
                    <w:ind w:left="0" w:right="0"/>
                    <w:rPr>
                      <w:rFonts w:hint="eastAsia" w:hAnsi="宋体" w:cs="宋体"/>
                      <w:bCs/>
                      <w:color w:val="auto"/>
                      <w:sz w:val="21"/>
                      <w:szCs w:val="21"/>
                    </w:rPr>
                  </w:pPr>
                  <w:r>
                    <w:rPr>
                      <w:rFonts w:hint="eastAsia" w:hAnsi="宋体" w:cs="宋体"/>
                      <w:bCs/>
                      <w:color w:val="auto"/>
                      <w:sz w:val="21"/>
                      <w:szCs w:val="21"/>
                    </w:rPr>
                    <w:t>对周边大气环境影响较小。</w:t>
                  </w:r>
                </w:p>
              </w:tc>
            </w:tr>
            <w:tr w14:paraId="3EFE01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280" w:type="pct"/>
                  <w:noWrap w:val="0"/>
                  <w:vAlign w:val="center"/>
                </w:tcPr>
                <w:p w14:paraId="1F95B1CE">
                  <w:pPr>
                    <w:keepNext w:val="0"/>
                    <w:keepLines w:val="0"/>
                    <w:suppressLineNumbers w:val="0"/>
                    <w:snapToGrid w:val="0"/>
                    <w:spacing w:before="0" w:beforeAutospacing="0" w:after="0" w:afterAutospacing="0" w:line="240" w:lineRule="auto"/>
                    <w:ind w:left="0" w:right="0"/>
                    <w:jc w:val="center"/>
                    <w:rPr>
                      <w:rFonts w:hint="eastAsia" w:hAnsi="宋体" w:cs="宋体"/>
                      <w:bCs/>
                      <w:color w:val="auto"/>
                      <w:kern w:val="0"/>
                      <w:sz w:val="21"/>
                      <w:szCs w:val="21"/>
                    </w:rPr>
                  </w:pPr>
                  <w:r>
                    <w:rPr>
                      <w:rFonts w:hint="eastAsia" w:hAnsi="宋体" w:cs="宋体"/>
                      <w:bCs/>
                      <w:color w:val="auto"/>
                      <w:kern w:val="0"/>
                      <w:sz w:val="21"/>
                      <w:szCs w:val="21"/>
                    </w:rPr>
                    <w:t>10</w:t>
                  </w:r>
                </w:p>
              </w:tc>
              <w:tc>
                <w:tcPr>
                  <w:tcW w:w="1482" w:type="pct"/>
                  <w:noWrap w:val="0"/>
                  <w:vAlign w:val="center"/>
                </w:tcPr>
                <w:p w14:paraId="3A5BA20F">
                  <w:pPr>
                    <w:keepNext w:val="0"/>
                    <w:keepLines w:val="0"/>
                    <w:suppressLineNumbers w:val="0"/>
                    <w:snapToGrid w:val="0"/>
                    <w:spacing w:before="0" w:beforeAutospacing="0" w:after="0" w:afterAutospacing="0" w:line="240" w:lineRule="auto"/>
                    <w:ind w:left="0" w:right="0"/>
                    <w:rPr>
                      <w:rFonts w:hint="eastAsia" w:hAnsi="宋体" w:cs="宋体"/>
                      <w:bCs/>
                      <w:color w:val="auto"/>
                      <w:sz w:val="21"/>
                      <w:szCs w:val="21"/>
                    </w:rPr>
                  </w:pPr>
                  <w:r>
                    <w:rPr>
                      <w:rFonts w:hint="eastAsia" w:hAnsi="宋体" w:cs="宋体"/>
                      <w:bCs/>
                      <w:color w:val="auto"/>
                      <w:spacing w:val="-4"/>
                      <w:sz w:val="21"/>
                      <w:szCs w:val="21"/>
                    </w:rPr>
                    <w:t>施工</w:t>
                  </w:r>
                  <w:r>
                    <w:rPr>
                      <w:rFonts w:hint="eastAsia" w:hAnsi="宋体" w:cs="宋体"/>
                      <w:bCs/>
                      <w:color w:val="auto"/>
                      <w:sz w:val="21"/>
                      <w:szCs w:val="21"/>
                    </w:rPr>
                    <w:t>土方回填、</w:t>
                  </w:r>
                  <w:r>
                    <w:rPr>
                      <w:rFonts w:hint="eastAsia" w:hAnsi="宋体" w:cs="宋体"/>
                      <w:bCs/>
                      <w:color w:val="auto"/>
                      <w:spacing w:val="-4"/>
                      <w:sz w:val="21"/>
                      <w:szCs w:val="21"/>
                    </w:rPr>
                    <w:t>护坡、</w:t>
                  </w:r>
                  <w:r>
                    <w:rPr>
                      <w:rFonts w:hint="eastAsia" w:hAnsi="宋体" w:cs="宋体"/>
                      <w:bCs/>
                      <w:color w:val="auto"/>
                      <w:sz w:val="21"/>
                      <w:szCs w:val="21"/>
                    </w:rPr>
                    <w:t>平整及迹地恢复；包装袋统一回收、综合利用。</w:t>
                  </w:r>
                </w:p>
              </w:tc>
              <w:tc>
                <w:tcPr>
                  <w:tcW w:w="418" w:type="pct"/>
                  <w:noWrap w:val="0"/>
                  <w:vAlign w:val="center"/>
                </w:tcPr>
                <w:p w14:paraId="0EEEAD2A">
                  <w:pPr>
                    <w:keepNext w:val="0"/>
                    <w:keepLines w:val="0"/>
                    <w:widowControl/>
                    <w:suppressLineNumbers w:val="0"/>
                    <w:snapToGrid w:val="0"/>
                    <w:spacing w:before="0" w:beforeAutospacing="0" w:after="0" w:afterAutospacing="0" w:line="240" w:lineRule="auto"/>
                    <w:ind w:left="0" w:right="0"/>
                    <w:jc w:val="center"/>
                    <w:rPr>
                      <w:rFonts w:hint="eastAsia" w:hAnsi="宋体" w:cs="宋体"/>
                      <w:bCs/>
                      <w:color w:val="auto"/>
                      <w:sz w:val="21"/>
                      <w:szCs w:val="21"/>
                    </w:rPr>
                  </w:pPr>
                  <w:r>
                    <w:rPr>
                      <w:rFonts w:hint="eastAsia" w:hAnsi="宋体" w:cs="宋体"/>
                      <w:bCs/>
                      <w:color w:val="auto"/>
                      <w:kern w:val="0"/>
                      <w:sz w:val="21"/>
                      <w:szCs w:val="21"/>
                    </w:rPr>
                    <w:t>项目施工场所、区域</w:t>
                  </w:r>
                </w:p>
              </w:tc>
              <w:tc>
                <w:tcPr>
                  <w:tcW w:w="497" w:type="pct"/>
                  <w:vMerge w:val="continue"/>
                  <w:noWrap w:val="0"/>
                  <w:vAlign w:val="center"/>
                </w:tcPr>
                <w:p w14:paraId="5D70B4D8">
                  <w:pPr>
                    <w:keepNext w:val="0"/>
                    <w:keepLines w:val="0"/>
                    <w:suppressLineNumbers w:val="0"/>
                    <w:snapToGrid w:val="0"/>
                    <w:spacing w:before="0" w:beforeAutospacing="0" w:after="0" w:afterAutospacing="0" w:line="240" w:lineRule="auto"/>
                    <w:ind w:left="0" w:right="0"/>
                    <w:jc w:val="center"/>
                    <w:rPr>
                      <w:rFonts w:hint="eastAsia" w:hAnsi="宋体" w:cs="宋体"/>
                      <w:bCs/>
                      <w:color w:val="auto"/>
                      <w:kern w:val="0"/>
                      <w:sz w:val="21"/>
                      <w:szCs w:val="21"/>
                    </w:rPr>
                  </w:pPr>
                </w:p>
              </w:tc>
              <w:tc>
                <w:tcPr>
                  <w:tcW w:w="492" w:type="pct"/>
                  <w:noWrap w:val="0"/>
                  <w:vAlign w:val="center"/>
                </w:tcPr>
                <w:p w14:paraId="130096B8">
                  <w:pPr>
                    <w:keepNext w:val="0"/>
                    <w:keepLines w:val="0"/>
                    <w:widowControl/>
                    <w:suppressLineNumbers w:val="0"/>
                    <w:snapToGrid w:val="0"/>
                    <w:spacing w:before="0" w:beforeAutospacing="0" w:after="0" w:afterAutospacing="0" w:line="240" w:lineRule="auto"/>
                    <w:ind w:left="0" w:right="0"/>
                    <w:jc w:val="center"/>
                    <w:rPr>
                      <w:rFonts w:hint="eastAsia" w:hAnsi="宋体" w:cs="宋体"/>
                      <w:bCs/>
                      <w:color w:val="auto"/>
                      <w:kern w:val="0"/>
                      <w:sz w:val="21"/>
                      <w:szCs w:val="21"/>
                    </w:rPr>
                  </w:pPr>
                  <w:r>
                    <w:rPr>
                      <w:rFonts w:hint="eastAsia" w:hAnsi="宋体" w:cs="宋体"/>
                      <w:bCs/>
                      <w:color w:val="auto"/>
                      <w:kern w:val="0"/>
                      <w:sz w:val="21"/>
                      <w:szCs w:val="21"/>
                    </w:rPr>
                    <w:t>施工单位</w:t>
                  </w:r>
                </w:p>
              </w:tc>
              <w:tc>
                <w:tcPr>
                  <w:tcW w:w="823" w:type="pct"/>
                  <w:vMerge w:val="continue"/>
                  <w:noWrap w:val="0"/>
                  <w:vAlign w:val="center"/>
                </w:tcPr>
                <w:p w14:paraId="43105548">
                  <w:pPr>
                    <w:keepNext w:val="0"/>
                    <w:keepLines w:val="0"/>
                    <w:widowControl/>
                    <w:suppressLineNumbers w:val="0"/>
                    <w:snapToGrid w:val="0"/>
                    <w:spacing w:before="0" w:beforeAutospacing="0" w:after="0" w:afterAutospacing="0" w:line="240" w:lineRule="auto"/>
                    <w:ind w:left="0" w:right="0"/>
                    <w:jc w:val="left"/>
                    <w:rPr>
                      <w:rFonts w:hint="eastAsia" w:hAnsi="宋体" w:cs="宋体"/>
                      <w:bCs/>
                      <w:color w:val="auto"/>
                      <w:kern w:val="0"/>
                      <w:sz w:val="21"/>
                      <w:szCs w:val="21"/>
                    </w:rPr>
                  </w:pPr>
                </w:p>
              </w:tc>
              <w:tc>
                <w:tcPr>
                  <w:tcW w:w="1004" w:type="pct"/>
                  <w:noWrap w:val="0"/>
                  <w:vAlign w:val="center"/>
                </w:tcPr>
                <w:p w14:paraId="07AF6180">
                  <w:pPr>
                    <w:keepNext w:val="0"/>
                    <w:keepLines w:val="0"/>
                    <w:suppressLineNumbers w:val="0"/>
                    <w:snapToGrid w:val="0"/>
                    <w:spacing w:before="0" w:beforeAutospacing="0" w:after="0" w:afterAutospacing="0" w:line="240" w:lineRule="auto"/>
                    <w:ind w:left="0" w:right="0"/>
                    <w:rPr>
                      <w:rFonts w:hint="eastAsia" w:hAnsi="宋体" w:cs="宋体"/>
                      <w:bCs/>
                      <w:color w:val="auto"/>
                      <w:sz w:val="21"/>
                      <w:szCs w:val="21"/>
                    </w:rPr>
                  </w:pPr>
                  <w:r>
                    <w:rPr>
                      <w:rFonts w:hint="eastAsia" w:hAnsi="宋体" w:cs="宋体"/>
                      <w:bCs/>
                      <w:color w:val="auto"/>
                      <w:sz w:val="21"/>
                      <w:szCs w:val="21"/>
                    </w:rPr>
                    <w:t>固废均得到有效处置，施工迹地得以恢复。</w:t>
                  </w:r>
                </w:p>
              </w:tc>
            </w:tr>
          </w:tbl>
          <w:p w14:paraId="1EADB2AD">
            <w:pPr>
              <w:pStyle w:val="8"/>
              <w:keepNext w:val="0"/>
              <w:keepLines w:val="0"/>
              <w:suppressLineNumbers w:val="0"/>
              <w:adjustRightInd w:val="0"/>
              <w:snapToGrid w:val="0"/>
              <w:spacing w:before="0" w:beforeAutospacing="0" w:after="0" w:afterAutospacing="0" w:line="360" w:lineRule="auto"/>
              <w:ind w:left="0" w:right="0"/>
              <w:outlineLvl w:val="9"/>
              <w:rPr>
                <w:rFonts w:hint="default" w:ascii="宋体" w:hAnsi="宋体" w:eastAsia="宋体" w:cs="宋体"/>
                <w:color w:val="0000FF"/>
                <w:kern w:val="2"/>
                <w:sz w:val="24"/>
                <w:szCs w:val="24"/>
                <w:lang w:val="en-US" w:eastAsia="zh-CN" w:bidi="ar-SA"/>
              </w:rPr>
            </w:pPr>
          </w:p>
          <w:p w14:paraId="2A2089B1">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3B174577">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113B1324">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58E73769">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56C3B35D">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0B60CF31">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2217173F">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07E674F2">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7DB29978">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0A3D9E72">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4C2D4DC4">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6BC498E0">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6443590D">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49476B3E">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1004BB95">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6D91523E">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1CF74326">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64C1CEFF">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36D0DD4B">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6394C107">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28205356">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3A8D815A">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44221FB8">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103DE768">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3B7C3057">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731250A6">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46F26D63">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7755A8DB">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162F2005">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4C8BC9DD">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4BF028A1">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305D6F3F">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6305717D">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02E67070">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779AE375">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p w14:paraId="59EEDF4E">
            <w:pPr>
              <w:pStyle w:val="9"/>
              <w:keepNext w:val="0"/>
              <w:keepLines w:val="0"/>
              <w:suppressLineNumbers w:val="0"/>
              <w:spacing w:before="0" w:beforeAutospacing="0" w:after="0" w:afterAutospacing="0"/>
              <w:ind w:right="0"/>
              <w:rPr>
                <w:rFonts w:hint="default" w:ascii="宋体" w:hAnsi="宋体" w:eastAsia="宋体" w:cs="宋体"/>
                <w:color w:val="0000FF"/>
                <w:kern w:val="2"/>
                <w:sz w:val="24"/>
                <w:szCs w:val="24"/>
                <w:lang w:val="en-US" w:eastAsia="zh-CN" w:bidi="ar-SA"/>
              </w:rPr>
            </w:pPr>
          </w:p>
        </w:tc>
      </w:tr>
    </w:tbl>
    <w:p w14:paraId="1191E295">
      <w:pPr>
        <w:outlineLvl w:val="9"/>
        <w:rPr>
          <w:rFonts w:hint="eastAsia" w:ascii="宋体" w:hAnsi="宋体" w:eastAsia="宋体" w:cs="宋体"/>
          <w:color w:val="0000FF"/>
        </w:rPr>
        <w:sectPr>
          <w:pgSz w:w="11907" w:h="16840"/>
          <w:pgMar w:top="1440" w:right="1797" w:bottom="1440" w:left="1797"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32"/>
        <w:tblW w:w="844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7936"/>
      </w:tblGrid>
      <w:tr w14:paraId="77B403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13" w:type="dxa"/>
            <w:noWrap w:val="0"/>
            <w:tcMar>
              <w:left w:w="28" w:type="dxa"/>
              <w:right w:w="28" w:type="dxa"/>
            </w:tcMar>
            <w:vAlign w:val="center"/>
          </w:tcPr>
          <w:p w14:paraId="5C74B7A0">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bCs/>
                <w:color w:val="0000FF"/>
                <w:spacing w:val="10"/>
                <w:sz w:val="24"/>
                <w:szCs w:val="24"/>
                <w:highlight w:val="none"/>
              </w:rPr>
            </w:pPr>
            <w:r>
              <w:rPr>
                <w:rFonts w:hint="eastAsia" w:ascii="宋体" w:hAnsi="宋体" w:eastAsia="宋体" w:cs="宋体"/>
                <w:bCs/>
                <w:color w:val="auto"/>
                <w:spacing w:val="10"/>
                <w:sz w:val="24"/>
                <w:szCs w:val="24"/>
                <w:highlight w:val="none"/>
              </w:rPr>
              <w:t>运营期生态环境保护措施</w:t>
            </w:r>
          </w:p>
        </w:tc>
        <w:tc>
          <w:tcPr>
            <w:tcW w:w="7936" w:type="dxa"/>
            <w:noWrap w:val="0"/>
            <w:vAlign w:val="top"/>
          </w:tcPr>
          <w:p w14:paraId="60766B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1运营期生态环境保护措施</w:t>
            </w:r>
          </w:p>
          <w:p w14:paraId="057C8F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sz w:val="24"/>
                <w:szCs w:val="24"/>
                <w:highlight w:val="none"/>
                <w:lang w:val="en-US" w:eastAsia="zh-CN"/>
              </w:rPr>
              <w:t>运营</w:t>
            </w:r>
            <w:r>
              <w:rPr>
                <w:rFonts w:hint="eastAsia" w:ascii="宋体" w:hAnsi="宋体" w:cs="宋体"/>
                <w:color w:val="auto"/>
                <w:sz w:val="24"/>
                <w:szCs w:val="24"/>
                <w:highlight w:val="none"/>
                <w:lang w:val="en-US" w:eastAsia="zh-CN"/>
              </w:rPr>
              <w:t>期间</w:t>
            </w:r>
            <w:r>
              <w:rPr>
                <w:rFonts w:hint="eastAsia" w:ascii="宋体" w:hAnsi="宋体" w:eastAsia="宋体" w:cs="宋体"/>
                <w:color w:val="auto"/>
                <w:sz w:val="24"/>
                <w:szCs w:val="24"/>
                <w:highlight w:val="none"/>
                <w:lang w:val="en-US" w:eastAsia="zh-CN"/>
              </w:rPr>
              <w:t>，升压站内采用地面硬化及碎石覆盖等生态保护措施，线路检修</w:t>
            </w:r>
            <w:r>
              <w:rPr>
                <w:rFonts w:hint="eastAsia" w:ascii="宋体" w:hAnsi="宋体" w:eastAsia="宋体" w:cs="宋体"/>
                <w:color w:val="auto"/>
                <w:kern w:val="0"/>
                <w:sz w:val="24"/>
                <w:highlight w:val="none"/>
              </w:rPr>
              <w:t>不得随意扩大或变更行车道路的宽度和长度，避免行驶车辆及检修人员的行走路线对征地范围外地表</w:t>
            </w:r>
            <w:r>
              <w:rPr>
                <w:rFonts w:hint="eastAsia" w:ascii="宋体" w:hAnsi="宋体" w:eastAsia="宋体" w:cs="宋体"/>
                <w:color w:val="auto"/>
                <w:kern w:val="0"/>
                <w:sz w:val="24"/>
                <w:highlight w:val="none"/>
                <w:lang w:val="en-US" w:eastAsia="zh-CN"/>
              </w:rPr>
              <w:t>的</w:t>
            </w:r>
            <w:r>
              <w:rPr>
                <w:rFonts w:hint="eastAsia" w:ascii="宋体" w:hAnsi="宋体" w:eastAsia="宋体" w:cs="宋体"/>
                <w:color w:val="auto"/>
                <w:kern w:val="0"/>
                <w:sz w:val="24"/>
                <w:highlight w:val="none"/>
              </w:rPr>
              <w:t>碾压扰动。</w:t>
            </w:r>
          </w:p>
          <w:p w14:paraId="56BFB0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通过上述措施可减少项目运营期对周边生态环境的影响。</w:t>
            </w:r>
          </w:p>
          <w:p w14:paraId="66EABEC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2运营期</w:t>
            </w:r>
            <w:r>
              <w:rPr>
                <w:rFonts w:hint="eastAsia" w:ascii="宋体" w:hAnsi="宋体" w:eastAsia="宋体" w:cs="宋体"/>
                <w:b/>
                <w:bCs/>
                <w:color w:val="auto"/>
                <w:sz w:val="24"/>
                <w:szCs w:val="24"/>
                <w:lang w:val="en-US" w:eastAsia="zh-CN"/>
              </w:rPr>
              <w:t>废气防治措施</w:t>
            </w:r>
          </w:p>
          <w:p w14:paraId="0AFF039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升压站食堂会产生少量油烟，通过安装油烟机进行处理后排放。</w:t>
            </w:r>
          </w:p>
          <w:p w14:paraId="66F66310">
            <w:pPr>
              <w:keepNext w:val="0"/>
              <w:keepLines w:val="0"/>
              <w:pageBreakBefore w:val="0"/>
              <w:suppressLineNumbers w:val="0"/>
              <w:kinsoku/>
              <w:wordWrap/>
              <w:topLinePunct w:val="0"/>
              <w:autoSpaceDE/>
              <w:autoSpaceDN/>
              <w:bidi w:val="0"/>
              <w:adjustRightInd/>
              <w:snapToGrid/>
              <w:spacing w:before="0" w:beforeAutospacing="0" w:after="0" w:afterAutospacing="0" w:line="360" w:lineRule="auto"/>
              <w:ind w:left="0" w:right="0"/>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rPr>
              <w:t>运营期废水防治措施</w:t>
            </w:r>
          </w:p>
          <w:p w14:paraId="2C6B605A">
            <w:pPr>
              <w:keepNext w:val="0"/>
              <w:keepLines w:val="0"/>
              <w:pageBreakBefore w:val="0"/>
              <w:suppressLineNumbers w:val="0"/>
              <w:kinsoku/>
              <w:wordWrap/>
              <w:topLinePunct w:val="0"/>
              <w:autoSpaceDE/>
              <w:autoSpaceDN/>
              <w:bidi w:val="0"/>
              <w:adjustRightInd/>
              <w:snapToGrid/>
              <w:spacing w:before="0" w:beforeAutospacing="0" w:after="0" w:afterAutospacing="0" w:line="360" w:lineRule="auto"/>
              <w:ind w:left="0" w:right="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生活污水</w:t>
            </w:r>
            <w:r>
              <w:rPr>
                <w:rFonts w:hint="eastAsia" w:ascii="宋体" w:hAnsi="宋体" w:eastAsia="宋体" w:cs="宋体"/>
                <w:color w:val="auto"/>
                <w:kern w:val="2"/>
                <w:sz w:val="24"/>
              </w:rPr>
              <w:t>年</w:t>
            </w:r>
            <w:r>
              <w:rPr>
                <w:rFonts w:hint="eastAsia" w:ascii="宋体" w:hAnsi="宋体" w:cs="宋体"/>
                <w:color w:val="auto"/>
                <w:kern w:val="2"/>
                <w:sz w:val="24"/>
                <w:lang w:val="en-US" w:eastAsia="zh-CN"/>
              </w:rPr>
              <w:t>产生</w:t>
            </w:r>
            <w:r>
              <w:rPr>
                <w:rFonts w:hint="eastAsia" w:ascii="宋体" w:hAnsi="宋体" w:eastAsia="宋体" w:cs="宋体"/>
                <w:color w:val="auto"/>
                <w:kern w:val="2"/>
                <w:sz w:val="24"/>
              </w:rPr>
              <w:t>量约</w:t>
            </w:r>
            <w:r>
              <w:rPr>
                <w:rFonts w:hint="eastAsia" w:ascii="宋体" w:hAnsi="宋体" w:eastAsia="宋体" w:cs="宋体"/>
                <w:color w:val="auto"/>
                <w:kern w:val="2"/>
                <w:sz w:val="24"/>
                <w:lang w:val="en-US" w:eastAsia="zh-CN"/>
              </w:rPr>
              <w:t>233.6</w:t>
            </w:r>
            <w:r>
              <w:rPr>
                <w:rFonts w:hint="eastAsia" w:ascii="宋体" w:hAnsi="宋体" w:eastAsia="宋体" w:cs="宋体"/>
                <w:color w:val="auto"/>
                <w:kern w:val="2"/>
                <w:sz w:val="24"/>
              </w:rPr>
              <w:t>m</w:t>
            </w:r>
            <w:r>
              <w:rPr>
                <w:rFonts w:hint="eastAsia" w:ascii="宋体" w:hAnsi="宋体" w:eastAsia="宋体" w:cs="宋体"/>
                <w:color w:val="auto"/>
                <w:kern w:val="2"/>
                <w:sz w:val="24"/>
                <w:vertAlign w:val="superscript"/>
              </w:rPr>
              <w:t>3</w:t>
            </w:r>
            <w:r>
              <w:rPr>
                <w:rFonts w:hint="eastAsia" w:ascii="宋体" w:hAnsi="宋体" w:eastAsia="宋体" w:cs="宋体"/>
                <w:color w:val="auto"/>
                <w:kern w:val="2"/>
                <w:sz w:val="24"/>
              </w:rPr>
              <w:t>/a，</w:t>
            </w:r>
            <w:r>
              <w:rPr>
                <w:rFonts w:hint="eastAsia" w:ascii="宋体" w:hAnsi="宋体" w:eastAsia="宋体" w:cs="宋体"/>
                <w:color w:val="auto"/>
                <w:sz w:val="24"/>
                <w:szCs w:val="24"/>
                <w:lang w:val="en-US" w:eastAsia="zh-CN"/>
              </w:rPr>
              <w:t>经地埋式一体化生活污水处理装置处理达到《农村生活污水处理排放标准》</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DB654275-2019</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中</w:t>
            </w:r>
            <w:r>
              <w:rPr>
                <w:rFonts w:hint="eastAsia" w:ascii="宋体" w:hAnsi="宋体" w:cs="宋体"/>
                <w:color w:val="auto"/>
                <w:sz w:val="24"/>
                <w:szCs w:val="24"/>
                <w:lang w:val="en-US" w:eastAsia="zh-CN"/>
              </w:rPr>
              <w:t>表2中B</w:t>
            </w:r>
            <w:r>
              <w:rPr>
                <w:rFonts w:hint="eastAsia" w:ascii="宋体" w:hAnsi="宋体" w:eastAsia="宋体" w:cs="宋体"/>
                <w:color w:val="auto"/>
                <w:sz w:val="24"/>
                <w:szCs w:val="24"/>
                <w:lang w:val="en-US" w:eastAsia="zh-CN"/>
              </w:rPr>
              <w:t>级标准的要求后用于</w:t>
            </w:r>
            <w:r>
              <w:rPr>
                <w:rFonts w:hint="eastAsia" w:ascii="宋体" w:hAnsi="宋体" w:cs="宋体"/>
                <w:color w:val="auto"/>
                <w:sz w:val="24"/>
                <w:szCs w:val="24"/>
                <w:lang w:val="en-US" w:eastAsia="zh-CN"/>
              </w:rPr>
              <w:t>场区绿化，不外排</w:t>
            </w:r>
            <w:r>
              <w:rPr>
                <w:rFonts w:hint="eastAsia" w:ascii="宋体" w:hAnsi="宋体" w:eastAsia="宋体" w:cs="宋体"/>
                <w:color w:val="auto"/>
                <w:sz w:val="24"/>
                <w:szCs w:val="24"/>
                <w:lang w:val="en-US" w:eastAsia="zh-CN"/>
              </w:rPr>
              <w:t>，以达到项目水资源化利用，因此对环境影响不大</w:t>
            </w:r>
            <w:r>
              <w:rPr>
                <w:rFonts w:hint="eastAsia" w:ascii="宋体" w:hAnsi="宋体" w:eastAsia="宋体" w:cs="宋体"/>
                <w:color w:val="auto"/>
                <w:sz w:val="24"/>
                <w:szCs w:val="24"/>
              </w:rPr>
              <w:t>。</w:t>
            </w:r>
          </w:p>
          <w:p w14:paraId="1EA93934">
            <w:pPr>
              <w:keepNext w:val="0"/>
              <w:keepLines w:val="0"/>
              <w:pageBreakBefore w:val="0"/>
              <w:suppressLineNumbers w:val="0"/>
              <w:kinsoku/>
              <w:wordWrap/>
              <w:topLinePunct w:val="0"/>
              <w:autoSpaceDE/>
              <w:autoSpaceDN/>
              <w:bidi w:val="0"/>
              <w:adjustRightInd/>
              <w:snapToGrid/>
              <w:spacing w:before="0" w:beforeAutospacing="0" w:after="0" w:afterAutospacing="0" w:line="360" w:lineRule="auto"/>
              <w:ind w:left="0" w:right="0" w:firstLine="48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地埋式一体化生活污水处理装置工艺设计简捷，不需复杂的管理，投资低，运行稳定，出水水质可以满足</w:t>
            </w:r>
            <w:r>
              <w:rPr>
                <w:rFonts w:hint="eastAsia" w:ascii="宋体" w:hAnsi="宋体" w:eastAsia="宋体" w:cs="宋体"/>
                <w:color w:val="auto"/>
                <w:sz w:val="24"/>
                <w:szCs w:val="24"/>
                <w:lang w:val="en-US" w:eastAsia="zh-CN"/>
              </w:rPr>
              <w:t>《农村生活污水处理排放标准》</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DB654275-2019</w:t>
            </w:r>
            <w:r>
              <w:rPr>
                <w:rFonts w:hint="eastAsia" w:ascii="宋体" w:hAnsi="宋体" w:cs="宋体"/>
                <w:color w:val="auto"/>
                <w:sz w:val="24"/>
                <w:szCs w:val="24"/>
                <w:lang w:val="en-US" w:eastAsia="zh-CN"/>
              </w:rPr>
              <w:t>）表2中B</w:t>
            </w:r>
            <w:r>
              <w:rPr>
                <w:rFonts w:hint="eastAsia" w:ascii="宋体" w:hAnsi="宋体" w:eastAsia="宋体" w:cs="宋体"/>
                <w:color w:val="auto"/>
                <w:sz w:val="24"/>
                <w:szCs w:val="24"/>
                <w:lang w:val="en-US" w:eastAsia="zh-CN"/>
              </w:rPr>
              <w:t>级标准的要求，</w:t>
            </w:r>
            <w:r>
              <w:rPr>
                <w:rFonts w:hint="eastAsia" w:ascii="宋体" w:hAnsi="宋体" w:eastAsia="宋体" w:cs="宋体"/>
                <w:color w:val="auto"/>
                <w:sz w:val="24"/>
                <w:szCs w:val="24"/>
                <w:highlight w:val="none"/>
                <w:lang w:val="en-US" w:eastAsia="zh-CN"/>
              </w:rPr>
              <w:t>在适宜的条件下具有较大的经济和社会效益。</w:t>
            </w:r>
          </w:p>
          <w:p w14:paraId="487FF0F7">
            <w:pPr>
              <w:keepNext w:val="0"/>
              <w:keepLines w:val="0"/>
              <w:pageBreakBefore w:val="0"/>
              <w:suppressLineNumbers w:val="0"/>
              <w:kinsoku/>
              <w:wordWrap/>
              <w:topLinePunct w:val="0"/>
              <w:autoSpaceDE/>
              <w:autoSpaceDN/>
              <w:bidi w:val="0"/>
              <w:adjustRightInd/>
              <w:snapToGrid/>
              <w:spacing w:before="0" w:beforeAutospacing="0" w:after="0" w:afterAutospacing="0" w:line="360" w:lineRule="auto"/>
              <w:ind w:left="0" w:right="0"/>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运营期声环境保护措施</w:t>
            </w:r>
          </w:p>
          <w:p w14:paraId="1C45E9BE">
            <w:pPr>
              <w:keepNext w:val="0"/>
              <w:keepLines w:val="0"/>
              <w:widowControl w:val="0"/>
              <w:suppressLineNumbers w:val="0"/>
              <w:autoSpaceDE w:val="0"/>
              <w:autoSpaceDN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lang w:val="en-US"/>
              </w:rPr>
            </w:pPr>
            <w:r>
              <w:rPr>
                <w:rFonts w:hint="eastAsia" w:ascii="宋体" w:hAnsi="宋体" w:eastAsia="宋体" w:cs="宋体"/>
                <w:color w:val="auto"/>
                <w:sz w:val="24"/>
                <w:szCs w:val="24"/>
                <w:highlight w:val="none"/>
                <w:lang w:val="en-US" w:eastAsia="zh-CN"/>
              </w:rPr>
              <w:t>升压</w:t>
            </w:r>
            <w:r>
              <w:rPr>
                <w:rFonts w:hint="eastAsia" w:ascii="宋体" w:hAnsi="宋体" w:eastAsia="宋体" w:cs="宋体"/>
                <w:color w:val="auto"/>
                <w:sz w:val="24"/>
                <w:szCs w:val="24"/>
                <w:highlight w:val="none"/>
              </w:rPr>
              <w:t>站首先选择低噪声的设备，合理布局站内电气设备及配电装置；加强站内电气设备的日常维护，避免设备异常噪声排放以减少噪声对站区环境的影响，噪声可满足《工业企业厂界环境噪声排放标准》</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GB12348-2008</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中的2类标准。</w:t>
            </w:r>
            <w:r>
              <w:rPr>
                <w:rFonts w:hint="eastAsia" w:ascii="宋体" w:hAnsi="宋体" w:eastAsia="宋体" w:cs="宋体"/>
                <w:color w:val="auto"/>
                <w:kern w:val="2"/>
                <w:sz w:val="24"/>
                <w:szCs w:val="24"/>
                <w:highlight w:val="none"/>
                <w:lang w:val="en-US" w:eastAsia="zh-CN" w:bidi="ar"/>
              </w:rPr>
              <w:t>在总平面布置上，按功能分区布置，以减少噪声对站区环境的影响。加强对线路沿线声环境监测，及时发现问题并按照相关要求进行处理，运营期输电线路沿线声环境应符合《声环境质量标准》</w:t>
            </w:r>
            <w:r>
              <w:rPr>
                <w:rFonts w:hint="eastAsia" w:ascii="宋体" w:hAnsi="宋体" w:cs="宋体"/>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GB3096-2008</w:t>
            </w:r>
            <w:r>
              <w:rPr>
                <w:rFonts w:hint="eastAsia" w:ascii="宋体" w:hAnsi="宋体" w:cs="宋体"/>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相应标准要求。</w:t>
            </w:r>
          </w:p>
          <w:p w14:paraId="7BD6283E">
            <w:pPr>
              <w:keepNext w:val="0"/>
              <w:keepLines w:val="0"/>
              <w:pageBreakBefore w:val="0"/>
              <w:suppressLineNumbers w:val="0"/>
              <w:kinsoku/>
              <w:wordWrap/>
              <w:topLinePunct w:val="0"/>
              <w:autoSpaceDE/>
              <w:autoSpaceDN/>
              <w:bidi w:val="0"/>
              <w:adjustRightInd/>
              <w:snapToGrid/>
              <w:spacing w:before="0" w:beforeAutospacing="0" w:after="0" w:afterAutospacing="0" w:line="360" w:lineRule="auto"/>
              <w:ind w:left="0" w:right="0"/>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5运营期固体废物防治措施</w:t>
            </w:r>
          </w:p>
          <w:p w14:paraId="2D7C42A8">
            <w:pPr>
              <w:keepNext w:val="0"/>
              <w:keepLines w:val="0"/>
              <w:suppressLineNumbers w:val="0"/>
              <w:adjustRightInd w:val="0"/>
              <w:spacing w:before="0" w:beforeAutospacing="0" w:after="0" w:afterAutospacing="0" w:line="360" w:lineRule="auto"/>
              <w:ind w:left="0" w:right="0" w:firstLine="480" w:firstLineChars="200"/>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本项目检修过程中含油抹布及废手套与人员生活垃圾一同集中收集到带盖垃圾箱内，由环卫部门定期清运。</w:t>
            </w:r>
          </w:p>
          <w:p w14:paraId="6EF45F04">
            <w:pPr>
              <w:keepNext w:val="0"/>
              <w:keepLines w:val="0"/>
              <w:suppressLineNumbers w:val="0"/>
              <w:adjustRightInd w:val="0"/>
              <w:spacing w:before="0" w:beforeAutospacing="0" w:after="0" w:afterAutospacing="0" w:line="360" w:lineRule="auto"/>
              <w:ind w:left="0" w:right="0"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升压站</w:t>
            </w:r>
            <w:r>
              <w:rPr>
                <w:rFonts w:hint="eastAsia" w:ascii="宋体" w:hAnsi="宋体" w:eastAsia="宋体" w:cs="宋体"/>
                <w:color w:val="auto"/>
                <w:sz w:val="24"/>
                <w:szCs w:val="24"/>
                <w:highlight w:val="none"/>
              </w:rPr>
              <w:t>运行过程中产生的废电器设备交由原厂处置或具备相应资质单位回收处理。</w:t>
            </w:r>
            <w:r>
              <w:rPr>
                <w:rFonts w:hint="eastAsia" w:ascii="宋体" w:hAnsi="宋体" w:eastAsia="宋体" w:cs="宋体"/>
                <w:color w:val="auto"/>
                <w:sz w:val="24"/>
                <w:szCs w:val="24"/>
                <w:highlight w:val="none"/>
                <w:lang w:val="en-US" w:eastAsia="zh-CN"/>
              </w:rPr>
              <w:t>主变</w:t>
            </w:r>
            <w:r>
              <w:rPr>
                <w:rFonts w:hint="eastAsia" w:ascii="宋体" w:hAnsi="宋体" w:eastAsia="宋体" w:cs="宋体"/>
                <w:color w:val="auto"/>
                <w:sz w:val="24"/>
                <w:szCs w:val="24"/>
                <w:highlight w:val="none"/>
              </w:rPr>
              <w:t>设置</w:t>
            </w:r>
            <w:r>
              <w:rPr>
                <w:rFonts w:hint="eastAsia" w:ascii="宋体" w:hAnsi="宋体" w:eastAsia="宋体" w:cs="宋体"/>
                <w:color w:val="auto"/>
                <w:sz w:val="24"/>
                <w:szCs w:val="24"/>
                <w:highlight w:val="none"/>
                <w:lang w:val="en-US" w:eastAsia="zh-CN"/>
              </w:rPr>
              <w:t>1座80m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rPr>
              <w:t>事故油池，</w:t>
            </w:r>
            <w:r>
              <w:rPr>
                <w:rFonts w:hint="eastAsia" w:ascii="宋体" w:hAnsi="宋体" w:eastAsia="宋体" w:cs="宋体"/>
                <w:color w:val="auto"/>
                <w:sz w:val="24"/>
                <w:szCs w:val="24"/>
                <w:highlight w:val="none"/>
                <w:lang w:val="en-US" w:eastAsia="zh-CN"/>
              </w:rPr>
              <w:t>事故废油、</w:t>
            </w:r>
            <w:r>
              <w:rPr>
                <w:rFonts w:hint="eastAsia" w:ascii="宋体" w:hAnsi="宋体" w:eastAsia="宋体" w:cs="宋体"/>
                <w:color w:val="auto"/>
                <w:sz w:val="24"/>
                <w:szCs w:val="24"/>
                <w:highlight w:val="none"/>
              </w:rPr>
              <w:t>废铅酸蓄</w:t>
            </w:r>
            <w:r>
              <w:rPr>
                <w:rFonts w:hint="eastAsia" w:ascii="宋体" w:hAnsi="宋体" w:eastAsia="宋体" w:cs="宋体"/>
                <w:color w:val="auto"/>
                <w:sz w:val="24"/>
                <w:szCs w:val="24"/>
                <w:highlight w:val="none"/>
                <w:lang w:val="en-US" w:eastAsia="zh-CN"/>
              </w:rPr>
              <w:t>电池</w:t>
            </w:r>
            <w:r>
              <w:rPr>
                <w:rFonts w:hint="eastAsia" w:ascii="宋体" w:hAnsi="宋体" w:eastAsia="宋体" w:cs="宋体"/>
                <w:color w:val="auto"/>
                <w:kern w:val="0"/>
                <w:sz w:val="24"/>
                <w:szCs w:val="24"/>
                <w:highlight w:val="none"/>
              </w:rPr>
              <w:t>属于危险废物，暂存于</w:t>
            </w:r>
            <w:r>
              <w:rPr>
                <w:rFonts w:hint="eastAsia" w:ascii="宋体" w:hAnsi="宋体" w:eastAsia="宋体" w:cs="宋体"/>
                <w:color w:val="auto"/>
                <w:kern w:val="0"/>
                <w:sz w:val="24"/>
                <w:szCs w:val="24"/>
                <w:highlight w:val="none"/>
                <w:lang w:eastAsia="zh-CN"/>
              </w:rPr>
              <w:t>危废贮存点</w:t>
            </w:r>
            <w:r>
              <w:rPr>
                <w:rFonts w:hint="eastAsia" w:ascii="宋体" w:hAnsi="宋体" w:eastAsia="宋体" w:cs="宋体"/>
                <w:color w:val="auto"/>
                <w:kern w:val="0"/>
                <w:sz w:val="24"/>
                <w:szCs w:val="24"/>
                <w:highlight w:val="none"/>
              </w:rPr>
              <w:t>，</w:t>
            </w:r>
            <w:r>
              <w:rPr>
                <w:rFonts w:hint="eastAsia" w:ascii="宋体" w:hAnsi="宋体" w:eastAsia="宋体" w:cs="宋体"/>
                <w:color w:val="auto"/>
                <w:sz w:val="24"/>
                <w:szCs w:val="24"/>
                <w:highlight w:val="none"/>
              </w:rPr>
              <w:t>产生的事故油应交由相关资质单位进行回收处理</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废铅蓄电池</w:t>
            </w:r>
            <w:r>
              <w:rPr>
                <w:rFonts w:hint="eastAsia" w:ascii="宋体" w:hAnsi="宋体" w:cs="宋体"/>
                <w:color w:val="auto"/>
                <w:kern w:val="0"/>
                <w:sz w:val="24"/>
                <w:szCs w:val="24"/>
                <w:highlight w:val="none"/>
                <w:lang w:val="en-US" w:eastAsia="zh-CN"/>
              </w:rPr>
              <w:t>交</w:t>
            </w:r>
            <w:r>
              <w:rPr>
                <w:rFonts w:hint="eastAsia" w:ascii="宋体" w:hAnsi="宋体" w:eastAsia="宋体" w:cs="宋体"/>
                <w:color w:val="auto"/>
                <w:kern w:val="0"/>
                <w:sz w:val="24"/>
                <w:szCs w:val="24"/>
                <w:highlight w:val="none"/>
              </w:rPr>
              <w:t>有资质单位</w:t>
            </w:r>
            <w:r>
              <w:rPr>
                <w:rFonts w:hint="eastAsia" w:ascii="宋体" w:hAnsi="宋体" w:cs="宋体"/>
                <w:color w:val="auto"/>
                <w:kern w:val="0"/>
                <w:sz w:val="24"/>
                <w:szCs w:val="24"/>
                <w:highlight w:val="none"/>
                <w:lang w:val="en-US" w:eastAsia="zh-CN"/>
              </w:rPr>
              <w:t>处置</w:t>
            </w:r>
            <w:r>
              <w:rPr>
                <w:rFonts w:hint="eastAsia" w:ascii="宋体" w:hAnsi="宋体" w:eastAsia="宋体" w:cs="宋体"/>
                <w:color w:val="auto"/>
                <w:kern w:val="0"/>
                <w:sz w:val="24"/>
                <w:szCs w:val="24"/>
                <w:highlight w:val="none"/>
              </w:rPr>
              <w:t>。</w:t>
            </w:r>
          </w:p>
          <w:p w14:paraId="51C02891">
            <w:pPr>
              <w:keepNext w:val="0"/>
              <w:keepLines w:val="0"/>
              <w:suppressLineNumbers w:val="0"/>
              <w:adjustRightInd w:val="0"/>
              <w:spacing w:before="0" w:beforeAutospacing="0" w:after="0" w:afterAutospacing="0" w:line="360" w:lineRule="auto"/>
              <w:ind w:left="0" w:right="0"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危险废物</w:t>
            </w:r>
            <w:r>
              <w:rPr>
                <w:rFonts w:hint="eastAsia" w:ascii="宋体" w:hAnsi="宋体" w:cs="宋体"/>
                <w:color w:val="auto"/>
                <w:sz w:val="24"/>
                <w:szCs w:val="24"/>
                <w:highlight w:val="none"/>
                <w:lang w:val="en-US" w:eastAsia="zh-CN"/>
              </w:rPr>
              <w:t>贮存</w:t>
            </w:r>
            <w:r>
              <w:rPr>
                <w:rFonts w:hint="eastAsia" w:ascii="宋体" w:hAnsi="宋体" w:eastAsia="宋体" w:cs="宋体"/>
                <w:color w:val="auto"/>
                <w:sz w:val="24"/>
                <w:szCs w:val="24"/>
                <w:highlight w:val="none"/>
              </w:rPr>
              <w:t>设施严格执行《危险废物贮存污染控制标准》</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GB18597-20</w:t>
            </w:r>
            <w:r>
              <w:rPr>
                <w:rFonts w:hint="eastAsia" w:ascii="宋体" w:hAnsi="宋体" w:eastAsia="宋体" w:cs="宋体"/>
                <w:color w:val="auto"/>
                <w:sz w:val="24"/>
                <w:szCs w:val="24"/>
                <w:highlight w:val="none"/>
                <w:lang w:val="en-US" w:eastAsia="zh-CN"/>
              </w:rPr>
              <w:t>23</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的要求。</w:t>
            </w:r>
          </w:p>
          <w:p w14:paraId="6875B709">
            <w:pPr>
              <w:keepNext w:val="0"/>
              <w:keepLines w:val="0"/>
              <w:suppressLineNumbers w:val="0"/>
              <w:adjustRightInd w:val="0"/>
              <w:spacing w:before="0" w:beforeAutospacing="0" w:after="0" w:afterAutospacing="0" w:line="360" w:lineRule="auto"/>
              <w:ind w:left="0" w:right="0" w:firstLine="480" w:firstLineChars="200"/>
              <w:textAlignment w:val="baseline"/>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危险废物贮存设施污染控制要求一般规定</w:t>
            </w:r>
          </w:p>
          <w:p w14:paraId="4797469A">
            <w:pPr>
              <w:keepNext w:val="0"/>
              <w:keepLines w:val="0"/>
              <w:suppressLineNumbers w:val="0"/>
              <w:adjustRightInd w:val="0"/>
              <w:spacing w:before="0" w:beforeAutospacing="0" w:after="0" w:afterAutospacing="0" w:line="360" w:lineRule="auto"/>
              <w:ind w:left="0" w:right="0"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①贮存设施应根据危险废物的形态、物理化学性质、包装形式和污染物迁移途径，采取必要的防风、防晒、防雨、防漏、防渗、防腐以及其他环境污染防治措施，不应露天堆放危险废物。</w:t>
            </w:r>
          </w:p>
          <w:p w14:paraId="34EB3DDC">
            <w:pPr>
              <w:keepNext w:val="0"/>
              <w:keepLines w:val="0"/>
              <w:suppressLineNumbers w:val="0"/>
              <w:adjustRightInd w:val="0"/>
              <w:spacing w:before="0" w:beforeAutospacing="0" w:after="0" w:afterAutospacing="0" w:line="360" w:lineRule="auto"/>
              <w:ind w:left="0" w:right="0"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②贮存设施应根据危险废物的类别、数量、形态、物理化学性质和污染防治等要求设置必要的贮存分区，避免不相容的危险废物接触、混合。</w:t>
            </w:r>
          </w:p>
          <w:p w14:paraId="78F2ABEE">
            <w:pPr>
              <w:keepNext w:val="0"/>
              <w:keepLines w:val="0"/>
              <w:suppressLineNumbers w:val="0"/>
              <w:adjustRightInd w:val="0"/>
              <w:spacing w:before="0" w:beforeAutospacing="0" w:after="0" w:afterAutospacing="0" w:line="360" w:lineRule="auto"/>
              <w:ind w:left="0" w:right="0"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③贮存设施或贮存分区内地面、墙面裙脚、堵截泄漏的围堰、接触危险废物的隔板和墙体等应采用坚固的材料建造，表面无裂缝。</w:t>
            </w:r>
          </w:p>
          <w:p w14:paraId="7B4554BE">
            <w:pPr>
              <w:keepNext w:val="0"/>
              <w:keepLines w:val="0"/>
              <w:suppressLineNumbers w:val="0"/>
              <w:adjustRightInd w:val="0"/>
              <w:spacing w:before="0" w:beforeAutospacing="0" w:after="0" w:afterAutospacing="0" w:line="360" w:lineRule="auto"/>
              <w:ind w:left="0" w:right="0"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渗透系数不大于10</w:t>
            </w:r>
            <w:r>
              <w:rPr>
                <w:rFonts w:hint="eastAsia" w:ascii="宋体" w:hAnsi="宋体" w:eastAsia="宋体" w:cs="宋体"/>
                <w:color w:val="auto"/>
                <w:sz w:val="24"/>
                <w:szCs w:val="24"/>
                <w:highlight w:val="none"/>
                <w:vertAlign w:val="superscript"/>
              </w:rPr>
              <w:t>-7</w:t>
            </w:r>
            <w:r>
              <w:rPr>
                <w:rFonts w:hint="eastAsia" w:ascii="宋体" w:hAnsi="宋体" w:eastAsia="宋体" w:cs="宋体"/>
                <w:color w:val="auto"/>
                <w:sz w:val="24"/>
                <w:szCs w:val="24"/>
                <w:highlight w:val="none"/>
              </w:rPr>
              <w:t>cm/s</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，或至少2mm厚高密度聚乙烯膜等人工防渗材料</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渗透系数不大于10</w:t>
            </w:r>
            <w:r>
              <w:rPr>
                <w:rFonts w:hint="eastAsia" w:ascii="宋体" w:hAnsi="宋体" w:eastAsia="宋体" w:cs="宋体"/>
                <w:color w:val="auto"/>
                <w:sz w:val="24"/>
                <w:szCs w:val="24"/>
                <w:highlight w:val="none"/>
                <w:vertAlign w:val="superscript"/>
              </w:rPr>
              <w:t>-10</w:t>
            </w:r>
            <w:r>
              <w:rPr>
                <w:rFonts w:hint="eastAsia" w:ascii="宋体" w:hAnsi="宋体" w:eastAsia="宋体" w:cs="宋体"/>
                <w:color w:val="auto"/>
                <w:sz w:val="24"/>
                <w:szCs w:val="24"/>
                <w:highlight w:val="none"/>
              </w:rPr>
              <w:t>cm/s</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，或其他防渗性能等效的材料。</w:t>
            </w:r>
          </w:p>
          <w:p w14:paraId="70C907DA">
            <w:pPr>
              <w:keepNext w:val="0"/>
              <w:keepLines w:val="0"/>
              <w:suppressLineNumbers w:val="0"/>
              <w:adjustRightInd w:val="0"/>
              <w:spacing w:before="0" w:beforeAutospacing="0" w:after="0" w:afterAutospacing="0" w:line="360" w:lineRule="auto"/>
              <w:ind w:left="0" w:right="0"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⑤同一贮存设施宜采用相同的防渗、防腐工艺</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包括防渗、防腐结构或材料</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，防渗、防腐材料应覆盖所有可能与废物及其渗滤液、渗漏液等接触的构筑物表面；采用不同防渗、防腐工艺应分别建设贮存分区。</w:t>
            </w:r>
          </w:p>
          <w:p w14:paraId="1FB36C7D">
            <w:pPr>
              <w:keepNext w:val="0"/>
              <w:keepLines w:val="0"/>
              <w:suppressLineNumbers w:val="0"/>
              <w:adjustRightInd w:val="0"/>
              <w:spacing w:before="0" w:beforeAutospacing="0" w:after="0" w:afterAutospacing="0" w:line="360" w:lineRule="auto"/>
              <w:ind w:left="0" w:right="0"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⑥贮存设施应采取技术和管理措施防止无关人员进入。</w:t>
            </w:r>
          </w:p>
          <w:p w14:paraId="606EF8D5">
            <w:pPr>
              <w:keepNext w:val="0"/>
              <w:keepLines w:val="0"/>
              <w:suppressLineNumbers w:val="0"/>
              <w:adjustRightInd w:val="0"/>
              <w:spacing w:before="0" w:beforeAutospacing="0" w:after="0" w:afterAutospacing="0" w:line="360" w:lineRule="auto"/>
              <w:ind w:left="0" w:right="0" w:firstLine="480" w:firstLineChars="200"/>
              <w:textAlignment w:val="baseline"/>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危险废物贮存过程污染控制要求一般规定</w:t>
            </w:r>
          </w:p>
          <w:p w14:paraId="16748140">
            <w:pPr>
              <w:keepNext w:val="0"/>
              <w:keepLines w:val="0"/>
              <w:suppressLineNumbers w:val="0"/>
              <w:adjustRightInd w:val="0"/>
              <w:spacing w:before="0" w:beforeAutospacing="0" w:after="0" w:afterAutospacing="0" w:line="360" w:lineRule="auto"/>
              <w:ind w:left="0" w:right="0"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①在常温常压下不易水解、不易挥发的固态危险废物可分类堆放贮存，其他固态危险废物应装入容器或包装物内贮存。</w:t>
            </w:r>
          </w:p>
          <w:p w14:paraId="2C19995B">
            <w:pPr>
              <w:keepNext w:val="0"/>
              <w:keepLines w:val="0"/>
              <w:suppressLineNumbers w:val="0"/>
              <w:adjustRightInd w:val="0"/>
              <w:spacing w:before="0" w:beforeAutospacing="0" w:after="0" w:afterAutospacing="0" w:line="360" w:lineRule="auto"/>
              <w:ind w:left="0" w:right="0"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②液态危险废物应装入容器内贮存，或直接采用贮存池、贮存罐区贮存。</w:t>
            </w:r>
          </w:p>
          <w:p w14:paraId="6A7EC858">
            <w:pPr>
              <w:keepNext w:val="0"/>
              <w:keepLines w:val="0"/>
              <w:suppressLineNumbers w:val="0"/>
              <w:adjustRightInd w:val="0"/>
              <w:spacing w:before="0" w:beforeAutospacing="0" w:after="0" w:afterAutospacing="0" w:line="360" w:lineRule="auto"/>
              <w:ind w:left="0" w:right="0"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③半固态危险废物应装入容器或包装袋内贮存，或直接采用贮存池贮存。</w:t>
            </w:r>
          </w:p>
          <w:p w14:paraId="2A61A6EE">
            <w:pPr>
              <w:keepNext w:val="0"/>
              <w:keepLines w:val="0"/>
              <w:suppressLineNumbers w:val="0"/>
              <w:adjustRightInd w:val="0"/>
              <w:spacing w:before="0" w:beforeAutospacing="0" w:after="0" w:afterAutospacing="0" w:line="360" w:lineRule="auto"/>
              <w:ind w:left="0" w:right="0"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④具有热塑性的危险废物应装入容器或包装袋内进行贮存。</w:t>
            </w:r>
          </w:p>
          <w:p w14:paraId="7F22480A">
            <w:pPr>
              <w:keepNext w:val="0"/>
              <w:keepLines w:val="0"/>
              <w:suppressLineNumbers w:val="0"/>
              <w:adjustRightInd w:val="0"/>
              <w:spacing w:before="0" w:beforeAutospacing="0" w:after="0" w:afterAutospacing="0" w:line="360" w:lineRule="auto"/>
              <w:ind w:left="0" w:right="0"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⑤易产生粉尘、VOCs、酸雾、有毒有害大气污染物和刺激性气味气体的危险废物应装入闭口容器或包装物内贮存。</w:t>
            </w:r>
          </w:p>
          <w:p w14:paraId="234951F9">
            <w:pPr>
              <w:keepNext w:val="0"/>
              <w:keepLines w:val="0"/>
              <w:suppressLineNumbers w:val="0"/>
              <w:adjustRightInd w:val="0"/>
              <w:spacing w:before="0" w:beforeAutospacing="0" w:after="0" w:afterAutospacing="0" w:line="360" w:lineRule="auto"/>
              <w:ind w:left="0" w:right="0"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⑥危险废物贮存过程中易产生粉尘等无组织排放的，应采取抑尘等有效措施。</w:t>
            </w:r>
          </w:p>
          <w:p w14:paraId="74937553">
            <w:pPr>
              <w:keepNext w:val="0"/>
              <w:keepLines w:val="0"/>
              <w:suppressLineNumbers w:val="0"/>
              <w:adjustRightInd w:val="0"/>
              <w:spacing w:before="0" w:beforeAutospacing="0" w:after="0" w:afterAutospacing="0" w:line="360" w:lineRule="auto"/>
              <w:ind w:left="0" w:right="0" w:firstLine="480" w:firstLineChars="200"/>
              <w:textAlignment w:val="baseline"/>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贮存设施运行环境管理要求</w:t>
            </w:r>
          </w:p>
          <w:p w14:paraId="379ABC79">
            <w:pPr>
              <w:keepNext w:val="0"/>
              <w:keepLines w:val="0"/>
              <w:suppressLineNumbers w:val="0"/>
              <w:adjustRightInd w:val="0"/>
              <w:spacing w:before="0" w:beforeAutospacing="0" w:after="0" w:afterAutospacing="0" w:line="360" w:lineRule="auto"/>
              <w:ind w:left="0" w:right="0"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①危险废物存入贮存设施前应对危险废物类别和特性与危险废物标签等危险废物识别标志的一致性进行核验，不一致的或类别、特性不明的不应存入。</w:t>
            </w:r>
          </w:p>
          <w:p w14:paraId="014CE3A8">
            <w:pPr>
              <w:keepNext w:val="0"/>
              <w:keepLines w:val="0"/>
              <w:suppressLineNumbers w:val="0"/>
              <w:adjustRightInd w:val="0"/>
              <w:spacing w:before="0" w:beforeAutospacing="0" w:after="0" w:afterAutospacing="0" w:line="360" w:lineRule="auto"/>
              <w:ind w:left="0" w:right="0"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②应定期检查危险废物的贮存状况，及时清理贮存设施地面，更换破损泄漏的危险废物贮存容器和包装物，保证堆存危险废物的防雨、防风、防扬尘等设施功能完好。</w:t>
            </w:r>
          </w:p>
          <w:p w14:paraId="48FBED44">
            <w:pPr>
              <w:keepNext w:val="0"/>
              <w:keepLines w:val="0"/>
              <w:suppressLineNumbers w:val="0"/>
              <w:adjustRightInd w:val="0"/>
              <w:spacing w:before="0" w:beforeAutospacing="0" w:after="0" w:afterAutospacing="0" w:line="360" w:lineRule="auto"/>
              <w:ind w:left="0" w:right="0"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③作业设备及车辆等结束作业离开贮存设施时，应对其残留的危险废物进行清理，清理的废物或清洗废水应收集处理。</w:t>
            </w:r>
          </w:p>
          <w:p w14:paraId="4AE1E2A3">
            <w:pPr>
              <w:keepNext w:val="0"/>
              <w:keepLines w:val="0"/>
              <w:suppressLineNumbers w:val="0"/>
              <w:adjustRightInd w:val="0"/>
              <w:spacing w:before="0" w:beforeAutospacing="0" w:after="0" w:afterAutospacing="0" w:line="360" w:lineRule="auto"/>
              <w:ind w:left="0" w:right="0"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④贮存设施运行期间，应按国家有关标准和规定建立危险废物管理台账并保存。</w:t>
            </w:r>
          </w:p>
          <w:p w14:paraId="529F08D9">
            <w:pPr>
              <w:keepNext w:val="0"/>
              <w:keepLines w:val="0"/>
              <w:suppressLineNumbers w:val="0"/>
              <w:adjustRightInd w:val="0"/>
              <w:spacing w:before="0" w:beforeAutospacing="0" w:after="0" w:afterAutospacing="0" w:line="360" w:lineRule="auto"/>
              <w:ind w:left="0" w:right="0"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⑤贮存设施所有者或运营者应建立贮存设施环境管理制度、管理人员岗位职责制度、设施运行操作制度、人员岗位培训制度等。</w:t>
            </w:r>
          </w:p>
          <w:p w14:paraId="49C3ADAF">
            <w:pPr>
              <w:keepNext w:val="0"/>
              <w:keepLines w:val="0"/>
              <w:suppressLineNumbers w:val="0"/>
              <w:adjustRightInd w:val="0"/>
              <w:spacing w:before="0" w:beforeAutospacing="0" w:after="0" w:afterAutospacing="0" w:line="360" w:lineRule="auto"/>
              <w:ind w:left="0" w:right="0"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⑥贮存设施所有者或运营者应依据国家土壤和地下水污染防治的有关规定，结合贮存设施特点建立土壤和地下水污染隐患排查制度，并定期开展隐患排查；发现隐患应及时采取措施消除隐患，并建立档案。</w:t>
            </w:r>
          </w:p>
          <w:p w14:paraId="42A52A95">
            <w:pPr>
              <w:keepNext w:val="0"/>
              <w:keepLines w:val="0"/>
              <w:suppressLineNumbers w:val="0"/>
              <w:adjustRightInd w:val="0"/>
              <w:spacing w:before="0" w:beforeAutospacing="0" w:after="0" w:afterAutospacing="0" w:line="360" w:lineRule="auto"/>
              <w:ind w:left="0" w:right="0"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⑦贮存设施所有者或运营者应建立贮存设施全部档案，包括设计、施工、验收、运行、监测和环境应急等，应按国家有关档案管理的法律法规进行整理和归档。</w:t>
            </w:r>
          </w:p>
          <w:p w14:paraId="59C17490">
            <w:pPr>
              <w:keepNext w:val="0"/>
              <w:keepLines w:val="0"/>
              <w:suppressLineNumbers w:val="0"/>
              <w:adjustRightInd w:val="0"/>
              <w:spacing w:before="0" w:beforeAutospacing="0" w:after="0" w:afterAutospacing="0" w:line="360" w:lineRule="auto"/>
              <w:ind w:left="0" w:right="0" w:firstLine="480" w:firstLineChars="200"/>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危险废物运输及管理要求</w:t>
            </w:r>
            <w:r>
              <w:rPr>
                <w:rFonts w:hint="eastAsia" w:ascii="宋体" w:hAnsi="宋体" w:eastAsia="宋体" w:cs="宋体"/>
                <w:color w:val="auto"/>
                <w:sz w:val="24"/>
                <w:szCs w:val="24"/>
                <w:highlight w:val="none"/>
                <w:lang w:eastAsia="zh-CN"/>
              </w:rPr>
              <w:t>：</w:t>
            </w:r>
          </w:p>
          <w:p w14:paraId="35C867C5">
            <w:pPr>
              <w:keepNext w:val="0"/>
              <w:keepLines w:val="0"/>
              <w:suppressLineNumbers w:val="0"/>
              <w:adjustRightInd w:val="0"/>
              <w:spacing w:before="0" w:beforeAutospacing="0" w:after="0" w:afterAutospacing="0" w:line="360" w:lineRule="auto"/>
              <w:ind w:left="0" w:right="0" w:firstLine="480" w:firstLineChars="200"/>
              <w:textAlignment w:val="baseline"/>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根据《危险废物产生单位管理计划制定指南》</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生态环境部公告2016年第7号</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要求，产生危险废物的单位应依据国家相关法律法规和标准规范的有关要求制定管理计划，并严格按照管理计划加强危险废物全生命周期的环境管理。</w:t>
            </w:r>
          </w:p>
          <w:p w14:paraId="6230AD91">
            <w:pPr>
              <w:keepNext w:val="0"/>
              <w:keepLines w:val="0"/>
              <w:suppressLineNumbers w:val="0"/>
              <w:adjustRightInd w:val="0"/>
              <w:spacing w:before="0" w:beforeAutospacing="0" w:after="0" w:afterAutospacing="0" w:line="360" w:lineRule="auto"/>
              <w:ind w:left="0" w:right="0" w:firstLine="480" w:firstLineChars="200"/>
              <w:textAlignment w:val="baseline"/>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根据《危险废物转移管理办法》</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2022年1月1日实施</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危险废物转移应遵循就近原则。产生危险废物的单位应执行危险废物转移联单制度，通过国家危险废物信息管理系统填写、运行危险废物电子转移联单，并依照国家有关规定公开危险废物转移相关污染环境防治信息。</w:t>
            </w:r>
          </w:p>
          <w:p w14:paraId="38A7AFC6">
            <w:pPr>
              <w:keepNext w:val="0"/>
              <w:keepLines w:val="0"/>
              <w:suppressLineNumbers w:val="0"/>
              <w:adjustRightInd w:val="0"/>
              <w:spacing w:before="0" w:beforeAutospacing="0" w:after="0" w:afterAutospacing="0" w:line="360" w:lineRule="auto"/>
              <w:ind w:left="0" w:right="0" w:firstLine="480" w:firstLineChars="200"/>
              <w:textAlignment w:val="baseline"/>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3</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产生危险废物的单位应对承运人或者</w:t>
            </w:r>
            <w:r>
              <w:rPr>
                <w:rFonts w:hint="eastAsia" w:ascii="宋体" w:hAnsi="宋体" w:eastAsia="宋体" w:cs="宋体"/>
                <w:color w:val="auto"/>
                <w:sz w:val="24"/>
                <w:szCs w:val="24"/>
                <w:highlight w:val="none"/>
                <w:lang w:eastAsia="zh-CN"/>
              </w:rPr>
              <w:t>接收</w:t>
            </w:r>
            <w:r>
              <w:rPr>
                <w:rFonts w:hint="eastAsia" w:ascii="宋体" w:hAnsi="宋体" w:eastAsia="宋体" w:cs="宋体"/>
                <w:color w:val="auto"/>
                <w:sz w:val="24"/>
                <w:szCs w:val="24"/>
                <w:highlight w:val="none"/>
              </w:rPr>
              <w:t>人的主体资格和技术能力进行核实，依法签订书面合同，并在合同中约定运输、贮存、利用、处置危险废物的污染防治要求及相关责任。</w:t>
            </w:r>
          </w:p>
          <w:p w14:paraId="230852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highlight w:val="none"/>
              </w:rPr>
              <w:t>综上所述，</w:t>
            </w:r>
            <w:r>
              <w:rPr>
                <w:rFonts w:hint="eastAsia" w:ascii="宋体" w:hAnsi="宋体" w:eastAsia="宋体" w:cs="宋体"/>
                <w:color w:val="auto"/>
                <w:sz w:val="24"/>
                <w:szCs w:val="24"/>
                <w:highlight w:val="none"/>
                <w:lang w:eastAsia="zh-CN"/>
              </w:rPr>
              <w:t>本项目</w:t>
            </w:r>
            <w:r>
              <w:rPr>
                <w:rFonts w:hint="eastAsia" w:ascii="宋体" w:hAnsi="宋体" w:eastAsia="宋体" w:cs="宋体"/>
                <w:color w:val="auto"/>
                <w:sz w:val="24"/>
                <w:szCs w:val="24"/>
                <w:highlight w:val="none"/>
              </w:rPr>
              <w:t>产生的各类固体废物均得到妥善</w:t>
            </w:r>
            <w:r>
              <w:rPr>
                <w:rFonts w:hint="eastAsia" w:ascii="宋体" w:hAnsi="宋体" w:cs="宋体"/>
                <w:color w:val="auto"/>
                <w:sz w:val="24"/>
                <w:szCs w:val="24"/>
                <w:highlight w:val="none"/>
                <w:lang w:eastAsia="zh-CN"/>
              </w:rPr>
              <w:t>地</w:t>
            </w:r>
            <w:r>
              <w:rPr>
                <w:rFonts w:hint="eastAsia" w:ascii="宋体" w:hAnsi="宋体" w:eastAsia="宋体" w:cs="宋体"/>
                <w:color w:val="auto"/>
                <w:sz w:val="24"/>
                <w:szCs w:val="24"/>
                <w:highlight w:val="none"/>
              </w:rPr>
              <w:t>处理处置，其处置措施可行，处置去向明确。</w:t>
            </w:r>
            <w:r>
              <w:rPr>
                <w:rFonts w:hint="eastAsia" w:ascii="宋体" w:hAnsi="宋体" w:eastAsia="宋体" w:cs="宋体"/>
                <w:color w:val="auto"/>
                <w:sz w:val="24"/>
                <w:szCs w:val="24"/>
                <w:highlight w:val="none"/>
                <w:lang w:eastAsia="zh-CN"/>
              </w:rPr>
              <w:t>本项目</w:t>
            </w:r>
            <w:r>
              <w:rPr>
                <w:rFonts w:hint="eastAsia" w:ascii="宋体" w:hAnsi="宋体" w:eastAsia="宋体" w:cs="宋体"/>
                <w:color w:val="auto"/>
                <w:sz w:val="24"/>
                <w:szCs w:val="24"/>
                <w:highlight w:val="none"/>
              </w:rPr>
              <w:t>固体废物分类处置不会对周围环境产生二次影响。</w:t>
            </w:r>
          </w:p>
          <w:p w14:paraId="0E85E3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6电磁环境保护措施</w:t>
            </w:r>
          </w:p>
          <w:p w14:paraId="407DD8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合理布局站内电气设备及配电装置。</w:t>
            </w:r>
          </w:p>
          <w:p w14:paraId="5F9E64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线路建成后，应加强输电线路防护距离宣传教育和督查工作。</w:t>
            </w:r>
          </w:p>
          <w:p w14:paraId="26AA4C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3</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做好警示和防护指示标志及环保标志的悬挂设立工作，禁止无关人员进入升压站或靠近带电架构。</w:t>
            </w:r>
          </w:p>
          <w:p w14:paraId="186C3C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4</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建设单位应设立一名兼职的环保工作人员，负责输电线路运行期间的环境保护工作，并做好对线路沿线群众的电磁环境知识的宣传。</w:t>
            </w:r>
          </w:p>
          <w:p w14:paraId="6C2239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5</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对员工进行电磁基础知识培训，在巡检带电维修过程中，尽可能减少曝露在电磁场中的时间。</w:t>
            </w:r>
          </w:p>
          <w:p w14:paraId="474552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eastAsia="zh-CN"/>
              </w:rPr>
              <w:t>通过落实上述措施，本项目</w:t>
            </w:r>
            <w:r>
              <w:rPr>
                <w:rFonts w:hint="eastAsia" w:ascii="宋体" w:hAnsi="宋体" w:eastAsia="宋体" w:cs="宋体"/>
                <w:color w:val="auto"/>
                <w:sz w:val="24"/>
                <w:szCs w:val="24"/>
                <w:highlight w:val="none"/>
                <w:lang w:val="en-US" w:eastAsia="zh-CN"/>
              </w:rPr>
              <w:t>运行期变电站及线路产生的电磁场</w:t>
            </w:r>
            <w:r>
              <w:rPr>
                <w:rFonts w:hint="eastAsia" w:ascii="宋体" w:hAnsi="宋体" w:eastAsia="宋体" w:cs="宋体"/>
                <w:color w:val="auto"/>
                <w:sz w:val="24"/>
                <w:szCs w:val="24"/>
                <w:highlight w:val="none"/>
                <w:lang w:eastAsia="zh-CN"/>
              </w:rPr>
              <w:t>对周边环境影响</w:t>
            </w:r>
            <w:r>
              <w:rPr>
                <w:rFonts w:hint="eastAsia" w:ascii="宋体" w:hAnsi="宋体" w:eastAsia="宋体" w:cs="宋体"/>
                <w:color w:val="auto"/>
                <w:sz w:val="24"/>
                <w:szCs w:val="24"/>
                <w:highlight w:val="none"/>
                <w:lang w:val="en-US" w:eastAsia="zh-CN"/>
              </w:rPr>
              <w:t>较小，在可接受范围内</w:t>
            </w:r>
            <w:r>
              <w:rPr>
                <w:rFonts w:hint="eastAsia" w:ascii="宋体" w:hAnsi="宋体" w:eastAsia="宋体" w:cs="宋体"/>
                <w:color w:val="auto"/>
                <w:sz w:val="24"/>
                <w:szCs w:val="24"/>
                <w:lang w:val="en-US" w:eastAsia="zh-CN"/>
              </w:rPr>
              <w:t>。</w:t>
            </w:r>
          </w:p>
          <w:p w14:paraId="0CC99D33">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7环境风险防范措施</w:t>
            </w:r>
          </w:p>
          <w:p w14:paraId="62A5E994">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建设项目事故油池容积，满足最大单台变压器100%排油量要求，变压器底部设地下钢筋混凝土贮油坑，大于主变压器油量的20%；坑底</w:t>
            </w:r>
            <w:r>
              <w:rPr>
                <w:rFonts w:hint="eastAsia" w:ascii="宋体" w:hAnsi="宋体" w:eastAsia="宋体" w:cs="宋体"/>
                <w:color w:val="auto"/>
                <w:sz w:val="24"/>
                <w:szCs w:val="24"/>
                <w:lang w:val="en-US" w:eastAsia="zh-CN"/>
              </w:rPr>
              <w:t>要</w:t>
            </w:r>
            <w:r>
              <w:rPr>
                <w:rFonts w:hint="eastAsia" w:ascii="宋体" w:hAnsi="宋体" w:eastAsia="宋体" w:cs="宋体"/>
                <w:color w:val="auto"/>
                <w:sz w:val="24"/>
                <w:szCs w:val="24"/>
              </w:rPr>
              <w:t>设有排油管，能将事故油排至事故油池中，满足事故排油要求。</w:t>
            </w:r>
          </w:p>
          <w:p w14:paraId="3DD550C9">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升压站为禁烟区，设置“禁止烟火”的警示标志。</w:t>
            </w:r>
          </w:p>
          <w:p w14:paraId="518B3D40">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outlineLvl w:val="9"/>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3</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配备灭火器等应急救援保障设备及器材。</w:t>
            </w:r>
          </w:p>
          <w:p w14:paraId="031A2722">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加强日常巡视及实地巡查检修。</w:t>
            </w:r>
          </w:p>
          <w:p w14:paraId="2F18A02D">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建设单位应设有消防设施布置图、互救信息等，并明确应急物资存放地点。</w:t>
            </w:r>
          </w:p>
          <w:p w14:paraId="150AC6DD">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加强员工的安全意识。</w:t>
            </w:r>
          </w:p>
          <w:p w14:paraId="2B27FADD">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施工单位对事故油池和危废贮存点建设应做好防渗要求，工程验收时应出具质量监测报告或者工程签证。</w:t>
            </w:r>
          </w:p>
          <w:p w14:paraId="3CEA4529">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8</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建设单位应设有兼职的安全环保管理人员，通过技能培训，承担工程运行后的环保安全工作。落实各项安全管理制度、生产操作规则和事故应急计划及相应的应急处理手段</w:t>
            </w:r>
            <w:r>
              <w:rPr>
                <w:rFonts w:hint="eastAsia" w:ascii="宋体" w:hAnsi="宋体" w:eastAsia="宋体" w:cs="宋体"/>
                <w:color w:val="auto"/>
                <w:sz w:val="24"/>
                <w:szCs w:val="24"/>
              </w:rPr>
              <w:t>。</w:t>
            </w:r>
          </w:p>
          <w:p w14:paraId="172E63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在建设单位落实好本报告提出的风险防范措施的要求后，可降低环境风险事故的发生概率，事故能够得到有效控制，使其局限于项目区域，不会</w:t>
            </w:r>
            <w:r>
              <w:rPr>
                <w:rFonts w:hint="eastAsia" w:ascii="宋体" w:hAnsi="宋体" w:cs="宋体"/>
                <w:color w:val="auto"/>
                <w:sz w:val="24"/>
                <w:szCs w:val="24"/>
                <w:lang w:val="en-US" w:eastAsia="zh-CN"/>
              </w:rPr>
              <w:t>波及</w:t>
            </w:r>
            <w:r>
              <w:rPr>
                <w:rFonts w:hint="eastAsia" w:ascii="宋体" w:hAnsi="宋体" w:eastAsia="宋体" w:cs="宋体"/>
                <w:color w:val="auto"/>
                <w:sz w:val="24"/>
                <w:szCs w:val="24"/>
                <w:lang w:val="en-US" w:eastAsia="zh-CN"/>
              </w:rPr>
              <w:t>周边环境，本项目的环境风险处于可接受水平。</w:t>
            </w:r>
          </w:p>
          <w:p w14:paraId="3B08D2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8</w:t>
            </w:r>
            <w:r>
              <w:rPr>
                <w:rFonts w:hint="eastAsia" w:ascii="宋体" w:hAnsi="宋体" w:eastAsia="宋体" w:cs="宋体"/>
                <w:b/>
                <w:bCs/>
                <w:color w:val="auto"/>
                <w:sz w:val="24"/>
                <w:szCs w:val="24"/>
              </w:rPr>
              <w:t>运营期生态环境保护措施及预期效果</w:t>
            </w:r>
          </w:p>
          <w:p w14:paraId="01B0A4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本项目运营期主要生态环境保护措施及预期效果详见表5-2。</w:t>
            </w:r>
          </w:p>
          <w:p w14:paraId="2F17F0B2">
            <w:pPr>
              <w:keepNext w:val="0"/>
              <w:keepLines w:val="0"/>
              <w:suppressLineNumbers w:val="0"/>
              <w:overflowPunct w:val="0"/>
              <w:adjustRightInd w:val="0"/>
              <w:snapToGrid w:val="0"/>
              <w:spacing w:before="0" w:beforeAutospacing="0" w:after="0" w:afterAutospacing="0"/>
              <w:ind w:left="0" w:right="0"/>
              <w:jc w:val="center"/>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表5-2</w:t>
            </w:r>
            <w:r>
              <w:rPr>
                <w:rFonts w:hint="eastAsia" w:ascii="宋体" w:hAnsi="宋体" w:eastAsia="宋体" w:cs="宋体"/>
                <w:b/>
                <w:bCs/>
                <w:color w:val="auto"/>
                <w:sz w:val="24"/>
                <w:szCs w:val="24"/>
                <w:lang w:val="en-US" w:eastAsia="zh-CN"/>
              </w:rPr>
              <w:t xml:space="preserve">    </w:t>
            </w:r>
            <w:r>
              <w:rPr>
                <w:rFonts w:hint="eastAsia" w:ascii="宋体" w:hAnsi="宋体" w:eastAsia="宋体" w:cs="宋体"/>
                <w:b/>
                <w:bCs/>
                <w:color w:val="auto"/>
                <w:sz w:val="24"/>
                <w:szCs w:val="24"/>
              </w:rPr>
              <w:t>运营期生态环境保护措施及预期效果一览表</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2165"/>
              <w:gridCol w:w="784"/>
              <w:gridCol w:w="738"/>
              <w:gridCol w:w="672"/>
              <w:gridCol w:w="1030"/>
              <w:gridCol w:w="1788"/>
            </w:tblGrid>
            <w:tr w14:paraId="51BE95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23" w:type="dxa"/>
                  <w:tcBorders>
                    <w:tl2br w:val="nil"/>
                    <w:tr2bl w:val="nil"/>
                  </w:tcBorders>
                  <w:noWrap w:val="0"/>
                  <w:vAlign w:val="center"/>
                </w:tcPr>
                <w:p w14:paraId="186900D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2165" w:type="dxa"/>
                  <w:tcBorders>
                    <w:tl2br w:val="nil"/>
                    <w:tr2bl w:val="nil"/>
                  </w:tcBorders>
                  <w:noWrap w:val="0"/>
                  <w:vAlign w:val="center"/>
                </w:tcPr>
                <w:p w14:paraId="72766E96">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生态保护措施要求</w:t>
                  </w:r>
                </w:p>
              </w:tc>
              <w:tc>
                <w:tcPr>
                  <w:tcW w:w="784" w:type="dxa"/>
                  <w:tcBorders>
                    <w:tl2br w:val="nil"/>
                    <w:tr2bl w:val="nil"/>
                  </w:tcBorders>
                  <w:noWrap w:val="0"/>
                  <w:vAlign w:val="center"/>
                </w:tcPr>
                <w:p w14:paraId="3B4F995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实施</w:t>
                  </w:r>
                </w:p>
                <w:p w14:paraId="2DDD0DB3">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部位</w:t>
                  </w:r>
                </w:p>
              </w:tc>
              <w:tc>
                <w:tcPr>
                  <w:tcW w:w="738" w:type="dxa"/>
                  <w:tcBorders>
                    <w:tl2br w:val="nil"/>
                    <w:tr2bl w:val="nil"/>
                  </w:tcBorders>
                  <w:noWrap w:val="0"/>
                  <w:vAlign w:val="center"/>
                </w:tcPr>
                <w:p w14:paraId="1C759CE8">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实施</w:t>
                  </w:r>
                </w:p>
                <w:p w14:paraId="16046534">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时间</w:t>
                  </w:r>
                </w:p>
              </w:tc>
              <w:tc>
                <w:tcPr>
                  <w:tcW w:w="672" w:type="dxa"/>
                  <w:tcBorders>
                    <w:tl2br w:val="nil"/>
                    <w:tr2bl w:val="nil"/>
                  </w:tcBorders>
                  <w:noWrap w:val="0"/>
                  <w:vAlign w:val="center"/>
                </w:tcPr>
                <w:p w14:paraId="3D1F443B">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责任</w:t>
                  </w:r>
                </w:p>
                <w:p w14:paraId="76C2D675">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主体</w:t>
                  </w:r>
                </w:p>
              </w:tc>
              <w:tc>
                <w:tcPr>
                  <w:tcW w:w="1030" w:type="dxa"/>
                  <w:tcBorders>
                    <w:tl2br w:val="nil"/>
                    <w:tr2bl w:val="nil"/>
                  </w:tcBorders>
                  <w:noWrap w:val="0"/>
                  <w:vAlign w:val="center"/>
                </w:tcPr>
                <w:p w14:paraId="53F1E05C">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实施</w:t>
                  </w:r>
                </w:p>
                <w:p w14:paraId="433AE3C6">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保障</w:t>
                  </w:r>
                </w:p>
              </w:tc>
              <w:tc>
                <w:tcPr>
                  <w:tcW w:w="1788" w:type="dxa"/>
                  <w:tcBorders>
                    <w:tl2br w:val="nil"/>
                    <w:tr2bl w:val="nil"/>
                  </w:tcBorders>
                  <w:noWrap w:val="0"/>
                  <w:vAlign w:val="center"/>
                </w:tcPr>
                <w:p w14:paraId="0D8454CA">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实施效果</w:t>
                  </w:r>
                </w:p>
              </w:tc>
            </w:tr>
            <w:tr w14:paraId="19B98F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9" w:hRule="atLeast"/>
                <w:jc w:val="center"/>
              </w:trPr>
              <w:tc>
                <w:tcPr>
                  <w:tcW w:w="323" w:type="dxa"/>
                  <w:tcBorders>
                    <w:tl2br w:val="nil"/>
                    <w:tr2bl w:val="nil"/>
                  </w:tcBorders>
                  <w:noWrap w:val="0"/>
                  <w:vAlign w:val="center"/>
                </w:tcPr>
                <w:p w14:paraId="7DBC80D7">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165" w:type="dxa"/>
                  <w:tcBorders>
                    <w:tl2br w:val="nil"/>
                    <w:tr2bl w:val="nil"/>
                  </w:tcBorders>
                  <w:noWrap w:val="0"/>
                  <w:vAlign w:val="center"/>
                </w:tcPr>
                <w:p w14:paraId="6DFE15B7">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highlight w:val="none"/>
                      <w:lang w:val="en-US" w:eastAsia="zh-CN"/>
                    </w:rPr>
                    <w:t>生活污水经地埋式一体化生活污水处理装置处理后收集至集水池</w:t>
                  </w:r>
                  <w:r>
                    <w:rPr>
                      <w:rFonts w:hint="eastAsia" w:ascii="宋体" w:hAnsi="宋体" w:eastAsia="宋体" w:cs="宋体"/>
                      <w:color w:val="auto"/>
                      <w:sz w:val="21"/>
                      <w:szCs w:val="21"/>
                      <w:highlight w:val="none"/>
                    </w:rPr>
                    <w:t>用于</w:t>
                  </w:r>
                  <w:r>
                    <w:rPr>
                      <w:rFonts w:hint="eastAsia" w:ascii="宋体" w:hAnsi="宋体" w:eastAsia="宋体" w:cs="宋体"/>
                      <w:color w:val="auto"/>
                      <w:sz w:val="21"/>
                      <w:szCs w:val="21"/>
                      <w:highlight w:val="none"/>
                      <w:lang w:val="en-US" w:eastAsia="zh-CN"/>
                    </w:rPr>
                    <w:t>荒漠生态恢复的灌溉</w:t>
                  </w:r>
                  <w:r>
                    <w:rPr>
                      <w:rFonts w:hint="eastAsia" w:ascii="宋体" w:hAnsi="宋体" w:eastAsia="宋体" w:cs="宋体"/>
                      <w:color w:val="auto"/>
                      <w:sz w:val="21"/>
                      <w:szCs w:val="21"/>
                      <w:highlight w:val="none"/>
                      <w:lang w:eastAsia="zh-CN"/>
                    </w:rPr>
                    <w:t>。</w:t>
                  </w:r>
                </w:p>
              </w:tc>
              <w:tc>
                <w:tcPr>
                  <w:tcW w:w="784" w:type="dxa"/>
                  <w:vMerge w:val="restart"/>
                  <w:tcBorders>
                    <w:tl2br w:val="nil"/>
                    <w:tr2bl w:val="nil"/>
                  </w:tcBorders>
                  <w:noWrap w:val="0"/>
                  <w:vAlign w:val="center"/>
                </w:tcPr>
                <w:p w14:paraId="43F9DD26">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工程生产运营场所区域</w:t>
                  </w:r>
                </w:p>
              </w:tc>
              <w:tc>
                <w:tcPr>
                  <w:tcW w:w="738" w:type="dxa"/>
                  <w:vMerge w:val="restart"/>
                  <w:tcBorders>
                    <w:tl2br w:val="nil"/>
                    <w:tr2bl w:val="nil"/>
                  </w:tcBorders>
                  <w:noWrap w:val="0"/>
                  <w:vAlign w:val="center"/>
                </w:tcPr>
                <w:p w14:paraId="38E6351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运营期</w:t>
                  </w:r>
                </w:p>
              </w:tc>
              <w:tc>
                <w:tcPr>
                  <w:tcW w:w="672" w:type="dxa"/>
                  <w:vMerge w:val="restart"/>
                  <w:tcBorders>
                    <w:tl2br w:val="nil"/>
                    <w:tr2bl w:val="nil"/>
                  </w:tcBorders>
                  <w:noWrap w:val="0"/>
                  <w:vAlign w:val="center"/>
                </w:tcPr>
                <w:p w14:paraId="0C27D923">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建设单位</w:t>
                  </w:r>
                </w:p>
              </w:tc>
              <w:tc>
                <w:tcPr>
                  <w:tcW w:w="1030" w:type="dxa"/>
                  <w:vMerge w:val="restart"/>
                  <w:tcBorders>
                    <w:tl2br w:val="nil"/>
                    <w:tr2bl w:val="nil"/>
                  </w:tcBorders>
                  <w:noWrap w:val="0"/>
                  <w:vAlign w:val="center"/>
                </w:tcPr>
                <w:p w14:paraId="2F9FA8E1">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①建立环境管理机构，配备专职或兼职</w:t>
                  </w:r>
                  <w:r>
                    <w:rPr>
                      <w:rFonts w:hint="eastAsia" w:ascii="宋体" w:hAnsi="宋体" w:eastAsia="宋体" w:cs="宋体"/>
                      <w:color w:val="auto"/>
                      <w:sz w:val="21"/>
                      <w:szCs w:val="21"/>
                      <w:lang w:eastAsia="zh-CN"/>
                    </w:rPr>
                    <w:t>卫生</w:t>
                  </w:r>
                  <w:r>
                    <w:rPr>
                      <w:rFonts w:hint="eastAsia" w:ascii="宋体" w:hAnsi="宋体" w:eastAsia="宋体" w:cs="宋体"/>
                      <w:color w:val="auto"/>
                      <w:sz w:val="21"/>
                      <w:szCs w:val="21"/>
                    </w:rPr>
                    <w:t>管理人员；</w:t>
                  </w:r>
                </w:p>
                <w:p w14:paraId="29685226">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②制定相关方环境管理条例、质量管理规定；</w:t>
                  </w:r>
                </w:p>
                <w:p w14:paraId="4F99802A">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③开展经常性检查、监督，发现问题及时解决、纠正</w:t>
                  </w:r>
                </w:p>
              </w:tc>
              <w:tc>
                <w:tcPr>
                  <w:tcW w:w="1788" w:type="dxa"/>
                  <w:tcBorders>
                    <w:tl2br w:val="nil"/>
                    <w:tr2bl w:val="nil"/>
                  </w:tcBorders>
                  <w:noWrap w:val="0"/>
                  <w:vAlign w:val="center"/>
                </w:tcPr>
                <w:p w14:paraId="4D31E562">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lang w:val="en-US" w:eastAsia="zh-CN"/>
                    </w:rPr>
                    <w:t>回用水质满足《农村生活污水处理排放标准》</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DB65/4275-2019</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表2的</w:t>
                  </w:r>
                  <w:r>
                    <w:rPr>
                      <w:rFonts w:hint="eastAsia" w:ascii="宋体" w:hAnsi="宋体" w:cs="宋体"/>
                      <w:color w:val="auto"/>
                      <w:sz w:val="21"/>
                      <w:szCs w:val="21"/>
                      <w:highlight w:val="none"/>
                      <w:lang w:val="en-US" w:eastAsia="zh-CN"/>
                    </w:rPr>
                    <w:t>B</w:t>
                  </w:r>
                  <w:r>
                    <w:rPr>
                      <w:rFonts w:hint="eastAsia" w:ascii="宋体" w:hAnsi="宋体" w:eastAsia="宋体" w:cs="宋体"/>
                      <w:color w:val="auto"/>
                      <w:sz w:val="21"/>
                      <w:szCs w:val="21"/>
                      <w:highlight w:val="none"/>
                      <w:lang w:val="en-US" w:eastAsia="zh-CN"/>
                    </w:rPr>
                    <w:t>级标准</w:t>
                  </w:r>
                </w:p>
              </w:tc>
            </w:tr>
            <w:tr w14:paraId="022C86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23" w:type="dxa"/>
                  <w:tcBorders>
                    <w:tl2br w:val="nil"/>
                    <w:tr2bl w:val="nil"/>
                  </w:tcBorders>
                  <w:noWrap w:val="0"/>
                  <w:vAlign w:val="center"/>
                </w:tcPr>
                <w:p w14:paraId="76B504EC">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165" w:type="dxa"/>
                  <w:tcBorders>
                    <w:tl2br w:val="nil"/>
                    <w:tr2bl w:val="nil"/>
                  </w:tcBorders>
                  <w:noWrap w:val="0"/>
                  <w:vAlign w:val="center"/>
                </w:tcPr>
                <w:p w14:paraId="3CA3E61A">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升压</w:t>
                  </w:r>
                  <w:r>
                    <w:rPr>
                      <w:rFonts w:hint="eastAsia" w:ascii="宋体" w:hAnsi="宋体" w:eastAsia="宋体" w:cs="宋体"/>
                      <w:color w:val="auto"/>
                      <w:sz w:val="21"/>
                      <w:szCs w:val="21"/>
                    </w:rPr>
                    <w:t>站首选低噪声主变，合理布局站内电气设备及配电装置</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线路选用的导线质量应符合国家相关标准的要求。</w:t>
                  </w:r>
                </w:p>
              </w:tc>
              <w:tc>
                <w:tcPr>
                  <w:tcW w:w="784" w:type="dxa"/>
                  <w:vMerge w:val="continue"/>
                  <w:tcBorders>
                    <w:tl2br w:val="nil"/>
                    <w:tr2bl w:val="nil"/>
                  </w:tcBorders>
                  <w:noWrap w:val="0"/>
                  <w:vAlign w:val="center"/>
                </w:tcPr>
                <w:p w14:paraId="101E66A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eastAsia" w:ascii="宋体" w:hAnsi="宋体" w:eastAsia="宋体" w:cs="宋体"/>
                      <w:color w:val="auto"/>
                      <w:sz w:val="21"/>
                      <w:szCs w:val="21"/>
                    </w:rPr>
                  </w:pPr>
                </w:p>
              </w:tc>
              <w:tc>
                <w:tcPr>
                  <w:tcW w:w="738" w:type="dxa"/>
                  <w:vMerge w:val="continue"/>
                  <w:tcBorders>
                    <w:tl2br w:val="nil"/>
                    <w:tr2bl w:val="nil"/>
                  </w:tcBorders>
                  <w:noWrap w:val="0"/>
                  <w:vAlign w:val="center"/>
                </w:tcPr>
                <w:p w14:paraId="426E94E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rPr>
                  </w:pPr>
                </w:p>
              </w:tc>
              <w:tc>
                <w:tcPr>
                  <w:tcW w:w="672" w:type="dxa"/>
                  <w:vMerge w:val="continue"/>
                  <w:tcBorders>
                    <w:tl2br w:val="nil"/>
                    <w:tr2bl w:val="nil"/>
                  </w:tcBorders>
                  <w:noWrap w:val="0"/>
                  <w:vAlign w:val="center"/>
                </w:tcPr>
                <w:p w14:paraId="0224C157">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rPr>
                  </w:pPr>
                </w:p>
              </w:tc>
              <w:tc>
                <w:tcPr>
                  <w:tcW w:w="1030" w:type="dxa"/>
                  <w:vMerge w:val="continue"/>
                  <w:tcBorders>
                    <w:tl2br w:val="nil"/>
                    <w:tr2bl w:val="nil"/>
                  </w:tcBorders>
                  <w:noWrap w:val="0"/>
                  <w:vAlign w:val="center"/>
                </w:tcPr>
                <w:p w14:paraId="35CA2FF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eastAsia" w:ascii="宋体" w:hAnsi="宋体" w:eastAsia="宋体" w:cs="宋体"/>
                      <w:color w:val="auto"/>
                      <w:sz w:val="21"/>
                      <w:szCs w:val="21"/>
                    </w:rPr>
                  </w:pPr>
                </w:p>
              </w:tc>
              <w:tc>
                <w:tcPr>
                  <w:tcW w:w="1788" w:type="dxa"/>
                  <w:tcBorders>
                    <w:tl2br w:val="nil"/>
                    <w:tr2bl w:val="nil"/>
                  </w:tcBorders>
                  <w:noWrap w:val="0"/>
                  <w:vAlign w:val="center"/>
                </w:tcPr>
                <w:p w14:paraId="2A022586">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升压</w:t>
                  </w:r>
                  <w:r>
                    <w:rPr>
                      <w:rFonts w:hint="eastAsia" w:ascii="宋体" w:hAnsi="宋体" w:eastAsia="宋体" w:cs="宋体"/>
                      <w:color w:val="auto"/>
                      <w:sz w:val="21"/>
                      <w:szCs w:val="21"/>
                    </w:rPr>
                    <w:t>站厂界环境噪声满足《工业企业厂界环境噪声排放标准》(GB12348-2008)2类标准要求。</w:t>
                  </w:r>
                  <w:r>
                    <w:rPr>
                      <w:rFonts w:hint="eastAsia" w:ascii="宋体" w:hAnsi="宋体" w:eastAsia="宋体" w:cs="宋体"/>
                      <w:color w:val="auto"/>
                      <w:sz w:val="21"/>
                      <w:szCs w:val="21"/>
                      <w:lang w:val="en-US" w:eastAsia="zh-CN"/>
                    </w:rPr>
                    <w:t>线路沿线声环境满足《声环境质量标准》</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GB3096-2008</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中相应的声环境功能区标准要求。</w:t>
                  </w:r>
                </w:p>
              </w:tc>
            </w:tr>
            <w:tr w14:paraId="4CA397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3" w:hRule="atLeast"/>
                <w:jc w:val="center"/>
              </w:trPr>
              <w:tc>
                <w:tcPr>
                  <w:tcW w:w="323" w:type="dxa"/>
                  <w:tcBorders>
                    <w:tl2br w:val="nil"/>
                    <w:tr2bl w:val="nil"/>
                  </w:tcBorders>
                  <w:noWrap w:val="0"/>
                  <w:vAlign w:val="center"/>
                </w:tcPr>
                <w:p w14:paraId="7960C3E0">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2165" w:type="dxa"/>
                  <w:tcBorders>
                    <w:tl2br w:val="nil"/>
                    <w:tr2bl w:val="nil"/>
                  </w:tcBorders>
                  <w:noWrap w:val="0"/>
                  <w:vAlign w:val="center"/>
                </w:tcPr>
                <w:p w14:paraId="51A13577">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建设事故油池1座，容积</w:t>
                  </w:r>
                  <w:r>
                    <w:rPr>
                      <w:rFonts w:hint="eastAsia" w:ascii="宋体" w:hAnsi="宋体" w:eastAsia="宋体" w:cs="宋体"/>
                      <w:color w:val="auto"/>
                      <w:sz w:val="21"/>
                      <w:szCs w:val="21"/>
                      <w:lang w:val="en-US" w:eastAsia="zh-CN"/>
                    </w:rPr>
                    <w:t>80</w:t>
                  </w:r>
                  <w:r>
                    <w:rPr>
                      <w:rFonts w:hint="eastAsia" w:ascii="宋体" w:hAnsi="宋体" w:eastAsia="宋体" w:cs="宋体"/>
                      <w:color w:val="auto"/>
                      <w:sz w:val="21"/>
                      <w:szCs w:val="21"/>
                    </w:rPr>
                    <w:t>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；事故</w:t>
                  </w:r>
                  <w:r>
                    <w:rPr>
                      <w:rFonts w:hint="eastAsia" w:ascii="宋体" w:hAnsi="宋体" w:eastAsia="宋体" w:cs="宋体"/>
                      <w:color w:val="auto"/>
                      <w:sz w:val="21"/>
                      <w:szCs w:val="21"/>
                      <w:lang w:val="en-US" w:eastAsia="zh-CN"/>
                    </w:rPr>
                    <w:t>废</w:t>
                  </w:r>
                  <w:r>
                    <w:rPr>
                      <w:rFonts w:hint="eastAsia" w:ascii="宋体" w:hAnsi="宋体" w:eastAsia="宋体" w:cs="宋体"/>
                      <w:color w:val="auto"/>
                      <w:sz w:val="21"/>
                      <w:szCs w:val="21"/>
                    </w:rPr>
                    <w:t>油委托有资质的单位处置。</w:t>
                  </w:r>
                  <w:r>
                    <w:rPr>
                      <w:rFonts w:hint="eastAsia" w:ascii="宋体" w:hAnsi="宋体" w:eastAsia="宋体" w:cs="宋体"/>
                      <w:color w:val="auto"/>
                      <w:sz w:val="21"/>
                      <w:szCs w:val="21"/>
                      <w:lang w:val="en-US" w:eastAsia="zh-CN"/>
                    </w:rPr>
                    <w:t>事故油池、危废贮存点基础必须采取相应的防渗措施。</w:t>
                  </w:r>
                  <w:r>
                    <w:rPr>
                      <w:rFonts w:hint="eastAsia" w:ascii="宋体" w:hAnsi="宋体" w:cs="宋体"/>
                      <w:color w:val="auto"/>
                      <w:sz w:val="21"/>
                      <w:szCs w:val="21"/>
                      <w:lang w:val="en-US" w:eastAsia="zh-CN"/>
                    </w:rPr>
                    <w:t>事故废油、</w:t>
                  </w:r>
                  <w:r>
                    <w:rPr>
                      <w:rFonts w:hint="eastAsia" w:ascii="宋体" w:hAnsi="宋体" w:eastAsia="宋体" w:cs="宋体"/>
                      <w:color w:val="auto"/>
                      <w:sz w:val="21"/>
                      <w:szCs w:val="21"/>
                      <w:highlight w:val="none"/>
                      <w:lang w:val="en-US" w:eastAsia="zh-CN"/>
                    </w:rPr>
                    <w:t>废铅蓄电池</w:t>
                  </w:r>
                  <w:r>
                    <w:rPr>
                      <w:rFonts w:hint="eastAsia" w:ascii="宋体" w:hAnsi="宋体" w:eastAsia="宋体" w:cs="宋体"/>
                      <w:color w:val="auto"/>
                      <w:sz w:val="21"/>
                      <w:szCs w:val="21"/>
                      <w:highlight w:val="none"/>
                    </w:rPr>
                    <w:t>暂存于</w:t>
                  </w:r>
                  <w:r>
                    <w:rPr>
                      <w:rFonts w:hint="eastAsia" w:ascii="宋体" w:hAnsi="宋体" w:eastAsia="宋体" w:cs="宋体"/>
                      <w:color w:val="auto"/>
                      <w:sz w:val="21"/>
                      <w:szCs w:val="21"/>
                      <w:highlight w:val="none"/>
                      <w:lang w:val="en-US" w:eastAsia="zh-CN"/>
                    </w:rPr>
                    <w:t>危废贮存点</w:t>
                  </w:r>
                  <w:r>
                    <w:rPr>
                      <w:rFonts w:hint="eastAsia" w:ascii="宋体" w:hAnsi="宋体" w:eastAsia="宋体" w:cs="宋体"/>
                      <w:color w:val="auto"/>
                      <w:sz w:val="21"/>
                      <w:szCs w:val="21"/>
                      <w:highlight w:val="none"/>
                    </w:rPr>
                    <w:t>，委托有资质单位</w:t>
                  </w:r>
                  <w:r>
                    <w:rPr>
                      <w:rFonts w:hint="eastAsia" w:ascii="宋体" w:hAnsi="宋体" w:eastAsia="宋体" w:cs="宋体"/>
                      <w:color w:val="auto"/>
                      <w:sz w:val="21"/>
                      <w:szCs w:val="21"/>
                      <w:highlight w:val="none"/>
                      <w:lang w:val="en-US" w:eastAsia="zh-CN"/>
                    </w:rPr>
                    <w:t>处置</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报</w:t>
                  </w:r>
                  <w:r>
                    <w:rPr>
                      <w:rFonts w:hint="eastAsia" w:ascii="宋体" w:hAnsi="宋体" w:eastAsia="宋体" w:cs="宋体"/>
                      <w:color w:val="auto"/>
                      <w:sz w:val="21"/>
                      <w:szCs w:val="21"/>
                      <w:highlight w:val="none"/>
                    </w:rPr>
                    <w:t>零部件集中收集后</w:t>
                  </w:r>
                  <w:r>
                    <w:rPr>
                      <w:rFonts w:hint="eastAsia" w:ascii="宋体" w:hAnsi="宋体" w:eastAsia="宋体" w:cs="宋体"/>
                      <w:color w:val="auto"/>
                      <w:sz w:val="21"/>
                      <w:szCs w:val="21"/>
                      <w:highlight w:val="none"/>
                      <w:lang w:val="en-US" w:eastAsia="zh-CN"/>
                    </w:rPr>
                    <w:t>由厂家回收处置，不在项目区储存。</w:t>
                  </w:r>
                  <w:r>
                    <w:rPr>
                      <w:rFonts w:hint="eastAsia" w:ascii="宋体" w:hAnsi="宋体" w:eastAsia="宋体" w:cs="宋体"/>
                      <w:color w:val="auto"/>
                      <w:sz w:val="21"/>
                      <w:szCs w:val="21"/>
                      <w:highlight w:val="none"/>
                    </w:rPr>
                    <w:t>生活垃圾</w:t>
                  </w:r>
                  <w:r>
                    <w:rPr>
                      <w:rFonts w:hint="eastAsia" w:ascii="宋体" w:hAnsi="宋体" w:eastAsia="宋体" w:cs="宋体"/>
                      <w:color w:val="auto"/>
                      <w:sz w:val="21"/>
                      <w:szCs w:val="21"/>
                      <w:highlight w:val="none"/>
                      <w:lang w:val="en-US" w:eastAsia="zh-CN"/>
                    </w:rPr>
                    <w:t>集中收集后委托环卫部门清运至鄯善县生活垃圾填埋场处置</w:t>
                  </w:r>
                  <w:r>
                    <w:rPr>
                      <w:rFonts w:hint="eastAsia" w:ascii="宋体" w:hAnsi="宋体" w:eastAsia="宋体" w:cs="宋体"/>
                      <w:color w:val="auto"/>
                      <w:sz w:val="21"/>
                      <w:szCs w:val="21"/>
                      <w:highlight w:val="none"/>
                      <w:lang w:eastAsia="zh-CN"/>
                    </w:rPr>
                    <w:t>。</w:t>
                  </w:r>
                </w:p>
              </w:tc>
              <w:tc>
                <w:tcPr>
                  <w:tcW w:w="784" w:type="dxa"/>
                  <w:vMerge w:val="continue"/>
                  <w:tcBorders>
                    <w:tl2br w:val="nil"/>
                    <w:tr2bl w:val="nil"/>
                  </w:tcBorders>
                  <w:noWrap w:val="0"/>
                  <w:vAlign w:val="center"/>
                </w:tcPr>
                <w:p w14:paraId="0D0C1E8E">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eastAsia" w:ascii="宋体" w:hAnsi="宋体" w:eastAsia="宋体" w:cs="宋体"/>
                      <w:color w:val="auto"/>
                      <w:sz w:val="21"/>
                      <w:szCs w:val="21"/>
                    </w:rPr>
                  </w:pPr>
                </w:p>
              </w:tc>
              <w:tc>
                <w:tcPr>
                  <w:tcW w:w="738" w:type="dxa"/>
                  <w:vMerge w:val="continue"/>
                  <w:tcBorders>
                    <w:tl2br w:val="nil"/>
                    <w:tr2bl w:val="nil"/>
                  </w:tcBorders>
                  <w:noWrap w:val="0"/>
                  <w:vAlign w:val="center"/>
                </w:tcPr>
                <w:p w14:paraId="378CD18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rPr>
                  </w:pPr>
                </w:p>
              </w:tc>
              <w:tc>
                <w:tcPr>
                  <w:tcW w:w="672" w:type="dxa"/>
                  <w:vMerge w:val="continue"/>
                  <w:tcBorders>
                    <w:tl2br w:val="nil"/>
                    <w:tr2bl w:val="nil"/>
                  </w:tcBorders>
                  <w:noWrap w:val="0"/>
                  <w:vAlign w:val="center"/>
                </w:tcPr>
                <w:p w14:paraId="3A420B52">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rPr>
                  </w:pPr>
                </w:p>
              </w:tc>
              <w:tc>
                <w:tcPr>
                  <w:tcW w:w="1030" w:type="dxa"/>
                  <w:vMerge w:val="continue"/>
                  <w:tcBorders>
                    <w:tl2br w:val="nil"/>
                    <w:tr2bl w:val="nil"/>
                  </w:tcBorders>
                  <w:noWrap w:val="0"/>
                  <w:vAlign w:val="center"/>
                </w:tcPr>
                <w:p w14:paraId="47E5AF3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eastAsia" w:ascii="宋体" w:hAnsi="宋体" w:eastAsia="宋体" w:cs="宋体"/>
                      <w:color w:val="auto"/>
                      <w:sz w:val="21"/>
                      <w:szCs w:val="21"/>
                    </w:rPr>
                  </w:pPr>
                </w:p>
              </w:tc>
              <w:tc>
                <w:tcPr>
                  <w:tcW w:w="1788" w:type="dxa"/>
                  <w:tcBorders>
                    <w:tl2br w:val="nil"/>
                    <w:tr2bl w:val="nil"/>
                  </w:tcBorders>
                  <w:noWrap w:val="0"/>
                  <w:vAlign w:val="center"/>
                </w:tcPr>
                <w:p w14:paraId="51670535">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各类固体废物能够妥善处置，事故油池容积满足事故排油需求，容量按100%最大单台变压器油量设计</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防渗层为至少1m厚</w:t>
                  </w:r>
                  <w:r>
                    <w:rPr>
                      <w:rFonts w:hint="eastAsia" w:ascii="宋体" w:hAnsi="宋体" w:cs="宋体"/>
                      <w:color w:val="auto"/>
                      <w:sz w:val="21"/>
                      <w:szCs w:val="21"/>
                      <w:lang w:eastAsia="zh-CN"/>
                    </w:rPr>
                    <w:t>黏土</w:t>
                  </w:r>
                  <w:r>
                    <w:rPr>
                      <w:rFonts w:hint="eastAsia" w:ascii="宋体" w:hAnsi="宋体" w:eastAsia="宋体" w:cs="宋体"/>
                      <w:color w:val="auto"/>
                      <w:sz w:val="21"/>
                      <w:szCs w:val="21"/>
                    </w:rPr>
                    <w:t>层</w:t>
                  </w:r>
                  <w:r>
                    <w:rPr>
                      <w:rFonts w:hint="eastAsia" w:ascii="宋体" w:hAnsi="宋体" w:cs="宋体"/>
                      <w:color w:val="auto"/>
                      <w:sz w:val="21"/>
                      <w:szCs w:val="21"/>
                      <w:lang w:eastAsia="zh-CN"/>
                    </w:rPr>
                    <w:t>（</w:t>
                  </w:r>
                  <w:r>
                    <w:rPr>
                      <w:rFonts w:hint="eastAsia" w:ascii="宋体" w:hAnsi="宋体" w:eastAsia="宋体" w:cs="宋体"/>
                      <w:color w:val="auto"/>
                      <w:sz w:val="21"/>
                      <w:szCs w:val="21"/>
                    </w:rPr>
                    <w:t>渗透系数≤10</w:t>
                  </w:r>
                  <w:r>
                    <w:rPr>
                      <w:rFonts w:hint="eastAsia" w:ascii="宋体" w:hAnsi="宋体" w:eastAsia="宋体" w:cs="宋体"/>
                      <w:color w:val="auto"/>
                      <w:sz w:val="21"/>
                      <w:szCs w:val="21"/>
                      <w:vertAlign w:val="superscript"/>
                    </w:rPr>
                    <w:t>-7</w:t>
                  </w:r>
                  <w:r>
                    <w:rPr>
                      <w:rFonts w:hint="eastAsia" w:ascii="宋体" w:hAnsi="宋体" w:eastAsia="宋体" w:cs="宋体"/>
                      <w:color w:val="auto"/>
                      <w:sz w:val="21"/>
                      <w:szCs w:val="21"/>
                    </w:rPr>
                    <w:t>cm/s</w:t>
                  </w:r>
                  <w:r>
                    <w:rPr>
                      <w:rFonts w:hint="eastAsia" w:ascii="宋体" w:hAnsi="宋体" w:cs="宋体"/>
                      <w:color w:val="auto"/>
                      <w:sz w:val="21"/>
                      <w:szCs w:val="21"/>
                      <w:lang w:eastAsia="zh-CN"/>
                    </w:rPr>
                    <w:t>），</w:t>
                  </w:r>
                  <w:r>
                    <w:rPr>
                      <w:rFonts w:hint="eastAsia" w:ascii="宋体" w:hAnsi="宋体" w:eastAsia="宋体" w:cs="宋体"/>
                      <w:color w:val="auto"/>
                      <w:sz w:val="21"/>
                      <w:szCs w:val="21"/>
                    </w:rPr>
                    <w:t>或2mm厚高密度聚乙烯，或至少2mm厚的</w:t>
                  </w:r>
                  <w:r>
                    <w:rPr>
                      <w:rFonts w:hint="eastAsia" w:ascii="宋体" w:hAnsi="宋体" w:cs="宋体"/>
                      <w:color w:val="auto"/>
                      <w:sz w:val="21"/>
                      <w:szCs w:val="21"/>
                      <w:lang w:eastAsia="zh-CN"/>
                    </w:rPr>
                    <w:t>其他人工</w:t>
                  </w:r>
                  <w:r>
                    <w:rPr>
                      <w:rFonts w:hint="eastAsia" w:ascii="宋体" w:hAnsi="宋体" w:eastAsia="宋体" w:cs="宋体"/>
                      <w:color w:val="auto"/>
                      <w:sz w:val="21"/>
                      <w:szCs w:val="21"/>
                    </w:rPr>
                    <w:t>材料，渗透系数≤10</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vertAlign w:val="superscript"/>
                      <w:lang w:val="en-US" w:eastAsia="zh-CN"/>
                    </w:rPr>
                    <w:t>10</w:t>
                  </w:r>
                  <w:r>
                    <w:rPr>
                      <w:rFonts w:hint="eastAsia" w:ascii="宋体" w:hAnsi="宋体" w:eastAsia="宋体" w:cs="宋体"/>
                      <w:color w:val="auto"/>
                      <w:sz w:val="21"/>
                      <w:szCs w:val="21"/>
                    </w:rPr>
                    <w:t>cm/s。</w:t>
                  </w:r>
                </w:p>
              </w:tc>
            </w:tr>
            <w:tr w14:paraId="4FECE1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3" w:hRule="atLeast"/>
                <w:jc w:val="center"/>
              </w:trPr>
              <w:tc>
                <w:tcPr>
                  <w:tcW w:w="323" w:type="dxa"/>
                  <w:tcBorders>
                    <w:tl2br w:val="nil"/>
                    <w:tr2bl w:val="nil"/>
                  </w:tcBorders>
                  <w:noWrap w:val="0"/>
                  <w:vAlign w:val="center"/>
                </w:tcPr>
                <w:p w14:paraId="2588D37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2165" w:type="dxa"/>
                  <w:tcBorders>
                    <w:tl2br w:val="nil"/>
                    <w:tr2bl w:val="nil"/>
                  </w:tcBorders>
                  <w:noWrap w:val="0"/>
                  <w:vAlign w:val="center"/>
                </w:tcPr>
                <w:p w14:paraId="71822AD1">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textAlignment w:val="auto"/>
                    <w:outlineLvl w:val="9"/>
                    <w:rPr>
                      <w:rFonts w:hint="eastAsia" w:ascii="宋体" w:hAnsi="宋体" w:eastAsia="宋体" w:cs="宋体"/>
                      <w:color w:val="auto"/>
                      <w:sz w:val="21"/>
                      <w:szCs w:val="21"/>
                    </w:rPr>
                  </w:pPr>
                  <w:r>
                    <w:rPr>
                      <w:rFonts w:hint="eastAsia" w:ascii="宋体" w:hAnsi="宋体" w:eastAsia="宋体" w:cs="宋体"/>
                      <w:color w:val="auto"/>
                      <w:highlight w:val="none"/>
                      <w:lang w:val="en-US" w:eastAsia="zh-CN"/>
                    </w:rPr>
                    <w:t>升压</w:t>
                  </w:r>
                  <w:r>
                    <w:rPr>
                      <w:rFonts w:hint="eastAsia" w:ascii="宋体" w:hAnsi="宋体" w:eastAsia="宋体" w:cs="宋体"/>
                      <w:color w:val="auto"/>
                      <w:highlight w:val="none"/>
                    </w:rPr>
                    <w:t>站按功能分区布置；制定安全操作规程，加强职工安全教育，加强电磁水平监测；对员工进行电磁辐射基础知识培训，在巡检带电维修过程中，尽可能减少暴露在电磁场中的时间；</w:t>
                  </w:r>
                  <w:r>
                    <w:rPr>
                      <w:rFonts w:hint="eastAsia" w:ascii="宋体" w:hAnsi="宋体" w:eastAsia="宋体" w:cs="宋体"/>
                      <w:color w:val="auto"/>
                      <w:highlight w:val="none"/>
                      <w:lang w:val="en-US" w:eastAsia="zh-CN"/>
                    </w:rPr>
                    <w:t>线路建成后，应加强输电线路防护距离宣传教育和督查工作；</w:t>
                  </w:r>
                  <w:r>
                    <w:rPr>
                      <w:rFonts w:hint="eastAsia" w:ascii="宋体" w:hAnsi="宋体" w:eastAsia="宋体" w:cs="宋体"/>
                      <w:color w:val="auto"/>
                      <w:highlight w:val="none"/>
                    </w:rPr>
                    <w:t>设立电磁防护安全警示标志，禁止无关人员靠近带电架构等</w:t>
                  </w:r>
                  <w:r>
                    <w:rPr>
                      <w:rFonts w:hint="eastAsia" w:ascii="宋体" w:hAnsi="宋体" w:eastAsia="宋体" w:cs="宋体"/>
                      <w:color w:val="auto"/>
                      <w:highlight w:val="none"/>
                      <w:lang w:eastAsia="zh-CN"/>
                    </w:rPr>
                    <w:t>。</w:t>
                  </w:r>
                </w:p>
              </w:tc>
              <w:tc>
                <w:tcPr>
                  <w:tcW w:w="784" w:type="dxa"/>
                  <w:vMerge w:val="continue"/>
                  <w:tcBorders>
                    <w:tl2br w:val="nil"/>
                    <w:tr2bl w:val="nil"/>
                  </w:tcBorders>
                  <w:noWrap w:val="0"/>
                  <w:vAlign w:val="center"/>
                </w:tcPr>
                <w:p w14:paraId="4AD449E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eastAsia" w:ascii="宋体" w:hAnsi="宋体" w:eastAsia="宋体" w:cs="宋体"/>
                      <w:color w:val="auto"/>
                      <w:sz w:val="21"/>
                      <w:szCs w:val="21"/>
                    </w:rPr>
                  </w:pPr>
                </w:p>
              </w:tc>
              <w:tc>
                <w:tcPr>
                  <w:tcW w:w="738" w:type="dxa"/>
                  <w:vMerge w:val="continue"/>
                  <w:tcBorders>
                    <w:tl2br w:val="nil"/>
                    <w:tr2bl w:val="nil"/>
                  </w:tcBorders>
                  <w:noWrap w:val="0"/>
                  <w:vAlign w:val="center"/>
                </w:tcPr>
                <w:p w14:paraId="22AC2727">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rPr>
                  </w:pPr>
                </w:p>
              </w:tc>
              <w:tc>
                <w:tcPr>
                  <w:tcW w:w="672" w:type="dxa"/>
                  <w:vMerge w:val="continue"/>
                  <w:tcBorders>
                    <w:tl2br w:val="nil"/>
                    <w:tr2bl w:val="nil"/>
                  </w:tcBorders>
                  <w:noWrap w:val="0"/>
                  <w:vAlign w:val="center"/>
                </w:tcPr>
                <w:p w14:paraId="21F21A17">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rPr>
                  </w:pPr>
                </w:p>
              </w:tc>
              <w:tc>
                <w:tcPr>
                  <w:tcW w:w="1030" w:type="dxa"/>
                  <w:vMerge w:val="continue"/>
                  <w:tcBorders>
                    <w:tl2br w:val="nil"/>
                    <w:tr2bl w:val="nil"/>
                  </w:tcBorders>
                  <w:noWrap w:val="0"/>
                  <w:vAlign w:val="center"/>
                </w:tcPr>
                <w:p w14:paraId="24256E3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eastAsia" w:ascii="宋体" w:hAnsi="宋体" w:eastAsia="宋体" w:cs="宋体"/>
                      <w:color w:val="auto"/>
                      <w:sz w:val="21"/>
                      <w:szCs w:val="21"/>
                    </w:rPr>
                  </w:pPr>
                </w:p>
              </w:tc>
              <w:tc>
                <w:tcPr>
                  <w:tcW w:w="1788" w:type="dxa"/>
                  <w:tcBorders>
                    <w:tl2br w:val="nil"/>
                    <w:tr2bl w:val="nil"/>
                  </w:tcBorders>
                  <w:noWrap w:val="0"/>
                  <w:vAlign w:val="center"/>
                </w:tcPr>
                <w:p w14:paraId="27E46618">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升压</w:t>
                  </w:r>
                  <w:r>
                    <w:rPr>
                      <w:rFonts w:hint="eastAsia" w:ascii="宋体" w:hAnsi="宋体" w:eastAsia="宋体" w:cs="宋体"/>
                      <w:color w:val="auto"/>
                      <w:sz w:val="21"/>
                      <w:szCs w:val="21"/>
                    </w:rPr>
                    <w:t>站</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线路</w:t>
                  </w:r>
                  <w:r>
                    <w:rPr>
                      <w:rFonts w:hint="eastAsia" w:ascii="宋体" w:hAnsi="宋体" w:eastAsia="宋体" w:cs="宋体"/>
                      <w:color w:val="auto"/>
                      <w:sz w:val="21"/>
                      <w:szCs w:val="21"/>
                    </w:rPr>
                    <w:t>运行时产生的电磁满足《电磁环境控制限值》</w:t>
                  </w:r>
                  <w:r>
                    <w:rPr>
                      <w:rFonts w:hint="eastAsia" w:ascii="宋体" w:hAnsi="宋体" w:cs="宋体"/>
                      <w:color w:val="auto"/>
                      <w:sz w:val="21"/>
                      <w:szCs w:val="21"/>
                      <w:lang w:eastAsia="zh-CN"/>
                    </w:rPr>
                    <w:t>（</w:t>
                  </w:r>
                  <w:r>
                    <w:rPr>
                      <w:rFonts w:hint="eastAsia" w:ascii="宋体" w:hAnsi="宋体" w:eastAsia="宋体" w:cs="宋体"/>
                      <w:color w:val="auto"/>
                      <w:sz w:val="21"/>
                      <w:szCs w:val="21"/>
                    </w:rPr>
                    <w:t>GB8702-2014</w:t>
                  </w:r>
                  <w:r>
                    <w:rPr>
                      <w:rFonts w:hint="eastAsia" w:ascii="宋体" w:hAnsi="宋体" w:cs="宋体"/>
                      <w:color w:val="auto"/>
                      <w:sz w:val="21"/>
                      <w:szCs w:val="21"/>
                      <w:lang w:eastAsia="zh-CN"/>
                    </w:rPr>
                    <w:t>）</w:t>
                  </w:r>
                  <w:r>
                    <w:rPr>
                      <w:rFonts w:hint="eastAsia" w:ascii="宋体" w:hAnsi="宋体" w:eastAsia="宋体" w:cs="宋体"/>
                      <w:color w:val="auto"/>
                      <w:sz w:val="21"/>
                      <w:szCs w:val="21"/>
                    </w:rPr>
                    <w:t>要求。</w:t>
                  </w:r>
                </w:p>
              </w:tc>
            </w:tr>
            <w:tr w14:paraId="300165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3" w:hRule="atLeast"/>
                <w:jc w:val="center"/>
              </w:trPr>
              <w:tc>
                <w:tcPr>
                  <w:tcW w:w="323" w:type="dxa"/>
                  <w:tcBorders>
                    <w:tl2br w:val="nil"/>
                    <w:tr2bl w:val="nil"/>
                  </w:tcBorders>
                  <w:noWrap w:val="0"/>
                  <w:vAlign w:val="center"/>
                </w:tcPr>
                <w:p w14:paraId="2E0873F3">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2165" w:type="dxa"/>
                  <w:tcBorders>
                    <w:tl2br w:val="nil"/>
                    <w:tr2bl w:val="nil"/>
                  </w:tcBorders>
                  <w:noWrap w:val="0"/>
                  <w:vAlign w:val="center"/>
                </w:tcPr>
                <w:p w14:paraId="23B2711C">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建设项目环保竣工验收监测一次，建设单位组织开展定期监测</w:t>
                  </w:r>
                </w:p>
              </w:tc>
              <w:tc>
                <w:tcPr>
                  <w:tcW w:w="784" w:type="dxa"/>
                  <w:vMerge w:val="continue"/>
                  <w:tcBorders>
                    <w:tl2br w:val="nil"/>
                    <w:tr2bl w:val="nil"/>
                  </w:tcBorders>
                  <w:noWrap w:val="0"/>
                  <w:vAlign w:val="center"/>
                </w:tcPr>
                <w:p w14:paraId="439E357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eastAsia" w:ascii="宋体" w:hAnsi="宋体" w:eastAsia="宋体" w:cs="宋体"/>
                      <w:color w:val="auto"/>
                      <w:sz w:val="21"/>
                      <w:szCs w:val="21"/>
                    </w:rPr>
                  </w:pPr>
                </w:p>
              </w:tc>
              <w:tc>
                <w:tcPr>
                  <w:tcW w:w="738" w:type="dxa"/>
                  <w:vMerge w:val="continue"/>
                  <w:tcBorders>
                    <w:tl2br w:val="nil"/>
                    <w:tr2bl w:val="nil"/>
                  </w:tcBorders>
                  <w:noWrap w:val="0"/>
                  <w:vAlign w:val="center"/>
                </w:tcPr>
                <w:p w14:paraId="735FCEEF">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rPr>
                  </w:pPr>
                </w:p>
              </w:tc>
              <w:tc>
                <w:tcPr>
                  <w:tcW w:w="672" w:type="dxa"/>
                  <w:vMerge w:val="continue"/>
                  <w:tcBorders>
                    <w:tl2br w:val="nil"/>
                    <w:tr2bl w:val="nil"/>
                  </w:tcBorders>
                  <w:noWrap w:val="0"/>
                  <w:vAlign w:val="center"/>
                </w:tcPr>
                <w:p w14:paraId="0CCE986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rPr>
                  </w:pPr>
                </w:p>
              </w:tc>
              <w:tc>
                <w:tcPr>
                  <w:tcW w:w="1030" w:type="dxa"/>
                  <w:vMerge w:val="continue"/>
                  <w:tcBorders>
                    <w:tl2br w:val="nil"/>
                    <w:tr2bl w:val="nil"/>
                  </w:tcBorders>
                  <w:noWrap w:val="0"/>
                  <w:vAlign w:val="center"/>
                </w:tcPr>
                <w:p w14:paraId="4433C24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eastAsia" w:ascii="宋体" w:hAnsi="宋体" w:eastAsia="宋体" w:cs="宋体"/>
                      <w:color w:val="auto"/>
                      <w:sz w:val="21"/>
                      <w:szCs w:val="21"/>
                    </w:rPr>
                  </w:pPr>
                </w:p>
              </w:tc>
              <w:tc>
                <w:tcPr>
                  <w:tcW w:w="1788" w:type="dxa"/>
                  <w:tcBorders>
                    <w:tl2br w:val="nil"/>
                    <w:tr2bl w:val="nil"/>
                  </w:tcBorders>
                  <w:noWrap w:val="0"/>
                  <w:vAlign w:val="center"/>
                </w:tcPr>
                <w:p w14:paraId="5C5B87CA">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监测结果达标</w:t>
                  </w:r>
                </w:p>
              </w:tc>
            </w:tr>
          </w:tbl>
          <w:p w14:paraId="4FAD989E">
            <w:pPr>
              <w:keepNext w:val="0"/>
              <w:keepLines w:val="0"/>
              <w:suppressLineNumbers w:val="0"/>
              <w:overflowPunct w:val="0"/>
              <w:adjustRightInd w:val="0"/>
              <w:snapToGrid w:val="0"/>
              <w:spacing w:before="0" w:beforeAutospacing="0" w:after="0" w:afterAutospacing="0"/>
              <w:ind w:left="0" w:right="0"/>
              <w:jc w:val="center"/>
              <w:outlineLvl w:val="9"/>
              <w:rPr>
                <w:rFonts w:hint="eastAsia" w:ascii="宋体" w:hAnsi="宋体" w:eastAsia="宋体" w:cs="宋体"/>
                <w:b/>
                <w:bCs/>
                <w:color w:val="auto"/>
                <w:sz w:val="24"/>
                <w:szCs w:val="24"/>
              </w:rPr>
            </w:pPr>
          </w:p>
          <w:p w14:paraId="12C81474">
            <w:pPr>
              <w:pStyle w:val="39"/>
              <w:keepNext w:val="0"/>
              <w:keepLines w:val="0"/>
              <w:suppressLineNumbers w:val="0"/>
              <w:spacing w:before="0" w:beforeAutospacing="0" w:after="0" w:afterAutospacing="0"/>
              <w:ind w:left="0" w:right="0"/>
              <w:rPr>
                <w:rFonts w:hint="eastAsia" w:ascii="宋体" w:hAnsi="宋体" w:eastAsia="宋体" w:cs="宋体"/>
                <w:b/>
                <w:bCs/>
                <w:color w:val="auto"/>
                <w:sz w:val="24"/>
                <w:szCs w:val="24"/>
              </w:rPr>
            </w:pPr>
          </w:p>
          <w:p w14:paraId="0B69844D">
            <w:pPr>
              <w:keepNext w:val="0"/>
              <w:keepLines w:val="0"/>
              <w:suppressLineNumbers w:val="0"/>
              <w:spacing w:before="0" w:beforeAutospacing="0" w:after="0" w:afterAutospacing="0"/>
              <w:ind w:left="0" w:right="0"/>
              <w:rPr>
                <w:rFonts w:hint="eastAsia" w:ascii="宋体" w:hAnsi="宋体" w:eastAsia="宋体" w:cs="宋体"/>
                <w:b/>
                <w:bCs/>
                <w:color w:val="auto"/>
                <w:sz w:val="24"/>
                <w:szCs w:val="24"/>
              </w:rPr>
            </w:pPr>
          </w:p>
          <w:p w14:paraId="0C458FE9">
            <w:pPr>
              <w:pStyle w:val="39"/>
              <w:keepNext w:val="0"/>
              <w:keepLines w:val="0"/>
              <w:suppressLineNumbers w:val="0"/>
              <w:spacing w:before="0" w:beforeAutospacing="0" w:after="0" w:afterAutospacing="0"/>
              <w:ind w:left="0" w:right="0"/>
              <w:rPr>
                <w:rFonts w:hint="eastAsia" w:ascii="宋体" w:hAnsi="宋体" w:eastAsia="宋体" w:cs="宋体"/>
                <w:b/>
                <w:bCs/>
                <w:color w:val="auto"/>
                <w:sz w:val="24"/>
                <w:szCs w:val="24"/>
              </w:rPr>
            </w:pPr>
          </w:p>
          <w:p w14:paraId="105BA8FA">
            <w:pPr>
              <w:keepNext w:val="0"/>
              <w:keepLines w:val="0"/>
              <w:suppressLineNumbers w:val="0"/>
              <w:spacing w:before="0" w:beforeAutospacing="0" w:after="0" w:afterAutospacing="0"/>
              <w:ind w:left="0" w:right="0"/>
              <w:rPr>
                <w:rFonts w:hint="eastAsia" w:ascii="宋体" w:hAnsi="宋体" w:eastAsia="宋体" w:cs="宋体"/>
                <w:b/>
                <w:bCs/>
                <w:color w:val="auto"/>
                <w:sz w:val="24"/>
                <w:szCs w:val="24"/>
              </w:rPr>
            </w:pPr>
          </w:p>
          <w:p w14:paraId="275CEF64">
            <w:pPr>
              <w:pStyle w:val="39"/>
              <w:keepNext w:val="0"/>
              <w:keepLines w:val="0"/>
              <w:suppressLineNumbers w:val="0"/>
              <w:spacing w:before="0" w:beforeAutospacing="0" w:after="0" w:afterAutospacing="0"/>
              <w:ind w:left="0" w:right="0"/>
              <w:rPr>
                <w:rFonts w:hint="eastAsia" w:ascii="宋体" w:hAnsi="宋体" w:eastAsia="宋体" w:cs="宋体"/>
                <w:b/>
                <w:bCs/>
                <w:color w:val="auto"/>
                <w:sz w:val="24"/>
                <w:szCs w:val="24"/>
              </w:rPr>
            </w:pPr>
          </w:p>
          <w:p w14:paraId="02190D15">
            <w:pPr>
              <w:keepNext w:val="0"/>
              <w:keepLines w:val="0"/>
              <w:suppressLineNumbers w:val="0"/>
              <w:spacing w:before="0" w:beforeAutospacing="0" w:after="0" w:afterAutospacing="0"/>
              <w:ind w:left="0" w:right="0"/>
              <w:rPr>
                <w:rFonts w:hint="eastAsia" w:ascii="宋体" w:hAnsi="宋体" w:eastAsia="宋体" w:cs="宋体"/>
                <w:b/>
                <w:bCs/>
                <w:color w:val="auto"/>
                <w:sz w:val="24"/>
                <w:szCs w:val="24"/>
              </w:rPr>
            </w:pPr>
          </w:p>
          <w:p w14:paraId="0B12803D">
            <w:pPr>
              <w:keepNext w:val="0"/>
              <w:keepLines w:val="0"/>
              <w:suppressLineNumbers w:val="0"/>
              <w:spacing w:before="0" w:beforeAutospacing="0" w:after="0" w:afterAutospacing="0"/>
              <w:ind w:left="0" w:right="0"/>
              <w:rPr>
                <w:rFonts w:hint="eastAsia" w:ascii="宋体" w:hAnsi="宋体" w:eastAsia="宋体" w:cs="宋体"/>
                <w:b/>
                <w:bCs/>
                <w:color w:val="auto"/>
                <w:sz w:val="24"/>
                <w:szCs w:val="24"/>
              </w:rPr>
            </w:pPr>
          </w:p>
          <w:p w14:paraId="7AC62BA8">
            <w:pPr>
              <w:pStyle w:val="39"/>
              <w:keepNext w:val="0"/>
              <w:keepLines w:val="0"/>
              <w:suppressLineNumbers w:val="0"/>
              <w:spacing w:before="0" w:beforeAutospacing="0" w:after="0" w:afterAutospacing="0"/>
              <w:ind w:left="0" w:right="0"/>
              <w:rPr>
                <w:rFonts w:hint="eastAsia" w:ascii="宋体" w:hAnsi="宋体" w:eastAsia="宋体" w:cs="宋体"/>
                <w:b/>
                <w:bCs/>
                <w:color w:val="auto"/>
                <w:sz w:val="24"/>
                <w:szCs w:val="24"/>
              </w:rPr>
            </w:pPr>
          </w:p>
          <w:p w14:paraId="056D3D98">
            <w:pPr>
              <w:keepNext w:val="0"/>
              <w:keepLines w:val="0"/>
              <w:suppressLineNumbers w:val="0"/>
              <w:spacing w:before="0" w:beforeAutospacing="0" w:after="0" w:afterAutospacing="0"/>
              <w:ind w:left="0" w:right="0"/>
              <w:rPr>
                <w:rFonts w:hint="eastAsia" w:ascii="宋体" w:hAnsi="宋体" w:eastAsia="宋体" w:cs="宋体"/>
                <w:b/>
                <w:bCs/>
                <w:color w:val="auto"/>
                <w:sz w:val="24"/>
                <w:szCs w:val="24"/>
              </w:rPr>
            </w:pPr>
          </w:p>
          <w:p w14:paraId="7C219FA9">
            <w:pPr>
              <w:pStyle w:val="39"/>
              <w:keepNext w:val="0"/>
              <w:keepLines w:val="0"/>
              <w:suppressLineNumbers w:val="0"/>
              <w:spacing w:before="0" w:beforeAutospacing="0" w:after="0" w:afterAutospacing="0"/>
              <w:ind w:left="0" w:right="0"/>
              <w:rPr>
                <w:rFonts w:hint="eastAsia" w:ascii="宋体" w:hAnsi="宋体" w:eastAsia="宋体" w:cs="宋体"/>
                <w:b/>
                <w:bCs/>
                <w:color w:val="auto"/>
                <w:sz w:val="24"/>
                <w:szCs w:val="24"/>
              </w:rPr>
            </w:pPr>
          </w:p>
          <w:p w14:paraId="6274CBFD">
            <w:pPr>
              <w:keepNext w:val="0"/>
              <w:keepLines w:val="0"/>
              <w:suppressLineNumbers w:val="0"/>
              <w:spacing w:before="0" w:beforeAutospacing="0" w:after="0" w:afterAutospacing="0"/>
              <w:ind w:left="0" w:right="0"/>
              <w:rPr>
                <w:rFonts w:hint="eastAsia" w:ascii="宋体" w:hAnsi="宋体" w:eastAsia="宋体" w:cs="宋体"/>
                <w:b/>
                <w:bCs/>
                <w:color w:val="auto"/>
                <w:sz w:val="24"/>
                <w:szCs w:val="24"/>
              </w:rPr>
            </w:pPr>
          </w:p>
          <w:p w14:paraId="4FEB605A">
            <w:pPr>
              <w:pStyle w:val="39"/>
              <w:keepNext w:val="0"/>
              <w:keepLines w:val="0"/>
              <w:suppressLineNumbers w:val="0"/>
              <w:spacing w:before="0" w:beforeAutospacing="0" w:after="0" w:afterAutospacing="0"/>
              <w:ind w:left="0" w:right="0"/>
              <w:rPr>
                <w:rFonts w:hint="eastAsia" w:ascii="宋体" w:hAnsi="宋体" w:eastAsia="宋体" w:cs="宋体"/>
                <w:b/>
                <w:bCs/>
                <w:color w:val="auto"/>
                <w:sz w:val="24"/>
                <w:szCs w:val="24"/>
              </w:rPr>
            </w:pPr>
          </w:p>
          <w:p w14:paraId="43F1B470">
            <w:pPr>
              <w:keepNext w:val="0"/>
              <w:keepLines w:val="0"/>
              <w:suppressLineNumbers w:val="0"/>
              <w:spacing w:before="0" w:beforeAutospacing="0" w:after="0" w:afterAutospacing="0"/>
              <w:ind w:left="0" w:right="0"/>
              <w:rPr>
                <w:rFonts w:hint="eastAsia" w:ascii="宋体" w:hAnsi="宋体" w:eastAsia="宋体" w:cs="宋体"/>
                <w:b/>
                <w:bCs/>
                <w:color w:val="auto"/>
                <w:sz w:val="24"/>
                <w:szCs w:val="24"/>
              </w:rPr>
            </w:pPr>
          </w:p>
          <w:p w14:paraId="0440A991">
            <w:pPr>
              <w:pStyle w:val="39"/>
              <w:keepNext w:val="0"/>
              <w:keepLines w:val="0"/>
              <w:suppressLineNumbers w:val="0"/>
              <w:spacing w:before="0" w:beforeAutospacing="0" w:after="0" w:afterAutospacing="0"/>
              <w:ind w:left="0" w:right="0"/>
              <w:rPr>
                <w:rFonts w:hint="eastAsia" w:ascii="宋体" w:hAnsi="宋体" w:eastAsia="宋体" w:cs="宋体"/>
                <w:b/>
                <w:bCs/>
                <w:color w:val="auto"/>
                <w:sz w:val="24"/>
                <w:szCs w:val="24"/>
              </w:rPr>
            </w:pPr>
          </w:p>
          <w:p w14:paraId="0FD31D2F">
            <w:pPr>
              <w:keepNext w:val="0"/>
              <w:keepLines w:val="0"/>
              <w:suppressLineNumbers w:val="0"/>
              <w:spacing w:before="0" w:beforeAutospacing="0" w:after="0" w:afterAutospacing="0"/>
              <w:ind w:left="0" w:right="0"/>
              <w:rPr>
                <w:rFonts w:hint="eastAsia" w:ascii="宋体" w:hAnsi="宋体" w:eastAsia="宋体" w:cs="宋体"/>
                <w:b/>
                <w:bCs/>
                <w:color w:val="auto"/>
                <w:sz w:val="24"/>
                <w:szCs w:val="24"/>
              </w:rPr>
            </w:pPr>
          </w:p>
          <w:p w14:paraId="194C95F2">
            <w:pPr>
              <w:pStyle w:val="39"/>
              <w:keepNext w:val="0"/>
              <w:keepLines w:val="0"/>
              <w:suppressLineNumbers w:val="0"/>
              <w:spacing w:before="0" w:beforeAutospacing="0" w:after="0" w:afterAutospacing="0"/>
              <w:ind w:left="0" w:right="0"/>
              <w:rPr>
                <w:rFonts w:hint="eastAsia" w:ascii="宋体" w:hAnsi="宋体" w:eastAsia="宋体" w:cs="宋体"/>
                <w:b/>
                <w:bCs/>
                <w:color w:val="auto"/>
                <w:sz w:val="24"/>
                <w:szCs w:val="24"/>
              </w:rPr>
            </w:pPr>
          </w:p>
          <w:p w14:paraId="466CAC30">
            <w:pPr>
              <w:keepNext w:val="0"/>
              <w:keepLines w:val="0"/>
              <w:suppressLineNumbers w:val="0"/>
              <w:spacing w:before="0" w:beforeAutospacing="0" w:after="0" w:afterAutospacing="0"/>
              <w:ind w:left="0" w:right="0"/>
              <w:rPr>
                <w:rFonts w:hint="eastAsia" w:ascii="宋体" w:hAnsi="宋体" w:eastAsia="宋体" w:cs="宋体"/>
                <w:b/>
                <w:bCs/>
                <w:color w:val="auto"/>
                <w:sz w:val="24"/>
                <w:szCs w:val="24"/>
              </w:rPr>
            </w:pPr>
          </w:p>
          <w:p w14:paraId="0A16120D">
            <w:pPr>
              <w:pStyle w:val="39"/>
              <w:keepNext w:val="0"/>
              <w:keepLines w:val="0"/>
              <w:suppressLineNumbers w:val="0"/>
              <w:spacing w:before="0" w:beforeAutospacing="0" w:after="0" w:afterAutospacing="0"/>
              <w:ind w:left="0" w:right="0"/>
              <w:rPr>
                <w:rFonts w:hint="eastAsia" w:ascii="宋体" w:hAnsi="宋体" w:eastAsia="宋体" w:cs="宋体"/>
                <w:b/>
                <w:bCs/>
                <w:color w:val="auto"/>
                <w:sz w:val="24"/>
                <w:szCs w:val="24"/>
              </w:rPr>
            </w:pPr>
          </w:p>
          <w:p w14:paraId="071B23A7">
            <w:pPr>
              <w:keepNext w:val="0"/>
              <w:keepLines w:val="0"/>
              <w:suppressLineNumbers w:val="0"/>
              <w:spacing w:before="0" w:beforeAutospacing="0" w:after="0" w:afterAutospacing="0"/>
              <w:ind w:left="0" w:right="0"/>
              <w:rPr>
                <w:rFonts w:hint="eastAsia" w:ascii="宋体" w:hAnsi="宋体" w:eastAsia="宋体" w:cs="宋体"/>
              </w:rPr>
            </w:pPr>
          </w:p>
          <w:p w14:paraId="2923C384">
            <w:pPr>
              <w:pStyle w:val="45"/>
              <w:keepNext w:val="0"/>
              <w:keepLines w:val="0"/>
              <w:suppressLineNumbers w:val="0"/>
              <w:spacing w:before="0" w:beforeAutospacing="0" w:after="0" w:afterAutospacing="0"/>
              <w:ind w:left="0" w:right="0"/>
              <w:outlineLvl w:val="9"/>
              <w:rPr>
                <w:rFonts w:hint="eastAsia" w:ascii="宋体" w:hAnsi="宋体" w:eastAsia="宋体" w:cs="宋体"/>
                <w:color w:val="0000FF"/>
                <w:sz w:val="24"/>
                <w:szCs w:val="24"/>
                <w:lang w:val="en-US" w:eastAsia="zh-CN"/>
              </w:rPr>
            </w:pPr>
          </w:p>
        </w:tc>
      </w:tr>
      <w:tr w14:paraId="544A8A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513" w:type="dxa"/>
            <w:noWrap w:val="0"/>
            <w:vAlign w:val="center"/>
          </w:tcPr>
          <w:p w14:paraId="7039879C">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bCs/>
                <w:color w:val="0000FF"/>
                <w:spacing w:val="10"/>
                <w:sz w:val="24"/>
                <w:szCs w:val="24"/>
                <w:highlight w:val="none"/>
              </w:rPr>
            </w:pPr>
            <w:r>
              <w:rPr>
                <w:rFonts w:hint="eastAsia" w:ascii="宋体" w:hAnsi="宋体" w:eastAsia="宋体" w:cs="宋体"/>
                <w:bCs/>
                <w:color w:val="auto"/>
                <w:sz w:val="24"/>
                <w:szCs w:val="24"/>
                <w:highlight w:val="none"/>
              </w:rPr>
              <w:t>其他</w:t>
            </w:r>
          </w:p>
        </w:tc>
        <w:tc>
          <w:tcPr>
            <w:tcW w:w="7936" w:type="dxa"/>
            <w:noWrap w:val="0"/>
            <w:vAlign w:val="top"/>
          </w:tcPr>
          <w:p w14:paraId="7828E697">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1环境监测计划</w:t>
            </w:r>
          </w:p>
          <w:p w14:paraId="69F7844E">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1"/>
                <w:highlight w:val="none"/>
                <w:lang w:val="en-US" w:eastAsia="zh-CN" w:bidi="ar-SA"/>
              </w:rPr>
            </w:pPr>
            <w:r>
              <w:rPr>
                <w:rFonts w:hint="eastAsia" w:ascii="宋体" w:hAnsi="宋体" w:eastAsia="宋体" w:cs="宋体"/>
                <w:color w:val="auto"/>
                <w:kern w:val="2"/>
                <w:sz w:val="24"/>
                <w:szCs w:val="21"/>
                <w:highlight w:val="none"/>
                <w:lang w:val="en-US" w:eastAsia="zh-CN" w:bidi="ar-SA"/>
              </w:rPr>
              <w:t>为了及时了解工程运营过程中对生态环境产生影响的范围和程度，以便采取相应的减缓措施，根据环境影响预测结论，对升压站周围环境进行监测，见表5-3。</w:t>
            </w:r>
          </w:p>
          <w:p w14:paraId="6B0D00D7">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kern w:val="2"/>
                <w:sz w:val="24"/>
                <w:szCs w:val="21"/>
                <w:highlight w:val="none"/>
                <w:lang w:val="en-US" w:eastAsia="zh-CN" w:bidi="ar-SA"/>
              </w:rPr>
            </w:pPr>
            <w:r>
              <w:rPr>
                <w:rFonts w:hint="eastAsia" w:ascii="宋体" w:hAnsi="宋体" w:eastAsia="宋体" w:cs="宋体"/>
                <w:b/>
                <w:bCs/>
                <w:color w:val="auto"/>
                <w:kern w:val="2"/>
                <w:sz w:val="24"/>
                <w:szCs w:val="21"/>
                <w:highlight w:val="none"/>
                <w:lang w:val="en-US" w:eastAsia="zh-CN" w:bidi="ar-SA"/>
              </w:rPr>
              <w:t>表5-3    环境监测计划</w:t>
            </w:r>
          </w:p>
          <w:tbl>
            <w:tblPr>
              <w:tblStyle w:val="32"/>
              <w:tblW w:w="497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47"/>
              <w:gridCol w:w="1685"/>
              <w:gridCol w:w="2845"/>
              <w:gridCol w:w="2467"/>
            </w:tblGrid>
            <w:tr w14:paraId="6E54CD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atLeast"/>
              </w:trPr>
              <w:tc>
                <w:tcPr>
                  <w:tcW w:w="423" w:type="pct"/>
                  <w:noWrap w:val="0"/>
                  <w:vAlign w:val="center"/>
                </w:tcPr>
                <w:p w14:paraId="03ED0596">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kern w:val="2"/>
                      <w:sz w:val="21"/>
                      <w:szCs w:val="21"/>
                      <w:highlight w:val="none"/>
                      <w:lang w:val="en-US" w:eastAsia="zh-CN" w:bidi="ar-SA"/>
                    </w:rPr>
                    <w:t>监测</w:t>
                  </w:r>
                </w:p>
                <w:p w14:paraId="74032074">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kern w:val="2"/>
                      <w:sz w:val="21"/>
                      <w:szCs w:val="21"/>
                      <w:highlight w:val="none"/>
                      <w:lang w:val="en-US" w:eastAsia="zh-CN" w:bidi="ar-SA"/>
                    </w:rPr>
                    <w:t>内容</w:t>
                  </w:r>
                </w:p>
              </w:tc>
              <w:tc>
                <w:tcPr>
                  <w:tcW w:w="1102" w:type="pct"/>
                  <w:noWrap w:val="0"/>
                  <w:vAlign w:val="center"/>
                </w:tcPr>
                <w:p w14:paraId="26CAA322">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kern w:val="2"/>
                      <w:sz w:val="21"/>
                      <w:szCs w:val="21"/>
                      <w:highlight w:val="none"/>
                      <w:lang w:val="en-US" w:eastAsia="zh-CN" w:bidi="ar-SA"/>
                    </w:rPr>
                    <w:t>监测因子、频次</w:t>
                  </w:r>
                </w:p>
              </w:tc>
              <w:tc>
                <w:tcPr>
                  <w:tcW w:w="1860" w:type="pct"/>
                  <w:noWrap w:val="0"/>
                  <w:vAlign w:val="center"/>
                </w:tcPr>
                <w:p w14:paraId="487AAD2B">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kern w:val="2"/>
                      <w:sz w:val="21"/>
                      <w:szCs w:val="21"/>
                      <w:highlight w:val="none"/>
                      <w:lang w:val="en-US" w:eastAsia="zh-CN" w:bidi="ar-SA"/>
                    </w:rPr>
                    <w:t>监测点位、监测要求、监管要求</w:t>
                  </w:r>
                </w:p>
              </w:tc>
              <w:tc>
                <w:tcPr>
                  <w:tcW w:w="1613" w:type="pct"/>
                  <w:noWrap w:val="0"/>
                  <w:vAlign w:val="center"/>
                </w:tcPr>
                <w:p w14:paraId="1216A320">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kern w:val="2"/>
                      <w:sz w:val="21"/>
                      <w:szCs w:val="21"/>
                      <w:highlight w:val="none"/>
                      <w:lang w:val="en-US" w:eastAsia="zh-CN" w:bidi="ar-SA"/>
                    </w:rPr>
                    <w:t>监测调查范围及执行标准</w:t>
                  </w:r>
                </w:p>
              </w:tc>
            </w:tr>
            <w:tr w14:paraId="65233C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01" w:hRule="atLeast"/>
              </w:trPr>
              <w:tc>
                <w:tcPr>
                  <w:tcW w:w="423" w:type="pct"/>
                  <w:noWrap w:val="0"/>
                  <w:vAlign w:val="center"/>
                </w:tcPr>
                <w:p w14:paraId="14E32B7E">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电磁环境监测</w:t>
                  </w:r>
                </w:p>
              </w:tc>
              <w:tc>
                <w:tcPr>
                  <w:tcW w:w="1102" w:type="pct"/>
                  <w:noWrap w:val="0"/>
                  <w:vAlign w:val="center"/>
                </w:tcPr>
                <w:p w14:paraId="1EBC8662">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监测因子：工频电场、工频磁场</w:t>
                  </w:r>
                </w:p>
                <w:p w14:paraId="743A4A3C">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监测频次：竣工环保验收时监测一次，出现环保投诉时建设单位组织开展监测。</w:t>
                  </w:r>
                </w:p>
              </w:tc>
              <w:tc>
                <w:tcPr>
                  <w:tcW w:w="1860" w:type="pct"/>
                  <w:noWrap w:val="0"/>
                  <w:vAlign w:val="center"/>
                </w:tcPr>
                <w:p w14:paraId="48500D6A">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1、若有新增电磁环境敏感目标则在敏感目标处布点监测。</w:t>
                  </w:r>
                </w:p>
                <w:p w14:paraId="558F1513">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2、输电线路沿线选择有代表性的点位进行监测，必要时设置监测断面。</w:t>
                  </w:r>
                </w:p>
                <w:p w14:paraId="3A1345AC">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3、升压站厂界四周布点监测。</w:t>
                  </w:r>
                </w:p>
                <w:p w14:paraId="4AD01A5B">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监测点位及要求应满足《建设项目竣工环境保护验收技术规范 输变电》(HJ705-2020)。按《交流输变电工程电磁环境监测方法</w:t>
                  </w:r>
                  <w:r>
                    <w:rPr>
                      <w:rFonts w:hint="eastAsia" w:ascii="宋体" w:hAnsi="宋体" w:cs="宋体"/>
                      <w:b w:val="0"/>
                      <w:bCs/>
                      <w:color w:val="auto"/>
                      <w:kern w:val="2"/>
                      <w:sz w:val="21"/>
                      <w:szCs w:val="21"/>
                      <w:highlight w:val="none"/>
                      <w:lang w:val="en-US" w:eastAsia="zh-CN" w:bidi="ar-SA"/>
                    </w:rPr>
                    <w:t>（</w:t>
                  </w:r>
                  <w:r>
                    <w:rPr>
                      <w:rFonts w:hint="eastAsia" w:ascii="宋体" w:hAnsi="宋体" w:eastAsia="宋体" w:cs="宋体"/>
                      <w:b w:val="0"/>
                      <w:bCs/>
                      <w:color w:val="auto"/>
                      <w:kern w:val="2"/>
                      <w:sz w:val="21"/>
                      <w:szCs w:val="21"/>
                      <w:highlight w:val="none"/>
                      <w:lang w:val="en-US" w:eastAsia="zh-CN" w:bidi="ar-SA"/>
                    </w:rPr>
                    <w:t>试行</w:t>
                  </w:r>
                  <w:r>
                    <w:rPr>
                      <w:rFonts w:hint="eastAsia" w:ascii="宋体" w:hAnsi="宋体" w:cs="宋体"/>
                      <w:b w:val="0"/>
                      <w:bCs/>
                      <w:color w:val="auto"/>
                      <w:kern w:val="2"/>
                      <w:sz w:val="21"/>
                      <w:szCs w:val="21"/>
                      <w:highlight w:val="none"/>
                      <w:lang w:val="en-US" w:eastAsia="zh-CN" w:bidi="ar-SA"/>
                    </w:rPr>
                    <w:t>）</w:t>
                  </w:r>
                  <w:r>
                    <w:rPr>
                      <w:rFonts w:hint="eastAsia" w:ascii="宋体" w:hAnsi="宋体" w:eastAsia="宋体" w:cs="宋体"/>
                      <w:b w:val="0"/>
                      <w:bCs/>
                      <w:color w:val="auto"/>
                      <w:kern w:val="2"/>
                      <w:sz w:val="21"/>
                      <w:szCs w:val="21"/>
                      <w:highlight w:val="none"/>
                      <w:lang w:val="en-US" w:eastAsia="zh-CN" w:bidi="ar-SA"/>
                    </w:rPr>
                    <w:t>》</w:t>
                  </w:r>
                  <w:r>
                    <w:rPr>
                      <w:rFonts w:hint="eastAsia" w:ascii="宋体" w:hAnsi="宋体" w:cs="宋体"/>
                      <w:b w:val="0"/>
                      <w:bCs/>
                      <w:color w:val="auto"/>
                      <w:kern w:val="2"/>
                      <w:sz w:val="21"/>
                      <w:szCs w:val="21"/>
                      <w:highlight w:val="none"/>
                      <w:lang w:val="en-US" w:eastAsia="zh-CN" w:bidi="ar-SA"/>
                    </w:rPr>
                    <w:t>（</w:t>
                  </w:r>
                  <w:r>
                    <w:rPr>
                      <w:rFonts w:hint="eastAsia" w:ascii="宋体" w:hAnsi="宋体" w:eastAsia="宋体" w:cs="宋体"/>
                      <w:b w:val="0"/>
                      <w:bCs/>
                      <w:color w:val="auto"/>
                      <w:kern w:val="2"/>
                      <w:sz w:val="21"/>
                      <w:szCs w:val="21"/>
                      <w:highlight w:val="none"/>
                      <w:lang w:val="en-US" w:eastAsia="zh-CN" w:bidi="ar-SA"/>
                    </w:rPr>
                    <w:t>HJ681-2013</w:t>
                  </w:r>
                  <w:r>
                    <w:rPr>
                      <w:rFonts w:hint="eastAsia" w:ascii="宋体" w:hAnsi="宋体" w:cs="宋体"/>
                      <w:b w:val="0"/>
                      <w:bCs/>
                      <w:color w:val="auto"/>
                      <w:kern w:val="2"/>
                      <w:sz w:val="21"/>
                      <w:szCs w:val="21"/>
                      <w:highlight w:val="none"/>
                      <w:lang w:val="en-US" w:eastAsia="zh-CN" w:bidi="ar-SA"/>
                    </w:rPr>
                    <w:t>）</w:t>
                  </w:r>
                  <w:r>
                    <w:rPr>
                      <w:rFonts w:hint="eastAsia" w:ascii="宋体" w:hAnsi="宋体" w:eastAsia="宋体" w:cs="宋体"/>
                      <w:b w:val="0"/>
                      <w:bCs/>
                      <w:color w:val="auto"/>
                      <w:kern w:val="2"/>
                      <w:sz w:val="21"/>
                      <w:szCs w:val="21"/>
                      <w:highlight w:val="none"/>
                      <w:lang w:val="en-US" w:eastAsia="zh-CN" w:bidi="ar-SA"/>
                    </w:rPr>
                    <w:t>方法进行监测。</w:t>
                  </w:r>
                </w:p>
              </w:tc>
              <w:tc>
                <w:tcPr>
                  <w:tcW w:w="1613" w:type="pct"/>
                  <w:noWrap w:val="0"/>
                  <w:vAlign w:val="center"/>
                </w:tcPr>
                <w:p w14:paraId="29404BA8">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监测调查范围：</w:t>
                  </w:r>
                </w:p>
                <w:p w14:paraId="291E4C29">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升压站厂界围墙外40m，220kV输变电线路地面投影外两侧各40m。</w:t>
                  </w:r>
                </w:p>
                <w:p w14:paraId="2192ACE3">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执行标准：</w:t>
                  </w:r>
                </w:p>
                <w:p w14:paraId="69B18C57">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《电磁环境控制限值》(GB8702-2014)</w:t>
                  </w:r>
                </w:p>
              </w:tc>
            </w:tr>
            <w:tr w14:paraId="5C91A4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 w:hRule="atLeast"/>
              </w:trPr>
              <w:tc>
                <w:tcPr>
                  <w:tcW w:w="423" w:type="pct"/>
                  <w:noWrap w:val="0"/>
                  <w:vAlign w:val="center"/>
                </w:tcPr>
                <w:p w14:paraId="669DA00B">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声环境监测</w:t>
                  </w:r>
                </w:p>
              </w:tc>
              <w:tc>
                <w:tcPr>
                  <w:tcW w:w="1102" w:type="pct"/>
                  <w:noWrap w:val="0"/>
                  <w:vAlign w:val="center"/>
                </w:tcPr>
                <w:p w14:paraId="529083A1">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监测因子：噪声</w:t>
                  </w:r>
                </w:p>
                <w:p w14:paraId="5A2AE0DE">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监测频次：竣工环保验收时监测一次，出现环保投诉及主变大修前后建设单位组织开展监测。</w:t>
                  </w:r>
                </w:p>
              </w:tc>
              <w:tc>
                <w:tcPr>
                  <w:tcW w:w="1860" w:type="pct"/>
                  <w:noWrap w:val="0"/>
                  <w:vAlign w:val="center"/>
                </w:tcPr>
                <w:p w14:paraId="41A510A6">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1、若有新增声环境保护目标则在保护目标处布点监测。</w:t>
                  </w:r>
                </w:p>
                <w:p w14:paraId="17F4C2B4">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2、输电线路沿线选择有代表性的点位进行监测。</w:t>
                  </w:r>
                </w:p>
                <w:p w14:paraId="31B7A507">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3、升压站厂界四周布点监测。</w:t>
                  </w:r>
                </w:p>
                <w:p w14:paraId="6A93EE04">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监测点位及要求应满足《排污单位自行监测技术指南 总则》(HJ/819-2017)。按《工业企业厂界环境噪声排放标准》</w:t>
                  </w:r>
                  <w:r>
                    <w:rPr>
                      <w:rFonts w:hint="eastAsia" w:ascii="宋体" w:hAnsi="宋体" w:cs="宋体"/>
                      <w:b w:val="0"/>
                      <w:bCs/>
                      <w:color w:val="auto"/>
                      <w:kern w:val="2"/>
                      <w:sz w:val="21"/>
                      <w:szCs w:val="21"/>
                      <w:highlight w:val="none"/>
                      <w:lang w:val="en-US" w:eastAsia="zh-CN" w:bidi="ar-SA"/>
                    </w:rPr>
                    <w:t>（</w:t>
                  </w:r>
                  <w:r>
                    <w:rPr>
                      <w:rFonts w:hint="eastAsia" w:ascii="宋体" w:hAnsi="宋体" w:eastAsia="宋体" w:cs="宋体"/>
                      <w:b w:val="0"/>
                      <w:bCs/>
                      <w:color w:val="auto"/>
                      <w:kern w:val="2"/>
                      <w:sz w:val="21"/>
                      <w:szCs w:val="21"/>
                      <w:highlight w:val="none"/>
                      <w:lang w:val="en-US" w:eastAsia="zh-CN" w:bidi="ar-SA"/>
                    </w:rPr>
                    <w:t>GB12348-2008</w:t>
                  </w:r>
                  <w:r>
                    <w:rPr>
                      <w:rFonts w:hint="eastAsia" w:ascii="宋体" w:hAnsi="宋体" w:cs="宋体"/>
                      <w:b w:val="0"/>
                      <w:bCs/>
                      <w:color w:val="auto"/>
                      <w:kern w:val="2"/>
                      <w:sz w:val="21"/>
                      <w:szCs w:val="21"/>
                      <w:highlight w:val="none"/>
                      <w:lang w:val="en-US" w:eastAsia="zh-CN" w:bidi="ar-SA"/>
                    </w:rPr>
                    <w:t>）</w:t>
                  </w:r>
                  <w:r>
                    <w:rPr>
                      <w:rFonts w:hint="eastAsia" w:ascii="宋体" w:hAnsi="宋体" w:eastAsia="宋体" w:cs="宋体"/>
                      <w:b w:val="0"/>
                      <w:bCs/>
                      <w:color w:val="auto"/>
                      <w:kern w:val="2"/>
                      <w:sz w:val="21"/>
                      <w:szCs w:val="21"/>
                      <w:highlight w:val="none"/>
                      <w:lang w:val="en-US" w:eastAsia="zh-CN" w:bidi="ar-SA"/>
                    </w:rPr>
                    <w:t>监测方法进行监测。</w:t>
                  </w:r>
                </w:p>
              </w:tc>
              <w:tc>
                <w:tcPr>
                  <w:tcW w:w="1613" w:type="pct"/>
                  <w:noWrap w:val="0"/>
                  <w:vAlign w:val="center"/>
                </w:tcPr>
                <w:p w14:paraId="7455D27D">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监测调查范围：</w:t>
                  </w:r>
                </w:p>
                <w:p w14:paraId="16F8143A">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升压站厂界围墙外200m，220kV输变电线路地面投影外两侧各40m。</w:t>
                  </w:r>
                </w:p>
                <w:p w14:paraId="435AE999">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执行标准：</w:t>
                  </w:r>
                </w:p>
                <w:p w14:paraId="49547513">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pacing w:val="-9"/>
                      <w:kern w:val="2"/>
                      <w:sz w:val="21"/>
                      <w:szCs w:val="21"/>
                      <w:highlight w:val="none"/>
                      <w:lang w:val="en-US" w:eastAsia="zh-CN" w:bidi="ar-SA"/>
                    </w:rPr>
                    <w:t>《声环境质量标准》</w:t>
                  </w:r>
                  <w:r>
                    <w:rPr>
                      <w:rFonts w:hint="eastAsia" w:ascii="宋体" w:hAnsi="宋体" w:cs="宋体"/>
                      <w:b w:val="0"/>
                      <w:bCs/>
                      <w:color w:val="auto"/>
                      <w:spacing w:val="-9"/>
                      <w:kern w:val="2"/>
                      <w:sz w:val="21"/>
                      <w:szCs w:val="21"/>
                      <w:highlight w:val="none"/>
                      <w:lang w:val="en-US" w:eastAsia="zh-CN" w:bidi="ar-SA"/>
                    </w:rPr>
                    <w:t>（</w:t>
                  </w:r>
                  <w:r>
                    <w:rPr>
                      <w:rFonts w:hint="eastAsia" w:ascii="宋体" w:hAnsi="宋体" w:eastAsia="宋体" w:cs="宋体"/>
                      <w:b w:val="0"/>
                      <w:bCs/>
                      <w:color w:val="auto"/>
                      <w:spacing w:val="-9"/>
                      <w:kern w:val="2"/>
                      <w:sz w:val="21"/>
                      <w:szCs w:val="21"/>
                      <w:highlight w:val="none"/>
                      <w:lang w:val="en-US" w:eastAsia="zh-CN" w:bidi="ar-SA"/>
                    </w:rPr>
                    <w:t>GB3096-2008</w:t>
                  </w:r>
                  <w:r>
                    <w:rPr>
                      <w:rFonts w:hint="eastAsia" w:ascii="宋体" w:hAnsi="宋体" w:cs="宋体"/>
                      <w:b w:val="0"/>
                      <w:bCs/>
                      <w:color w:val="auto"/>
                      <w:spacing w:val="-9"/>
                      <w:kern w:val="2"/>
                      <w:sz w:val="21"/>
                      <w:szCs w:val="21"/>
                      <w:highlight w:val="none"/>
                      <w:lang w:val="en-US" w:eastAsia="zh-CN" w:bidi="ar-SA"/>
                    </w:rPr>
                    <w:t>）</w:t>
                  </w:r>
                  <w:r>
                    <w:rPr>
                      <w:rFonts w:hint="eastAsia" w:ascii="宋体" w:hAnsi="宋体" w:eastAsia="宋体" w:cs="宋体"/>
                      <w:b w:val="0"/>
                      <w:bCs/>
                      <w:color w:val="auto"/>
                      <w:spacing w:val="-9"/>
                      <w:kern w:val="2"/>
                      <w:sz w:val="21"/>
                      <w:szCs w:val="21"/>
                      <w:highlight w:val="none"/>
                      <w:lang w:val="en-US" w:eastAsia="zh-CN" w:bidi="ar-SA"/>
                    </w:rPr>
                    <w:t>中相应功能区标准要求。《工业企业厂界环境噪声排放标准》</w:t>
                  </w:r>
                  <w:r>
                    <w:rPr>
                      <w:rFonts w:hint="eastAsia" w:ascii="宋体" w:hAnsi="宋体" w:cs="宋体"/>
                      <w:b w:val="0"/>
                      <w:bCs/>
                      <w:color w:val="auto"/>
                      <w:spacing w:val="-9"/>
                      <w:kern w:val="2"/>
                      <w:sz w:val="21"/>
                      <w:szCs w:val="21"/>
                      <w:highlight w:val="none"/>
                      <w:lang w:val="en-US" w:eastAsia="zh-CN" w:bidi="ar-SA"/>
                    </w:rPr>
                    <w:t>（</w:t>
                  </w:r>
                  <w:r>
                    <w:rPr>
                      <w:rFonts w:hint="eastAsia" w:ascii="宋体" w:hAnsi="宋体" w:eastAsia="宋体" w:cs="宋体"/>
                      <w:b w:val="0"/>
                      <w:bCs/>
                      <w:color w:val="auto"/>
                      <w:spacing w:val="-9"/>
                      <w:kern w:val="2"/>
                      <w:sz w:val="21"/>
                      <w:szCs w:val="21"/>
                      <w:highlight w:val="none"/>
                      <w:lang w:val="en-US" w:eastAsia="zh-CN" w:bidi="ar-SA"/>
                    </w:rPr>
                    <w:t>GB12348-2008</w:t>
                  </w:r>
                  <w:r>
                    <w:rPr>
                      <w:rFonts w:hint="eastAsia" w:ascii="宋体" w:hAnsi="宋体" w:cs="宋体"/>
                      <w:b w:val="0"/>
                      <w:bCs/>
                      <w:color w:val="auto"/>
                      <w:spacing w:val="-9"/>
                      <w:kern w:val="2"/>
                      <w:sz w:val="21"/>
                      <w:szCs w:val="21"/>
                      <w:highlight w:val="none"/>
                      <w:lang w:val="en-US" w:eastAsia="zh-CN" w:bidi="ar-SA"/>
                    </w:rPr>
                    <w:t>）</w:t>
                  </w:r>
                  <w:r>
                    <w:rPr>
                      <w:rFonts w:hint="eastAsia" w:ascii="宋体" w:hAnsi="宋体" w:eastAsia="宋体" w:cs="宋体"/>
                      <w:b w:val="0"/>
                      <w:bCs/>
                      <w:color w:val="auto"/>
                      <w:spacing w:val="-9"/>
                      <w:kern w:val="2"/>
                      <w:sz w:val="21"/>
                      <w:szCs w:val="21"/>
                      <w:highlight w:val="none"/>
                      <w:lang w:val="en-US" w:eastAsia="zh-CN" w:bidi="ar-SA"/>
                    </w:rPr>
                    <w:t>中2类标准。</w:t>
                  </w:r>
                </w:p>
              </w:tc>
            </w:tr>
            <w:tr w14:paraId="3199E4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423" w:type="pct"/>
                  <w:noWrap w:val="0"/>
                  <w:vAlign w:val="center"/>
                </w:tcPr>
                <w:p w14:paraId="6A8A415D">
                  <w:pPr>
                    <w:keepNext w:val="0"/>
                    <w:keepLines w:val="0"/>
                    <w:suppressLineNumbers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生态恢复监管</w:t>
                  </w:r>
                </w:p>
              </w:tc>
              <w:tc>
                <w:tcPr>
                  <w:tcW w:w="1102" w:type="pct"/>
                  <w:noWrap w:val="0"/>
                  <w:vAlign w:val="center"/>
                </w:tcPr>
                <w:p w14:paraId="5860934A">
                  <w:pPr>
                    <w:keepNext w:val="0"/>
                    <w:keepLines w:val="0"/>
                    <w:suppressLineNumbers w:val="0"/>
                    <w:spacing w:before="0" w:beforeAutospacing="0" w:after="0" w:afterAutospacing="0"/>
                    <w:ind w:left="0" w:right="0"/>
                    <w:jc w:val="both"/>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工程占地导致原地形地貌发生变化，破坏了地表植被和自然景观，同时也会影响物种的多样性，破坏原有的生态系统。</w:t>
                  </w:r>
                </w:p>
              </w:tc>
              <w:tc>
                <w:tcPr>
                  <w:tcW w:w="1860" w:type="pct"/>
                  <w:noWrap w:val="0"/>
                  <w:vAlign w:val="center"/>
                </w:tcPr>
                <w:p w14:paraId="696FF0EA">
                  <w:pPr>
                    <w:keepNext w:val="0"/>
                    <w:keepLines w:val="0"/>
                    <w:suppressLineNumbers w:val="0"/>
                    <w:spacing w:before="0" w:beforeAutospacing="0" w:after="0" w:afterAutospacing="0"/>
                    <w:ind w:left="0" w:right="0"/>
                    <w:jc w:val="both"/>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生态监管主要是定期对工程临时占地的植被恢复情况和水土流失控制情况进行调查统计，根据实际情况制定完善生态恢复计划，确保工程临时占地恢复原有地貌</w:t>
                  </w:r>
                  <w:r>
                    <w:rPr>
                      <w:rFonts w:hint="eastAsia" w:ascii="宋体" w:hAnsi="宋体" w:eastAsia="宋体" w:cs="宋体"/>
                      <w:b w:val="0"/>
                      <w:bCs/>
                      <w:color w:val="auto"/>
                      <w:sz w:val="21"/>
                      <w:szCs w:val="21"/>
                      <w:highlight w:val="none"/>
                      <w:lang w:eastAsia="zh-CN"/>
                    </w:rPr>
                    <w:t>。</w:t>
                  </w:r>
                </w:p>
              </w:tc>
              <w:tc>
                <w:tcPr>
                  <w:tcW w:w="1613" w:type="pct"/>
                  <w:noWrap w:val="0"/>
                  <w:vAlign w:val="center"/>
                </w:tcPr>
                <w:p w14:paraId="54B3409D">
                  <w:pPr>
                    <w:keepNext w:val="0"/>
                    <w:keepLines w:val="0"/>
                    <w:suppressLineNumbers w:val="0"/>
                    <w:spacing w:before="0" w:beforeAutospacing="0" w:after="0" w:afterAutospacing="0"/>
                    <w:ind w:left="0" w:right="0"/>
                    <w:jc w:val="both"/>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监管范围：牵张场、塔基施工场地、施工道路等临时占地范围</w:t>
                  </w:r>
                  <w:r>
                    <w:rPr>
                      <w:rFonts w:hint="eastAsia" w:ascii="宋体" w:hAnsi="宋体" w:eastAsia="宋体" w:cs="宋体"/>
                      <w:b w:val="0"/>
                      <w:bCs/>
                      <w:color w:val="auto"/>
                      <w:sz w:val="21"/>
                      <w:szCs w:val="21"/>
                      <w:highlight w:val="none"/>
                      <w:lang w:eastAsia="zh-CN"/>
                    </w:rPr>
                    <w:t>。</w:t>
                  </w:r>
                </w:p>
                <w:p w14:paraId="74460AB1">
                  <w:pPr>
                    <w:keepNext w:val="0"/>
                    <w:keepLines w:val="0"/>
                    <w:widowControl w:val="0"/>
                    <w:suppressLineNumbers w:val="0"/>
                    <w:autoSpaceDE w:val="0"/>
                    <w:autoSpaceDN w:val="0"/>
                    <w:adjustRightInd w:val="0"/>
                    <w:spacing w:before="0" w:beforeLines="0" w:beforeAutospacing="0" w:after="0" w:afterLines="0" w:afterAutospacing="0" w:line="240" w:lineRule="exact"/>
                    <w:ind w:left="0" w:right="0"/>
                    <w:jc w:val="both"/>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监管要求：各类临时设施拆除清理、地表平整，恢复原有地貌类型。</w:t>
                  </w:r>
                </w:p>
              </w:tc>
            </w:tr>
            <w:tr w14:paraId="365ACC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423" w:type="pct"/>
                  <w:shd w:val="clear" w:color="auto" w:fill="auto"/>
                  <w:noWrap w:val="0"/>
                  <w:vAlign w:val="center"/>
                </w:tcPr>
                <w:p w14:paraId="053DBCF7">
                  <w:pPr>
                    <w:keepNext w:val="0"/>
                    <w:keepLines w:val="0"/>
                    <w:suppressLineNumbers w:val="0"/>
                    <w:spacing w:before="0" w:beforeAutospacing="0" w:after="0" w:afterAutospacing="0"/>
                    <w:ind w:left="0" w:leftChars="0" w:right="0" w:rightChars="0"/>
                    <w:jc w:val="both"/>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lang w:eastAsia="zh-CN"/>
                    </w:rPr>
                    <w:t>水环境</w:t>
                  </w:r>
                </w:p>
              </w:tc>
              <w:tc>
                <w:tcPr>
                  <w:tcW w:w="1102" w:type="pct"/>
                  <w:shd w:val="clear" w:color="auto" w:fill="auto"/>
                  <w:noWrap w:val="0"/>
                  <w:vAlign w:val="center"/>
                </w:tcPr>
                <w:p w14:paraId="54419DE3">
                  <w:pPr>
                    <w:keepNext w:val="0"/>
                    <w:keepLines w:val="0"/>
                    <w:suppressLineNumbers w:val="0"/>
                    <w:spacing w:before="0" w:beforeAutospacing="0" w:after="0" w:afterAutospacing="0"/>
                    <w:ind w:left="0" w:right="0"/>
                    <w:jc w:val="both"/>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监测因子：pH、化学需氧量、悬浮物、粪大肠菌群、蛔虫卵个数</w:t>
                  </w:r>
                </w:p>
                <w:p w14:paraId="477E0444">
                  <w:pPr>
                    <w:keepNext w:val="0"/>
                    <w:keepLines w:val="0"/>
                    <w:suppressLineNumbers w:val="0"/>
                    <w:spacing w:before="0" w:beforeAutospacing="0" w:after="0" w:afterAutospacing="0"/>
                    <w:ind w:left="0" w:leftChars="0" w:right="0" w:rightChars="0"/>
                    <w:jc w:val="both"/>
                    <w:outlineLvl w:val="9"/>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lang w:val="en-US" w:eastAsia="zh-CN"/>
                    </w:rPr>
                    <w:t>监测频次：1年1次</w:t>
                  </w:r>
                </w:p>
              </w:tc>
              <w:tc>
                <w:tcPr>
                  <w:tcW w:w="1860" w:type="pct"/>
                  <w:shd w:val="clear" w:color="auto" w:fill="auto"/>
                  <w:noWrap w:val="0"/>
                  <w:vAlign w:val="center"/>
                </w:tcPr>
                <w:p w14:paraId="60BD12AD">
                  <w:pPr>
                    <w:keepNext w:val="0"/>
                    <w:keepLines w:val="0"/>
                    <w:suppressLineNumbers w:val="0"/>
                    <w:spacing w:before="0" w:beforeAutospacing="0" w:after="0" w:afterAutospacing="0"/>
                    <w:ind w:left="0" w:right="0"/>
                    <w:jc w:val="both"/>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污水处理设施出口</w:t>
                  </w:r>
                </w:p>
                <w:p w14:paraId="19148891">
                  <w:pPr>
                    <w:keepNext w:val="0"/>
                    <w:keepLines w:val="0"/>
                    <w:suppressLineNumbers w:val="0"/>
                    <w:spacing w:before="0" w:beforeAutospacing="0" w:after="0" w:afterAutospacing="0"/>
                    <w:ind w:left="0" w:leftChars="0" w:right="0" w:rightChars="0"/>
                    <w:jc w:val="both"/>
                    <w:outlineLvl w:val="9"/>
                    <w:rPr>
                      <w:rFonts w:hint="eastAsia" w:ascii="宋体" w:hAnsi="宋体" w:eastAsia="宋体" w:cs="宋体"/>
                      <w:color w:val="auto"/>
                      <w:kern w:val="2"/>
                      <w:sz w:val="21"/>
                      <w:szCs w:val="24"/>
                      <w:highlight w:val="yellow"/>
                      <w:lang w:val="en-US" w:eastAsia="zh-CN" w:bidi="ar-SA"/>
                    </w:rPr>
                  </w:pPr>
                </w:p>
              </w:tc>
              <w:tc>
                <w:tcPr>
                  <w:tcW w:w="1613" w:type="pct"/>
                  <w:noWrap w:val="0"/>
                  <w:vAlign w:val="center"/>
                </w:tcPr>
                <w:p w14:paraId="73B404AE">
                  <w:pPr>
                    <w:keepNext w:val="0"/>
                    <w:keepLines w:val="0"/>
                    <w:widowControl w:val="0"/>
                    <w:suppressLineNumbers w:val="0"/>
                    <w:autoSpaceDE w:val="0"/>
                    <w:autoSpaceDN w:val="0"/>
                    <w:adjustRightInd w:val="0"/>
                    <w:spacing w:before="0" w:beforeLines="0" w:beforeAutospacing="0" w:after="0" w:afterLines="0" w:afterAutospacing="0" w:line="240" w:lineRule="exact"/>
                    <w:ind w:left="0" w:right="0"/>
                    <w:jc w:val="both"/>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监测点位及要求应满足《农村生活污水处理排放标准》</w:t>
                  </w:r>
                  <w:r>
                    <w:rPr>
                      <w:rFonts w:hint="eastAsia" w:ascii="宋体" w:hAnsi="宋体" w:cs="宋体"/>
                      <w:b w:val="0"/>
                      <w:bCs/>
                      <w:color w:val="auto"/>
                      <w:kern w:val="2"/>
                      <w:sz w:val="21"/>
                      <w:szCs w:val="21"/>
                      <w:highlight w:val="none"/>
                      <w:lang w:val="en-US" w:eastAsia="zh-CN" w:bidi="ar-SA"/>
                    </w:rPr>
                    <w:t>（</w:t>
                  </w:r>
                  <w:r>
                    <w:rPr>
                      <w:rFonts w:hint="eastAsia" w:ascii="宋体" w:hAnsi="宋体" w:eastAsia="宋体" w:cs="宋体"/>
                      <w:b w:val="0"/>
                      <w:bCs/>
                      <w:color w:val="auto"/>
                      <w:kern w:val="2"/>
                      <w:sz w:val="21"/>
                      <w:szCs w:val="21"/>
                      <w:highlight w:val="none"/>
                      <w:lang w:val="en-US" w:eastAsia="zh-CN" w:bidi="ar-SA"/>
                    </w:rPr>
                    <w:t>DB65/4275-2019</w:t>
                  </w:r>
                  <w:r>
                    <w:rPr>
                      <w:rFonts w:hint="eastAsia" w:ascii="宋体" w:hAnsi="宋体" w:cs="宋体"/>
                      <w:b w:val="0"/>
                      <w:bCs/>
                      <w:color w:val="auto"/>
                      <w:kern w:val="2"/>
                      <w:sz w:val="21"/>
                      <w:szCs w:val="21"/>
                      <w:highlight w:val="none"/>
                      <w:lang w:val="en-US" w:eastAsia="zh-CN" w:bidi="ar-SA"/>
                    </w:rPr>
                    <w:t>）</w:t>
                  </w:r>
                  <w:r>
                    <w:rPr>
                      <w:rFonts w:hint="eastAsia" w:ascii="宋体" w:hAnsi="宋体" w:eastAsia="宋体" w:cs="宋体"/>
                      <w:b w:val="0"/>
                      <w:bCs/>
                      <w:color w:val="auto"/>
                      <w:kern w:val="2"/>
                      <w:sz w:val="21"/>
                      <w:szCs w:val="21"/>
                      <w:highlight w:val="none"/>
                      <w:lang w:val="en-US" w:eastAsia="zh-CN" w:bidi="ar-SA"/>
                    </w:rPr>
                    <w:t>表2的</w:t>
                  </w:r>
                  <w:r>
                    <w:rPr>
                      <w:rFonts w:hint="eastAsia" w:ascii="宋体" w:hAnsi="宋体" w:cs="宋体"/>
                      <w:b w:val="0"/>
                      <w:bCs/>
                      <w:color w:val="auto"/>
                      <w:kern w:val="2"/>
                      <w:sz w:val="21"/>
                      <w:szCs w:val="21"/>
                      <w:highlight w:val="none"/>
                      <w:lang w:val="en-US" w:eastAsia="zh-CN" w:bidi="ar-SA"/>
                    </w:rPr>
                    <w:t>B</w:t>
                  </w:r>
                  <w:r>
                    <w:rPr>
                      <w:rFonts w:hint="eastAsia" w:ascii="宋体" w:hAnsi="宋体" w:eastAsia="宋体" w:cs="宋体"/>
                      <w:b w:val="0"/>
                      <w:bCs/>
                      <w:color w:val="auto"/>
                      <w:kern w:val="2"/>
                      <w:sz w:val="21"/>
                      <w:szCs w:val="21"/>
                      <w:highlight w:val="none"/>
                      <w:lang w:val="en-US" w:eastAsia="zh-CN" w:bidi="ar-SA"/>
                    </w:rPr>
                    <w:t>级标准要求</w:t>
                  </w:r>
                </w:p>
              </w:tc>
            </w:tr>
          </w:tbl>
          <w:p w14:paraId="699DBF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
                <w:bCs/>
                <w:color w:val="0000FF"/>
                <w:sz w:val="24"/>
                <w:szCs w:val="21"/>
                <w:highlight w:val="none"/>
                <w:lang w:val="en-US" w:eastAsia="zh-CN"/>
              </w:rPr>
            </w:pPr>
          </w:p>
          <w:p w14:paraId="3C9398A0">
            <w:pPr>
              <w:pStyle w:val="39"/>
              <w:keepNext w:val="0"/>
              <w:keepLines w:val="0"/>
              <w:suppressLineNumbers w:val="0"/>
              <w:spacing w:before="0" w:beforeAutospacing="0" w:after="0" w:afterAutospacing="0"/>
              <w:ind w:left="0" w:right="0"/>
              <w:rPr>
                <w:rFonts w:hint="eastAsia"/>
                <w:lang w:val="en-US" w:eastAsia="zh-CN"/>
              </w:rPr>
            </w:pPr>
          </w:p>
          <w:p w14:paraId="2490592A">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2环境管理内容</w:t>
            </w:r>
          </w:p>
          <w:p w14:paraId="3499BE6D">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b/>
                <w:color w:val="auto"/>
                <w:kern w:val="0"/>
                <w:sz w:val="24"/>
                <w:szCs w:val="24"/>
                <w:highlight w:val="none"/>
              </w:rPr>
            </w:pPr>
            <w:r>
              <w:rPr>
                <w:rFonts w:hint="eastAsia" w:ascii="宋体" w:hAnsi="宋体" w:eastAsia="宋体" w:cs="宋体"/>
                <w:b/>
                <w:bCs/>
                <w:color w:val="auto"/>
                <w:kern w:val="0"/>
                <w:sz w:val="24"/>
                <w:szCs w:val="24"/>
                <w:highlight w:val="none"/>
              </w:rPr>
              <w:t>表</w:t>
            </w:r>
            <w:r>
              <w:rPr>
                <w:rFonts w:hint="eastAsia" w:ascii="宋体" w:hAnsi="宋体" w:eastAsia="宋体" w:cs="宋体"/>
                <w:b/>
                <w:bCs/>
                <w:color w:val="auto"/>
                <w:sz w:val="24"/>
                <w:szCs w:val="24"/>
                <w:highlight w:val="none"/>
              </w:rPr>
              <w:t>5-</w:t>
            </w:r>
            <w:r>
              <w:rPr>
                <w:rFonts w:hint="eastAsia" w:ascii="宋体" w:hAnsi="宋体" w:eastAsia="宋体" w:cs="宋体"/>
                <w:b/>
                <w:bCs/>
                <w:color w:val="auto"/>
                <w:sz w:val="24"/>
                <w:szCs w:val="24"/>
                <w:highlight w:val="none"/>
                <w:lang w:val="en-US" w:eastAsia="zh-CN"/>
              </w:rPr>
              <w:t xml:space="preserve">4    </w:t>
            </w:r>
            <w:r>
              <w:rPr>
                <w:rFonts w:hint="eastAsia" w:ascii="宋体" w:hAnsi="宋体" w:eastAsia="宋体" w:cs="宋体"/>
                <w:b/>
                <w:bCs/>
                <w:color w:val="auto"/>
                <w:kern w:val="0"/>
                <w:sz w:val="24"/>
                <w:szCs w:val="24"/>
                <w:highlight w:val="none"/>
              </w:rPr>
              <w:t>环境</w:t>
            </w:r>
            <w:r>
              <w:rPr>
                <w:rStyle w:val="91"/>
                <w:rFonts w:hint="eastAsia" w:ascii="宋体" w:hAnsi="宋体" w:eastAsia="宋体" w:cs="宋体"/>
                <w:b/>
                <w:color w:val="auto"/>
                <w:sz w:val="24"/>
                <w:szCs w:val="24"/>
                <w:highlight w:val="none"/>
              </w:rPr>
              <w:t>管理</w:t>
            </w:r>
            <w:r>
              <w:rPr>
                <w:rFonts w:hint="eastAsia" w:ascii="宋体" w:hAnsi="宋体" w:eastAsia="宋体" w:cs="宋体"/>
                <w:b/>
                <w:bCs/>
                <w:color w:val="auto"/>
                <w:kern w:val="0"/>
                <w:sz w:val="24"/>
                <w:szCs w:val="24"/>
                <w:highlight w:val="none"/>
              </w:rPr>
              <w:t>汇总表</w:t>
            </w:r>
          </w:p>
          <w:tbl>
            <w:tblPr>
              <w:tblStyle w:val="32"/>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05"/>
              <w:gridCol w:w="6283"/>
            </w:tblGrid>
            <w:tr w14:paraId="4CD012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42" w:hRule="atLeast"/>
              </w:trPr>
              <w:tc>
                <w:tcPr>
                  <w:tcW w:w="914" w:type="pct"/>
                  <w:noWrap w:val="0"/>
                  <w:vAlign w:val="center"/>
                </w:tcPr>
                <w:p w14:paraId="30B8FAD1">
                  <w:pPr>
                    <w:keepNext w:val="0"/>
                    <w:keepLines w:val="0"/>
                    <w:widowControl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kern w:val="2"/>
                      <w:sz w:val="21"/>
                      <w:szCs w:val="21"/>
                      <w:highlight w:val="none"/>
                      <w:lang w:val="en-US" w:eastAsia="zh-CN" w:bidi="ar-SA"/>
                    </w:rPr>
                    <w:t>项目</w:t>
                  </w:r>
                </w:p>
              </w:tc>
              <w:tc>
                <w:tcPr>
                  <w:tcW w:w="4085" w:type="pct"/>
                  <w:noWrap w:val="0"/>
                  <w:vAlign w:val="center"/>
                </w:tcPr>
                <w:p w14:paraId="17F3C884">
                  <w:pPr>
                    <w:keepNext w:val="0"/>
                    <w:keepLines w:val="0"/>
                    <w:widowControl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kern w:val="2"/>
                      <w:sz w:val="21"/>
                      <w:szCs w:val="21"/>
                      <w:highlight w:val="none"/>
                      <w:lang w:val="en-US" w:eastAsia="zh-CN" w:bidi="ar-SA"/>
                    </w:rPr>
                    <w:t>管理内容及要求</w:t>
                  </w:r>
                </w:p>
              </w:tc>
            </w:tr>
            <w:tr w14:paraId="469E4E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914" w:type="pct"/>
                  <w:noWrap w:val="0"/>
                  <w:vAlign w:val="center"/>
                </w:tcPr>
                <w:p w14:paraId="0F230B63">
                  <w:pPr>
                    <w:keepNext w:val="0"/>
                    <w:keepLines w:val="0"/>
                    <w:widowControl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kern w:val="2"/>
                      <w:sz w:val="21"/>
                      <w:szCs w:val="21"/>
                      <w:highlight w:val="none"/>
                      <w:lang w:val="en-US" w:eastAsia="zh-CN" w:bidi="ar-SA"/>
                    </w:rPr>
                    <w:t>环保管理机构设置</w:t>
                  </w:r>
                </w:p>
              </w:tc>
              <w:tc>
                <w:tcPr>
                  <w:tcW w:w="4085" w:type="pct"/>
                  <w:noWrap w:val="0"/>
                  <w:vAlign w:val="center"/>
                </w:tcPr>
                <w:p w14:paraId="18759963">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zh-CN" w:eastAsia="zh-CN"/>
                    </w:rPr>
                    <w:t>华电瀚海吐鲁番能源开发有限公司</w:t>
                  </w:r>
                  <w:r>
                    <w:rPr>
                      <w:rFonts w:hint="eastAsia" w:ascii="宋体" w:hAnsi="宋体" w:eastAsia="宋体" w:cs="宋体"/>
                      <w:color w:val="auto"/>
                      <w:kern w:val="0"/>
                      <w:sz w:val="21"/>
                      <w:szCs w:val="21"/>
                      <w:highlight w:val="none"/>
                      <w:lang w:val="zh-CN"/>
                    </w:rPr>
                    <w:t>成立</w:t>
                  </w:r>
                  <w:r>
                    <w:rPr>
                      <w:rFonts w:hint="eastAsia" w:ascii="宋体" w:hAnsi="宋体" w:eastAsia="宋体" w:cs="宋体"/>
                      <w:color w:val="auto"/>
                      <w:kern w:val="0"/>
                      <w:sz w:val="21"/>
                      <w:szCs w:val="21"/>
                      <w:highlight w:val="none"/>
                    </w:rPr>
                    <w:t>环境管理</w:t>
                  </w:r>
                  <w:r>
                    <w:rPr>
                      <w:rFonts w:hint="eastAsia" w:ascii="宋体" w:hAnsi="宋体" w:eastAsia="宋体" w:cs="宋体"/>
                      <w:color w:val="auto"/>
                      <w:kern w:val="0"/>
                      <w:sz w:val="21"/>
                      <w:szCs w:val="21"/>
                      <w:highlight w:val="none"/>
                      <w:lang w:val="zh-CN"/>
                    </w:rPr>
                    <w:t>领导小组。</w:t>
                  </w:r>
                </w:p>
              </w:tc>
            </w:tr>
            <w:tr w14:paraId="602879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 w:hRule="atLeast"/>
              </w:trPr>
              <w:tc>
                <w:tcPr>
                  <w:tcW w:w="914" w:type="pct"/>
                  <w:noWrap w:val="0"/>
                  <w:vAlign w:val="center"/>
                </w:tcPr>
                <w:p w14:paraId="39B5D80C">
                  <w:pPr>
                    <w:keepNext w:val="0"/>
                    <w:keepLines w:val="0"/>
                    <w:widowControl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kern w:val="2"/>
                      <w:sz w:val="21"/>
                      <w:szCs w:val="21"/>
                      <w:highlight w:val="none"/>
                      <w:lang w:val="en-US" w:eastAsia="zh-CN" w:bidi="ar-SA"/>
                    </w:rPr>
                    <w:t>环境管理内容</w:t>
                  </w:r>
                </w:p>
              </w:tc>
              <w:tc>
                <w:tcPr>
                  <w:tcW w:w="4085" w:type="pct"/>
                  <w:noWrap w:val="0"/>
                  <w:vAlign w:val="top"/>
                </w:tcPr>
                <w:p w14:paraId="46323FF3">
                  <w:pPr>
                    <w:keepNext w:val="0"/>
                    <w:keepLines w:val="0"/>
                    <w:widowControl w:val="0"/>
                    <w:suppressLineNumbers w:val="0"/>
                    <w:adjustRightInd w:val="0"/>
                    <w:snapToGrid w:val="0"/>
                    <w:spacing w:before="0" w:beforeAutospacing="0" w:after="0" w:afterAutospacing="0" w:line="240" w:lineRule="auto"/>
                    <w:ind w:left="0" w:right="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color w:val="auto"/>
                      <w:kern w:val="2"/>
                      <w:sz w:val="21"/>
                      <w:szCs w:val="21"/>
                      <w:highlight w:val="none"/>
                      <w:lang w:val="zh-CN" w:eastAsia="zh-CN" w:bidi="ar-SA"/>
                    </w:rPr>
                    <w:t>制定环保管理规章制度和</w:t>
                  </w:r>
                  <w:r>
                    <w:rPr>
                      <w:rFonts w:hint="eastAsia" w:ascii="宋体" w:hAnsi="宋体" w:eastAsia="宋体" w:cs="宋体"/>
                      <w:color w:val="auto"/>
                      <w:kern w:val="2"/>
                      <w:sz w:val="21"/>
                      <w:szCs w:val="21"/>
                      <w:highlight w:val="none"/>
                      <w:lang w:val="en-US" w:eastAsia="zh-CN" w:bidi="ar-SA"/>
                    </w:rPr>
                    <w:t>环境</w:t>
                  </w:r>
                  <w:r>
                    <w:rPr>
                      <w:rFonts w:hint="eastAsia" w:ascii="宋体" w:hAnsi="宋体" w:eastAsia="宋体" w:cs="宋体"/>
                      <w:color w:val="auto"/>
                      <w:kern w:val="2"/>
                      <w:sz w:val="21"/>
                      <w:szCs w:val="21"/>
                      <w:highlight w:val="none"/>
                      <w:lang w:val="zh-CN" w:eastAsia="zh-CN" w:bidi="ar-SA"/>
                    </w:rPr>
                    <w:t>事故应急预案，建立安全管理档案。</w:t>
                  </w:r>
                </w:p>
                <w:p w14:paraId="7CB4725C">
                  <w:pPr>
                    <w:keepNext w:val="0"/>
                    <w:keepLines w:val="0"/>
                    <w:widowControl w:val="0"/>
                    <w:suppressLineNumbers w:val="0"/>
                    <w:adjustRightInd w:val="0"/>
                    <w:snapToGrid w:val="0"/>
                    <w:spacing w:before="0" w:beforeAutospacing="0" w:after="0" w:afterAutospacing="0" w:line="240" w:lineRule="auto"/>
                    <w:ind w:left="0" w:right="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2、监督管理检修固体废物和生活垃圾等进行定点收集处理，最大限度地保护项目区的周围环境。</w:t>
                  </w:r>
                </w:p>
                <w:p w14:paraId="370D4135">
                  <w:pPr>
                    <w:keepNext w:val="0"/>
                    <w:keepLines w:val="0"/>
                    <w:widowControl w:val="0"/>
                    <w:suppressLineNumbers w:val="0"/>
                    <w:adjustRightInd w:val="0"/>
                    <w:snapToGrid w:val="0"/>
                    <w:spacing w:before="0" w:beforeAutospacing="0" w:after="0" w:afterAutospacing="0" w:line="240" w:lineRule="auto"/>
                    <w:ind w:left="0" w:right="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3、监督管理当发生事故产生废油，由相关资质的单位进行回收处理。</w:t>
                  </w:r>
                </w:p>
                <w:p w14:paraId="2F726765">
                  <w:pPr>
                    <w:keepNext w:val="0"/>
                    <w:keepLines w:val="0"/>
                    <w:widowControl w:val="0"/>
                    <w:suppressLineNumbers w:val="0"/>
                    <w:adjustRightInd w:val="0"/>
                    <w:snapToGrid w:val="0"/>
                    <w:spacing w:before="0" w:beforeAutospacing="0" w:after="0" w:afterAutospacing="0" w:line="240" w:lineRule="auto"/>
                    <w:ind w:left="0" w:right="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4、场区设置警示标志，带电区域禁长时间停留。</w:t>
                  </w:r>
                </w:p>
              </w:tc>
            </w:tr>
          </w:tbl>
          <w:p w14:paraId="565A6A12">
            <w:pPr>
              <w:keepNext w:val="0"/>
              <w:keepLines w:val="0"/>
              <w:suppressLineNumbers w:val="0"/>
              <w:snapToGrid w:val="0"/>
              <w:spacing w:before="0" w:beforeAutospacing="0" w:after="0" w:afterAutospacing="0" w:line="240" w:lineRule="auto"/>
              <w:ind w:left="0" w:right="0" w:firstLine="482" w:firstLineChars="200"/>
              <w:rPr>
                <w:rFonts w:hint="eastAsia" w:ascii="宋体" w:hAnsi="宋体" w:eastAsia="宋体" w:cs="宋体"/>
                <w:b/>
                <w:bCs/>
                <w:color w:val="auto"/>
                <w:kern w:val="0"/>
                <w:sz w:val="24"/>
                <w:szCs w:val="24"/>
                <w:highlight w:val="none"/>
              </w:rPr>
            </w:pPr>
          </w:p>
          <w:p w14:paraId="773F5821">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outlineLvl w:val="9"/>
              <w:rPr>
                <w:rFonts w:hint="eastAsia" w:ascii="宋体" w:hAnsi="宋体" w:eastAsia="宋体" w:cs="宋体"/>
                <w:color w:val="0000FF"/>
                <w:kern w:val="2"/>
                <w:sz w:val="24"/>
                <w:szCs w:val="24"/>
                <w:lang w:val="en-US" w:eastAsia="zh-CN" w:bidi="ar-SA"/>
              </w:rPr>
            </w:pPr>
          </w:p>
        </w:tc>
      </w:tr>
      <w:tr w14:paraId="505948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3" w:type="dxa"/>
            <w:noWrap w:val="0"/>
            <w:vAlign w:val="center"/>
          </w:tcPr>
          <w:p w14:paraId="56A4BFE5">
            <w:pPr>
              <w:keepNext w:val="0"/>
              <w:keepLines w:val="0"/>
              <w:suppressLineNumbers w:val="0"/>
              <w:adjustRightInd w:val="0"/>
              <w:snapToGrid w:val="0"/>
              <w:spacing w:before="0" w:beforeAutospacing="0" w:after="0" w:afterAutospacing="0"/>
              <w:ind w:left="0" w:right="0"/>
              <w:jc w:val="center"/>
              <w:outlineLvl w:val="9"/>
              <w:rPr>
                <w:rFonts w:hint="eastAsia" w:ascii="宋体" w:hAnsi="宋体" w:eastAsia="宋体" w:cs="宋体"/>
                <w:bCs/>
                <w:color w:val="0000FF"/>
                <w:spacing w:val="10"/>
                <w:sz w:val="24"/>
                <w:szCs w:val="24"/>
                <w:highlight w:val="none"/>
              </w:rPr>
            </w:pPr>
            <w:r>
              <w:rPr>
                <w:rFonts w:hint="eastAsia" w:ascii="宋体" w:hAnsi="宋体" w:eastAsia="宋体" w:cs="宋体"/>
                <w:bCs/>
                <w:color w:val="auto"/>
                <w:sz w:val="24"/>
                <w:szCs w:val="24"/>
                <w:highlight w:val="none"/>
              </w:rPr>
              <w:t>环保投资</w:t>
            </w:r>
          </w:p>
        </w:tc>
        <w:tc>
          <w:tcPr>
            <w:tcW w:w="7936" w:type="dxa"/>
            <w:noWrap w:val="0"/>
            <w:vAlign w:val="top"/>
          </w:tcPr>
          <w:p w14:paraId="739D8EBA">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0000FF"/>
                <w:sz w:val="24"/>
                <w:szCs w:val="24"/>
                <w:highlight w:val="none"/>
                <w:lang w:eastAsia="zh-CN"/>
              </w:rPr>
            </w:pPr>
            <w:r>
              <w:rPr>
                <w:rFonts w:hint="eastAsia" w:ascii="宋体" w:hAnsi="宋体" w:eastAsia="宋体" w:cs="宋体"/>
                <w:color w:val="auto"/>
                <w:sz w:val="24"/>
                <w:szCs w:val="24"/>
                <w:highlight w:val="none"/>
                <w:lang w:eastAsia="zh-CN"/>
              </w:rPr>
              <w:t>本项目的总投资为</w:t>
            </w:r>
            <w:r>
              <w:rPr>
                <w:rFonts w:hint="eastAsia" w:ascii="宋体" w:hAnsi="宋体" w:eastAsia="宋体" w:cs="宋体"/>
                <w:color w:val="auto"/>
                <w:sz w:val="24"/>
                <w:szCs w:val="24"/>
                <w:highlight w:val="none"/>
                <w:lang w:val="en-US" w:eastAsia="zh-CN"/>
              </w:rPr>
              <w:t>12618.12万元</w:t>
            </w:r>
            <w:r>
              <w:rPr>
                <w:rFonts w:hint="eastAsia" w:ascii="宋体" w:hAnsi="宋体" w:eastAsia="宋体" w:cs="宋体"/>
                <w:color w:val="auto"/>
                <w:sz w:val="24"/>
                <w:szCs w:val="24"/>
                <w:highlight w:val="none"/>
                <w:lang w:eastAsia="zh-CN"/>
              </w:rPr>
              <w:t>，其中环保投资</w:t>
            </w:r>
            <w:r>
              <w:rPr>
                <w:rFonts w:hint="eastAsia" w:ascii="宋体" w:hAnsi="宋体" w:eastAsia="宋体" w:cs="宋体"/>
                <w:color w:val="auto"/>
                <w:sz w:val="24"/>
                <w:szCs w:val="24"/>
                <w:highlight w:val="none"/>
                <w:lang w:val="en-US" w:eastAsia="zh-CN"/>
              </w:rPr>
              <w:t>合计232</w:t>
            </w:r>
            <w:r>
              <w:rPr>
                <w:rFonts w:hint="eastAsia" w:ascii="宋体" w:hAnsi="宋体" w:eastAsia="宋体" w:cs="宋体"/>
                <w:color w:val="auto"/>
                <w:sz w:val="24"/>
                <w:szCs w:val="24"/>
                <w:highlight w:val="none"/>
                <w:lang w:eastAsia="zh-CN"/>
              </w:rPr>
              <w:t>万元，占总投资额的</w:t>
            </w:r>
            <w:r>
              <w:rPr>
                <w:rFonts w:hint="eastAsia" w:ascii="宋体" w:hAnsi="宋体" w:eastAsia="宋体" w:cs="宋体"/>
                <w:color w:val="auto"/>
                <w:sz w:val="24"/>
                <w:szCs w:val="24"/>
                <w:highlight w:val="none"/>
                <w:lang w:val="en-US" w:eastAsia="zh-CN"/>
              </w:rPr>
              <w:t>1.84%</w:t>
            </w:r>
            <w:r>
              <w:rPr>
                <w:rFonts w:hint="eastAsia" w:ascii="宋体" w:hAnsi="宋体" w:eastAsia="宋体" w:cs="宋体"/>
                <w:color w:val="auto"/>
                <w:sz w:val="24"/>
                <w:szCs w:val="24"/>
                <w:highlight w:val="none"/>
                <w:lang w:eastAsia="zh-CN"/>
              </w:rPr>
              <w:t>。</w:t>
            </w:r>
          </w:p>
          <w:p w14:paraId="3ED3B40D">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本项目</w:t>
            </w:r>
            <w:r>
              <w:rPr>
                <w:rFonts w:hint="eastAsia" w:ascii="宋体" w:hAnsi="宋体" w:eastAsia="宋体" w:cs="宋体"/>
                <w:color w:val="auto"/>
                <w:sz w:val="24"/>
                <w:szCs w:val="24"/>
                <w:highlight w:val="none"/>
              </w:rPr>
              <w:t>环保投资明细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见表</w:t>
            </w:r>
            <w:r>
              <w:rPr>
                <w:rFonts w:hint="eastAsia" w:ascii="宋体" w:hAnsi="宋体" w:eastAsia="宋体" w:cs="宋体"/>
                <w:color w:val="auto"/>
                <w:sz w:val="24"/>
                <w:szCs w:val="24"/>
                <w:highlight w:val="none"/>
                <w:lang w:val="en-US" w:eastAsia="zh-CN"/>
              </w:rPr>
              <w:t>5-5</w:t>
            </w:r>
            <w:r>
              <w:rPr>
                <w:rFonts w:hint="eastAsia" w:ascii="宋体" w:hAnsi="宋体" w:eastAsia="宋体" w:cs="宋体"/>
                <w:color w:val="auto"/>
                <w:sz w:val="24"/>
                <w:szCs w:val="24"/>
                <w:highlight w:val="none"/>
              </w:rPr>
              <w:t>。</w:t>
            </w:r>
          </w:p>
          <w:p w14:paraId="12B986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b/>
                <w:color w:val="auto"/>
                <w:sz w:val="24"/>
                <w:szCs w:val="24"/>
              </w:rPr>
            </w:pPr>
            <w:r>
              <w:rPr>
                <w:rFonts w:hint="eastAsia" w:ascii="宋体" w:hAnsi="宋体" w:eastAsia="宋体" w:cs="宋体"/>
                <w:b/>
                <w:color w:val="auto"/>
                <w:sz w:val="24"/>
                <w:szCs w:val="24"/>
              </w:rPr>
              <w:t>表5-</w:t>
            </w:r>
            <w:r>
              <w:rPr>
                <w:rFonts w:hint="eastAsia" w:ascii="宋体" w:hAnsi="宋体" w:eastAsia="宋体" w:cs="宋体"/>
                <w:b/>
                <w:color w:val="auto"/>
                <w:sz w:val="24"/>
                <w:szCs w:val="24"/>
                <w:lang w:val="en-US" w:eastAsia="zh-CN"/>
              </w:rPr>
              <w:t xml:space="preserve">5    </w:t>
            </w:r>
            <w:r>
              <w:rPr>
                <w:rFonts w:hint="eastAsia" w:ascii="宋体" w:hAnsi="宋体" w:eastAsia="宋体" w:cs="宋体"/>
                <w:b/>
                <w:color w:val="auto"/>
                <w:sz w:val="24"/>
                <w:szCs w:val="24"/>
              </w:rPr>
              <w:t>工程</w:t>
            </w:r>
            <w:r>
              <w:rPr>
                <w:rFonts w:hint="eastAsia" w:ascii="宋体" w:hAnsi="宋体" w:eastAsia="宋体" w:cs="宋体"/>
                <w:b/>
                <w:color w:val="auto"/>
                <w:sz w:val="24"/>
                <w:szCs w:val="24"/>
                <w:lang w:val="en-US" w:eastAsia="zh-CN"/>
              </w:rPr>
              <w:t>环保</w:t>
            </w:r>
            <w:r>
              <w:rPr>
                <w:rFonts w:hint="eastAsia" w:ascii="宋体" w:hAnsi="宋体" w:eastAsia="宋体" w:cs="宋体"/>
                <w:b/>
                <w:color w:val="auto"/>
                <w:sz w:val="24"/>
                <w:szCs w:val="24"/>
              </w:rPr>
              <w:t>投资估算一览表</w:t>
            </w:r>
          </w:p>
          <w:tbl>
            <w:tblPr>
              <w:tblStyle w:val="32"/>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739"/>
              <w:gridCol w:w="394"/>
              <w:gridCol w:w="1923"/>
              <w:gridCol w:w="3385"/>
              <w:gridCol w:w="1234"/>
            </w:tblGrid>
            <w:tr w14:paraId="069910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5" w:hRule="atLeast"/>
              </w:trPr>
              <w:tc>
                <w:tcPr>
                  <w:tcW w:w="739" w:type="dxa"/>
                  <w:tcBorders>
                    <w:tl2br w:val="nil"/>
                    <w:tr2bl w:val="nil"/>
                  </w:tcBorders>
                  <w:vAlign w:val="center"/>
                </w:tcPr>
                <w:p w14:paraId="01B8341D">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2317" w:type="dxa"/>
                  <w:gridSpan w:val="2"/>
                  <w:tcBorders>
                    <w:tl2br w:val="nil"/>
                    <w:tr2bl w:val="nil"/>
                  </w:tcBorders>
                  <w:vAlign w:val="center"/>
                </w:tcPr>
                <w:p w14:paraId="639A4754">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项目</w:t>
                  </w:r>
                </w:p>
              </w:tc>
              <w:tc>
                <w:tcPr>
                  <w:tcW w:w="3385" w:type="dxa"/>
                  <w:tcBorders>
                    <w:tl2br w:val="nil"/>
                    <w:tr2bl w:val="nil"/>
                  </w:tcBorders>
                  <w:vAlign w:val="center"/>
                </w:tcPr>
                <w:p w14:paraId="1FC11B66">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措施</w:t>
                  </w:r>
                </w:p>
              </w:tc>
              <w:tc>
                <w:tcPr>
                  <w:tcW w:w="1234" w:type="dxa"/>
                  <w:tcBorders>
                    <w:tl2br w:val="nil"/>
                    <w:tr2bl w:val="nil"/>
                  </w:tcBorders>
                  <w:vAlign w:val="center"/>
                </w:tcPr>
                <w:p w14:paraId="0416E5F9">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rPr>
                    <w:t>投资</w:t>
                  </w:r>
                  <w:r>
                    <w:rPr>
                      <w:rFonts w:hint="eastAsia" w:ascii="宋体" w:hAnsi="宋体" w:cs="宋体"/>
                      <w:b/>
                      <w:bCs/>
                      <w:color w:val="auto"/>
                      <w:sz w:val="21"/>
                      <w:szCs w:val="21"/>
                      <w:lang w:eastAsia="zh-CN"/>
                    </w:rPr>
                    <w:t>（</w:t>
                  </w:r>
                  <w:r>
                    <w:rPr>
                      <w:rFonts w:hint="eastAsia" w:ascii="宋体" w:hAnsi="宋体" w:eastAsia="宋体" w:cs="宋体"/>
                      <w:b/>
                      <w:bCs/>
                      <w:color w:val="auto"/>
                      <w:sz w:val="21"/>
                      <w:szCs w:val="21"/>
                    </w:rPr>
                    <w:t>万元</w:t>
                  </w:r>
                  <w:r>
                    <w:rPr>
                      <w:rFonts w:hint="eastAsia" w:ascii="宋体" w:hAnsi="宋体" w:cs="宋体"/>
                      <w:b/>
                      <w:bCs/>
                      <w:color w:val="auto"/>
                      <w:sz w:val="21"/>
                      <w:szCs w:val="21"/>
                      <w:lang w:eastAsia="zh-CN"/>
                    </w:rPr>
                    <w:t>）</w:t>
                  </w:r>
                </w:p>
              </w:tc>
            </w:tr>
            <w:tr w14:paraId="5CC500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45" w:hRule="atLeast"/>
              </w:trPr>
              <w:tc>
                <w:tcPr>
                  <w:tcW w:w="739" w:type="dxa"/>
                  <w:tcBorders>
                    <w:tl2br w:val="nil"/>
                    <w:tr2bl w:val="nil"/>
                  </w:tcBorders>
                  <w:vAlign w:val="center"/>
                </w:tcPr>
                <w:p w14:paraId="04DE65D0">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394" w:type="dxa"/>
                  <w:vMerge w:val="restart"/>
                  <w:tcBorders>
                    <w:tl2br w:val="nil"/>
                    <w:tr2bl w:val="nil"/>
                  </w:tcBorders>
                  <w:vAlign w:val="center"/>
                </w:tcPr>
                <w:p w14:paraId="4FC5CE01">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施工期</w:t>
                  </w:r>
                </w:p>
              </w:tc>
              <w:tc>
                <w:tcPr>
                  <w:tcW w:w="1923" w:type="dxa"/>
                  <w:tcBorders>
                    <w:tl2br w:val="nil"/>
                    <w:tr2bl w:val="nil"/>
                  </w:tcBorders>
                  <w:vAlign w:val="center"/>
                </w:tcPr>
                <w:p w14:paraId="17D3BCF6">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施工期降尘、防尘</w:t>
                  </w:r>
                </w:p>
              </w:tc>
              <w:tc>
                <w:tcPr>
                  <w:tcW w:w="3385" w:type="dxa"/>
                  <w:tcBorders>
                    <w:tl2br w:val="nil"/>
                    <w:tr2bl w:val="nil"/>
                  </w:tcBorders>
                  <w:vAlign w:val="center"/>
                </w:tcPr>
                <w:p w14:paraId="1F4F0B6D">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洒水、遮盖篷布</w:t>
                  </w:r>
                  <w:r>
                    <w:rPr>
                      <w:rFonts w:hint="eastAsia" w:ascii="宋体" w:hAnsi="宋体" w:eastAsia="宋体" w:cs="宋体"/>
                      <w:color w:val="auto"/>
                      <w:sz w:val="21"/>
                      <w:szCs w:val="21"/>
                      <w:lang w:val="en-US" w:eastAsia="zh-CN"/>
                    </w:rPr>
                    <w:t>、彩条旗</w:t>
                  </w:r>
                  <w:r>
                    <w:rPr>
                      <w:rFonts w:hint="eastAsia" w:ascii="宋体" w:hAnsi="宋体" w:eastAsia="宋体" w:cs="宋体"/>
                      <w:color w:val="auto"/>
                      <w:sz w:val="21"/>
                      <w:szCs w:val="21"/>
                    </w:rPr>
                    <w:t>等</w:t>
                  </w:r>
                </w:p>
              </w:tc>
              <w:tc>
                <w:tcPr>
                  <w:tcW w:w="1234" w:type="dxa"/>
                  <w:tcBorders>
                    <w:tl2br w:val="nil"/>
                    <w:tr2bl w:val="nil"/>
                  </w:tcBorders>
                  <w:vAlign w:val="center"/>
                </w:tcPr>
                <w:p w14:paraId="554436F9">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w:t>
                  </w:r>
                </w:p>
              </w:tc>
            </w:tr>
            <w:tr w14:paraId="75BEB6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59" w:hRule="atLeast"/>
              </w:trPr>
              <w:tc>
                <w:tcPr>
                  <w:tcW w:w="739" w:type="dxa"/>
                  <w:tcBorders>
                    <w:tl2br w:val="nil"/>
                    <w:tr2bl w:val="nil"/>
                  </w:tcBorders>
                  <w:vAlign w:val="center"/>
                </w:tcPr>
                <w:p w14:paraId="11C09D2E">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394" w:type="dxa"/>
                  <w:vMerge w:val="continue"/>
                  <w:tcBorders>
                    <w:tl2br w:val="nil"/>
                    <w:tr2bl w:val="nil"/>
                  </w:tcBorders>
                  <w:vAlign w:val="center"/>
                </w:tcPr>
                <w:p w14:paraId="3AB09062">
                  <w:pPr>
                    <w:keepNext w:val="0"/>
                    <w:keepLines w:val="0"/>
                    <w:suppressLineNumbers w:val="0"/>
                    <w:spacing w:before="0" w:beforeAutospacing="0" w:after="0" w:afterAutospacing="0"/>
                    <w:ind w:left="0" w:right="0"/>
                    <w:outlineLvl w:val="9"/>
                    <w:rPr>
                      <w:rFonts w:hint="eastAsia" w:ascii="宋体" w:hAnsi="宋体" w:eastAsia="宋体" w:cs="宋体"/>
                      <w:color w:val="auto"/>
                      <w:sz w:val="21"/>
                      <w:szCs w:val="21"/>
                    </w:rPr>
                  </w:pPr>
                </w:p>
              </w:tc>
              <w:tc>
                <w:tcPr>
                  <w:tcW w:w="1923" w:type="dxa"/>
                  <w:tcBorders>
                    <w:tl2br w:val="nil"/>
                    <w:tr2bl w:val="nil"/>
                  </w:tcBorders>
                  <w:vAlign w:val="center"/>
                </w:tcPr>
                <w:p w14:paraId="7B12B01A">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施工期噪声</w:t>
                  </w:r>
                </w:p>
              </w:tc>
              <w:tc>
                <w:tcPr>
                  <w:tcW w:w="3385" w:type="dxa"/>
                  <w:tcBorders>
                    <w:tl2br w:val="nil"/>
                    <w:tr2bl w:val="nil"/>
                  </w:tcBorders>
                  <w:vAlign w:val="center"/>
                </w:tcPr>
                <w:p w14:paraId="524E9E88">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隔声围挡、施工设备降噪</w:t>
                  </w:r>
                </w:p>
              </w:tc>
              <w:tc>
                <w:tcPr>
                  <w:tcW w:w="1234" w:type="dxa"/>
                  <w:tcBorders>
                    <w:tl2br w:val="nil"/>
                    <w:tr2bl w:val="nil"/>
                  </w:tcBorders>
                  <w:vAlign w:val="center"/>
                </w:tcPr>
                <w:p w14:paraId="3453FD43">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0</w:t>
                  </w:r>
                </w:p>
              </w:tc>
            </w:tr>
            <w:tr w14:paraId="176F88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73" w:hRule="atLeast"/>
              </w:trPr>
              <w:tc>
                <w:tcPr>
                  <w:tcW w:w="739" w:type="dxa"/>
                  <w:tcBorders>
                    <w:tl2br w:val="nil"/>
                    <w:tr2bl w:val="nil"/>
                  </w:tcBorders>
                  <w:vAlign w:val="center"/>
                </w:tcPr>
                <w:p w14:paraId="6482846E">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3</w:t>
                  </w:r>
                </w:p>
              </w:tc>
              <w:tc>
                <w:tcPr>
                  <w:tcW w:w="394" w:type="dxa"/>
                  <w:vMerge w:val="continue"/>
                  <w:tcBorders>
                    <w:tl2br w:val="nil"/>
                    <w:tr2bl w:val="nil"/>
                  </w:tcBorders>
                  <w:vAlign w:val="center"/>
                </w:tcPr>
                <w:p w14:paraId="624FF03A">
                  <w:pPr>
                    <w:keepNext w:val="0"/>
                    <w:keepLines w:val="0"/>
                    <w:suppressLineNumbers w:val="0"/>
                    <w:spacing w:before="0" w:beforeAutospacing="0" w:after="0" w:afterAutospacing="0"/>
                    <w:ind w:left="0" w:right="0"/>
                    <w:outlineLvl w:val="9"/>
                    <w:rPr>
                      <w:rFonts w:hint="eastAsia" w:ascii="宋体" w:hAnsi="宋体" w:eastAsia="宋体" w:cs="宋体"/>
                      <w:color w:val="auto"/>
                      <w:sz w:val="21"/>
                      <w:szCs w:val="21"/>
                    </w:rPr>
                  </w:pPr>
                </w:p>
              </w:tc>
              <w:tc>
                <w:tcPr>
                  <w:tcW w:w="1923" w:type="dxa"/>
                  <w:vMerge w:val="restart"/>
                  <w:tcBorders>
                    <w:tl2br w:val="nil"/>
                    <w:tr2bl w:val="nil"/>
                  </w:tcBorders>
                  <w:vAlign w:val="center"/>
                </w:tcPr>
                <w:p w14:paraId="0BA1CB16">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施工期废水</w:t>
                  </w:r>
                </w:p>
              </w:tc>
              <w:tc>
                <w:tcPr>
                  <w:tcW w:w="3385" w:type="dxa"/>
                  <w:tcBorders>
                    <w:tl2br w:val="nil"/>
                    <w:tr2bl w:val="nil"/>
                  </w:tcBorders>
                  <w:vAlign w:val="center"/>
                </w:tcPr>
                <w:p w14:paraId="52B2E2AD">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移动式卫生</w:t>
                  </w:r>
                  <w:r>
                    <w:rPr>
                      <w:rFonts w:hint="eastAsia" w:ascii="宋体" w:hAnsi="宋体" w:eastAsia="宋体" w:cs="宋体"/>
                      <w:color w:val="auto"/>
                      <w:sz w:val="21"/>
                      <w:szCs w:val="21"/>
                    </w:rPr>
                    <w:t>厕所</w:t>
                  </w:r>
                </w:p>
              </w:tc>
              <w:tc>
                <w:tcPr>
                  <w:tcW w:w="1234" w:type="dxa"/>
                  <w:tcBorders>
                    <w:tl2br w:val="nil"/>
                    <w:tr2bl w:val="nil"/>
                  </w:tcBorders>
                  <w:vAlign w:val="center"/>
                </w:tcPr>
                <w:p w14:paraId="48210973">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p>
              </w:tc>
            </w:tr>
            <w:tr w14:paraId="0CE9AA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73" w:hRule="atLeast"/>
              </w:trPr>
              <w:tc>
                <w:tcPr>
                  <w:tcW w:w="739" w:type="dxa"/>
                  <w:tcBorders>
                    <w:tl2br w:val="nil"/>
                    <w:tr2bl w:val="nil"/>
                  </w:tcBorders>
                  <w:vAlign w:val="center"/>
                </w:tcPr>
                <w:p w14:paraId="4D9824F5">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394" w:type="dxa"/>
                  <w:vMerge w:val="continue"/>
                  <w:tcBorders>
                    <w:tl2br w:val="nil"/>
                    <w:tr2bl w:val="nil"/>
                  </w:tcBorders>
                  <w:vAlign w:val="center"/>
                </w:tcPr>
                <w:p w14:paraId="3010621F">
                  <w:pPr>
                    <w:keepNext w:val="0"/>
                    <w:keepLines w:val="0"/>
                    <w:suppressLineNumbers w:val="0"/>
                    <w:spacing w:before="0" w:beforeAutospacing="0" w:after="0" w:afterAutospacing="0"/>
                    <w:ind w:left="0" w:right="0"/>
                    <w:outlineLvl w:val="9"/>
                    <w:rPr>
                      <w:rFonts w:hint="eastAsia" w:ascii="宋体" w:hAnsi="宋体" w:eastAsia="宋体" w:cs="宋体"/>
                      <w:color w:val="auto"/>
                      <w:sz w:val="21"/>
                      <w:szCs w:val="21"/>
                    </w:rPr>
                  </w:pPr>
                </w:p>
              </w:tc>
              <w:tc>
                <w:tcPr>
                  <w:tcW w:w="1923" w:type="dxa"/>
                  <w:vMerge w:val="continue"/>
                  <w:tcBorders>
                    <w:tl2br w:val="nil"/>
                    <w:tr2bl w:val="nil"/>
                  </w:tcBorders>
                  <w:vAlign w:val="center"/>
                </w:tcPr>
                <w:p w14:paraId="135891BE">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rPr>
                  </w:pPr>
                </w:p>
              </w:tc>
              <w:tc>
                <w:tcPr>
                  <w:tcW w:w="3385" w:type="dxa"/>
                  <w:tcBorders>
                    <w:tl2br w:val="nil"/>
                    <w:tr2bl w:val="nil"/>
                  </w:tcBorders>
                  <w:vAlign w:val="center"/>
                </w:tcPr>
                <w:p w14:paraId="56CB43AC">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防渗污水收集池</w:t>
                  </w:r>
                </w:p>
              </w:tc>
              <w:tc>
                <w:tcPr>
                  <w:tcW w:w="1234" w:type="dxa"/>
                  <w:tcBorders>
                    <w:tl2br w:val="nil"/>
                    <w:tr2bl w:val="nil"/>
                  </w:tcBorders>
                  <w:vAlign w:val="center"/>
                </w:tcPr>
                <w:p w14:paraId="21D59BEF">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p>
              </w:tc>
            </w:tr>
            <w:tr w14:paraId="6FF560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73" w:hRule="atLeast"/>
              </w:trPr>
              <w:tc>
                <w:tcPr>
                  <w:tcW w:w="739" w:type="dxa"/>
                  <w:tcBorders>
                    <w:tl2br w:val="nil"/>
                    <w:tr2bl w:val="nil"/>
                  </w:tcBorders>
                  <w:vAlign w:val="center"/>
                </w:tcPr>
                <w:p w14:paraId="3073B46E">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394" w:type="dxa"/>
                  <w:vMerge w:val="continue"/>
                  <w:tcBorders>
                    <w:tl2br w:val="nil"/>
                    <w:tr2bl w:val="nil"/>
                  </w:tcBorders>
                  <w:vAlign w:val="center"/>
                </w:tcPr>
                <w:p w14:paraId="4768DEB0">
                  <w:pPr>
                    <w:keepNext w:val="0"/>
                    <w:keepLines w:val="0"/>
                    <w:suppressLineNumbers w:val="0"/>
                    <w:spacing w:before="0" w:beforeAutospacing="0" w:after="0" w:afterAutospacing="0"/>
                    <w:ind w:left="0" w:right="0"/>
                    <w:outlineLvl w:val="9"/>
                    <w:rPr>
                      <w:rFonts w:hint="eastAsia" w:ascii="宋体" w:hAnsi="宋体" w:eastAsia="宋体" w:cs="宋体"/>
                      <w:color w:val="auto"/>
                      <w:sz w:val="21"/>
                      <w:szCs w:val="21"/>
                    </w:rPr>
                  </w:pPr>
                </w:p>
              </w:tc>
              <w:tc>
                <w:tcPr>
                  <w:tcW w:w="1923" w:type="dxa"/>
                  <w:tcBorders>
                    <w:tl2br w:val="nil"/>
                    <w:tr2bl w:val="nil"/>
                  </w:tcBorders>
                  <w:vAlign w:val="center"/>
                </w:tcPr>
                <w:p w14:paraId="0945B134">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施工期固废</w:t>
                  </w:r>
                </w:p>
              </w:tc>
              <w:tc>
                <w:tcPr>
                  <w:tcW w:w="3385" w:type="dxa"/>
                  <w:tcBorders>
                    <w:tl2br w:val="nil"/>
                    <w:tr2bl w:val="nil"/>
                  </w:tcBorders>
                  <w:vAlign w:val="center"/>
                </w:tcPr>
                <w:p w14:paraId="4D82AA21">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临时垃圾箱、</w:t>
                  </w:r>
                  <w:r>
                    <w:rPr>
                      <w:rFonts w:hint="eastAsia" w:ascii="宋体" w:hAnsi="宋体" w:eastAsia="宋体" w:cs="宋体"/>
                      <w:color w:val="auto"/>
                      <w:sz w:val="21"/>
                      <w:szCs w:val="21"/>
                    </w:rPr>
                    <w:t>建筑垃圾</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及时拉运</w:t>
                  </w:r>
                </w:p>
              </w:tc>
              <w:tc>
                <w:tcPr>
                  <w:tcW w:w="1234" w:type="dxa"/>
                  <w:tcBorders>
                    <w:tl2br w:val="nil"/>
                    <w:tr2bl w:val="nil"/>
                  </w:tcBorders>
                  <w:vAlign w:val="center"/>
                </w:tcPr>
                <w:p w14:paraId="0C8F7523">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r>
            <w:tr w14:paraId="6F6C87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73" w:hRule="atLeast"/>
              </w:trPr>
              <w:tc>
                <w:tcPr>
                  <w:tcW w:w="739" w:type="dxa"/>
                  <w:vMerge w:val="restart"/>
                  <w:tcBorders>
                    <w:tl2br w:val="nil"/>
                    <w:tr2bl w:val="nil"/>
                  </w:tcBorders>
                  <w:shd w:val="clear" w:color="auto" w:fill="auto"/>
                  <w:vAlign w:val="center"/>
                </w:tcPr>
                <w:p w14:paraId="7D021F19">
                  <w:pPr>
                    <w:keepNext w:val="0"/>
                    <w:keepLines w:val="0"/>
                    <w:suppressLineNumbers w:val="0"/>
                    <w:snapToGrid w:val="0"/>
                    <w:spacing w:before="0" w:beforeAutospacing="0" w:after="0" w:afterAutospacing="0" w:line="240" w:lineRule="atLeast"/>
                    <w:ind w:left="0" w:leftChars="0" w:right="0" w:rightChars="0"/>
                    <w:jc w:val="center"/>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6</w:t>
                  </w:r>
                </w:p>
              </w:tc>
              <w:tc>
                <w:tcPr>
                  <w:tcW w:w="394" w:type="dxa"/>
                  <w:vMerge w:val="continue"/>
                  <w:tcBorders>
                    <w:tl2br w:val="nil"/>
                    <w:tr2bl w:val="nil"/>
                  </w:tcBorders>
                  <w:vAlign w:val="center"/>
                </w:tcPr>
                <w:p w14:paraId="766588FE">
                  <w:pPr>
                    <w:keepNext w:val="0"/>
                    <w:keepLines w:val="0"/>
                    <w:suppressLineNumbers w:val="0"/>
                    <w:spacing w:before="0" w:beforeAutospacing="0" w:after="0" w:afterAutospacing="0"/>
                    <w:ind w:left="0" w:right="0"/>
                    <w:outlineLvl w:val="9"/>
                    <w:rPr>
                      <w:rFonts w:hint="eastAsia" w:ascii="宋体" w:hAnsi="宋体" w:eastAsia="宋体" w:cs="宋体"/>
                      <w:color w:val="auto"/>
                      <w:sz w:val="21"/>
                      <w:szCs w:val="21"/>
                    </w:rPr>
                  </w:pPr>
                </w:p>
              </w:tc>
              <w:tc>
                <w:tcPr>
                  <w:tcW w:w="1923" w:type="dxa"/>
                  <w:vMerge w:val="restart"/>
                  <w:tcBorders>
                    <w:tl2br w:val="nil"/>
                    <w:tr2bl w:val="nil"/>
                  </w:tcBorders>
                  <w:shd w:val="clear" w:color="auto" w:fill="auto"/>
                  <w:vAlign w:val="center"/>
                </w:tcPr>
                <w:p w14:paraId="4BED7A6B">
                  <w:pPr>
                    <w:keepNext w:val="0"/>
                    <w:keepLines w:val="0"/>
                    <w:suppressLineNumbers w:val="0"/>
                    <w:snapToGrid w:val="0"/>
                    <w:spacing w:before="0" w:beforeAutospacing="0" w:after="0" w:afterAutospacing="0" w:line="240" w:lineRule="atLeast"/>
                    <w:ind w:left="0" w:leftChars="0" w:right="0" w:rightChars="0"/>
                    <w:jc w:val="center"/>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生态</w:t>
                  </w:r>
                  <w:r>
                    <w:rPr>
                      <w:rFonts w:hint="eastAsia" w:ascii="宋体" w:hAnsi="宋体" w:eastAsia="宋体" w:cs="宋体"/>
                      <w:color w:val="auto"/>
                      <w:sz w:val="21"/>
                      <w:szCs w:val="21"/>
                      <w:lang w:val="en-US" w:eastAsia="zh-CN"/>
                    </w:rPr>
                    <w:t>恢复</w:t>
                  </w:r>
                </w:p>
              </w:tc>
              <w:tc>
                <w:tcPr>
                  <w:tcW w:w="3385" w:type="dxa"/>
                  <w:tcBorders>
                    <w:tl2br w:val="nil"/>
                    <w:tr2bl w:val="nil"/>
                  </w:tcBorders>
                  <w:shd w:val="clear" w:color="auto" w:fill="auto"/>
                  <w:vAlign w:val="center"/>
                </w:tcPr>
                <w:p w14:paraId="106ADD2C">
                  <w:pPr>
                    <w:keepNext w:val="0"/>
                    <w:keepLines w:val="0"/>
                    <w:suppressLineNumbers w:val="0"/>
                    <w:snapToGrid w:val="0"/>
                    <w:spacing w:before="0" w:beforeAutospacing="0" w:after="0" w:afterAutospacing="0" w:line="240" w:lineRule="atLeast"/>
                    <w:ind w:left="0" w:leftChars="0" w:right="0" w:rightChars="0"/>
                    <w:jc w:val="center"/>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施工结束后的场地平整</w:t>
                  </w:r>
                </w:p>
              </w:tc>
              <w:tc>
                <w:tcPr>
                  <w:tcW w:w="1234" w:type="dxa"/>
                  <w:tcBorders>
                    <w:tl2br w:val="nil"/>
                    <w:tr2bl w:val="nil"/>
                  </w:tcBorders>
                  <w:shd w:val="clear" w:color="auto" w:fill="auto"/>
                  <w:vAlign w:val="center"/>
                </w:tcPr>
                <w:p w14:paraId="4B370D21">
                  <w:pPr>
                    <w:keepNext w:val="0"/>
                    <w:keepLines w:val="0"/>
                    <w:suppressLineNumbers w:val="0"/>
                    <w:snapToGrid w:val="0"/>
                    <w:spacing w:before="0" w:beforeAutospacing="0" w:after="0" w:afterAutospacing="0" w:line="240" w:lineRule="atLeast"/>
                    <w:ind w:left="0" w:leftChars="0" w:right="0" w:rightChars="0"/>
                    <w:jc w:val="center"/>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20</w:t>
                  </w:r>
                </w:p>
              </w:tc>
            </w:tr>
            <w:tr w14:paraId="0D5FEC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73" w:hRule="atLeast"/>
              </w:trPr>
              <w:tc>
                <w:tcPr>
                  <w:tcW w:w="739" w:type="dxa"/>
                  <w:vMerge w:val="continue"/>
                  <w:tcBorders>
                    <w:tl2br w:val="nil"/>
                    <w:tr2bl w:val="nil"/>
                  </w:tcBorders>
                  <w:shd w:val="clear" w:color="auto" w:fill="auto"/>
                  <w:vAlign w:val="center"/>
                </w:tcPr>
                <w:p w14:paraId="453A8404">
                  <w:pPr>
                    <w:keepNext w:val="0"/>
                    <w:keepLines w:val="0"/>
                    <w:suppressLineNumbers w:val="0"/>
                    <w:snapToGrid w:val="0"/>
                    <w:spacing w:before="0" w:beforeAutospacing="0" w:after="0" w:afterAutospacing="0" w:line="240" w:lineRule="atLeast"/>
                    <w:ind w:left="0" w:leftChars="0" w:right="0" w:rightChars="0"/>
                    <w:jc w:val="center"/>
                    <w:outlineLvl w:val="9"/>
                    <w:rPr>
                      <w:rFonts w:hint="eastAsia" w:ascii="宋体" w:hAnsi="宋体" w:eastAsia="宋体" w:cs="宋体"/>
                      <w:color w:val="auto"/>
                      <w:sz w:val="21"/>
                      <w:szCs w:val="21"/>
                    </w:rPr>
                  </w:pPr>
                </w:p>
              </w:tc>
              <w:tc>
                <w:tcPr>
                  <w:tcW w:w="394" w:type="dxa"/>
                  <w:vMerge w:val="continue"/>
                  <w:tcBorders>
                    <w:tl2br w:val="nil"/>
                    <w:tr2bl w:val="nil"/>
                  </w:tcBorders>
                  <w:vAlign w:val="center"/>
                </w:tcPr>
                <w:p w14:paraId="5BDD4092">
                  <w:pPr>
                    <w:keepNext w:val="0"/>
                    <w:keepLines w:val="0"/>
                    <w:suppressLineNumbers w:val="0"/>
                    <w:spacing w:before="0" w:beforeAutospacing="0" w:after="0" w:afterAutospacing="0"/>
                    <w:ind w:left="0" w:right="0"/>
                    <w:outlineLvl w:val="9"/>
                    <w:rPr>
                      <w:rFonts w:hint="eastAsia" w:ascii="宋体" w:hAnsi="宋体" w:eastAsia="宋体" w:cs="宋体"/>
                      <w:color w:val="auto"/>
                      <w:sz w:val="21"/>
                      <w:szCs w:val="21"/>
                    </w:rPr>
                  </w:pPr>
                </w:p>
              </w:tc>
              <w:tc>
                <w:tcPr>
                  <w:tcW w:w="1923" w:type="dxa"/>
                  <w:vMerge w:val="continue"/>
                  <w:tcBorders>
                    <w:tl2br w:val="nil"/>
                    <w:tr2bl w:val="nil"/>
                  </w:tcBorders>
                  <w:shd w:val="clear" w:color="auto" w:fill="auto"/>
                  <w:vAlign w:val="center"/>
                </w:tcPr>
                <w:p w14:paraId="1569E585">
                  <w:pPr>
                    <w:keepNext w:val="0"/>
                    <w:keepLines w:val="0"/>
                    <w:suppressLineNumbers w:val="0"/>
                    <w:snapToGrid w:val="0"/>
                    <w:spacing w:before="0" w:beforeAutospacing="0" w:after="0" w:afterAutospacing="0" w:line="240" w:lineRule="atLeast"/>
                    <w:ind w:left="0" w:leftChars="0" w:right="0" w:rightChars="0"/>
                    <w:jc w:val="center"/>
                    <w:outlineLvl w:val="9"/>
                    <w:rPr>
                      <w:rFonts w:hint="eastAsia" w:ascii="宋体" w:hAnsi="宋体" w:eastAsia="宋体" w:cs="宋体"/>
                      <w:color w:val="auto"/>
                      <w:sz w:val="21"/>
                      <w:szCs w:val="21"/>
                    </w:rPr>
                  </w:pPr>
                </w:p>
              </w:tc>
              <w:tc>
                <w:tcPr>
                  <w:tcW w:w="3385" w:type="dxa"/>
                  <w:tcBorders>
                    <w:tl2br w:val="nil"/>
                    <w:tr2bl w:val="nil"/>
                  </w:tcBorders>
                  <w:shd w:val="clear" w:color="auto" w:fill="auto"/>
                  <w:vAlign w:val="center"/>
                </w:tcPr>
                <w:p w14:paraId="11E54B92">
                  <w:pPr>
                    <w:keepNext w:val="0"/>
                    <w:keepLines w:val="0"/>
                    <w:suppressLineNumbers w:val="0"/>
                    <w:snapToGrid w:val="0"/>
                    <w:spacing w:before="0" w:beforeAutospacing="0" w:after="0" w:afterAutospacing="0" w:line="240" w:lineRule="atLeast"/>
                    <w:ind w:left="0" w:leftChars="0" w:right="0" w:right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天然牧草地植被恢复</w:t>
                  </w:r>
                </w:p>
              </w:tc>
              <w:tc>
                <w:tcPr>
                  <w:tcW w:w="1234" w:type="dxa"/>
                  <w:tcBorders>
                    <w:tl2br w:val="nil"/>
                    <w:tr2bl w:val="nil"/>
                  </w:tcBorders>
                  <w:shd w:val="clear" w:color="auto" w:fill="auto"/>
                  <w:vAlign w:val="center"/>
                </w:tcPr>
                <w:p w14:paraId="06FA7DA0">
                  <w:pPr>
                    <w:keepNext w:val="0"/>
                    <w:keepLines w:val="0"/>
                    <w:suppressLineNumbers w:val="0"/>
                    <w:snapToGrid w:val="0"/>
                    <w:spacing w:before="0" w:beforeAutospacing="0" w:after="0" w:afterAutospacing="0" w:line="240" w:lineRule="atLeast"/>
                    <w:ind w:left="0" w:leftChars="0" w:right="0" w:right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50</w:t>
                  </w:r>
                </w:p>
              </w:tc>
            </w:tr>
            <w:tr w14:paraId="459E1B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8" w:hRule="atLeast"/>
              </w:trPr>
              <w:tc>
                <w:tcPr>
                  <w:tcW w:w="739" w:type="dxa"/>
                  <w:tcBorders>
                    <w:tl2br w:val="nil"/>
                    <w:tr2bl w:val="nil"/>
                  </w:tcBorders>
                  <w:shd w:val="clear" w:color="auto" w:fill="auto"/>
                  <w:vAlign w:val="center"/>
                </w:tcPr>
                <w:p w14:paraId="636B8F15">
                  <w:pPr>
                    <w:keepNext w:val="0"/>
                    <w:keepLines w:val="0"/>
                    <w:suppressLineNumbers w:val="0"/>
                    <w:snapToGrid w:val="0"/>
                    <w:spacing w:before="0" w:beforeAutospacing="0" w:after="0" w:afterAutospacing="0" w:line="240" w:lineRule="atLeast"/>
                    <w:ind w:left="0" w:leftChars="0" w:right="0" w:rightChars="0"/>
                    <w:jc w:val="center"/>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7</w:t>
                  </w:r>
                </w:p>
              </w:tc>
              <w:tc>
                <w:tcPr>
                  <w:tcW w:w="394" w:type="dxa"/>
                  <w:vMerge w:val="restart"/>
                  <w:tcBorders>
                    <w:tl2br w:val="nil"/>
                    <w:tr2bl w:val="nil"/>
                  </w:tcBorders>
                  <w:vAlign w:val="center"/>
                </w:tcPr>
                <w:p w14:paraId="04218E89">
                  <w:pPr>
                    <w:keepNext w:val="0"/>
                    <w:keepLines w:val="0"/>
                    <w:suppressLineNumbers w:val="0"/>
                    <w:spacing w:before="0" w:beforeAutospacing="0" w:after="0" w:afterAutospacing="0"/>
                    <w:ind w:left="0" w:right="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运营期</w:t>
                  </w:r>
                </w:p>
              </w:tc>
              <w:tc>
                <w:tcPr>
                  <w:tcW w:w="1923" w:type="dxa"/>
                  <w:tcBorders>
                    <w:tl2br w:val="nil"/>
                    <w:tr2bl w:val="nil"/>
                  </w:tcBorders>
                  <w:vAlign w:val="center"/>
                </w:tcPr>
                <w:p w14:paraId="658BA02A">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升压站及输电线路</w:t>
                  </w:r>
                </w:p>
              </w:tc>
              <w:tc>
                <w:tcPr>
                  <w:tcW w:w="3385" w:type="dxa"/>
                  <w:tcBorders>
                    <w:tl2br w:val="nil"/>
                    <w:tr2bl w:val="nil"/>
                  </w:tcBorders>
                  <w:vAlign w:val="center"/>
                </w:tcPr>
                <w:p w14:paraId="33841845">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悬挂警示牌</w:t>
                  </w:r>
                </w:p>
              </w:tc>
              <w:tc>
                <w:tcPr>
                  <w:tcW w:w="1234" w:type="dxa"/>
                  <w:tcBorders>
                    <w:tl2br w:val="nil"/>
                    <w:tr2bl w:val="nil"/>
                  </w:tcBorders>
                  <w:vAlign w:val="center"/>
                </w:tcPr>
                <w:p w14:paraId="2FFFB4BF">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p>
              </w:tc>
            </w:tr>
            <w:tr w14:paraId="55CD14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83" w:hRule="atLeast"/>
              </w:trPr>
              <w:tc>
                <w:tcPr>
                  <w:tcW w:w="739" w:type="dxa"/>
                  <w:tcBorders>
                    <w:tl2br w:val="nil"/>
                    <w:tr2bl w:val="nil"/>
                  </w:tcBorders>
                  <w:shd w:val="clear" w:color="auto" w:fill="auto"/>
                  <w:vAlign w:val="center"/>
                </w:tcPr>
                <w:p w14:paraId="2E6FD07F">
                  <w:pPr>
                    <w:keepNext w:val="0"/>
                    <w:keepLines w:val="0"/>
                    <w:suppressLineNumbers w:val="0"/>
                    <w:snapToGrid w:val="0"/>
                    <w:spacing w:before="0" w:beforeAutospacing="0" w:after="0" w:afterAutospacing="0" w:line="240" w:lineRule="atLeast"/>
                    <w:ind w:left="0" w:leftChars="0" w:right="0" w:rightChars="0"/>
                    <w:jc w:val="center"/>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8</w:t>
                  </w:r>
                </w:p>
              </w:tc>
              <w:tc>
                <w:tcPr>
                  <w:tcW w:w="394" w:type="dxa"/>
                  <w:vMerge w:val="continue"/>
                  <w:tcBorders>
                    <w:tl2br w:val="nil"/>
                    <w:tr2bl w:val="nil"/>
                  </w:tcBorders>
                  <w:vAlign w:val="center"/>
                </w:tcPr>
                <w:p w14:paraId="6060FF52">
                  <w:pPr>
                    <w:keepNext w:val="0"/>
                    <w:keepLines w:val="0"/>
                    <w:suppressLineNumbers w:val="0"/>
                    <w:spacing w:before="0" w:beforeAutospacing="0" w:after="0" w:afterAutospacing="0"/>
                    <w:ind w:left="0" w:right="0"/>
                    <w:outlineLvl w:val="9"/>
                    <w:rPr>
                      <w:rFonts w:hint="eastAsia" w:ascii="宋体" w:hAnsi="宋体" w:eastAsia="宋体" w:cs="宋体"/>
                      <w:color w:val="auto"/>
                      <w:sz w:val="21"/>
                      <w:szCs w:val="21"/>
                    </w:rPr>
                  </w:pPr>
                </w:p>
              </w:tc>
              <w:tc>
                <w:tcPr>
                  <w:tcW w:w="1923" w:type="dxa"/>
                  <w:tcBorders>
                    <w:tl2br w:val="nil"/>
                    <w:tr2bl w:val="nil"/>
                  </w:tcBorders>
                  <w:vAlign w:val="center"/>
                </w:tcPr>
                <w:p w14:paraId="79E844BC">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事故油池</w:t>
                  </w:r>
                </w:p>
              </w:tc>
              <w:tc>
                <w:tcPr>
                  <w:tcW w:w="3385" w:type="dxa"/>
                  <w:tcBorders>
                    <w:tl2br w:val="nil"/>
                    <w:tr2bl w:val="nil"/>
                  </w:tcBorders>
                  <w:vAlign w:val="center"/>
                </w:tcPr>
                <w:p w14:paraId="038E006E">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事故油池</w:t>
                  </w:r>
                  <w:r>
                    <w:rPr>
                      <w:rFonts w:hint="eastAsia" w:ascii="宋体" w:hAnsi="宋体" w:cs="宋体"/>
                      <w:color w:val="auto"/>
                      <w:sz w:val="21"/>
                      <w:szCs w:val="21"/>
                      <w:lang w:eastAsia="zh-CN"/>
                    </w:rPr>
                    <w:t>（</w:t>
                  </w:r>
                  <w:r>
                    <w:rPr>
                      <w:rFonts w:hint="eastAsia" w:ascii="宋体" w:hAnsi="宋体" w:eastAsia="宋体" w:cs="宋体"/>
                      <w:color w:val="auto"/>
                      <w:sz w:val="21"/>
                      <w:szCs w:val="21"/>
                      <w:lang w:val="en-US" w:eastAsia="zh-CN"/>
                    </w:rPr>
                    <w:t>含防渗工程</w:t>
                  </w:r>
                  <w:r>
                    <w:rPr>
                      <w:rFonts w:hint="eastAsia" w:ascii="宋体" w:hAnsi="宋体" w:cs="宋体"/>
                      <w:color w:val="auto"/>
                      <w:sz w:val="21"/>
                      <w:szCs w:val="21"/>
                      <w:lang w:val="en-US" w:eastAsia="zh-CN"/>
                    </w:rPr>
                    <w:t>）</w:t>
                  </w:r>
                </w:p>
              </w:tc>
              <w:tc>
                <w:tcPr>
                  <w:tcW w:w="1234" w:type="dxa"/>
                  <w:tcBorders>
                    <w:tl2br w:val="nil"/>
                    <w:tr2bl w:val="nil"/>
                  </w:tcBorders>
                  <w:vAlign w:val="center"/>
                </w:tcPr>
                <w:p w14:paraId="609EAFCB">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50</w:t>
                  </w:r>
                </w:p>
              </w:tc>
            </w:tr>
            <w:tr w14:paraId="5B8A35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83" w:hRule="atLeast"/>
              </w:trPr>
              <w:tc>
                <w:tcPr>
                  <w:tcW w:w="739" w:type="dxa"/>
                  <w:tcBorders>
                    <w:tl2br w:val="nil"/>
                    <w:tr2bl w:val="nil"/>
                  </w:tcBorders>
                  <w:shd w:val="clear" w:color="auto" w:fill="auto"/>
                  <w:vAlign w:val="center"/>
                </w:tcPr>
                <w:p w14:paraId="60E8F010">
                  <w:pPr>
                    <w:keepNext w:val="0"/>
                    <w:keepLines w:val="0"/>
                    <w:suppressLineNumbers w:val="0"/>
                    <w:snapToGrid w:val="0"/>
                    <w:spacing w:before="0" w:beforeAutospacing="0" w:after="0" w:afterAutospacing="0" w:line="240" w:lineRule="atLeast"/>
                    <w:ind w:left="0" w:leftChars="0" w:right="0" w:rightChars="0"/>
                    <w:jc w:val="center"/>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9</w:t>
                  </w:r>
                </w:p>
              </w:tc>
              <w:tc>
                <w:tcPr>
                  <w:tcW w:w="394" w:type="dxa"/>
                  <w:vMerge w:val="continue"/>
                  <w:tcBorders>
                    <w:tl2br w:val="nil"/>
                    <w:tr2bl w:val="nil"/>
                  </w:tcBorders>
                  <w:vAlign w:val="center"/>
                </w:tcPr>
                <w:p w14:paraId="761E7D8D">
                  <w:pPr>
                    <w:keepNext w:val="0"/>
                    <w:keepLines w:val="0"/>
                    <w:suppressLineNumbers w:val="0"/>
                    <w:spacing w:before="0" w:beforeAutospacing="0" w:after="0" w:afterAutospacing="0"/>
                    <w:ind w:left="0" w:right="0"/>
                    <w:outlineLvl w:val="9"/>
                    <w:rPr>
                      <w:rFonts w:hint="eastAsia" w:ascii="宋体" w:hAnsi="宋体" w:eastAsia="宋体" w:cs="宋体"/>
                      <w:color w:val="auto"/>
                      <w:sz w:val="21"/>
                      <w:szCs w:val="21"/>
                    </w:rPr>
                  </w:pPr>
                </w:p>
              </w:tc>
              <w:tc>
                <w:tcPr>
                  <w:tcW w:w="1923" w:type="dxa"/>
                  <w:vMerge w:val="restart"/>
                  <w:tcBorders>
                    <w:tl2br w:val="nil"/>
                    <w:tr2bl w:val="nil"/>
                  </w:tcBorders>
                  <w:vAlign w:val="center"/>
                </w:tcPr>
                <w:p w14:paraId="6BDD3CE7">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废水治理</w:t>
                  </w:r>
                </w:p>
              </w:tc>
              <w:tc>
                <w:tcPr>
                  <w:tcW w:w="3385" w:type="dxa"/>
                  <w:tcBorders>
                    <w:tl2br w:val="nil"/>
                    <w:tr2bl w:val="nil"/>
                  </w:tcBorders>
                  <w:vAlign w:val="center"/>
                </w:tcPr>
                <w:p w14:paraId="07FCE451">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生活污水处理设施</w:t>
                  </w:r>
                </w:p>
              </w:tc>
              <w:tc>
                <w:tcPr>
                  <w:tcW w:w="1234" w:type="dxa"/>
                  <w:tcBorders>
                    <w:tl2br w:val="nil"/>
                    <w:tr2bl w:val="nil"/>
                  </w:tcBorders>
                  <w:vAlign w:val="center"/>
                </w:tcPr>
                <w:p w14:paraId="7171C5A1">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25</w:t>
                  </w:r>
                </w:p>
              </w:tc>
            </w:tr>
            <w:tr w14:paraId="21A9CB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23" w:hRule="atLeast"/>
              </w:trPr>
              <w:tc>
                <w:tcPr>
                  <w:tcW w:w="739" w:type="dxa"/>
                  <w:tcBorders>
                    <w:tl2br w:val="nil"/>
                    <w:tr2bl w:val="nil"/>
                  </w:tcBorders>
                  <w:shd w:val="clear" w:color="auto" w:fill="auto"/>
                  <w:vAlign w:val="center"/>
                </w:tcPr>
                <w:p w14:paraId="3858BCEF">
                  <w:pPr>
                    <w:keepNext w:val="0"/>
                    <w:keepLines w:val="0"/>
                    <w:suppressLineNumbers w:val="0"/>
                    <w:snapToGrid w:val="0"/>
                    <w:spacing w:before="0" w:beforeAutospacing="0" w:after="0" w:afterAutospacing="0" w:line="240" w:lineRule="atLeast"/>
                    <w:ind w:left="0" w:leftChars="0" w:right="0" w:rightChars="0"/>
                    <w:jc w:val="center"/>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10</w:t>
                  </w:r>
                </w:p>
              </w:tc>
              <w:tc>
                <w:tcPr>
                  <w:tcW w:w="394" w:type="dxa"/>
                  <w:vMerge w:val="continue"/>
                  <w:tcBorders>
                    <w:tl2br w:val="nil"/>
                    <w:tr2bl w:val="nil"/>
                  </w:tcBorders>
                  <w:vAlign w:val="center"/>
                </w:tcPr>
                <w:p w14:paraId="4FE6E6E6">
                  <w:pPr>
                    <w:keepNext w:val="0"/>
                    <w:keepLines w:val="0"/>
                    <w:suppressLineNumbers w:val="0"/>
                    <w:spacing w:before="0" w:beforeAutospacing="0" w:after="0" w:afterAutospacing="0"/>
                    <w:ind w:left="0" w:right="0"/>
                    <w:outlineLvl w:val="9"/>
                    <w:rPr>
                      <w:rFonts w:hint="eastAsia" w:ascii="宋体" w:hAnsi="宋体" w:eastAsia="宋体" w:cs="宋体"/>
                      <w:color w:val="auto"/>
                      <w:sz w:val="21"/>
                      <w:szCs w:val="21"/>
                    </w:rPr>
                  </w:pPr>
                </w:p>
              </w:tc>
              <w:tc>
                <w:tcPr>
                  <w:tcW w:w="1923" w:type="dxa"/>
                  <w:vMerge w:val="continue"/>
                  <w:tcBorders>
                    <w:tl2br w:val="nil"/>
                    <w:tr2bl w:val="nil"/>
                  </w:tcBorders>
                  <w:vAlign w:val="center"/>
                </w:tcPr>
                <w:p w14:paraId="1FCDAC54">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lang w:val="en-US" w:eastAsia="zh-CN"/>
                    </w:rPr>
                  </w:pPr>
                </w:p>
              </w:tc>
              <w:tc>
                <w:tcPr>
                  <w:tcW w:w="3385" w:type="dxa"/>
                  <w:tcBorders>
                    <w:tl2br w:val="nil"/>
                    <w:tr2bl w:val="nil"/>
                  </w:tcBorders>
                  <w:vAlign w:val="center"/>
                </w:tcPr>
                <w:p w14:paraId="4FCC1D7B">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防渗集水池</w:t>
                  </w:r>
                </w:p>
              </w:tc>
              <w:tc>
                <w:tcPr>
                  <w:tcW w:w="1234" w:type="dxa"/>
                  <w:tcBorders>
                    <w:tl2br w:val="nil"/>
                    <w:tr2bl w:val="nil"/>
                  </w:tcBorders>
                  <w:vAlign w:val="center"/>
                </w:tcPr>
                <w:p w14:paraId="02915108">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p>
              </w:tc>
            </w:tr>
            <w:tr w14:paraId="633A18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83" w:hRule="atLeast"/>
              </w:trPr>
              <w:tc>
                <w:tcPr>
                  <w:tcW w:w="739" w:type="dxa"/>
                  <w:tcBorders>
                    <w:tl2br w:val="nil"/>
                    <w:tr2bl w:val="nil"/>
                  </w:tcBorders>
                  <w:shd w:val="clear" w:color="auto" w:fill="auto"/>
                  <w:vAlign w:val="center"/>
                </w:tcPr>
                <w:p w14:paraId="1B43D5E7">
                  <w:pPr>
                    <w:keepNext w:val="0"/>
                    <w:keepLines w:val="0"/>
                    <w:suppressLineNumbers w:val="0"/>
                    <w:snapToGrid w:val="0"/>
                    <w:spacing w:before="0" w:beforeAutospacing="0" w:after="0" w:afterAutospacing="0" w:line="240" w:lineRule="atLeast"/>
                    <w:ind w:left="0" w:leftChars="0" w:right="0" w:rightChars="0"/>
                    <w:jc w:val="center"/>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11</w:t>
                  </w:r>
                </w:p>
              </w:tc>
              <w:tc>
                <w:tcPr>
                  <w:tcW w:w="394" w:type="dxa"/>
                  <w:vMerge w:val="continue"/>
                  <w:tcBorders>
                    <w:tl2br w:val="nil"/>
                    <w:tr2bl w:val="nil"/>
                  </w:tcBorders>
                  <w:vAlign w:val="center"/>
                </w:tcPr>
                <w:p w14:paraId="5ED368E6">
                  <w:pPr>
                    <w:keepNext w:val="0"/>
                    <w:keepLines w:val="0"/>
                    <w:suppressLineNumbers w:val="0"/>
                    <w:spacing w:before="0" w:beforeAutospacing="0" w:after="0" w:afterAutospacing="0"/>
                    <w:ind w:left="0" w:right="0"/>
                    <w:outlineLvl w:val="9"/>
                    <w:rPr>
                      <w:rFonts w:hint="eastAsia" w:ascii="宋体" w:hAnsi="宋体" w:eastAsia="宋体" w:cs="宋体"/>
                      <w:color w:val="auto"/>
                      <w:sz w:val="21"/>
                      <w:szCs w:val="21"/>
                    </w:rPr>
                  </w:pPr>
                </w:p>
              </w:tc>
              <w:tc>
                <w:tcPr>
                  <w:tcW w:w="1923" w:type="dxa"/>
                  <w:vMerge w:val="restart"/>
                  <w:tcBorders>
                    <w:tl2br w:val="nil"/>
                    <w:tr2bl w:val="nil"/>
                  </w:tcBorders>
                  <w:vAlign w:val="center"/>
                </w:tcPr>
                <w:p w14:paraId="2E57E7C2">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固体废物</w:t>
                  </w:r>
                </w:p>
              </w:tc>
              <w:tc>
                <w:tcPr>
                  <w:tcW w:w="3385" w:type="dxa"/>
                  <w:tcBorders>
                    <w:tl2br w:val="nil"/>
                    <w:tr2bl w:val="nil"/>
                  </w:tcBorders>
                  <w:vAlign w:val="center"/>
                </w:tcPr>
                <w:p w14:paraId="030EA688">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垃圾箱</w:t>
                  </w:r>
                </w:p>
              </w:tc>
              <w:tc>
                <w:tcPr>
                  <w:tcW w:w="1234" w:type="dxa"/>
                  <w:tcBorders>
                    <w:tl2br w:val="nil"/>
                    <w:tr2bl w:val="nil"/>
                  </w:tcBorders>
                  <w:vAlign w:val="center"/>
                </w:tcPr>
                <w:p w14:paraId="292B6C09">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r>
            <w:tr w14:paraId="31B1CA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11" w:hRule="atLeast"/>
              </w:trPr>
              <w:tc>
                <w:tcPr>
                  <w:tcW w:w="739" w:type="dxa"/>
                  <w:tcBorders>
                    <w:tl2br w:val="nil"/>
                    <w:tr2bl w:val="nil"/>
                  </w:tcBorders>
                  <w:shd w:val="clear" w:color="auto" w:fill="auto"/>
                  <w:vAlign w:val="center"/>
                </w:tcPr>
                <w:p w14:paraId="77DB38E3">
                  <w:pPr>
                    <w:keepNext w:val="0"/>
                    <w:keepLines w:val="0"/>
                    <w:suppressLineNumbers w:val="0"/>
                    <w:snapToGrid w:val="0"/>
                    <w:spacing w:before="0" w:beforeAutospacing="0" w:after="0" w:afterAutospacing="0" w:line="240" w:lineRule="atLeast"/>
                    <w:ind w:left="0" w:leftChars="0" w:right="0" w:rightChars="0"/>
                    <w:jc w:val="center"/>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12</w:t>
                  </w:r>
                </w:p>
              </w:tc>
              <w:tc>
                <w:tcPr>
                  <w:tcW w:w="394" w:type="dxa"/>
                  <w:vMerge w:val="continue"/>
                  <w:tcBorders>
                    <w:tl2br w:val="nil"/>
                    <w:tr2bl w:val="nil"/>
                  </w:tcBorders>
                  <w:vAlign w:val="center"/>
                </w:tcPr>
                <w:p w14:paraId="3787DC6D">
                  <w:pPr>
                    <w:keepNext w:val="0"/>
                    <w:keepLines w:val="0"/>
                    <w:suppressLineNumbers w:val="0"/>
                    <w:spacing w:before="0" w:beforeAutospacing="0" w:after="0" w:afterAutospacing="0"/>
                    <w:ind w:left="0" w:right="0"/>
                    <w:outlineLvl w:val="9"/>
                    <w:rPr>
                      <w:rFonts w:hint="eastAsia" w:ascii="宋体" w:hAnsi="宋体" w:eastAsia="宋体" w:cs="宋体"/>
                      <w:color w:val="auto"/>
                      <w:sz w:val="21"/>
                      <w:szCs w:val="21"/>
                    </w:rPr>
                  </w:pPr>
                </w:p>
              </w:tc>
              <w:tc>
                <w:tcPr>
                  <w:tcW w:w="1923" w:type="dxa"/>
                  <w:vMerge w:val="continue"/>
                  <w:tcBorders>
                    <w:tl2br w:val="nil"/>
                    <w:tr2bl w:val="nil"/>
                  </w:tcBorders>
                  <w:vAlign w:val="center"/>
                </w:tcPr>
                <w:p w14:paraId="4D5EC3A0">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lang w:val="en-US" w:eastAsia="zh-CN"/>
                    </w:rPr>
                  </w:pPr>
                </w:p>
              </w:tc>
              <w:tc>
                <w:tcPr>
                  <w:tcW w:w="3385" w:type="dxa"/>
                  <w:tcBorders>
                    <w:tl2br w:val="nil"/>
                    <w:tr2bl w:val="nil"/>
                  </w:tcBorders>
                  <w:vAlign w:val="center"/>
                </w:tcPr>
                <w:p w14:paraId="0DBBE086">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危废贮存点</w:t>
                  </w:r>
                </w:p>
              </w:tc>
              <w:tc>
                <w:tcPr>
                  <w:tcW w:w="1234" w:type="dxa"/>
                  <w:tcBorders>
                    <w:tl2br w:val="nil"/>
                    <w:tr2bl w:val="nil"/>
                  </w:tcBorders>
                  <w:vAlign w:val="center"/>
                </w:tcPr>
                <w:p w14:paraId="58C089F5">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r>
            <w:tr w14:paraId="0FAEB8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14" w:hRule="atLeast"/>
              </w:trPr>
              <w:tc>
                <w:tcPr>
                  <w:tcW w:w="739" w:type="dxa"/>
                  <w:tcBorders>
                    <w:tl2br w:val="nil"/>
                    <w:tr2bl w:val="nil"/>
                  </w:tcBorders>
                  <w:shd w:val="clear" w:color="auto" w:fill="auto"/>
                  <w:vAlign w:val="center"/>
                </w:tcPr>
                <w:p w14:paraId="28E68A67">
                  <w:pPr>
                    <w:keepNext w:val="0"/>
                    <w:keepLines w:val="0"/>
                    <w:suppressLineNumbers w:val="0"/>
                    <w:snapToGrid w:val="0"/>
                    <w:spacing w:before="0" w:beforeAutospacing="0" w:after="0" w:afterAutospacing="0" w:line="240" w:lineRule="atLeast"/>
                    <w:ind w:left="0" w:leftChars="0" w:right="0" w:rightChars="0"/>
                    <w:jc w:val="center"/>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13</w:t>
                  </w:r>
                </w:p>
              </w:tc>
              <w:tc>
                <w:tcPr>
                  <w:tcW w:w="394" w:type="dxa"/>
                  <w:tcBorders>
                    <w:tl2br w:val="nil"/>
                    <w:tr2bl w:val="nil"/>
                  </w:tcBorders>
                  <w:vAlign w:val="center"/>
                </w:tcPr>
                <w:p w14:paraId="60331A64">
                  <w:pPr>
                    <w:keepNext w:val="0"/>
                    <w:keepLines w:val="0"/>
                    <w:suppressLineNumbers w:val="0"/>
                    <w:spacing w:before="0" w:beforeAutospacing="0" w:after="0" w:afterAutospacing="0"/>
                    <w:ind w:left="0" w:right="0"/>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其他</w:t>
                  </w:r>
                </w:p>
              </w:tc>
              <w:tc>
                <w:tcPr>
                  <w:tcW w:w="1923" w:type="dxa"/>
                  <w:tcBorders>
                    <w:tl2br w:val="nil"/>
                    <w:tr2bl w:val="nil"/>
                  </w:tcBorders>
                  <w:vAlign w:val="center"/>
                </w:tcPr>
                <w:p w14:paraId="0D71E06B">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竣工环保验收</w:t>
                  </w:r>
                  <w:r>
                    <w:rPr>
                      <w:rFonts w:hint="eastAsia" w:ascii="宋体" w:hAnsi="宋体" w:eastAsia="宋体" w:cs="宋体"/>
                      <w:color w:val="auto"/>
                      <w:sz w:val="21"/>
                      <w:szCs w:val="21"/>
                      <w:lang w:val="en-US" w:eastAsia="zh-CN"/>
                    </w:rPr>
                    <w:t>及监测</w:t>
                  </w:r>
                </w:p>
              </w:tc>
              <w:tc>
                <w:tcPr>
                  <w:tcW w:w="3385" w:type="dxa"/>
                  <w:tcBorders>
                    <w:tl2br w:val="nil"/>
                    <w:tr2bl w:val="nil"/>
                  </w:tcBorders>
                  <w:vAlign w:val="center"/>
                </w:tcPr>
                <w:p w14:paraId="0FE58140">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竣工环保验收</w:t>
                  </w:r>
                  <w:r>
                    <w:rPr>
                      <w:rFonts w:hint="eastAsia" w:ascii="宋体" w:hAnsi="宋体" w:eastAsia="宋体" w:cs="宋体"/>
                      <w:color w:val="auto"/>
                      <w:sz w:val="21"/>
                      <w:szCs w:val="21"/>
                      <w:lang w:val="en-US" w:eastAsia="zh-CN"/>
                    </w:rPr>
                    <w:t>及监测</w:t>
                  </w:r>
                </w:p>
              </w:tc>
              <w:tc>
                <w:tcPr>
                  <w:tcW w:w="1234" w:type="dxa"/>
                  <w:tcBorders>
                    <w:tl2br w:val="nil"/>
                    <w:tr2bl w:val="nil"/>
                  </w:tcBorders>
                  <w:vAlign w:val="center"/>
                </w:tcPr>
                <w:p w14:paraId="0E95DD47">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w:t>
                  </w:r>
                </w:p>
              </w:tc>
            </w:tr>
            <w:tr w14:paraId="2BA732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21" w:hRule="atLeast"/>
              </w:trPr>
              <w:tc>
                <w:tcPr>
                  <w:tcW w:w="6441" w:type="dxa"/>
                  <w:gridSpan w:val="4"/>
                  <w:tcBorders>
                    <w:tl2br w:val="nil"/>
                    <w:tr2bl w:val="nil"/>
                  </w:tcBorders>
                  <w:vAlign w:val="center"/>
                </w:tcPr>
                <w:p w14:paraId="3ED6E3F1">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总计</w:t>
                  </w:r>
                </w:p>
              </w:tc>
              <w:tc>
                <w:tcPr>
                  <w:tcW w:w="1234" w:type="dxa"/>
                  <w:tcBorders>
                    <w:tl2br w:val="nil"/>
                    <w:tr2bl w:val="nil"/>
                  </w:tcBorders>
                  <w:vAlign w:val="center"/>
                </w:tcPr>
                <w:p w14:paraId="6F419552">
                  <w:pPr>
                    <w:keepNext w:val="0"/>
                    <w:keepLines w:val="0"/>
                    <w:suppressLineNumbers w:val="0"/>
                    <w:snapToGrid w:val="0"/>
                    <w:spacing w:before="0" w:beforeAutospacing="0" w:after="0" w:afterAutospacing="0" w:line="240" w:lineRule="atLeast"/>
                    <w:ind w:left="0" w:right="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232</w:t>
                  </w:r>
                </w:p>
              </w:tc>
            </w:tr>
          </w:tbl>
          <w:p w14:paraId="52CABA0E">
            <w:pPr>
              <w:keepNext w:val="0"/>
              <w:keepLines w:val="0"/>
              <w:suppressLineNumbers w:val="0"/>
              <w:spacing w:before="0" w:beforeAutospacing="0" w:after="0" w:afterAutospacing="0"/>
              <w:ind w:left="0" w:right="0"/>
              <w:outlineLvl w:val="9"/>
              <w:rPr>
                <w:rFonts w:hint="eastAsia" w:ascii="宋体" w:hAnsi="宋体" w:eastAsia="宋体" w:cs="宋体"/>
                <w:color w:val="0000FF"/>
                <w:sz w:val="24"/>
                <w:szCs w:val="24"/>
                <w:highlight w:val="none"/>
                <w:lang w:val="en-US" w:eastAsia="zh-CN"/>
              </w:rPr>
            </w:pPr>
          </w:p>
          <w:p w14:paraId="23E1B88F">
            <w:pPr>
              <w:pStyle w:val="25"/>
              <w:keepNext w:val="0"/>
              <w:keepLines w:val="0"/>
              <w:suppressLineNumbers w:val="0"/>
              <w:spacing w:before="0" w:beforeAutospacing="0" w:after="0" w:afterAutospacing="0"/>
              <w:ind w:right="0"/>
              <w:rPr>
                <w:rFonts w:hint="eastAsia" w:ascii="宋体" w:hAnsi="宋体" w:eastAsia="宋体" w:cs="宋体"/>
                <w:color w:val="0000FF"/>
                <w:sz w:val="24"/>
                <w:szCs w:val="24"/>
                <w:highlight w:val="none"/>
                <w:lang w:val="en-US" w:eastAsia="zh-CN"/>
              </w:rPr>
            </w:pPr>
          </w:p>
          <w:p w14:paraId="7582A163">
            <w:pPr>
              <w:pStyle w:val="25"/>
              <w:keepNext w:val="0"/>
              <w:keepLines w:val="0"/>
              <w:suppressLineNumbers w:val="0"/>
              <w:spacing w:before="0" w:beforeAutospacing="0" w:after="0" w:afterAutospacing="0"/>
              <w:ind w:right="0"/>
              <w:rPr>
                <w:rFonts w:hint="eastAsia" w:ascii="宋体" w:hAnsi="宋体" w:eastAsia="宋体" w:cs="宋体"/>
                <w:color w:val="0000FF"/>
                <w:sz w:val="24"/>
                <w:szCs w:val="24"/>
                <w:highlight w:val="none"/>
                <w:lang w:val="en-US" w:eastAsia="zh-CN"/>
              </w:rPr>
            </w:pPr>
          </w:p>
          <w:p w14:paraId="795D38F0">
            <w:pPr>
              <w:keepNext w:val="0"/>
              <w:keepLines w:val="0"/>
              <w:suppressLineNumbers w:val="0"/>
              <w:spacing w:before="0" w:beforeAutospacing="0" w:after="0" w:afterAutospacing="0"/>
              <w:ind w:left="0" w:right="0"/>
              <w:rPr>
                <w:rFonts w:hint="eastAsia" w:ascii="宋体" w:hAnsi="宋体" w:eastAsia="宋体" w:cs="宋体"/>
                <w:color w:val="0000FF"/>
                <w:sz w:val="24"/>
                <w:szCs w:val="24"/>
                <w:highlight w:val="none"/>
                <w:lang w:val="en-US" w:eastAsia="zh-CN"/>
              </w:rPr>
            </w:pPr>
          </w:p>
          <w:p w14:paraId="1850B4B4">
            <w:pPr>
              <w:pStyle w:val="25"/>
              <w:keepNext w:val="0"/>
              <w:keepLines w:val="0"/>
              <w:suppressLineNumbers w:val="0"/>
              <w:spacing w:before="0" w:beforeAutospacing="0" w:after="0" w:afterAutospacing="0"/>
              <w:ind w:right="0"/>
              <w:rPr>
                <w:rFonts w:hint="eastAsia" w:ascii="宋体" w:hAnsi="宋体" w:eastAsia="宋体" w:cs="宋体"/>
                <w:color w:val="0000FF"/>
                <w:lang w:val="en-US" w:eastAsia="zh-CN"/>
              </w:rPr>
            </w:pPr>
          </w:p>
        </w:tc>
      </w:tr>
    </w:tbl>
    <w:p w14:paraId="24EAC29B">
      <w:pPr>
        <w:outlineLvl w:val="9"/>
        <w:rPr>
          <w:rFonts w:hint="eastAsia" w:ascii="宋体" w:hAnsi="宋体" w:eastAsia="宋体" w:cs="宋体"/>
          <w:color w:val="0000FF"/>
          <w:highlight w:val="none"/>
        </w:rPr>
        <w:sectPr>
          <w:pgSz w:w="11907" w:h="16840"/>
          <w:pgMar w:top="1440" w:right="1797" w:bottom="1440" w:left="1797" w:header="851" w:footer="1077" w:gutter="0"/>
          <w:pgBorders>
            <w:top w:val="none" w:sz="0" w:space="0"/>
            <w:left w:val="none" w:sz="0" w:space="0"/>
            <w:bottom w:val="none" w:sz="0" w:space="0"/>
            <w:right w:val="none" w:sz="0" w:space="0"/>
          </w:pgBorders>
          <w:pgNumType w:fmt="decimal"/>
          <w:cols w:space="720" w:num="1"/>
          <w:docGrid w:linePitch="312" w:charSpace="0"/>
        </w:sectPr>
      </w:pPr>
    </w:p>
    <w:p w14:paraId="4F5D1AC6">
      <w:pPr>
        <w:pStyle w:val="29"/>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宋体" w:hAnsi="宋体" w:eastAsia="宋体" w:cs="宋体"/>
          <w:b/>
          <w:bCs/>
          <w:snapToGrid w:val="0"/>
          <w:color w:val="auto"/>
          <w:sz w:val="30"/>
          <w:szCs w:val="30"/>
          <w:highlight w:val="none"/>
        </w:rPr>
      </w:pPr>
      <w:bookmarkStart w:id="58" w:name="_Toc2913"/>
      <w:bookmarkStart w:id="59" w:name="_Toc27171"/>
      <w:bookmarkStart w:id="60" w:name="_Toc4395"/>
      <w:bookmarkStart w:id="61" w:name="_Toc22818"/>
      <w:bookmarkStart w:id="62" w:name="_Toc8428"/>
      <w:bookmarkStart w:id="63" w:name="_Toc23472"/>
      <w:bookmarkStart w:id="64" w:name="_Toc25847"/>
      <w:bookmarkStart w:id="65" w:name="_Toc13777"/>
      <w:bookmarkStart w:id="66" w:name="_Toc24457"/>
      <w:r>
        <w:rPr>
          <w:rFonts w:hint="eastAsia" w:ascii="宋体" w:hAnsi="宋体" w:eastAsia="宋体" w:cs="宋体"/>
          <w:b/>
          <w:bCs/>
          <w:snapToGrid w:val="0"/>
          <w:color w:val="auto"/>
          <w:sz w:val="30"/>
          <w:szCs w:val="30"/>
          <w:highlight w:val="none"/>
          <w:lang w:val="en-US" w:eastAsia="zh-CN"/>
        </w:rPr>
        <w:t>六、</w:t>
      </w:r>
      <w:r>
        <w:rPr>
          <w:rFonts w:hint="eastAsia" w:ascii="宋体" w:hAnsi="宋体" w:eastAsia="宋体" w:cs="宋体"/>
          <w:b/>
          <w:bCs/>
          <w:snapToGrid w:val="0"/>
          <w:color w:val="auto"/>
          <w:sz w:val="30"/>
          <w:szCs w:val="30"/>
          <w:highlight w:val="none"/>
        </w:rPr>
        <w:t>生态环境保护措施监督检查清单</w:t>
      </w:r>
      <w:bookmarkEnd w:id="58"/>
      <w:bookmarkEnd w:id="59"/>
      <w:bookmarkEnd w:id="60"/>
      <w:bookmarkEnd w:id="61"/>
      <w:bookmarkEnd w:id="62"/>
      <w:bookmarkEnd w:id="63"/>
      <w:bookmarkEnd w:id="64"/>
      <w:bookmarkEnd w:id="65"/>
      <w:bookmarkEnd w:id="66"/>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2"/>
        <w:gridCol w:w="2359"/>
        <w:gridCol w:w="982"/>
        <w:gridCol w:w="2430"/>
        <w:gridCol w:w="2370"/>
      </w:tblGrid>
      <w:tr w14:paraId="183A11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782" w:type="dxa"/>
            <w:vMerge w:val="restart"/>
            <w:tcBorders>
              <w:tl2br w:val="nil"/>
              <w:tr2bl w:val="nil"/>
            </w:tcBorders>
            <w:noWrap w:val="0"/>
            <w:vAlign w:val="center"/>
          </w:tcPr>
          <w:p w14:paraId="30F49428">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b/>
                <w:bCs/>
                <w:color w:val="auto"/>
                <w:sz w:val="21"/>
                <w:szCs w:val="21"/>
                <w:highlight w:val="none"/>
              </w:rPr>
            </w:pPr>
            <w:bookmarkStart w:id="67" w:name="_Toc67826166"/>
            <w:bookmarkStart w:id="68" w:name="_Toc75713145"/>
            <w:bookmarkStart w:id="69" w:name="_Toc67825872"/>
            <w:r>
              <w:rPr>
                <w:rFonts w:hint="eastAsia" w:ascii="宋体" w:hAnsi="宋体" w:eastAsia="宋体" w:cs="宋体"/>
                <w:b/>
                <w:bCs/>
                <w:color w:val="auto"/>
                <w:sz w:val="21"/>
                <w:szCs w:val="21"/>
                <w:highlight w:val="none"/>
              </w:rPr>
              <w:t>内容</w:t>
            </w:r>
            <w:bookmarkEnd w:id="67"/>
            <w:bookmarkEnd w:id="68"/>
            <w:bookmarkEnd w:id="69"/>
          </w:p>
          <w:p w14:paraId="375FFEE1">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b/>
                <w:bCs/>
                <w:color w:val="auto"/>
                <w:sz w:val="21"/>
                <w:szCs w:val="21"/>
                <w:highlight w:val="none"/>
              </w:rPr>
            </w:pPr>
            <w:bookmarkStart w:id="70" w:name="_Toc67825873"/>
            <w:bookmarkStart w:id="71" w:name="_Toc75713146"/>
            <w:bookmarkStart w:id="72" w:name="_Toc67826167"/>
            <w:r>
              <w:rPr>
                <w:rFonts w:hint="eastAsia" w:ascii="宋体" w:hAnsi="宋体" w:eastAsia="宋体" w:cs="宋体"/>
                <w:b/>
                <w:bCs/>
                <w:color w:val="auto"/>
                <w:sz w:val="21"/>
                <w:szCs w:val="21"/>
                <w:highlight w:val="none"/>
              </w:rPr>
              <w:t>要素</w:t>
            </w:r>
            <w:bookmarkEnd w:id="70"/>
            <w:bookmarkEnd w:id="71"/>
            <w:bookmarkEnd w:id="72"/>
          </w:p>
        </w:tc>
        <w:tc>
          <w:tcPr>
            <w:tcW w:w="3341" w:type="dxa"/>
            <w:gridSpan w:val="2"/>
            <w:tcBorders>
              <w:tl2br w:val="nil"/>
              <w:tr2bl w:val="nil"/>
            </w:tcBorders>
            <w:noWrap w:val="0"/>
            <w:vAlign w:val="center"/>
          </w:tcPr>
          <w:p w14:paraId="463BC628">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b/>
                <w:bCs/>
                <w:color w:val="auto"/>
                <w:sz w:val="21"/>
                <w:szCs w:val="21"/>
                <w:highlight w:val="none"/>
              </w:rPr>
            </w:pPr>
            <w:bookmarkStart w:id="73" w:name="_Toc75713147"/>
            <w:bookmarkStart w:id="74" w:name="_Toc67825874"/>
            <w:bookmarkStart w:id="75" w:name="_Toc67826168"/>
            <w:r>
              <w:rPr>
                <w:rFonts w:hint="eastAsia" w:ascii="宋体" w:hAnsi="宋体" w:eastAsia="宋体" w:cs="宋体"/>
                <w:b/>
                <w:bCs/>
                <w:color w:val="auto"/>
                <w:sz w:val="21"/>
                <w:szCs w:val="21"/>
                <w:highlight w:val="none"/>
              </w:rPr>
              <w:t>施工期</w:t>
            </w:r>
            <w:bookmarkEnd w:id="73"/>
            <w:bookmarkEnd w:id="74"/>
            <w:bookmarkEnd w:id="75"/>
          </w:p>
        </w:tc>
        <w:tc>
          <w:tcPr>
            <w:tcW w:w="4800" w:type="dxa"/>
            <w:gridSpan w:val="2"/>
            <w:tcBorders>
              <w:tl2br w:val="nil"/>
              <w:tr2bl w:val="nil"/>
            </w:tcBorders>
            <w:noWrap w:val="0"/>
            <w:vAlign w:val="center"/>
          </w:tcPr>
          <w:p w14:paraId="32A88BA2">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b/>
                <w:bCs/>
                <w:color w:val="auto"/>
                <w:sz w:val="21"/>
                <w:szCs w:val="21"/>
                <w:highlight w:val="none"/>
              </w:rPr>
            </w:pPr>
            <w:bookmarkStart w:id="76" w:name="_Toc75713148"/>
            <w:bookmarkStart w:id="77" w:name="_Toc67826169"/>
            <w:bookmarkStart w:id="78" w:name="_Toc67825875"/>
            <w:r>
              <w:rPr>
                <w:rFonts w:hint="eastAsia" w:ascii="宋体" w:hAnsi="宋体" w:eastAsia="宋体" w:cs="宋体"/>
                <w:b/>
                <w:bCs/>
                <w:color w:val="auto"/>
                <w:sz w:val="21"/>
                <w:szCs w:val="21"/>
                <w:highlight w:val="none"/>
              </w:rPr>
              <w:t>运营期</w:t>
            </w:r>
            <w:bookmarkEnd w:id="76"/>
            <w:bookmarkEnd w:id="77"/>
            <w:bookmarkEnd w:id="78"/>
          </w:p>
        </w:tc>
      </w:tr>
      <w:tr w14:paraId="6634A4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782" w:type="dxa"/>
            <w:vMerge w:val="continue"/>
            <w:tcBorders>
              <w:tl2br w:val="nil"/>
              <w:tr2bl w:val="nil"/>
            </w:tcBorders>
            <w:noWrap w:val="0"/>
            <w:vAlign w:val="center"/>
          </w:tcPr>
          <w:p w14:paraId="21C63D4A">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b/>
                <w:bCs/>
                <w:color w:val="auto"/>
                <w:sz w:val="21"/>
                <w:szCs w:val="21"/>
                <w:highlight w:val="none"/>
              </w:rPr>
            </w:pPr>
          </w:p>
        </w:tc>
        <w:tc>
          <w:tcPr>
            <w:tcW w:w="2359" w:type="dxa"/>
            <w:tcBorders>
              <w:tl2br w:val="nil"/>
              <w:tr2bl w:val="nil"/>
            </w:tcBorders>
            <w:noWrap w:val="0"/>
            <w:vAlign w:val="center"/>
          </w:tcPr>
          <w:p w14:paraId="588A04FC">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b/>
                <w:bCs/>
                <w:color w:val="auto"/>
                <w:sz w:val="21"/>
                <w:szCs w:val="21"/>
                <w:highlight w:val="none"/>
              </w:rPr>
            </w:pPr>
            <w:bookmarkStart w:id="79" w:name="_Toc67826170"/>
            <w:bookmarkStart w:id="80" w:name="_Toc75713149"/>
            <w:bookmarkStart w:id="81" w:name="_Toc67825876"/>
            <w:r>
              <w:rPr>
                <w:rFonts w:hint="eastAsia" w:ascii="宋体" w:hAnsi="宋体" w:eastAsia="宋体" w:cs="宋体"/>
                <w:b/>
                <w:bCs/>
                <w:color w:val="auto"/>
                <w:sz w:val="21"/>
                <w:szCs w:val="21"/>
                <w:highlight w:val="none"/>
              </w:rPr>
              <w:t>环境保护措施</w:t>
            </w:r>
            <w:bookmarkEnd w:id="79"/>
            <w:bookmarkEnd w:id="80"/>
            <w:bookmarkEnd w:id="81"/>
          </w:p>
        </w:tc>
        <w:tc>
          <w:tcPr>
            <w:tcW w:w="982" w:type="dxa"/>
            <w:tcBorders>
              <w:tl2br w:val="nil"/>
              <w:tr2bl w:val="nil"/>
            </w:tcBorders>
            <w:noWrap w:val="0"/>
            <w:vAlign w:val="center"/>
          </w:tcPr>
          <w:p w14:paraId="2245C24D">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b/>
                <w:bCs/>
                <w:color w:val="auto"/>
                <w:sz w:val="21"/>
                <w:szCs w:val="21"/>
                <w:highlight w:val="none"/>
              </w:rPr>
            </w:pPr>
            <w:bookmarkStart w:id="82" w:name="_Toc67826171"/>
            <w:bookmarkStart w:id="83" w:name="_Toc75713150"/>
            <w:bookmarkStart w:id="84" w:name="_Toc67825877"/>
            <w:r>
              <w:rPr>
                <w:rFonts w:hint="eastAsia" w:ascii="宋体" w:hAnsi="宋体" w:eastAsia="宋体" w:cs="宋体"/>
                <w:b/>
                <w:bCs/>
                <w:color w:val="auto"/>
                <w:sz w:val="21"/>
                <w:szCs w:val="21"/>
                <w:highlight w:val="none"/>
              </w:rPr>
              <w:t>验收</w:t>
            </w:r>
          </w:p>
          <w:p w14:paraId="7279AC5C">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要求</w:t>
            </w:r>
            <w:bookmarkEnd w:id="82"/>
            <w:bookmarkEnd w:id="83"/>
            <w:bookmarkEnd w:id="84"/>
          </w:p>
        </w:tc>
        <w:tc>
          <w:tcPr>
            <w:tcW w:w="2430" w:type="dxa"/>
            <w:tcBorders>
              <w:tl2br w:val="nil"/>
              <w:tr2bl w:val="nil"/>
            </w:tcBorders>
            <w:noWrap w:val="0"/>
            <w:vAlign w:val="center"/>
          </w:tcPr>
          <w:p w14:paraId="1FE60039">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b/>
                <w:bCs/>
                <w:color w:val="auto"/>
                <w:sz w:val="21"/>
                <w:szCs w:val="21"/>
                <w:highlight w:val="none"/>
              </w:rPr>
            </w:pPr>
            <w:bookmarkStart w:id="85" w:name="_Toc75713151"/>
            <w:bookmarkStart w:id="86" w:name="_Toc67826172"/>
            <w:bookmarkStart w:id="87" w:name="_Toc67825878"/>
            <w:r>
              <w:rPr>
                <w:rFonts w:hint="eastAsia" w:ascii="宋体" w:hAnsi="宋体" w:eastAsia="宋体" w:cs="宋体"/>
                <w:b/>
                <w:bCs/>
                <w:color w:val="auto"/>
                <w:sz w:val="21"/>
                <w:szCs w:val="21"/>
                <w:highlight w:val="none"/>
              </w:rPr>
              <w:t>环境保护措施</w:t>
            </w:r>
            <w:bookmarkEnd w:id="85"/>
            <w:bookmarkEnd w:id="86"/>
            <w:bookmarkEnd w:id="87"/>
          </w:p>
        </w:tc>
        <w:tc>
          <w:tcPr>
            <w:tcW w:w="2370" w:type="dxa"/>
            <w:tcBorders>
              <w:tl2br w:val="nil"/>
              <w:tr2bl w:val="nil"/>
            </w:tcBorders>
            <w:noWrap w:val="0"/>
            <w:vAlign w:val="center"/>
          </w:tcPr>
          <w:p w14:paraId="1B86A6DA">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b/>
                <w:bCs/>
                <w:color w:val="auto"/>
                <w:sz w:val="21"/>
                <w:szCs w:val="21"/>
                <w:highlight w:val="none"/>
              </w:rPr>
            </w:pPr>
            <w:bookmarkStart w:id="88" w:name="_Toc75713152"/>
            <w:bookmarkStart w:id="89" w:name="_Toc67826173"/>
            <w:bookmarkStart w:id="90" w:name="_Toc67825879"/>
            <w:r>
              <w:rPr>
                <w:rFonts w:hint="eastAsia" w:ascii="宋体" w:hAnsi="宋体" w:eastAsia="宋体" w:cs="宋体"/>
                <w:b/>
                <w:bCs/>
                <w:color w:val="auto"/>
                <w:sz w:val="21"/>
                <w:szCs w:val="21"/>
                <w:highlight w:val="none"/>
              </w:rPr>
              <w:t>验收</w:t>
            </w:r>
          </w:p>
          <w:p w14:paraId="2FB85AFD">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要求</w:t>
            </w:r>
            <w:bookmarkEnd w:id="88"/>
            <w:bookmarkEnd w:id="89"/>
            <w:bookmarkEnd w:id="90"/>
          </w:p>
        </w:tc>
      </w:tr>
      <w:tr w14:paraId="1F3A49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82" w:type="dxa"/>
            <w:tcBorders>
              <w:tl2br w:val="nil"/>
              <w:tr2bl w:val="nil"/>
            </w:tcBorders>
            <w:noWrap w:val="0"/>
            <w:vAlign w:val="center"/>
          </w:tcPr>
          <w:p w14:paraId="557C5809">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color w:val="0000FF"/>
                <w:sz w:val="21"/>
                <w:szCs w:val="21"/>
                <w:highlight w:val="none"/>
              </w:rPr>
            </w:pPr>
            <w:r>
              <w:rPr>
                <w:rFonts w:hint="eastAsia" w:ascii="宋体" w:hAnsi="宋体" w:eastAsia="宋体" w:cs="宋体"/>
                <w:color w:val="auto"/>
                <w:sz w:val="21"/>
                <w:szCs w:val="21"/>
                <w:highlight w:val="none"/>
              </w:rPr>
              <w:t>陆生生态</w:t>
            </w:r>
          </w:p>
        </w:tc>
        <w:tc>
          <w:tcPr>
            <w:tcW w:w="2359" w:type="dxa"/>
            <w:tcBorders>
              <w:tl2br w:val="nil"/>
              <w:tr2bl w:val="nil"/>
            </w:tcBorders>
            <w:noWrap w:val="0"/>
            <w:vAlign w:val="center"/>
          </w:tcPr>
          <w:p w14:paraId="3511BD27">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both"/>
              <w:outlineLvl w:val="9"/>
              <w:rPr>
                <w:rFonts w:hint="eastAsia" w:ascii="宋体" w:hAnsi="宋体" w:eastAsia="宋体" w:cs="宋体"/>
                <w:color w:val="0000FF"/>
                <w:sz w:val="21"/>
                <w:szCs w:val="21"/>
                <w:highlight w:val="yellow"/>
                <w:lang w:val="en-US"/>
              </w:rPr>
            </w:pPr>
            <w:r>
              <w:rPr>
                <w:rFonts w:hint="default" w:ascii="Times New Roman" w:hAnsi="Times New Roman" w:cs="Times New Roman"/>
                <w:color w:val="auto"/>
                <w:sz w:val="21"/>
                <w:szCs w:val="21"/>
                <w:lang w:val="en-US" w:eastAsia="zh-CN"/>
              </w:rPr>
              <w:t>合理规划临时占地位置</w:t>
            </w:r>
            <w:r>
              <w:rPr>
                <w:rFonts w:hint="default" w:ascii="Times New Roman" w:hAnsi="Times New Roman" w:cs="Times New Roman"/>
                <w:color w:val="auto"/>
                <w:sz w:val="21"/>
                <w:szCs w:val="21"/>
                <w:highlight w:val="none"/>
                <w:lang w:val="en-US" w:eastAsia="zh-CN"/>
              </w:rPr>
              <w:t>和范围，避让植被密集区。</w:t>
            </w:r>
            <w:r>
              <w:rPr>
                <w:rFonts w:hint="default" w:ascii="Times New Roman" w:hAnsi="Times New Roman" w:cs="Times New Roman"/>
                <w:color w:val="auto"/>
                <w:sz w:val="21"/>
                <w:szCs w:val="21"/>
                <w:highlight w:val="none"/>
              </w:rPr>
              <w:t>施工前</w:t>
            </w:r>
            <w:r>
              <w:rPr>
                <w:rFonts w:hint="default" w:ascii="Times New Roman" w:hAnsi="Times New Roman" w:cs="Times New Roman"/>
                <w:color w:val="auto"/>
                <w:sz w:val="21"/>
                <w:szCs w:val="21"/>
                <w:highlight w:val="none"/>
                <w:lang w:val="en-US" w:eastAsia="zh-CN"/>
              </w:rPr>
              <w:t>按要求办理各类用地</w:t>
            </w:r>
            <w:r>
              <w:rPr>
                <w:rFonts w:hint="default" w:ascii="Times New Roman" w:hAnsi="Times New Roman" w:cs="Times New Roman"/>
                <w:color w:val="auto"/>
                <w:sz w:val="21"/>
                <w:szCs w:val="21"/>
                <w:highlight w:val="none"/>
              </w:rPr>
              <w:t>手续</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严格控制用地范围。施工过程中落实施工限界措施，注意保护表层土。施工结束后及时平整</w:t>
            </w:r>
            <w:r>
              <w:rPr>
                <w:rFonts w:hint="eastAsia" w:cs="Times New Roman"/>
                <w:color w:val="auto"/>
                <w:sz w:val="21"/>
                <w:szCs w:val="21"/>
                <w:highlight w:val="none"/>
                <w:lang w:val="en-US" w:eastAsia="zh-CN"/>
              </w:rPr>
              <w:t>土地</w:t>
            </w:r>
            <w:r>
              <w:rPr>
                <w:rFonts w:hint="default" w:ascii="Times New Roman" w:hAnsi="Times New Roman" w:cs="Times New Roman"/>
                <w:color w:val="auto"/>
                <w:sz w:val="21"/>
                <w:szCs w:val="21"/>
                <w:highlight w:val="none"/>
                <w:lang w:val="en-US" w:eastAsia="zh-CN"/>
              </w:rPr>
              <w:t>，落实植被恢复措施</w:t>
            </w:r>
            <w:r>
              <w:rPr>
                <w:rFonts w:hint="eastAsia" w:ascii="宋体" w:hAnsi="宋体" w:eastAsia="宋体" w:cs="宋体"/>
                <w:color w:val="auto"/>
                <w:sz w:val="21"/>
                <w:szCs w:val="21"/>
              </w:rPr>
              <w:t>，防止区域土地</w:t>
            </w:r>
            <w:r>
              <w:rPr>
                <w:rFonts w:hint="eastAsia" w:ascii="宋体" w:hAnsi="宋体" w:eastAsia="宋体" w:cs="宋体"/>
                <w:color w:val="auto"/>
                <w:sz w:val="21"/>
                <w:szCs w:val="21"/>
                <w:lang w:val="en-US" w:eastAsia="zh-CN"/>
              </w:rPr>
              <w:t>荒漠化</w:t>
            </w:r>
            <w:r>
              <w:rPr>
                <w:rFonts w:hint="eastAsia" w:ascii="宋体" w:hAnsi="宋体" w:eastAsia="宋体" w:cs="宋体"/>
                <w:color w:val="auto"/>
                <w:sz w:val="21"/>
                <w:szCs w:val="21"/>
              </w:rPr>
              <w:t>。</w:t>
            </w:r>
          </w:p>
        </w:tc>
        <w:tc>
          <w:tcPr>
            <w:tcW w:w="982" w:type="dxa"/>
            <w:tcBorders>
              <w:tl2br w:val="nil"/>
              <w:tr2bl w:val="nil"/>
            </w:tcBorders>
            <w:noWrap w:val="0"/>
            <w:vAlign w:val="center"/>
          </w:tcPr>
          <w:p w14:paraId="26639F26">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color w:val="0000FF"/>
                <w:sz w:val="21"/>
                <w:szCs w:val="21"/>
                <w:highlight w:val="yellow"/>
                <w:lang w:eastAsia="zh-CN"/>
              </w:rPr>
            </w:pPr>
            <w:r>
              <w:rPr>
                <w:rFonts w:hint="eastAsia" w:ascii="宋体" w:hAnsi="宋体" w:eastAsia="宋体" w:cs="宋体"/>
                <w:color w:val="auto"/>
                <w:sz w:val="21"/>
                <w:szCs w:val="21"/>
                <w:highlight w:val="none"/>
                <w:lang w:val="en-US" w:eastAsia="zh-CN"/>
              </w:rPr>
              <w:t>土地平整</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落实植被恢复措施。</w:t>
            </w:r>
          </w:p>
        </w:tc>
        <w:tc>
          <w:tcPr>
            <w:tcW w:w="2430" w:type="dxa"/>
            <w:tcBorders>
              <w:tl2br w:val="nil"/>
              <w:tr2bl w:val="nil"/>
            </w:tcBorders>
            <w:noWrap w:val="0"/>
            <w:vAlign w:val="center"/>
          </w:tcPr>
          <w:p w14:paraId="6BFAEDB6">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both"/>
              <w:outlineLvl w:val="9"/>
              <w:rPr>
                <w:rFonts w:hint="eastAsia" w:ascii="宋体" w:hAnsi="宋体" w:eastAsia="宋体" w:cs="宋体"/>
                <w:color w:val="0000FF"/>
                <w:highlight w:val="yellow"/>
                <w:lang w:eastAsia="zh-CN"/>
              </w:rPr>
            </w:pPr>
            <w:r>
              <w:rPr>
                <w:rFonts w:hint="eastAsia" w:ascii="宋体" w:hAnsi="宋体" w:eastAsia="宋体" w:cs="宋体"/>
                <w:color w:val="auto"/>
                <w:highlight w:val="none"/>
                <w:lang w:val="en-US" w:eastAsia="zh-CN"/>
              </w:rPr>
              <w:t>升压站内采用地面硬化及碎石覆盖等生态保护措施，线路检修</w:t>
            </w:r>
            <w:r>
              <w:rPr>
                <w:rFonts w:hint="eastAsia" w:ascii="宋体" w:hAnsi="宋体" w:eastAsia="宋体" w:cs="宋体"/>
                <w:color w:val="auto"/>
                <w:highlight w:val="none"/>
                <w:lang w:eastAsia="zh-CN"/>
              </w:rPr>
              <w:t>不得随意扩大或变更行车道路的宽度和长度，避免行驶车辆及检修人员的行走路线对征地范围外地表</w:t>
            </w:r>
            <w:r>
              <w:rPr>
                <w:rFonts w:hint="eastAsia" w:ascii="宋体" w:hAnsi="宋体" w:eastAsia="宋体" w:cs="宋体"/>
                <w:color w:val="auto"/>
                <w:highlight w:val="none"/>
                <w:lang w:val="en-US" w:eastAsia="zh-CN"/>
              </w:rPr>
              <w:t>的</w:t>
            </w:r>
            <w:r>
              <w:rPr>
                <w:rFonts w:hint="eastAsia" w:ascii="宋体" w:hAnsi="宋体" w:eastAsia="宋体" w:cs="宋体"/>
                <w:color w:val="auto"/>
                <w:highlight w:val="none"/>
                <w:lang w:eastAsia="zh-CN"/>
              </w:rPr>
              <w:t>碾压扰动。</w:t>
            </w:r>
          </w:p>
        </w:tc>
        <w:tc>
          <w:tcPr>
            <w:tcW w:w="2370" w:type="dxa"/>
            <w:tcBorders>
              <w:tl2br w:val="nil"/>
              <w:tr2bl w:val="nil"/>
            </w:tcBorders>
            <w:noWrap w:val="0"/>
            <w:vAlign w:val="center"/>
          </w:tcPr>
          <w:p w14:paraId="7BFC79D0">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both"/>
              <w:outlineLvl w:val="9"/>
              <w:rPr>
                <w:rFonts w:hint="eastAsia" w:ascii="宋体" w:hAnsi="宋体" w:eastAsia="宋体" w:cs="宋体"/>
                <w:color w:val="0000FF"/>
                <w:sz w:val="21"/>
                <w:szCs w:val="21"/>
                <w:highlight w:val="yellow"/>
                <w:lang w:eastAsia="zh-CN"/>
              </w:rPr>
            </w:pPr>
            <w:r>
              <w:rPr>
                <w:rFonts w:hint="eastAsia" w:ascii="宋体" w:hAnsi="宋体" w:eastAsia="宋体" w:cs="宋体"/>
                <w:color w:val="auto"/>
                <w:sz w:val="21"/>
                <w:szCs w:val="21"/>
                <w:highlight w:val="none"/>
              </w:rPr>
              <w:t>生态环境水平不降低</w:t>
            </w:r>
            <w:r>
              <w:rPr>
                <w:rFonts w:hint="eastAsia" w:ascii="宋体" w:hAnsi="宋体" w:eastAsia="宋体" w:cs="宋体"/>
                <w:color w:val="auto"/>
                <w:sz w:val="21"/>
                <w:szCs w:val="21"/>
                <w:highlight w:val="none"/>
                <w:lang w:eastAsia="zh-CN"/>
              </w:rPr>
              <w:t>。</w:t>
            </w:r>
          </w:p>
        </w:tc>
      </w:tr>
      <w:tr w14:paraId="0881E2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782" w:type="dxa"/>
            <w:tcBorders>
              <w:tl2br w:val="nil"/>
              <w:tr2bl w:val="nil"/>
            </w:tcBorders>
            <w:noWrap w:val="0"/>
            <w:vAlign w:val="center"/>
          </w:tcPr>
          <w:p w14:paraId="219D8F11">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水生生态</w:t>
            </w:r>
          </w:p>
        </w:tc>
        <w:tc>
          <w:tcPr>
            <w:tcW w:w="2359" w:type="dxa"/>
            <w:tcBorders>
              <w:tl2br w:val="nil"/>
              <w:tr2bl w:val="nil"/>
            </w:tcBorders>
            <w:noWrap w:val="0"/>
            <w:vAlign w:val="center"/>
          </w:tcPr>
          <w:p w14:paraId="02BB8BAE">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982" w:type="dxa"/>
            <w:tcBorders>
              <w:tl2br w:val="nil"/>
              <w:tr2bl w:val="nil"/>
            </w:tcBorders>
            <w:noWrap w:val="0"/>
            <w:vAlign w:val="center"/>
          </w:tcPr>
          <w:p w14:paraId="651A1356">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430" w:type="dxa"/>
            <w:tcBorders>
              <w:tl2br w:val="nil"/>
              <w:tr2bl w:val="nil"/>
            </w:tcBorders>
            <w:noWrap w:val="0"/>
            <w:vAlign w:val="center"/>
          </w:tcPr>
          <w:p w14:paraId="33F9B8DE">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370" w:type="dxa"/>
            <w:tcBorders>
              <w:tl2br w:val="nil"/>
              <w:tr2bl w:val="nil"/>
            </w:tcBorders>
            <w:noWrap w:val="0"/>
            <w:vAlign w:val="center"/>
          </w:tcPr>
          <w:p w14:paraId="541A2FFC">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r w14:paraId="1AA00A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7" w:hRule="atLeast"/>
          <w:jc w:val="center"/>
        </w:trPr>
        <w:tc>
          <w:tcPr>
            <w:tcW w:w="782" w:type="dxa"/>
            <w:tcBorders>
              <w:tl2br w:val="nil"/>
              <w:tr2bl w:val="nil"/>
            </w:tcBorders>
            <w:noWrap w:val="0"/>
            <w:vAlign w:val="center"/>
          </w:tcPr>
          <w:p w14:paraId="66A54FBA">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地表水环境</w:t>
            </w:r>
          </w:p>
        </w:tc>
        <w:tc>
          <w:tcPr>
            <w:tcW w:w="2359" w:type="dxa"/>
            <w:tcBorders>
              <w:tl2br w:val="nil"/>
              <w:tr2bl w:val="nil"/>
            </w:tcBorders>
            <w:noWrap w:val="0"/>
            <w:vAlign w:val="center"/>
          </w:tcPr>
          <w:p w14:paraId="775077D4">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both"/>
              <w:outlineLvl w:val="9"/>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none"/>
              </w:rPr>
              <w:t>施工营地设置</w:t>
            </w:r>
            <w:r>
              <w:rPr>
                <w:rFonts w:hint="eastAsia" w:ascii="宋体" w:hAnsi="宋体" w:eastAsia="宋体" w:cs="宋体"/>
                <w:color w:val="auto"/>
                <w:sz w:val="21"/>
                <w:szCs w:val="21"/>
                <w:highlight w:val="none"/>
                <w:lang w:eastAsia="zh-CN"/>
              </w:rPr>
              <w:t>移动卫生厕所</w:t>
            </w:r>
            <w:r>
              <w:rPr>
                <w:rFonts w:hint="eastAsia" w:ascii="宋体" w:hAnsi="宋体" w:eastAsia="宋体" w:cs="宋体"/>
                <w:color w:val="auto"/>
                <w:sz w:val="21"/>
                <w:szCs w:val="21"/>
                <w:highlight w:val="none"/>
              </w:rPr>
              <w:t>和防渗污水收集池，粪便排入</w:t>
            </w:r>
            <w:r>
              <w:rPr>
                <w:rFonts w:hint="eastAsia" w:ascii="宋体" w:hAnsi="宋体" w:eastAsia="宋体" w:cs="宋体"/>
                <w:color w:val="auto"/>
                <w:sz w:val="21"/>
                <w:szCs w:val="21"/>
                <w:highlight w:val="none"/>
                <w:lang w:eastAsia="zh-CN"/>
              </w:rPr>
              <w:t>移动卫生厕所</w:t>
            </w:r>
            <w:r>
              <w:rPr>
                <w:rFonts w:hint="eastAsia" w:ascii="宋体" w:hAnsi="宋体" w:eastAsia="宋体" w:cs="宋体"/>
                <w:color w:val="auto"/>
                <w:sz w:val="21"/>
                <w:szCs w:val="21"/>
                <w:highlight w:val="none"/>
              </w:rPr>
              <w:t>，营地</w:t>
            </w:r>
            <w:r>
              <w:rPr>
                <w:rFonts w:hint="eastAsia" w:ascii="宋体" w:hAnsi="宋体" w:cs="宋体"/>
                <w:color w:val="auto"/>
                <w:sz w:val="21"/>
                <w:szCs w:val="21"/>
                <w:highlight w:val="none"/>
                <w:lang w:val="en-US" w:eastAsia="zh-CN"/>
              </w:rPr>
              <w:t>生活污水</w:t>
            </w:r>
            <w:r>
              <w:rPr>
                <w:rFonts w:hint="eastAsia" w:ascii="宋体" w:hAnsi="宋体" w:eastAsia="宋体" w:cs="宋体"/>
                <w:color w:val="auto"/>
                <w:sz w:val="21"/>
                <w:szCs w:val="21"/>
                <w:highlight w:val="none"/>
              </w:rPr>
              <w:t>排入防渗污水收集池</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定期</w:t>
            </w:r>
            <w:r>
              <w:rPr>
                <w:rFonts w:hint="eastAsia" w:ascii="宋体" w:hAnsi="宋体" w:cs="宋体"/>
                <w:color w:val="auto"/>
                <w:sz w:val="21"/>
                <w:szCs w:val="21"/>
                <w:highlight w:val="none"/>
                <w:lang w:val="en-US" w:eastAsia="zh-CN"/>
              </w:rPr>
              <w:t>委托</w:t>
            </w:r>
            <w:r>
              <w:rPr>
                <w:rFonts w:hint="eastAsia" w:ascii="宋体" w:hAnsi="宋体" w:eastAsia="宋体" w:cs="宋体"/>
                <w:color w:val="auto"/>
                <w:sz w:val="21"/>
                <w:szCs w:val="21"/>
                <w:highlight w:val="none"/>
              </w:rPr>
              <w:t>环卫部门拉运至</w:t>
            </w:r>
            <w:r>
              <w:rPr>
                <w:rFonts w:hint="eastAsia" w:ascii="宋体" w:hAnsi="宋体" w:cs="宋体"/>
                <w:color w:val="auto"/>
                <w:sz w:val="21"/>
                <w:szCs w:val="21"/>
                <w:highlight w:val="none"/>
                <w:lang w:val="en-US" w:eastAsia="zh-CN"/>
              </w:rPr>
              <w:t>鄯善县污水处理厂</w:t>
            </w:r>
            <w:r>
              <w:rPr>
                <w:rFonts w:hint="eastAsia" w:ascii="宋体" w:hAnsi="宋体" w:eastAsia="宋体" w:cs="宋体"/>
                <w:color w:val="auto"/>
                <w:sz w:val="21"/>
                <w:szCs w:val="21"/>
                <w:highlight w:val="none"/>
              </w:rPr>
              <w:t>统一处理。</w:t>
            </w:r>
          </w:p>
        </w:tc>
        <w:tc>
          <w:tcPr>
            <w:tcW w:w="982" w:type="dxa"/>
            <w:tcBorders>
              <w:tl2br w:val="nil"/>
              <w:tr2bl w:val="nil"/>
            </w:tcBorders>
            <w:noWrap w:val="0"/>
            <w:vAlign w:val="center"/>
          </w:tcPr>
          <w:p w14:paraId="20B72FCC">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both"/>
              <w:outlineLvl w:val="9"/>
              <w:rPr>
                <w:rFonts w:hint="eastAsia" w:ascii="宋体" w:hAnsi="宋体" w:eastAsia="宋体" w:cs="宋体"/>
                <w:color w:val="auto"/>
                <w:sz w:val="21"/>
                <w:szCs w:val="21"/>
                <w:highlight w:val="yellow"/>
                <w:lang w:val="en-US" w:eastAsia="zh-CN"/>
              </w:rPr>
            </w:pPr>
            <w:r>
              <w:rPr>
                <w:rFonts w:hint="eastAsia" w:ascii="宋体" w:hAnsi="宋体" w:eastAsia="宋体" w:cs="宋体"/>
                <w:color w:val="auto"/>
                <w:sz w:val="21"/>
                <w:szCs w:val="21"/>
                <w:highlight w:val="none"/>
                <w:lang w:val="en-US" w:eastAsia="zh-CN"/>
              </w:rPr>
              <w:t>不外排。</w:t>
            </w:r>
          </w:p>
        </w:tc>
        <w:tc>
          <w:tcPr>
            <w:tcW w:w="2430" w:type="dxa"/>
            <w:tcBorders>
              <w:tl2br w:val="nil"/>
              <w:tr2bl w:val="nil"/>
            </w:tcBorders>
            <w:noWrap w:val="0"/>
            <w:vAlign w:val="center"/>
          </w:tcPr>
          <w:p w14:paraId="4217358F">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both"/>
              <w:outlineLvl w:val="9"/>
              <w:rPr>
                <w:rFonts w:hint="eastAsia" w:ascii="宋体" w:hAnsi="宋体" w:eastAsia="宋体" w:cs="宋体"/>
                <w:color w:val="auto"/>
                <w:sz w:val="21"/>
                <w:szCs w:val="21"/>
                <w:highlight w:val="yellow"/>
                <w:lang w:val="en-US" w:eastAsia="zh-CN"/>
              </w:rPr>
            </w:pPr>
            <w:r>
              <w:rPr>
                <w:rFonts w:hint="eastAsia" w:ascii="宋体" w:hAnsi="宋体" w:cs="宋体"/>
                <w:color w:val="auto"/>
                <w:sz w:val="21"/>
                <w:szCs w:val="21"/>
                <w:highlight w:val="none"/>
                <w:lang w:val="en-US" w:eastAsia="zh-CN"/>
              </w:rPr>
              <w:t>生活污水经地埋式一体化生活污水处理装置</w:t>
            </w:r>
            <w:r>
              <w:rPr>
                <w:rFonts w:hint="eastAsia" w:ascii="宋体" w:hAnsi="宋体" w:eastAsia="宋体" w:cs="宋体"/>
                <w:color w:val="auto"/>
                <w:sz w:val="21"/>
                <w:szCs w:val="21"/>
                <w:highlight w:val="none"/>
                <w:lang w:val="en-US" w:eastAsia="zh-CN"/>
              </w:rPr>
              <w:t>处理后收集至集水池</w:t>
            </w:r>
            <w:r>
              <w:rPr>
                <w:rFonts w:hint="eastAsia" w:ascii="宋体" w:hAnsi="宋体" w:eastAsia="宋体" w:cs="宋体"/>
                <w:color w:val="auto"/>
                <w:sz w:val="21"/>
                <w:szCs w:val="21"/>
                <w:highlight w:val="none"/>
              </w:rPr>
              <w:t>用于</w:t>
            </w:r>
            <w:r>
              <w:rPr>
                <w:rFonts w:hint="eastAsia" w:ascii="宋体" w:hAnsi="宋体" w:eastAsia="宋体" w:cs="宋体"/>
                <w:color w:val="auto"/>
                <w:sz w:val="21"/>
                <w:szCs w:val="21"/>
                <w:highlight w:val="none"/>
                <w:lang w:val="en-US" w:eastAsia="zh-CN"/>
              </w:rPr>
              <w:t>荒漠生态恢复的灌溉</w:t>
            </w:r>
            <w:r>
              <w:rPr>
                <w:rFonts w:hint="eastAsia" w:ascii="宋体" w:hAnsi="宋体" w:eastAsia="宋体" w:cs="宋体"/>
                <w:color w:val="auto"/>
                <w:sz w:val="21"/>
                <w:szCs w:val="21"/>
                <w:highlight w:val="none"/>
                <w:lang w:eastAsia="zh-CN"/>
              </w:rPr>
              <w:t>。</w:t>
            </w:r>
          </w:p>
        </w:tc>
        <w:tc>
          <w:tcPr>
            <w:tcW w:w="2370" w:type="dxa"/>
            <w:tcBorders>
              <w:tl2br w:val="nil"/>
              <w:tr2bl w:val="nil"/>
            </w:tcBorders>
            <w:noWrap w:val="0"/>
            <w:vAlign w:val="center"/>
          </w:tcPr>
          <w:p w14:paraId="53AD02AE">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both"/>
              <w:outlineLvl w:val="9"/>
              <w:rPr>
                <w:rFonts w:hint="eastAsia" w:ascii="宋体" w:hAnsi="宋体" w:eastAsia="宋体" w:cs="宋体"/>
                <w:color w:val="auto"/>
                <w:sz w:val="21"/>
                <w:szCs w:val="21"/>
                <w:highlight w:val="yellow"/>
                <w:lang w:val="en-US" w:eastAsia="zh-CN"/>
              </w:rPr>
            </w:pPr>
            <w:r>
              <w:rPr>
                <w:rFonts w:hint="eastAsia" w:ascii="宋体" w:hAnsi="宋体" w:eastAsia="宋体" w:cs="宋体"/>
                <w:color w:val="auto"/>
                <w:sz w:val="21"/>
                <w:szCs w:val="21"/>
                <w:highlight w:val="none"/>
                <w:lang w:val="en-US" w:eastAsia="zh-CN"/>
              </w:rPr>
              <w:t>回用水质满足《农村生活污水处理排放标准》</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DB65/4275-2019</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表2的</w:t>
            </w:r>
            <w:r>
              <w:rPr>
                <w:rFonts w:hint="eastAsia" w:ascii="宋体" w:hAnsi="宋体" w:cs="宋体"/>
                <w:color w:val="auto"/>
                <w:sz w:val="21"/>
                <w:szCs w:val="21"/>
                <w:highlight w:val="none"/>
                <w:lang w:val="en-US" w:eastAsia="zh-CN"/>
              </w:rPr>
              <w:t>B</w:t>
            </w:r>
            <w:r>
              <w:rPr>
                <w:rFonts w:hint="eastAsia" w:ascii="宋体" w:hAnsi="宋体" w:eastAsia="宋体" w:cs="宋体"/>
                <w:color w:val="auto"/>
                <w:sz w:val="21"/>
                <w:szCs w:val="21"/>
                <w:highlight w:val="none"/>
                <w:lang w:val="en-US" w:eastAsia="zh-CN"/>
              </w:rPr>
              <w:t>级标准。</w:t>
            </w:r>
          </w:p>
        </w:tc>
      </w:tr>
      <w:tr w14:paraId="166994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4" w:hRule="atLeast"/>
          <w:jc w:val="center"/>
        </w:trPr>
        <w:tc>
          <w:tcPr>
            <w:tcW w:w="782" w:type="dxa"/>
            <w:tcBorders>
              <w:tl2br w:val="nil"/>
              <w:tr2bl w:val="nil"/>
            </w:tcBorders>
            <w:noWrap w:val="0"/>
            <w:vAlign w:val="center"/>
          </w:tcPr>
          <w:p w14:paraId="52619C1E">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地下水及土壤环境</w:t>
            </w:r>
          </w:p>
        </w:tc>
        <w:tc>
          <w:tcPr>
            <w:tcW w:w="2359" w:type="dxa"/>
            <w:tcBorders>
              <w:tl2br w:val="nil"/>
              <w:tr2bl w:val="nil"/>
            </w:tcBorders>
            <w:noWrap w:val="0"/>
            <w:vAlign w:val="center"/>
          </w:tcPr>
          <w:p w14:paraId="529A2257">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982" w:type="dxa"/>
            <w:tcBorders>
              <w:tl2br w:val="nil"/>
              <w:tr2bl w:val="nil"/>
            </w:tcBorders>
            <w:noWrap w:val="0"/>
            <w:vAlign w:val="center"/>
          </w:tcPr>
          <w:p w14:paraId="21E7BB81">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2430" w:type="dxa"/>
            <w:tcBorders>
              <w:tl2br w:val="nil"/>
              <w:tr2bl w:val="nil"/>
            </w:tcBorders>
            <w:noWrap w:val="0"/>
            <w:vAlign w:val="center"/>
          </w:tcPr>
          <w:p w14:paraId="5A56CAB8">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both"/>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kern w:val="2"/>
                <w:sz w:val="21"/>
                <w:szCs w:val="21"/>
                <w:lang w:val="en-US" w:eastAsia="zh-CN" w:bidi="ar-SA"/>
              </w:rPr>
              <w:t>事故油池</w:t>
            </w:r>
            <w:r>
              <w:rPr>
                <w:rFonts w:hint="eastAsia" w:ascii="宋体" w:hAnsi="宋体" w:cs="宋体"/>
                <w:bCs/>
                <w:color w:val="auto"/>
                <w:kern w:val="2"/>
                <w:sz w:val="21"/>
                <w:szCs w:val="21"/>
                <w:lang w:val="en-US" w:eastAsia="zh-CN" w:bidi="ar-SA"/>
              </w:rPr>
              <w:t>、危废贮存点</w:t>
            </w:r>
            <w:r>
              <w:rPr>
                <w:rFonts w:hint="eastAsia" w:ascii="宋体" w:hAnsi="宋体" w:eastAsia="宋体" w:cs="宋体"/>
                <w:bCs/>
                <w:color w:val="auto"/>
                <w:kern w:val="2"/>
                <w:sz w:val="21"/>
                <w:szCs w:val="21"/>
                <w:lang w:val="en-US" w:eastAsia="zh-CN" w:bidi="ar-SA"/>
              </w:rPr>
              <w:t>基础必须</w:t>
            </w:r>
            <w:r>
              <w:rPr>
                <w:rFonts w:hint="eastAsia" w:ascii="宋体" w:hAnsi="宋体" w:cs="宋体"/>
                <w:bCs/>
                <w:color w:val="auto"/>
                <w:kern w:val="2"/>
                <w:sz w:val="21"/>
                <w:szCs w:val="21"/>
                <w:lang w:val="en-US" w:eastAsia="zh-CN" w:bidi="ar-SA"/>
              </w:rPr>
              <w:t>采取相应的</w:t>
            </w:r>
            <w:r>
              <w:rPr>
                <w:rFonts w:hint="eastAsia" w:ascii="宋体" w:hAnsi="宋体" w:eastAsia="宋体" w:cs="宋体"/>
                <w:bCs/>
                <w:color w:val="auto"/>
                <w:kern w:val="2"/>
                <w:sz w:val="21"/>
                <w:szCs w:val="21"/>
                <w:lang w:val="en-US" w:eastAsia="zh-CN" w:bidi="ar-SA"/>
              </w:rPr>
              <w:t>防渗</w:t>
            </w:r>
            <w:r>
              <w:rPr>
                <w:rFonts w:hint="eastAsia" w:ascii="宋体" w:hAnsi="宋体" w:cs="宋体"/>
                <w:bCs/>
                <w:color w:val="auto"/>
                <w:kern w:val="2"/>
                <w:sz w:val="21"/>
                <w:szCs w:val="21"/>
                <w:lang w:val="en-US" w:eastAsia="zh-CN" w:bidi="ar-SA"/>
              </w:rPr>
              <w:t>措施</w:t>
            </w:r>
            <w:r>
              <w:rPr>
                <w:rFonts w:hint="eastAsia" w:ascii="宋体" w:hAnsi="宋体" w:eastAsia="宋体" w:cs="宋体"/>
                <w:bCs/>
                <w:color w:val="auto"/>
                <w:spacing w:val="-6"/>
                <w:kern w:val="2"/>
                <w:sz w:val="21"/>
                <w:szCs w:val="21"/>
                <w:lang w:val="en-US" w:eastAsia="zh-CN" w:bidi="ar-SA"/>
              </w:rPr>
              <w:t>。</w:t>
            </w:r>
          </w:p>
        </w:tc>
        <w:tc>
          <w:tcPr>
            <w:tcW w:w="2370" w:type="dxa"/>
            <w:tcBorders>
              <w:tl2br w:val="nil"/>
              <w:tr2bl w:val="nil"/>
            </w:tcBorders>
            <w:noWrap w:val="0"/>
            <w:vAlign w:val="center"/>
          </w:tcPr>
          <w:p w14:paraId="24FAB9AD">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both"/>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rPr>
              <w:t>防渗层为至少1m厚</w:t>
            </w:r>
            <w:r>
              <w:rPr>
                <w:rFonts w:hint="eastAsia" w:ascii="宋体" w:hAnsi="宋体" w:cs="宋体"/>
                <w:color w:val="auto"/>
                <w:sz w:val="21"/>
                <w:szCs w:val="21"/>
                <w:lang w:val="en-US" w:eastAsia="zh-CN"/>
              </w:rPr>
              <w:t>黏土</w:t>
            </w:r>
            <w:r>
              <w:rPr>
                <w:rFonts w:hint="eastAsia" w:ascii="宋体" w:hAnsi="宋体" w:eastAsia="宋体" w:cs="宋体"/>
                <w:color w:val="auto"/>
                <w:sz w:val="21"/>
                <w:szCs w:val="21"/>
              </w:rPr>
              <w:t>层</w:t>
            </w:r>
            <w:r>
              <w:rPr>
                <w:rFonts w:hint="eastAsia" w:ascii="宋体" w:hAnsi="宋体" w:cs="宋体"/>
                <w:color w:val="auto"/>
                <w:sz w:val="21"/>
                <w:szCs w:val="21"/>
                <w:lang w:eastAsia="zh-CN"/>
              </w:rPr>
              <w:t>（</w:t>
            </w:r>
            <w:r>
              <w:rPr>
                <w:rFonts w:hint="eastAsia" w:ascii="宋体" w:hAnsi="宋体" w:eastAsia="宋体" w:cs="宋体"/>
                <w:color w:val="auto"/>
                <w:sz w:val="21"/>
                <w:szCs w:val="21"/>
              </w:rPr>
              <w:t>渗透系数≤10</w:t>
            </w:r>
            <w:r>
              <w:rPr>
                <w:rFonts w:hint="eastAsia" w:ascii="宋体" w:hAnsi="宋体" w:eastAsia="宋体" w:cs="宋体"/>
                <w:color w:val="auto"/>
                <w:sz w:val="21"/>
                <w:szCs w:val="21"/>
                <w:vertAlign w:val="superscript"/>
              </w:rPr>
              <w:t>-7</w:t>
            </w:r>
            <w:r>
              <w:rPr>
                <w:rFonts w:hint="eastAsia" w:ascii="宋体" w:hAnsi="宋体" w:eastAsia="宋体" w:cs="宋体"/>
                <w:color w:val="auto"/>
                <w:sz w:val="21"/>
                <w:szCs w:val="21"/>
              </w:rPr>
              <w:t>cm/s</w:t>
            </w:r>
            <w:r>
              <w:rPr>
                <w:rFonts w:hint="eastAsia" w:ascii="宋体" w:hAnsi="宋体" w:cs="宋体"/>
                <w:color w:val="auto"/>
                <w:sz w:val="21"/>
                <w:szCs w:val="21"/>
                <w:lang w:eastAsia="zh-CN"/>
              </w:rPr>
              <w:t>），</w:t>
            </w:r>
            <w:r>
              <w:rPr>
                <w:rFonts w:hint="eastAsia" w:ascii="宋体" w:hAnsi="宋体" w:eastAsia="宋体" w:cs="宋体"/>
                <w:color w:val="auto"/>
                <w:sz w:val="21"/>
                <w:szCs w:val="21"/>
              </w:rPr>
              <w:t>或2mm厚高密度聚乙烯，或至少2mm厚的</w:t>
            </w:r>
            <w:r>
              <w:rPr>
                <w:rFonts w:hint="eastAsia" w:ascii="宋体" w:hAnsi="宋体" w:cs="宋体"/>
                <w:color w:val="auto"/>
                <w:sz w:val="21"/>
                <w:szCs w:val="21"/>
                <w:lang w:eastAsia="zh-CN"/>
              </w:rPr>
              <w:t>其他人工</w:t>
            </w:r>
            <w:r>
              <w:rPr>
                <w:rFonts w:hint="eastAsia" w:ascii="宋体" w:hAnsi="宋体" w:eastAsia="宋体" w:cs="宋体"/>
                <w:color w:val="auto"/>
                <w:sz w:val="21"/>
                <w:szCs w:val="21"/>
              </w:rPr>
              <w:t>材料，渗透系数≤10</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vertAlign w:val="superscript"/>
                <w:lang w:val="en-US" w:eastAsia="zh-CN"/>
              </w:rPr>
              <w:t>10</w:t>
            </w:r>
            <w:r>
              <w:rPr>
                <w:rFonts w:hint="eastAsia" w:ascii="宋体" w:hAnsi="宋体" w:eastAsia="宋体" w:cs="宋体"/>
                <w:color w:val="auto"/>
                <w:sz w:val="21"/>
                <w:szCs w:val="21"/>
              </w:rPr>
              <w:t>cm/s。</w:t>
            </w:r>
          </w:p>
        </w:tc>
      </w:tr>
      <w:tr w14:paraId="72158A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782" w:type="dxa"/>
            <w:tcBorders>
              <w:tl2br w:val="nil"/>
              <w:tr2bl w:val="nil"/>
            </w:tcBorders>
            <w:noWrap w:val="0"/>
            <w:vAlign w:val="center"/>
          </w:tcPr>
          <w:p w14:paraId="402E2509">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声环境</w:t>
            </w:r>
          </w:p>
        </w:tc>
        <w:tc>
          <w:tcPr>
            <w:tcW w:w="2359" w:type="dxa"/>
            <w:tcBorders>
              <w:tl2br w:val="nil"/>
              <w:tr2bl w:val="nil"/>
            </w:tcBorders>
            <w:noWrap w:val="0"/>
            <w:vAlign w:val="center"/>
          </w:tcPr>
          <w:p w14:paraId="2D1C6BF9">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both"/>
              <w:outlineLvl w:val="9"/>
              <w:rPr>
                <w:rFonts w:hint="eastAsia" w:ascii="宋体" w:hAnsi="宋体" w:eastAsia="宋体" w:cs="宋体"/>
                <w:color w:val="auto"/>
                <w:sz w:val="21"/>
                <w:szCs w:val="21"/>
                <w:highlight w:val="yellow"/>
                <w:lang w:eastAsia="zh-CN"/>
              </w:rPr>
            </w:pPr>
            <w:r>
              <w:rPr>
                <w:rFonts w:hint="eastAsia" w:ascii="宋体" w:hAnsi="宋体" w:eastAsia="宋体" w:cs="宋体"/>
                <w:color w:val="auto"/>
                <w:sz w:val="21"/>
                <w:szCs w:val="21"/>
                <w:highlight w:val="none"/>
              </w:rPr>
              <w:t>采用低噪声设备，加强维护保养，严格操作规程，限制夜间施工</w:t>
            </w:r>
            <w:r>
              <w:rPr>
                <w:rFonts w:hint="eastAsia" w:ascii="宋体" w:hAnsi="宋体" w:eastAsia="宋体" w:cs="宋体"/>
                <w:color w:val="auto"/>
                <w:sz w:val="21"/>
                <w:szCs w:val="21"/>
                <w:highlight w:val="none"/>
                <w:lang w:eastAsia="zh-CN"/>
              </w:rPr>
              <w:t>。</w:t>
            </w:r>
          </w:p>
        </w:tc>
        <w:tc>
          <w:tcPr>
            <w:tcW w:w="982" w:type="dxa"/>
            <w:tcBorders>
              <w:tl2br w:val="nil"/>
              <w:tr2bl w:val="nil"/>
            </w:tcBorders>
            <w:noWrap w:val="0"/>
            <w:vAlign w:val="center"/>
          </w:tcPr>
          <w:p w14:paraId="1C42E415">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both"/>
              <w:outlineLvl w:val="9"/>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none"/>
              </w:rPr>
              <w:t>《建筑施工场界环境噪声排放标准》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GB12523-2011</w:t>
            </w:r>
            <w:r>
              <w:rPr>
                <w:rFonts w:hint="eastAsia" w:ascii="宋体" w:hAnsi="宋体" w:eastAsia="宋体" w:cs="宋体"/>
                <w:color w:val="auto"/>
                <w:sz w:val="21"/>
                <w:szCs w:val="21"/>
                <w:highlight w:val="none"/>
                <w:lang w:eastAsia="zh-CN"/>
              </w:rPr>
              <w:t>)。</w:t>
            </w:r>
          </w:p>
        </w:tc>
        <w:tc>
          <w:tcPr>
            <w:tcW w:w="2430" w:type="dxa"/>
            <w:tcBorders>
              <w:tl2br w:val="nil"/>
              <w:tr2bl w:val="nil"/>
            </w:tcBorders>
            <w:noWrap w:val="0"/>
            <w:vAlign w:val="center"/>
          </w:tcPr>
          <w:p w14:paraId="7327970E">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both"/>
              <w:outlineLvl w:val="9"/>
              <w:rPr>
                <w:rFonts w:hint="eastAsia" w:ascii="宋体" w:hAnsi="宋体" w:eastAsia="宋体" w:cs="宋体"/>
                <w:color w:val="auto"/>
                <w:sz w:val="21"/>
                <w:szCs w:val="21"/>
                <w:highlight w:val="yellow"/>
                <w:lang w:eastAsia="zh-CN"/>
              </w:rPr>
            </w:pPr>
            <w:r>
              <w:rPr>
                <w:rFonts w:hint="eastAsia" w:ascii="宋体" w:hAnsi="宋体" w:cs="宋体"/>
                <w:color w:val="auto"/>
                <w:sz w:val="21"/>
                <w:szCs w:val="21"/>
                <w:highlight w:val="none"/>
                <w:lang w:val="en-US" w:eastAsia="zh-CN"/>
              </w:rPr>
              <w:t>升压站首选低噪声主变，合理布局站内电气设备及配电装置，线路选用的导线质量应符合国家相关标准的要求。</w:t>
            </w:r>
          </w:p>
        </w:tc>
        <w:tc>
          <w:tcPr>
            <w:tcW w:w="2370" w:type="dxa"/>
            <w:tcBorders>
              <w:tl2br w:val="nil"/>
              <w:tr2bl w:val="nil"/>
            </w:tcBorders>
            <w:noWrap w:val="0"/>
            <w:vAlign w:val="center"/>
          </w:tcPr>
          <w:p w14:paraId="15E14E63">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《工业企业厂界环境噪声排放标准》(GB12348-2008)2类标准。线路沿线声环境满足《声环境质量标准》</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GB3096-2008</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中的</w:t>
            </w:r>
            <w:r>
              <w:rPr>
                <w:rFonts w:hint="eastAsia" w:ascii="宋体" w:hAnsi="宋体" w:cs="宋体"/>
                <w:color w:val="auto"/>
                <w:sz w:val="21"/>
                <w:szCs w:val="21"/>
                <w:highlight w:val="none"/>
                <w:lang w:val="en-US" w:eastAsia="zh-CN"/>
              </w:rPr>
              <w:t>相应</w:t>
            </w:r>
            <w:r>
              <w:rPr>
                <w:rFonts w:hint="eastAsia" w:ascii="宋体" w:hAnsi="宋体" w:eastAsia="宋体" w:cs="宋体"/>
                <w:color w:val="auto"/>
                <w:sz w:val="21"/>
                <w:szCs w:val="21"/>
                <w:highlight w:val="none"/>
              </w:rPr>
              <w:t>标准。</w:t>
            </w:r>
          </w:p>
        </w:tc>
      </w:tr>
      <w:tr w14:paraId="57E1CA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70" w:hRule="atLeast"/>
          <w:jc w:val="center"/>
        </w:trPr>
        <w:tc>
          <w:tcPr>
            <w:tcW w:w="782" w:type="dxa"/>
            <w:tcBorders>
              <w:tl2br w:val="nil"/>
              <w:tr2bl w:val="nil"/>
            </w:tcBorders>
            <w:noWrap w:val="0"/>
            <w:vAlign w:val="center"/>
          </w:tcPr>
          <w:p w14:paraId="1BEA4560">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振动</w:t>
            </w:r>
          </w:p>
        </w:tc>
        <w:tc>
          <w:tcPr>
            <w:tcW w:w="2359" w:type="dxa"/>
            <w:tcBorders>
              <w:tl2br w:val="nil"/>
              <w:tr2bl w:val="nil"/>
            </w:tcBorders>
            <w:noWrap w:val="0"/>
            <w:vAlign w:val="center"/>
          </w:tcPr>
          <w:p w14:paraId="08BF9C84">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982" w:type="dxa"/>
            <w:tcBorders>
              <w:tl2br w:val="nil"/>
              <w:tr2bl w:val="nil"/>
            </w:tcBorders>
            <w:noWrap w:val="0"/>
            <w:vAlign w:val="center"/>
          </w:tcPr>
          <w:p w14:paraId="1E269BE0">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430" w:type="dxa"/>
            <w:tcBorders>
              <w:tl2br w:val="nil"/>
              <w:tr2bl w:val="nil"/>
            </w:tcBorders>
            <w:noWrap w:val="0"/>
            <w:vAlign w:val="center"/>
          </w:tcPr>
          <w:p w14:paraId="41BEF780">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370" w:type="dxa"/>
            <w:tcBorders>
              <w:tl2br w:val="nil"/>
              <w:tr2bl w:val="nil"/>
            </w:tcBorders>
            <w:noWrap w:val="0"/>
            <w:vAlign w:val="center"/>
          </w:tcPr>
          <w:p w14:paraId="09257CD6">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r w14:paraId="395D9F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782" w:type="dxa"/>
            <w:tcBorders>
              <w:tl2br w:val="nil"/>
              <w:tr2bl w:val="nil"/>
            </w:tcBorders>
            <w:noWrap w:val="0"/>
            <w:vAlign w:val="center"/>
          </w:tcPr>
          <w:p w14:paraId="4A07B5BA">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大气环境</w:t>
            </w:r>
          </w:p>
        </w:tc>
        <w:tc>
          <w:tcPr>
            <w:tcW w:w="2359" w:type="dxa"/>
            <w:tcBorders>
              <w:tl2br w:val="nil"/>
              <w:tr2bl w:val="nil"/>
            </w:tcBorders>
            <w:noWrap w:val="0"/>
            <w:vAlign w:val="center"/>
          </w:tcPr>
          <w:p w14:paraId="61A7F2D4">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both"/>
              <w:outlineLvl w:val="9"/>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none"/>
              </w:rPr>
              <w:t>临时堆放土石方表面进行遮盖、四周进行围挡或定期对临时堆放土石方表面洒水。裸露地面</w:t>
            </w:r>
            <w:r>
              <w:rPr>
                <w:rFonts w:hint="eastAsia" w:ascii="宋体" w:hAnsi="宋体" w:cs="宋体"/>
                <w:color w:val="auto"/>
                <w:sz w:val="21"/>
                <w:szCs w:val="21"/>
                <w:highlight w:val="none"/>
                <w:lang w:eastAsia="zh-CN"/>
              </w:rPr>
              <w:t>应</w:t>
            </w:r>
            <w:r>
              <w:rPr>
                <w:rFonts w:hint="eastAsia" w:ascii="宋体" w:hAnsi="宋体" w:eastAsia="宋体" w:cs="宋体"/>
                <w:color w:val="auto"/>
                <w:sz w:val="21"/>
                <w:szCs w:val="21"/>
                <w:highlight w:val="none"/>
              </w:rPr>
              <w:t>覆盖防尘布或防尘网，定时定量洒水。车辆应加盖篷布或采取密闭运输方式。</w:t>
            </w:r>
          </w:p>
        </w:tc>
        <w:tc>
          <w:tcPr>
            <w:tcW w:w="982" w:type="dxa"/>
            <w:tcBorders>
              <w:tl2br w:val="nil"/>
              <w:tr2bl w:val="nil"/>
            </w:tcBorders>
            <w:noWrap w:val="0"/>
            <w:vAlign w:val="center"/>
          </w:tcPr>
          <w:p w14:paraId="07AEDE69">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both"/>
              <w:outlineLvl w:val="9"/>
              <w:rPr>
                <w:rFonts w:hint="eastAsia" w:ascii="宋体" w:hAnsi="宋体" w:eastAsia="宋体" w:cs="宋体"/>
                <w:color w:val="auto"/>
                <w:sz w:val="21"/>
                <w:szCs w:val="21"/>
                <w:highlight w:val="yellow"/>
                <w:lang w:val="en-US" w:eastAsia="zh-CN"/>
              </w:rPr>
            </w:pPr>
            <w:r>
              <w:rPr>
                <w:rFonts w:hint="eastAsia" w:ascii="宋体" w:hAnsi="宋体" w:eastAsia="宋体" w:cs="宋体"/>
                <w:color w:val="auto"/>
                <w:sz w:val="21"/>
                <w:szCs w:val="21"/>
                <w:highlight w:val="none"/>
              </w:rPr>
              <w:t>施工期扬尘防治措施有效落实</w:t>
            </w:r>
            <w:r>
              <w:rPr>
                <w:rFonts w:hint="eastAsia" w:ascii="宋体" w:hAnsi="宋体" w:eastAsia="宋体" w:cs="宋体"/>
                <w:color w:val="auto"/>
                <w:sz w:val="21"/>
                <w:szCs w:val="21"/>
                <w:highlight w:val="none"/>
                <w:lang w:eastAsia="zh-CN"/>
              </w:rPr>
              <w:t>。</w:t>
            </w:r>
          </w:p>
        </w:tc>
        <w:tc>
          <w:tcPr>
            <w:tcW w:w="2430" w:type="dxa"/>
            <w:tcBorders>
              <w:tl2br w:val="nil"/>
              <w:tr2bl w:val="nil"/>
            </w:tcBorders>
            <w:noWrap w:val="0"/>
            <w:vAlign w:val="center"/>
          </w:tcPr>
          <w:p w14:paraId="5171F05D">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leftChars="0" w:right="0" w:rightChars="0"/>
              <w:jc w:val="center"/>
              <w:outlineLvl w:val="9"/>
              <w:rPr>
                <w:rFonts w:hint="eastAsia" w:ascii="宋体" w:hAnsi="宋体" w:eastAsia="宋体" w:cs="宋体"/>
                <w:color w:val="auto"/>
                <w:sz w:val="21"/>
                <w:szCs w:val="21"/>
                <w:highlight w:val="yellow"/>
                <w:lang w:val="en-US" w:eastAsia="zh-CN"/>
              </w:rPr>
            </w:pPr>
            <w:r>
              <w:rPr>
                <w:rFonts w:hint="eastAsia" w:ascii="宋体" w:hAnsi="宋体" w:eastAsia="宋体" w:cs="宋体"/>
                <w:color w:val="auto"/>
                <w:sz w:val="21"/>
                <w:szCs w:val="21"/>
                <w:highlight w:val="none"/>
              </w:rPr>
              <w:t>/</w:t>
            </w:r>
          </w:p>
        </w:tc>
        <w:tc>
          <w:tcPr>
            <w:tcW w:w="2370" w:type="dxa"/>
            <w:tcBorders>
              <w:tl2br w:val="nil"/>
              <w:tr2bl w:val="nil"/>
            </w:tcBorders>
            <w:noWrap w:val="0"/>
            <w:vAlign w:val="center"/>
          </w:tcPr>
          <w:p w14:paraId="6DE41E4F">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leftChars="0" w:right="0" w:rightChars="0"/>
              <w:jc w:val="center"/>
              <w:outlineLvl w:val="9"/>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z w:val="21"/>
                <w:szCs w:val="21"/>
                <w:highlight w:val="none"/>
              </w:rPr>
              <w:t>/</w:t>
            </w:r>
          </w:p>
        </w:tc>
      </w:tr>
      <w:tr w14:paraId="5653A5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12" w:hRule="atLeast"/>
          <w:jc w:val="center"/>
        </w:trPr>
        <w:tc>
          <w:tcPr>
            <w:tcW w:w="782" w:type="dxa"/>
            <w:tcBorders>
              <w:tl2br w:val="nil"/>
              <w:tr2bl w:val="nil"/>
            </w:tcBorders>
            <w:noWrap w:val="0"/>
            <w:vAlign w:val="center"/>
          </w:tcPr>
          <w:p w14:paraId="0B08CE3B">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固体废物</w:t>
            </w:r>
          </w:p>
        </w:tc>
        <w:tc>
          <w:tcPr>
            <w:tcW w:w="2359" w:type="dxa"/>
            <w:tcBorders>
              <w:tl2br w:val="nil"/>
              <w:tr2bl w:val="nil"/>
            </w:tcBorders>
            <w:noWrap w:val="0"/>
            <w:vAlign w:val="center"/>
          </w:tcPr>
          <w:p w14:paraId="54645E06">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both"/>
              <w:outlineLvl w:val="9"/>
              <w:rPr>
                <w:rFonts w:hint="eastAsia" w:ascii="宋体" w:hAnsi="宋体" w:eastAsia="宋体" w:cs="宋体"/>
                <w:color w:val="auto"/>
                <w:sz w:val="21"/>
                <w:szCs w:val="21"/>
                <w:highlight w:val="none"/>
              </w:rPr>
            </w:pPr>
            <w:r>
              <w:rPr>
                <w:rFonts w:hint="default" w:ascii="Times New Roman" w:hAnsi="Times New Roman" w:eastAsia="宋体" w:cs="Times New Roman"/>
                <w:color w:val="auto"/>
                <w:sz w:val="21"/>
                <w:szCs w:val="21"/>
                <w:highlight w:val="none"/>
              </w:rPr>
              <w:t>生活垃圾</w:t>
            </w:r>
            <w:r>
              <w:rPr>
                <w:rFonts w:hint="eastAsia" w:ascii="Times New Roman" w:hAnsi="Times New Roman" w:cs="Times New Roman"/>
                <w:color w:val="auto"/>
                <w:sz w:val="21"/>
                <w:szCs w:val="21"/>
                <w:highlight w:val="none"/>
                <w:lang w:val="en-US" w:eastAsia="zh-CN"/>
              </w:rPr>
              <w:t>集中收集后委托环卫部门清运至鄯善县生活垃圾填埋场处置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施工土方</w:t>
            </w:r>
            <w:r>
              <w:rPr>
                <w:rFonts w:hint="eastAsia" w:ascii="Times New Roman" w:hAnsi="Times New Roman" w:cs="Times New Roman"/>
                <w:color w:val="auto"/>
                <w:sz w:val="21"/>
                <w:szCs w:val="21"/>
                <w:highlight w:val="none"/>
                <w:lang w:val="en-US" w:eastAsia="zh-CN"/>
              </w:rPr>
              <w:t>用于</w:t>
            </w:r>
            <w:r>
              <w:rPr>
                <w:rFonts w:hint="default" w:ascii="Times New Roman" w:hAnsi="Times New Roman" w:eastAsia="宋体" w:cs="Times New Roman"/>
                <w:color w:val="auto"/>
                <w:sz w:val="21"/>
                <w:szCs w:val="21"/>
                <w:highlight w:val="none"/>
              </w:rPr>
              <w:t>回填、护坡、平整及迹地恢复；可用包装袋统一回收、综合利用。</w:t>
            </w:r>
            <w:r>
              <w:rPr>
                <w:rFonts w:hint="default" w:ascii="Times New Roman" w:hAnsi="Times New Roman" w:eastAsia="宋体" w:cs="Times New Roman"/>
                <w:color w:val="auto"/>
                <w:sz w:val="21"/>
                <w:szCs w:val="21"/>
                <w:lang w:val="en-US" w:eastAsia="zh-CN"/>
              </w:rPr>
              <w:t>无法综合利用的建筑垃圾清运至当地环卫部门指定建筑垃圾填埋场。</w:t>
            </w:r>
          </w:p>
        </w:tc>
        <w:tc>
          <w:tcPr>
            <w:tcW w:w="982" w:type="dxa"/>
            <w:tcBorders>
              <w:tl2br w:val="nil"/>
              <w:tr2bl w:val="nil"/>
            </w:tcBorders>
            <w:noWrap w:val="0"/>
            <w:vAlign w:val="center"/>
          </w:tcPr>
          <w:p w14:paraId="03DBDFC2">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both"/>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施工现场无遗留固体废弃物</w:t>
            </w:r>
            <w:r>
              <w:rPr>
                <w:rFonts w:hint="eastAsia" w:ascii="宋体" w:hAnsi="宋体" w:eastAsia="宋体" w:cs="宋体"/>
                <w:color w:val="auto"/>
                <w:sz w:val="21"/>
                <w:szCs w:val="21"/>
                <w:highlight w:val="none"/>
                <w:lang w:eastAsia="zh-CN"/>
              </w:rPr>
              <w:t>。</w:t>
            </w:r>
          </w:p>
        </w:tc>
        <w:tc>
          <w:tcPr>
            <w:tcW w:w="2430" w:type="dxa"/>
            <w:tcBorders>
              <w:tl2br w:val="nil"/>
              <w:tr2bl w:val="nil"/>
            </w:tcBorders>
            <w:noWrap w:val="0"/>
            <w:vAlign w:val="center"/>
          </w:tcPr>
          <w:p w14:paraId="0921D495">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both"/>
              <w:outlineLvl w:val="9"/>
              <w:rPr>
                <w:rFonts w:hint="eastAsia" w:ascii="宋体" w:hAnsi="宋体" w:eastAsia="宋体" w:cs="宋体"/>
                <w:color w:val="auto"/>
                <w:sz w:val="21"/>
                <w:szCs w:val="21"/>
                <w:highlight w:val="yellow"/>
                <w:lang w:eastAsia="zh-CN"/>
              </w:rPr>
            </w:pPr>
            <w:r>
              <w:rPr>
                <w:rFonts w:hint="default" w:ascii="Times New Roman" w:hAnsi="Times New Roman" w:eastAsia="宋体" w:cs="Times New Roman"/>
                <w:color w:val="auto"/>
                <w:sz w:val="21"/>
                <w:szCs w:val="21"/>
                <w:highlight w:val="none"/>
                <w:lang w:val="en-US" w:eastAsia="zh-CN"/>
              </w:rPr>
              <w:t>报</w:t>
            </w:r>
            <w:r>
              <w:rPr>
                <w:rFonts w:hint="eastAsia" w:cs="Times New Roman"/>
                <w:color w:val="auto"/>
                <w:sz w:val="21"/>
                <w:szCs w:val="21"/>
                <w:highlight w:val="none"/>
                <w:lang w:val="en-US" w:eastAsia="zh-CN"/>
              </w:rPr>
              <w:t>废</w:t>
            </w:r>
            <w:r>
              <w:rPr>
                <w:rFonts w:hint="default" w:ascii="Times New Roman" w:hAnsi="Times New Roman" w:eastAsia="宋体" w:cs="Times New Roman"/>
                <w:color w:val="auto"/>
                <w:sz w:val="21"/>
                <w:szCs w:val="21"/>
                <w:highlight w:val="none"/>
              </w:rPr>
              <w:t>零部件集中收集后</w:t>
            </w:r>
            <w:r>
              <w:rPr>
                <w:rFonts w:hint="default" w:ascii="Times New Roman" w:hAnsi="Times New Roman" w:eastAsia="宋体" w:cs="Times New Roman"/>
                <w:color w:val="auto"/>
                <w:sz w:val="21"/>
                <w:szCs w:val="21"/>
                <w:highlight w:val="none"/>
                <w:lang w:val="en-US" w:eastAsia="zh-CN"/>
              </w:rPr>
              <w:t>由厂家回收处置，不在项目区储存</w:t>
            </w:r>
            <w:r>
              <w:rPr>
                <w:rFonts w:hint="default" w:ascii="Times New Roman" w:hAnsi="Times New Roman" w:cs="Times New Roman"/>
                <w:color w:val="auto"/>
                <w:sz w:val="21"/>
                <w:szCs w:val="21"/>
                <w:highlight w:val="none"/>
                <w:lang w:val="en-US" w:eastAsia="zh-CN"/>
              </w:rPr>
              <w:t>；主变发生</w:t>
            </w:r>
            <w:r>
              <w:rPr>
                <w:rFonts w:hint="default" w:ascii="Times New Roman" w:hAnsi="Times New Roman" w:cs="Times New Roman"/>
                <w:color w:val="auto"/>
                <w:sz w:val="21"/>
                <w:szCs w:val="21"/>
                <w:highlight w:val="none"/>
              </w:rPr>
              <w:t>事故时排放的废</w:t>
            </w:r>
            <w:r>
              <w:rPr>
                <w:rFonts w:hint="default" w:ascii="Times New Roman" w:hAnsi="Times New Roman" w:eastAsia="宋体" w:cs="Times New Roman"/>
                <w:color w:val="auto"/>
                <w:sz w:val="21"/>
                <w:szCs w:val="21"/>
                <w:highlight w:val="none"/>
              </w:rPr>
              <w:t>油</w:t>
            </w:r>
            <w:r>
              <w:rPr>
                <w:rFonts w:hint="default" w:ascii="Times New Roman" w:hAnsi="Times New Roman" w:eastAsia="宋体" w:cs="Times New Roman"/>
                <w:color w:val="auto"/>
                <w:sz w:val="21"/>
                <w:szCs w:val="21"/>
                <w:highlight w:val="none"/>
                <w:lang w:eastAsia="zh-CN"/>
              </w:rPr>
              <w:t>全部</w:t>
            </w:r>
            <w:r>
              <w:rPr>
                <w:rFonts w:hint="default" w:ascii="Times New Roman" w:hAnsi="Times New Roman" w:cs="Times New Roman"/>
                <w:color w:val="auto"/>
                <w:sz w:val="21"/>
                <w:szCs w:val="21"/>
                <w:highlight w:val="none"/>
                <w:lang w:val="en-US" w:eastAsia="zh-CN"/>
              </w:rPr>
              <w:t>排入</w:t>
            </w:r>
            <w:r>
              <w:rPr>
                <w:rFonts w:hint="default" w:ascii="Times New Roman" w:hAnsi="Times New Roman" w:eastAsia="宋体" w:cs="Times New Roman"/>
                <w:color w:val="auto"/>
                <w:sz w:val="21"/>
                <w:szCs w:val="21"/>
                <w:highlight w:val="none"/>
              </w:rPr>
              <w:t>事故油池</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容积</w:t>
            </w:r>
            <w:r>
              <w:rPr>
                <w:rFonts w:hint="eastAsia"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eastAsia" w:cs="Times New Roman"/>
                <w:color w:val="auto"/>
                <w:sz w:val="21"/>
                <w:szCs w:val="21"/>
                <w:highlight w:val="none"/>
                <w:vertAlign w:val="superscript"/>
                <w:lang w:val="en-US" w:eastAsia="zh-CN"/>
              </w:rPr>
              <w:t>）</w:t>
            </w:r>
            <w:r>
              <w:rPr>
                <w:rFonts w:hint="default" w:ascii="Times New Roman" w:hAnsi="Times New Roman" w:eastAsia="宋体" w:cs="Times New Roman"/>
                <w:color w:val="auto"/>
                <w:sz w:val="21"/>
                <w:szCs w:val="21"/>
                <w:highlight w:val="none"/>
              </w:rPr>
              <w:t>，</w:t>
            </w:r>
            <w:r>
              <w:rPr>
                <w:rFonts w:hint="eastAsia" w:ascii="宋体" w:hAnsi="宋体" w:cs="宋体"/>
                <w:color w:val="auto"/>
                <w:sz w:val="21"/>
                <w:szCs w:val="21"/>
                <w:lang w:val="en-US" w:eastAsia="zh-CN"/>
              </w:rPr>
              <w:t>事故废油、</w:t>
            </w:r>
            <w:r>
              <w:rPr>
                <w:rFonts w:hint="default" w:ascii="Times New Roman" w:hAnsi="Times New Roman" w:cs="Times New Roman"/>
                <w:color w:val="auto"/>
                <w:sz w:val="21"/>
                <w:szCs w:val="21"/>
                <w:highlight w:val="none"/>
                <w:lang w:val="en-US" w:eastAsia="zh-CN"/>
              </w:rPr>
              <w:t>废铅蓄电池</w:t>
            </w:r>
            <w:r>
              <w:rPr>
                <w:rFonts w:hint="default" w:ascii="Times New Roman" w:hAnsi="Times New Roman" w:cs="Times New Roman"/>
                <w:color w:val="auto"/>
                <w:sz w:val="21"/>
                <w:szCs w:val="21"/>
                <w:highlight w:val="none"/>
              </w:rPr>
              <w:t>暂存于</w:t>
            </w:r>
            <w:r>
              <w:rPr>
                <w:rFonts w:hint="default" w:ascii="Times New Roman" w:hAnsi="Times New Roman" w:eastAsia="宋体" w:cs="Times New Roman"/>
                <w:color w:val="auto"/>
                <w:sz w:val="21"/>
                <w:szCs w:val="21"/>
                <w:highlight w:val="none"/>
                <w:lang w:val="en-US" w:eastAsia="zh-CN"/>
              </w:rPr>
              <w:t>危废贮存点</w:t>
            </w:r>
            <w:r>
              <w:rPr>
                <w:rFonts w:hint="default" w:ascii="Times New Roman" w:hAnsi="Times New Roman" w:cs="Times New Roman"/>
                <w:color w:val="auto"/>
                <w:sz w:val="21"/>
                <w:szCs w:val="21"/>
                <w:highlight w:val="none"/>
              </w:rPr>
              <w:t>，委托有资质单位</w:t>
            </w:r>
            <w:r>
              <w:rPr>
                <w:rFonts w:hint="eastAsia" w:ascii="Times New Roman" w:hAnsi="Times New Roman" w:cs="Times New Roman"/>
                <w:color w:val="auto"/>
                <w:sz w:val="21"/>
                <w:szCs w:val="21"/>
                <w:highlight w:val="none"/>
                <w:lang w:val="en-US" w:eastAsia="zh-CN"/>
              </w:rPr>
              <w:t>处置</w:t>
            </w:r>
            <w:r>
              <w:rPr>
                <w:rFonts w:hint="default" w:ascii="Times New Roman" w:hAnsi="Times New Roman" w:cs="Times New Roman"/>
                <w:color w:val="auto"/>
                <w:sz w:val="21"/>
                <w:szCs w:val="21"/>
                <w:highlight w:val="none"/>
                <w:lang w:eastAsia="zh-CN"/>
              </w:rPr>
              <w:t>。</w:t>
            </w:r>
            <w:r>
              <w:rPr>
                <w:rFonts w:hint="eastAsia" w:cs="Times New Roman"/>
                <w:color w:val="auto"/>
                <w:sz w:val="21"/>
                <w:szCs w:val="21"/>
                <w:highlight w:val="none"/>
                <w:lang w:val="en-US" w:eastAsia="zh-CN"/>
              </w:rPr>
              <w:t>未分类收集的含油抹布和废手套与</w:t>
            </w:r>
            <w:r>
              <w:rPr>
                <w:rFonts w:hint="default" w:ascii="Times New Roman" w:hAnsi="Times New Roman" w:eastAsia="宋体" w:cs="Times New Roman"/>
                <w:color w:val="auto"/>
                <w:sz w:val="21"/>
                <w:szCs w:val="21"/>
                <w:highlight w:val="none"/>
              </w:rPr>
              <w:t>生活垃圾</w:t>
            </w:r>
            <w:r>
              <w:rPr>
                <w:rFonts w:hint="eastAsia" w:cs="Times New Roman"/>
                <w:color w:val="auto"/>
                <w:sz w:val="21"/>
                <w:szCs w:val="21"/>
                <w:highlight w:val="none"/>
                <w:lang w:val="en-US" w:eastAsia="zh-CN"/>
              </w:rPr>
              <w:t>一同</w:t>
            </w:r>
            <w:r>
              <w:rPr>
                <w:rFonts w:hint="eastAsia" w:ascii="Times New Roman" w:hAnsi="Times New Roman" w:cs="Times New Roman"/>
                <w:color w:val="auto"/>
                <w:sz w:val="21"/>
                <w:szCs w:val="21"/>
                <w:highlight w:val="none"/>
                <w:lang w:val="en-US" w:eastAsia="zh-CN"/>
              </w:rPr>
              <w:t>集中收集后委托环卫部门清运至鄯善县生活垃圾填埋场处置</w:t>
            </w:r>
            <w:r>
              <w:rPr>
                <w:rFonts w:hint="default" w:ascii="Times New Roman" w:hAnsi="Times New Roman" w:eastAsia="宋体" w:cs="Times New Roman"/>
                <w:color w:val="auto"/>
                <w:sz w:val="21"/>
                <w:szCs w:val="21"/>
                <w:highlight w:val="none"/>
                <w:lang w:eastAsia="zh-CN"/>
              </w:rPr>
              <w:t>。</w:t>
            </w:r>
          </w:p>
        </w:tc>
        <w:tc>
          <w:tcPr>
            <w:tcW w:w="2370" w:type="dxa"/>
            <w:tcBorders>
              <w:tl2br w:val="nil"/>
              <w:tr2bl w:val="nil"/>
            </w:tcBorders>
            <w:noWrap w:val="0"/>
            <w:vAlign w:val="center"/>
          </w:tcPr>
          <w:p w14:paraId="17AB1AA4">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both"/>
              <w:outlineLvl w:val="9"/>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none"/>
              </w:rPr>
              <w:t>各类固体废物能够妥善处置</w:t>
            </w:r>
            <w:r>
              <w:rPr>
                <w:rFonts w:hint="eastAsia" w:ascii="宋体" w:hAnsi="宋体" w:eastAsia="宋体" w:cs="宋体"/>
                <w:color w:val="auto"/>
                <w:sz w:val="21"/>
                <w:szCs w:val="21"/>
                <w:highlight w:val="none"/>
                <w:lang w:eastAsia="zh-CN"/>
              </w:rPr>
              <w:t>。</w:t>
            </w:r>
          </w:p>
        </w:tc>
      </w:tr>
      <w:tr w14:paraId="5DF2C7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2" w:type="dxa"/>
            <w:tcBorders>
              <w:tl2br w:val="nil"/>
              <w:tr2bl w:val="nil"/>
            </w:tcBorders>
            <w:noWrap w:val="0"/>
            <w:vAlign w:val="center"/>
          </w:tcPr>
          <w:p w14:paraId="79BD7BAE">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电磁环境</w:t>
            </w:r>
          </w:p>
        </w:tc>
        <w:tc>
          <w:tcPr>
            <w:tcW w:w="2359" w:type="dxa"/>
            <w:tcBorders>
              <w:tl2br w:val="nil"/>
              <w:tr2bl w:val="nil"/>
            </w:tcBorders>
            <w:noWrap w:val="0"/>
            <w:vAlign w:val="center"/>
          </w:tcPr>
          <w:p w14:paraId="49BD4CB1">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982" w:type="dxa"/>
            <w:tcBorders>
              <w:tl2br w:val="nil"/>
              <w:tr2bl w:val="nil"/>
            </w:tcBorders>
            <w:noWrap w:val="0"/>
            <w:vAlign w:val="center"/>
          </w:tcPr>
          <w:p w14:paraId="770408A0">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430" w:type="dxa"/>
            <w:tcBorders>
              <w:tl2br w:val="nil"/>
              <w:tr2bl w:val="nil"/>
            </w:tcBorders>
            <w:noWrap w:val="0"/>
            <w:vAlign w:val="center"/>
          </w:tcPr>
          <w:p w14:paraId="03A1DE2F">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理布局站内电气设备及配电装置。线路建成后，应加强输电线路防护距离宣传教育和督查工作，导线下方不得再建设房屋。做好警示和防护指示标志及环保标志的悬挂设立工作，禁止无关人员进入变电站或靠近带电架构。对员工进行电磁基础知识培训，在巡检带电维修过程中，尽可能减少曝露在电磁场中的时间。制定安全操作规程，加强职工安全教育，加强电磁水平监测</w:t>
            </w:r>
            <w:r>
              <w:rPr>
                <w:rFonts w:hint="eastAsia" w:ascii="宋体" w:hAnsi="宋体" w:eastAsia="宋体" w:cs="宋体"/>
                <w:color w:val="auto"/>
                <w:sz w:val="21"/>
                <w:szCs w:val="21"/>
                <w:highlight w:val="none"/>
                <w:lang w:eastAsia="zh-CN"/>
              </w:rPr>
              <w:t>。</w:t>
            </w:r>
          </w:p>
        </w:tc>
        <w:tc>
          <w:tcPr>
            <w:tcW w:w="2370" w:type="dxa"/>
            <w:tcBorders>
              <w:tl2br w:val="nil"/>
              <w:tr2bl w:val="nil"/>
            </w:tcBorders>
            <w:noWrap w:val="0"/>
            <w:vAlign w:val="center"/>
          </w:tcPr>
          <w:p w14:paraId="532EC469">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升压站及线路运行时产生的电磁满足《电磁环境控制限值》</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GB8702-2014</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要求。</w:t>
            </w:r>
          </w:p>
        </w:tc>
      </w:tr>
      <w:tr w14:paraId="3DC6BF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82" w:type="dxa"/>
            <w:tcBorders>
              <w:tl2br w:val="nil"/>
              <w:tr2bl w:val="nil"/>
            </w:tcBorders>
            <w:noWrap w:val="0"/>
            <w:vAlign w:val="center"/>
          </w:tcPr>
          <w:p w14:paraId="1C0C6342">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环境风险</w:t>
            </w:r>
          </w:p>
        </w:tc>
        <w:tc>
          <w:tcPr>
            <w:tcW w:w="2359" w:type="dxa"/>
            <w:tcBorders>
              <w:tl2br w:val="nil"/>
              <w:tr2bl w:val="nil"/>
            </w:tcBorders>
            <w:noWrap w:val="0"/>
            <w:vAlign w:val="center"/>
          </w:tcPr>
          <w:p w14:paraId="7DA83CB5">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982" w:type="dxa"/>
            <w:tcBorders>
              <w:tl2br w:val="nil"/>
              <w:tr2bl w:val="nil"/>
            </w:tcBorders>
            <w:noWrap w:val="0"/>
            <w:vAlign w:val="center"/>
          </w:tcPr>
          <w:p w14:paraId="5DA9DD7B">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430" w:type="dxa"/>
            <w:tcBorders>
              <w:tl2br w:val="nil"/>
              <w:tr2bl w:val="nil"/>
            </w:tcBorders>
            <w:noWrap w:val="0"/>
            <w:vAlign w:val="center"/>
          </w:tcPr>
          <w:p w14:paraId="624ABBCD">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both"/>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设置一座</w:t>
            </w:r>
            <w:r>
              <w:rPr>
                <w:rFonts w:hint="eastAsia" w:ascii="宋体" w:hAnsi="宋体" w:eastAsia="宋体" w:cs="宋体"/>
                <w:color w:val="auto"/>
                <w:sz w:val="21"/>
                <w:szCs w:val="21"/>
                <w:highlight w:val="none"/>
                <w:lang w:val="en-US" w:eastAsia="zh-CN"/>
              </w:rPr>
              <w:t>容积</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的</w:t>
            </w:r>
            <w:r>
              <w:rPr>
                <w:rFonts w:hint="eastAsia" w:ascii="宋体" w:hAnsi="宋体" w:eastAsia="宋体" w:cs="宋体"/>
                <w:color w:val="auto"/>
                <w:lang w:val="en-US" w:eastAsia="zh-CN"/>
              </w:rPr>
              <w:t>事故油池</w:t>
            </w:r>
            <w:r>
              <w:rPr>
                <w:rFonts w:hint="eastAsia" w:ascii="宋体" w:hAnsi="宋体" w:eastAsia="宋体" w:cs="宋体"/>
                <w:color w:val="auto"/>
                <w:sz w:val="21"/>
                <w:szCs w:val="21"/>
                <w:highlight w:val="none"/>
              </w:rPr>
              <w:t>，收集后的废变压器油交有资质单位处置</w:t>
            </w:r>
            <w:r>
              <w:rPr>
                <w:rFonts w:hint="eastAsia" w:ascii="宋体" w:hAnsi="宋体" w:eastAsia="宋体" w:cs="宋体"/>
                <w:color w:val="auto"/>
                <w:sz w:val="21"/>
                <w:szCs w:val="21"/>
                <w:highlight w:val="none"/>
                <w:lang w:eastAsia="zh-CN"/>
              </w:rPr>
              <w:t>。</w:t>
            </w:r>
          </w:p>
        </w:tc>
        <w:tc>
          <w:tcPr>
            <w:tcW w:w="2370" w:type="dxa"/>
            <w:tcBorders>
              <w:tl2br w:val="nil"/>
              <w:tr2bl w:val="nil"/>
            </w:tcBorders>
            <w:noWrap w:val="0"/>
            <w:vAlign w:val="center"/>
          </w:tcPr>
          <w:p w14:paraId="2CC425B8">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both"/>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事故油池容积满足事故排油需求</w:t>
            </w:r>
          </w:p>
        </w:tc>
      </w:tr>
      <w:tr w14:paraId="6565E0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782" w:type="dxa"/>
            <w:tcBorders>
              <w:tl2br w:val="nil"/>
              <w:tr2bl w:val="nil"/>
            </w:tcBorders>
            <w:noWrap w:val="0"/>
            <w:vAlign w:val="center"/>
          </w:tcPr>
          <w:p w14:paraId="0241A20E">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环境监测</w:t>
            </w:r>
          </w:p>
        </w:tc>
        <w:tc>
          <w:tcPr>
            <w:tcW w:w="2359" w:type="dxa"/>
            <w:tcBorders>
              <w:tl2br w:val="nil"/>
              <w:tr2bl w:val="nil"/>
            </w:tcBorders>
            <w:noWrap w:val="0"/>
            <w:vAlign w:val="center"/>
          </w:tcPr>
          <w:p w14:paraId="1686FDAB">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982" w:type="dxa"/>
            <w:tcBorders>
              <w:tl2br w:val="nil"/>
              <w:tr2bl w:val="nil"/>
            </w:tcBorders>
            <w:noWrap w:val="0"/>
            <w:vAlign w:val="center"/>
          </w:tcPr>
          <w:p w14:paraId="281DC8AC">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430" w:type="dxa"/>
            <w:tcBorders>
              <w:tl2br w:val="nil"/>
              <w:tr2bl w:val="nil"/>
            </w:tcBorders>
            <w:noWrap w:val="0"/>
            <w:vAlign w:val="center"/>
          </w:tcPr>
          <w:p w14:paraId="35A29AD2">
            <w:pPr>
              <w:keepNext w:val="0"/>
              <w:keepLines w:val="0"/>
              <w:suppressLineNumbers w:val="0"/>
              <w:adjustRightInd w:val="0"/>
              <w:snapToGrid w:val="0"/>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Cs w:val="21"/>
                <w:highlight w:val="none"/>
              </w:rPr>
              <w:t>按监测计划进行环境监测。</w:t>
            </w:r>
          </w:p>
        </w:tc>
        <w:tc>
          <w:tcPr>
            <w:tcW w:w="2370" w:type="dxa"/>
            <w:tcBorders>
              <w:tl2br w:val="nil"/>
              <w:tr2bl w:val="nil"/>
            </w:tcBorders>
            <w:noWrap w:val="0"/>
            <w:vAlign w:val="center"/>
          </w:tcPr>
          <w:p w14:paraId="165E0ADD">
            <w:pPr>
              <w:keepNext w:val="0"/>
              <w:keepLines w:val="0"/>
              <w:suppressLineNumbers w:val="0"/>
              <w:adjustRightInd w:val="0"/>
              <w:snapToGrid w:val="0"/>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cs="宋体"/>
                <w:color w:val="auto"/>
                <w:szCs w:val="21"/>
                <w:highlight w:val="none"/>
              </w:rPr>
              <w:t>确保电磁</w:t>
            </w:r>
            <w:r>
              <w:rPr>
                <w:rFonts w:hint="eastAsia" w:ascii="宋体" w:hAnsi="宋体" w:cs="宋体"/>
                <w:color w:val="auto"/>
                <w:szCs w:val="21"/>
                <w:highlight w:val="none"/>
                <w:lang w:val="en-US" w:eastAsia="zh-CN"/>
              </w:rPr>
              <w:t>环境</w:t>
            </w:r>
            <w:r>
              <w:rPr>
                <w:rFonts w:hint="eastAsia" w:ascii="宋体" w:hAnsi="宋体" w:cs="宋体"/>
                <w:color w:val="auto"/>
                <w:szCs w:val="21"/>
                <w:highlight w:val="none"/>
              </w:rPr>
              <w:t>和声</w:t>
            </w:r>
            <w:r>
              <w:rPr>
                <w:rFonts w:hint="eastAsia" w:ascii="宋体" w:hAnsi="宋体" w:cs="宋体"/>
                <w:color w:val="auto"/>
                <w:szCs w:val="21"/>
                <w:highlight w:val="none"/>
                <w:lang w:val="en-US" w:eastAsia="zh-CN"/>
              </w:rPr>
              <w:t>环境</w:t>
            </w:r>
            <w:r>
              <w:rPr>
                <w:rFonts w:hint="eastAsia" w:ascii="宋体" w:hAnsi="宋体" w:cs="宋体"/>
                <w:color w:val="auto"/>
                <w:szCs w:val="21"/>
                <w:highlight w:val="none"/>
              </w:rPr>
              <w:t>满足监测计划要求。</w:t>
            </w:r>
          </w:p>
        </w:tc>
      </w:tr>
      <w:tr w14:paraId="555676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82" w:type="dxa"/>
            <w:tcBorders>
              <w:tl2br w:val="nil"/>
              <w:tr2bl w:val="nil"/>
            </w:tcBorders>
            <w:noWrap w:val="0"/>
            <w:vAlign w:val="center"/>
          </w:tcPr>
          <w:p w14:paraId="2570CC08">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w:t>
            </w:r>
          </w:p>
        </w:tc>
        <w:tc>
          <w:tcPr>
            <w:tcW w:w="2359" w:type="dxa"/>
            <w:tcBorders>
              <w:tl2br w:val="nil"/>
              <w:tr2bl w:val="nil"/>
            </w:tcBorders>
            <w:noWrap w:val="0"/>
            <w:vAlign w:val="center"/>
          </w:tcPr>
          <w:p w14:paraId="48578344">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982" w:type="dxa"/>
            <w:tcBorders>
              <w:tl2br w:val="nil"/>
              <w:tr2bl w:val="nil"/>
            </w:tcBorders>
            <w:noWrap w:val="0"/>
            <w:vAlign w:val="center"/>
          </w:tcPr>
          <w:p w14:paraId="3B51CEC4">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430" w:type="dxa"/>
            <w:tcBorders>
              <w:tl2br w:val="nil"/>
              <w:tr2bl w:val="nil"/>
            </w:tcBorders>
            <w:noWrap w:val="0"/>
            <w:vAlign w:val="center"/>
          </w:tcPr>
          <w:p w14:paraId="17BBA7CE">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370" w:type="dxa"/>
            <w:tcBorders>
              <w:tl2br w:val="nil"/>
              <w:tr2bl w:val="nil"/>
            </w:tcBorders>
            <w:noWrap w:val="0"/>
            <w:vAlign w:val="center"/>
          </w:tcPr>
          <w:p w14:paraId="16D09500">
            <w:pPr>
              <w:keepNext w:val="0"/>
              <w:keepLines w:val="0"/>
              <w:pageBreakBefore w:val="0"/>
              <w:suppressLineNumbers w:val="0"/>
              <w:kinsoku/>
              <w:wordWrap w:val="0"/>
              <w:overflowPunct/>
              <w:topLinePunct/>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bl>
    <w:p w14:paraId="1135393C">
      <w:pPr>
        <w:pStyle w:val="29"/>
        <w:keepNext w:val="0"/>
        <w:keepLines w:val="0"/>
        <w:pageBreakBefore w:val="0"/>
        <w:widowControl/>
        <w:kinsoku/>
        <w:wordWrap/>
        <w:overflowPunct/>
        <w:topLinePunct w:val="0"/>
        <w:autoSpaceDE/>
        <w:autoSpaceDN/>
        <w:bidi w:val="0"/>
        <w:adjustRightInd/>
        <w:snapToGrid/>
        <w:spacing w:before="0" w:beforeAutospacing="0" w:after="0" w:afterAutospacing="0" w:line="15" w:lineRule="auto"/>
        <w:jc w:val="center"/>
        <w:textAlignment w:val="auto"/>
        <w:outlineLvl w:val="9"/>
        <w:rPr>
          <w:rFonts w:hint="eastAsia" w:ascii="宋体" w:hAnsi="宋体" w:eastAsia="宋体" w:cs="宋体"/>
          <w:snapToGrid w:val="0"/>
          <w:color w:val="0000FF"/>
          <w:sz w:val="30"/>
          <w:szCs w:val="30"/>
          <w:highlight w:val="none"/>
        </w:rPr>
      </w:pPr>
      <w:r>
        <w:rPr>
          <w:rFonts w:hint="eastAsia" w:ascii="宋体" w:hAnsi="宋体" w:eastAsia="宋体" w:cs="宋体"/>
          <w:snapToGrid w:val="0"/>
          <w:color w:val="0000FF"/>
          <w:sz w:val="30"/>
          <w:szCs w:val="30"/>
          <w:highlight w:val="none"/>
        </w:rPr>
        <w:br w:type="page"/>
      </w:r>
      <w:bookmarkStart w:id="91" w:name="_Toc15525"/>
      <w:bookmarkStart w:id="92" w:name="_Toc31431"/>
      <w:bookmarkStart w:id="93" w:name="_Toc31041"/>
      <w:bookmarkStart w:id="94" w:name="_Toc22946"/>
      <w:bookmarkStart w:id="95" w:name="_Toc13479"/>
      <w:bookmarkStart w:id="96" w:name="_Toc29201"/>
      <w:bookmarkStart w:id="97" w:name="_Toc3476"/>
      <w:bookmarkStart w:id="98" w:name="_Toc27313"/>
      <w:r>
        <w:rPr>
          <w:rFonts w:hint="eastAsia" w:ascii="宋体" w:hAnsi="宋体" w:eastAsia="宋体" w:cs="宋体"/>
          <w:b/>
          <w:bCs/>
          <w:snapToGrid w:val="0"/>
          <w:color w:val="auto"/>
          <w:sz w:val="30"/>
          <w:szCs w:val="30"/>
          <w:highlight w:val="none"/>
          <w:lang w:val="en-US" w:eastAsia="zh-CN"/>
        </w:rPr>
        <w:t>七、结论</w:t>
      </w:r>
      <w:bookmarkEnd w:id="91"/>
      <w:bookmarkEnd w:id="92"/>
      <w:bookmarkEnd w:id="93"/>
      <w:bookmarkEnd w:id="94"/>
      <w:bookmarkEnd w:id="95"/>
      <w:bookmarkEnd w:id="96"/>
      <w:bookmarkEnd w:id="97"/>
      <w:bookmarkEnd w:id="98"/>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14:paraId="40F993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349" w:hRule="atLeast"/>
          <w:jc w:val="center"/>
        </w:trPr>
        <w:tc>
          <w:tcPr>
            <w:tcW w:w="9289" w:type="dxa"/>
            <w:tcBorders>
              <w:tl2br w:val="nil"/>
              <w:tr2bl w:val="nil"/>
            </w:tcBorders>
            <w:noWrap w:val="0"/>
            <w:vAlign w:val="top"/>
          </w:tcPr>
          <w:p w14:paraId="2CF0AD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0000FF"/>
                <w:szCs w:val="21"/>
                <w:highlight w:val="none"/>
              </w:rPr>
            </w:pPr>
            <w:r>
              <w:rPr>
                <w:rFonts w:hint="eastAsia" w:ascii="宋体" w:hAnsi="宋体" w:eastAsia="宋体" w:cs="宋体"/>
                <w:color w:val="auto"/>
                <w:sz w:val="24"/>
                <w:highlight w:val="none"/>
                <w:lang w:eastAsia="zh-CN"/>
              </w:rPr>
              <w:t>本项目建设符合国家产业政策及相关规划要求，选址合理，项目周边无明显环境制约因素，符合</w:t>
            </w:r>
            <w:r>
              <w:rPr>
                <w:rFonts w:hint="eastAsia" w:ascii="宋体" w:hAnsi="宋体" w:eastAsia="宋体" w:cs="宋体"/>
                <w:color w:val="auto"/>
                <w:sz w:val="24"/>
                <w:highlight w:val="none"/>
                <w:lang w:val="en-US" w:eastAsia="zh-CN"/>
              </w:rPr>
              <w:t>本项目所在区域</w:t>
            </w:r>
            <w:r>
              <w:rPr>
                <w:rFonts w:hint="eastAsia" w:ascii="宋体" w:hAnsi="宋体" w:eastAsia="宋体" w:cs="宋体"/>
                <w:color w:val="auto"/>
                <w:sz w:val="24"/>
                <w:highlight w:val="none"/>
                <w:lang w:eastAsia="zh-CN"/>
              </w:rPr>
              <w:t>“</w:t>
            </w:r>
            <w:r>
              <w:rPr>
                <w:rFonts w:hint="eastAsia" w:ascii="宋体" w:hAnsi="宋体" w:cs="宋体"/>
                <w:color w:val="auto"/>
                <w:sz w:val="24"/>
                <w:highlight w:val="none"/>
                <w:lang w:val="en-US" w:eastAsia="zh-CN"/>
              </w:rPr>
              <w:t>生态环境分区管控</w:t>
            </w:r>
            <w:r>
              <w:rPr>
                <w:rFonts w:hint="eastAsia" w:ascii="宋体" w:hAnsi="宋体" w:eastAsia="宋体" w:cs="宋体"/>
                <w:color w:val="auto"/>
                <w:sz w:val="24"/>
                <w:highlight w:val="none"/>
                <w:lang w:eastAsia="zh-CN"/>
              </w:rPr>
              <w:t>”管控要求。</w:t>
            </w:r>
            <w:r>
              <w:rPr>
                <w:rFonts w:hint="eastAsia" w:ascii="宋体" w:hAnsi="宋体" w:eastAsia="宋体" w:cs="宋体"/>
                <w:color w:val="auto"/>
                <w:sz w:val="24"/>
                <w:highlight w:val="none"/>
              </w:rPr>
              <w:t>在严格落实本次环评提出的环保措施的前提下，施工期和运行期排放的各类污染物对区域环境影响不大，</w:t>
            </w:r>
            <w:r>
              <w:rPr>
                <w:rFonts w:hint="eastAsia" w:ascii="宋体" w:hAnsi="宋体" w:eastAsia="宋体" w:cs="宋体"/>
                <w:color w:val="auto"/>
                <w:sz w:val="24"/>
                <w:highlight w:val="none"/>
                <w:lang w:eastAsia="zh-CN"/>
              </w:rPr>
              <w:t>生态环境影响可接受</w:t>
            </w:r>
            <w:r>
              <w:rPr>
                <w:rFonts w:hint="eastAsia" w:ascii="宋体" w:hAnsi="宋体" w:eastAsia="宋体" w:cs="宋体"/>
                <w:color w:val="auto"/>
                <w:sz w:val="24"/>
                <w:highlight w:val="none"/>
              </w:rPr>
              <w:t>。因此，</w:t>
            </w:r>
            <w:r>
              <w:rPr>
                <w:rFonts w:hint="eastAsia" w:ascii="宋体" w:hAnsi="宋体" w:eastAsia="宋体" w:cs="宋体"/>
                <w:color w:val="auto"/>
                <w:sz w:val="24"/>
                <w:highlight w:val="none"/>
                <w:lang w:eastAsia="zh-CN"/>
              </w:rPr>
              <w:t>本项目</w:t>
            </w:r>
            <w:r>
              <w:rPr>
                <w:rFonts w:hint="eastAsia" w:ascii="宋体" w:hAnsi="宋体" w:eastAsia="宋体" w:cs="宋体"/>
                <w:color w:val="auto"/>
                <w:sz w:val="24"/>
                <w:highlight w:val="none"/>
              </w:rPr>
              <w:t>的建设从环保角度上分析是可行的。</w:t>
            </w:r>
          </w:p>
        </w:tc>
      </w:tr>
    </w:tbl>
    <w:p w14:paraId="18415487">
      <w:pPr>
        <w:rPr>
          <w:rFonts w:hint="eastAsia" w:ascii="宋体" w:hAnsi="宋体" w:eastAsia="宋体" w:cs="宋体"/>
          <w:color w:val="0000FF"/>
          <w:highlight w:val="none"/>
        </w:rPr>
      </w:pPr>
    </w:p>
    <w:p w14:paraId="6FB32E2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snapToGrid w:val="0"/>
          <w:color w:val="0000FF"/>
          <w:sz w:val="32"/>
          <w:szCs w:val="32"/>
          <w:highlight w:val="none"/>
        </w:rPr>
        <w:br w:type="page"/>
      </w:r>
      <w:r>
        <w:rPr>
          <w:rFonts w:hint="eastAsia" w:ascii="宋体" w:hAnsi="宋体" w:eastAsia="宋体" w:cs="宋体"/>
          <w:b/>
          <w:color w:val="auto"/>
          <w:sz w:val="28"/>
          <w:highlight w:val="none"/>
        </w:rPr>
        <w:t>附录：电磁环境影响专题评价</w:t>
      </w:r>
    </w:p>
    <w:p w14:paraId="70B037D2">
      <w:pPr>
        <w:pStyle w:val="21"/>
        <w:tabs>
          <w:tab w:val="right" w:leader="dot" w:pos="9026"/>
        </w:tabs>
        <w:jc w:val="center"/>
        <w:rPr>
          <w:rFonts w:hint="eastAsia" w:ascii="宋体" w:hAnsi="宋体" w:eastAsia="宋体" w:cs="宋体"/>
          <w:color w:val="0000FF"/>
          <w:sz w:val="24"/>
          <w:highlight w:val="none"/>
          <w:lang w:val="en-US" w:eastAsia="zh-CN"/>
        </w:rPr>
      </w:pPr>
      <w:r>
        <w:rPr>
          <w:rFonts w:hint="eastAsia" w:ascii="宋体" w:hAnsi="宋体" w:eastAsia="宋体" w:cs="宋体"/>
          <w:b/>
          <w:bCs/>
          <w:color w:val="auto"/>
          <w:sz w:val="28"/>
          <w:szCs w:val="28"/>
          <w:highlight w:val="none"/>
          <w:lang w:val="en-US" w:eastAsia="zh-CN"/>
        </w:rPr>
        <w:t>目录</w:t>
      </w:r>
      <w:r>
        <w:rPr>
          <w:rFonts w:hint="eastAsia" w:ascii="宋体" w:hAnsi="宋体" w:eastAsia="宋体" w:cs="宋体"/>
          <w:color w:val="0000FF"/>
          <w:sz w:val="24"/>
          <w:highlight w:val="none"/>
          <w:lang w:val="en-US" w:eastAsia="zh-CN"/>
        </w:rPr>
        <w:fldChar w:fldCharType="begin"/>
      </w:r>
      <w:r>
        <w:rPr>
          <w:rFonts w:hint="eastAsia" w:ascii="宋体" w:hAnsi="宋体" w:eastAsia="宋体" w:cs="宋体"/>
          <w:color w:val="0000FF"/>
          <w:sz w:val="24"/>
          <w:highlight w:val="none"/>
          <w:lang w:val="en-US" w:eastAsia="zh-CN"/>
        </w:rPr>
        <w:instrText xml:space="preserve">TOC \o "1-2" \h \u </w:instrText>
      </w:r>
      <w:r>
        <w:rPr>
          <w:rFonts w:hint="eastAsia" w:ascii="宋体" w:hAnsi="宋体" w:eastAsia="宋体" w:cs="宋体"/>
          <w:color w:val="0000FF"/>
          <w:sz w:val="24"/>
          <w:highlight w:val="none"/>
          <w:lang w:val="en-US" w:eastAsia="zh-CN"/>
        </w:rPr>
        <w:fldChar w:fldCharType="separate"/>
      </w:r>
    </w:p>
    <w:sdt>
      <w:sdtPr>
        <w:rPr>
          <w:rFonts w:ascii="宋体" w:hAnsi="宋体" w:eastAsia="宋体" w:cs="Times New Roman"/>
          <w:color w:val="0000FF"/>
          <w:kern w:val="2"/>
          <w:sz w:val="21"/>
          <w:szCs w:val="24"/>
          <w:lang w:val="en-US" w:eastAsia="zh-CN" w:bidi="ar-SA"/>
        </w:rPr>
        <w:id w:val="147471227"/>
        <w15:color w:val="DBDBDB"/>
        <w:docPartObj>
          <w:docPartGallery w:val="Table of Contents"/>
          <w:docPartUnique/>
        </w:docPartObj>
      </w:sdtPr>
      <w:sdtEndPr>
        <w:rPr>
          <w:rFonts w:hint="eastAsia" w:ascii="Times New Roman" w:hAnsi="Times New Roman" w:eastAsia="宋体" w:cs="Times New Roman"/>
          <w:b/>
          <w:color w:val="0000FF"/>
          <w:kern w:val="2"/>
          <w:sz w:val="21"/>
          <w:szCs w:val="24"/>
          <w:lang w:val="en-US" w:eastAsia="zh-CN" w:bidi="ar-SA"/>
        </w:rPr>
      </w:sdtEndPr>
      <w:sdtContent>
        <w:p w14:paraId="540CD35A">
          <w:pPr>
            <w:spacing w:before="0" w:beforeLines="0" w:after="0" w:afterLines="0" w:line="240" w:lineRule="auto"/>
            <w:ind w:left="0" w:leftChars="0" w:right="0" w:rightChars="0" w:firstLine="0" w:firstLineChars="0"/>
            <w:jc w:val="center"/>
            <w:rPr>
              <w:b/>
              <w:color w:val="0000FF"/>
            </w:rPr>
          </w:pPr>
          <w:r>
            <w:rPr>
              <w:rFonts w:hint="eastAsia"/>
              <w:color w:val="0000FF"/>
            </w:rPr>
            <w:fldChar w:fldCharType="begin"/>
          </w:r>
          <w:r>
            <w:rPr>
              <w:rFonts w:hint="eastAsia"/>
              <w:color w:val="0000FF"/>
            </w:rPr>
            <w:instrText xml:space="preserve">TOC \o "1-2" \h \u </w:instrText>
          </w:r>
          <w:r>
            <w:rPr>
              <w:rFonts w:hint="eastAsia"/>
              <w:color w:val="0000FF"/>
            </w:rPr>
            <w:fldChar w:fldCharType="separate"/>
          </w:r>
        </w:p>
        <w:p w14:paraId="71D687D2">
          <w:pPr>
            <w:pStyle w:val="105"/>
            <w:keepNext w:val="0"/>
            <w:keepLines w:val="0"/>
            <w:pageBreakBefore w:val="0"/>
            <w:widowControl/>
            <w:tabs>
              <w:tab w:val="right" w:leader="dot" w:pos="902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HYPERLINK \l _Toc32628 </w:instrText>
          </w:r>
          <w:r>
            <w:rPr>
              <w:rFonts w:hint="eastAsia" w:ascii="宋体" w:hAnsi="宋体" w:eastAsia="宋体" w:cs="宋体"/>
              <w:color w:val="0000FF"/>
              <w:sz w:val="24"/>
              <w:szCs w:val="24"/>
            </w:rPr>
            <w:fldChar w:fldCharType="separate"/>
          </w:r>
          <w:r>
            <w:rPr>
              <w:rFonts w:hint="eastAsia" w:ascii="宋体" w:hAnsi="宋体" w:eastAsia="宋体" w:cs="宋体"/>
              <w:color w:val="0000FF"/>
              <w:sz w:val="24"/>
              <w:szCs w:val="24"/>
              <w:highlight w:val="none"/>
            </w:rPr>
            <w:t>1总则</w:t>
          </w:r>
          <w:r>
            <w:rPr>
              <w:rFonts w:hint="eastAsia" w:ascii="宋体" w:hAnsi="宋体" w:eastAsia="宋体" w:cs="宋体"/>
              <w:color w:val="0000FF"/>
              <w:sz w:val="24"/>
              <w:szCs w:val="24"/>
            </w:rPr>
            <w:tab/>
          </w: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PAGEREF _Toc32628 \h </w:instrText>
          </w:r>
          <w:r>
            <w:rPr>
              <w:rFonts w:hint="eastAsia" w:ascii="宋体" w:hAnsi="宋体" w:eastAsia="宋体" w:cs="宋体"/>
              <w:color w:val="0000FF"/>
              <w:sz w:val="24"/>
              <w:szCs w:val="24"/>
            </w:rPr>
            <w:fldChar w:fldCharType="separate"/>
          </w:r>
          <w:r>
            <w:rPr>
              <w:rFonts w:hint="eastAsia" w:ascii="宋体" w:hAnsi="宋体" w:eastAsia="宋体" w:cs="宋体"/>
              <w:color w:val="0000FF"/>
              <w:sz w:val="24"/>
              <w:szCs w:val="24"/>
            </w:rPr>
            <w:t>64</w:t>
          </w:r>
          <w:r>
            <w:rPr>
              <w:rFonts w:hint="eastAsia" w:ascii="宋体" w:hAnsi="宋体" w:eastAsia="宋体" w:cs="宋体"/>
              <w:color w:val="0000FF"/>
              <w:sz w:val="24"/>
              <w:szCs w:val="24"/>
            </w:rPr>
            <w:fldChar w:fldCharType="end"/>
          </w:r>
          <w:r>
            <w:rPr>
              <w:rFonts w:hint="eastAsia" w:ascii="宋体" w:hAnsi="宋体" w:eastAsia="宋体" w:cs="宋体"/>
              <w:color w:val="0000FF"/>
              <w:sz w:val="24"/>
              <w:szCs w:val="24"/>
            </w:rPr>
            <w:fldChar w:fldCharType="end"/>
          </w:r>
        </w:p>
        <w:p w14:paraId="250D6C5E">
          <w:pPr>
            <w:pStyle w:val="105"/>
            <w:keepNext w:val="0"/>
            <w:keepLines w:val="0"/>
            <w:pageBreakBefore w:val="0"/>
            <w:widowControl/>
            <w:tabs>
              <w:tab w:val="right" w:leader="dot" w:pos="9026"/>
            </w:tabs>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HYPERLINK \l _Toc30928 </w:instrText>
          </w:r>
          <w:r>
            <w:rPr>
              <w:rFonts w:hint="eastAsia" w:ascii="宋体" w:hAnsi="宋体" w:eastAsia="宋体" w:cs="宋体"/>
              <w:color w:val="0000FF"/>
              <w:sz w:val="24"/>
              <w:szCs w:val="24"/>
            </w:rPr>
            <w:fldChar w:fldCharType="separate"/>
          </w:r>
          <w:r>
            <w:rPr>
              <w:rFonts w:hint="eastAsia" w:ascii="宋体" w:hAnsi="宋体" w:eastAsia="宋体" w:cs="宋体"/>
              <w:color w:val="0000FF"/>
              <w:sz w:val="24"/>
              <w:szCs w:val="24"/>
              <w:highlight w:val="none"/>
            </w:rPr>
            <w:t>1.1项目规模</w:t>
          </w:r>
          <w:r>
            <w:rPr>
              <w:rFonts w:hint="eastAsia" w:ascii="宋体" w:hAnsi="宋体" w:eastAsia="宋体" w:cs="宋体"/>
              <w:color w:val="0000FF"/>
              <w:sz w:val="24"/>
              <w:szCs w:val="24"/>
            </w:rPr>
            <w:tab/>
          </w: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PAGEREF _Toc30928 \h </w:instrText>
          </w:r>
          <w:r>
            <w:rPr>
              <w:rFonts w:hint="eastAsia" w:ascii="宋体" w:hAnsi="宋体" w:eastAsia="宋体" w:cs="宋体"/>
              <w:color w:val="0000FF"/>
              <w:sz w:val="24"/>
              <w:szCs w:val="24"/>
            </w:rPr>
            <w:fldChar w:fldCharType="separate"/>
          </w:r>
          <w:r>
            <w:rPr>
              <w:rFonts w:hint="eastAsia" w:ascii="宋体" w:hAnsi="宋体" w:eastAsia="宋体" w:cs="宋体"/>
              <w:color w:val="0000FF"/>
              <w:sz w:val="24"/>
              <w:szCs w:val="24"/>
            </w:rPr>
            <w:t>64</w:t>
          </w:r>
          <w:r>
            <w:rPr>
              <w:rFonts w:hint="eastAsia" w:ascii="宋体" w:hAnsi="宋体" w:eastAsia="宋体" w:cs="宋体"/>
              <w:color w:val="0000FF"/>
              <w:sz w:val="24"/>
              <w:szCs w:val="24"/>
            </w:rPr>
            <w:fldChar w:fldCharType="end"/>
          </w:r>
          <w:r>
            <w:rPr>
              <w:rFonts w:hint="eastAsia" w:ascii="宋体" w:hAnsi="宋体" w:eastAsia="宋体" w:cs="宋体"/>
              <w:color w:val="0000FF"/>
              <w:sz w:val="24"/>
              <w:szCs w:val="24"/>
            </w:rPr>
            <w:fldChar w:fldCharType="end"/>
          </w:r>
        </w:p>
        <w:p w14:paraId="77119EED">
          <w:pPr>
            <w:pStyle w:val="105"/>
            <w:keepNext w:val="0"/>
            <w:keepLines w:val="0"/>
            <w:pageBreakBefore w:val="0"/>
            <w:widowControl/>
            <w:tabs>
              <w:tab w:val="right" w:leader="dot" w:pos="9026"/>
            </w:tabs>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HYPERLINK \l _Toc1023 </w:instrText>
          </w:r>
          <w:r>
            <w:rPr>
              <w:rFonts w:hint="eastAsia" w:ascii="宋体" w:hAnsi="宋体" w:eastAsia="宋体" w:cs="宋体"/>
              <w:color w:val="0000FF"/>
              <w:sz w:val="24"/>
              <w:szCs w:val="24"/>
            </w:rPr>
            <w:fldChar w:fldCharType="separate"/>
          </w:r>
          <w:r>
            <w:rPr>
              <w:rFonts w:hint="eastAsia" w:ascii="宋体" w:hAnsi="宋体" w:eastAsia="宋体" w:cs="宋体"/>
              <w:color w:val="0000FF"/>
              <w:sz w:val="24"/>
              <w:szCs w:val="24"/>
              <w:highlight w:val="none"/>
            </w:rPr>
            <w:t>1.2评价目的</w:t>
          </w:r>
          <w:r>
            <w:rPr>
              <w:rFonts w:hint="eastAsia" w:ascii="宋体" w:hAnsi="宋体" w:eastAsia="宋体" w:cs="宋体"/>
              <w:color w:val="0000FF"/>
              <w:sz w:val="24"/>
              <w:szCs w:val="24"/>
            </w:rPr>
            <w:tab/>
          </w: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PAGEREF _Toc1023 \h </w:instrText>
          </w:r>
          <w:r>
            <w:rPr>
              <w:rFonts w:hint="eastAsia" w:ascii="宋体" w:hAnsi="宋体" w:eastAsia="宋体" w:cs="宋体"/>
              <w:color w:val="0000FF"/>
              <w:sz w:val="24"/>
              <w:szCs w:val="24"/>
            </w:rPr>
            <w:fldChar w:fldCharType="separate"/>
          </w:r>
          <w:r>
            <w:rPr>
              <w:rFonts w:hint="eastAsia" w:ascii="宋体" w:hAnsi="宋体" w:eastAsia="宋体" w:cs="宋体"/>
              <w:color w:val="0000FF"/>
              <w:sz w:val="24"/>
              <w:szCs w:val="24"/>
            </w:rPr>
            <w:t>64</w:t>
          </w:r>
          <w:r>
            <w:rPr>
              <w:rFonts w:hint="eastAsia" w:ascii="宋体" w:hAnsi="宋体" w:eastAsia="宋体" w:cs="宋体"/>
              <w:color w:val="0000FF"/>
              <w:sz w:val="24"/>
              <w:szCs w:val="24"/>
            </w:rPr>
            <w:fldChar w:fldCharType="end"/>
          </w:r>
          <w:r>
            <w:rPr>
              <w:rFonts w:hint="eastAsia" w:ascii="宋体" w:hAnsi="宋体" w:eastAsia="宋体" w:cs="宋体"/>
              <w:color w:val="0000FF"/>
              <w:sz w:val="24"/>
              <w:szCs w:val="24"/>
            </w:rPr>
            <w:fldChar w:fldCharType="end"/>
          </w:r>
        </w:p>
        <w:p w14:paraId="27DB1476">
          <w:pPr>
            <w:pStyle w:val="105"/>
            <w:keepNext w:val="0"/>
            <w:keepLines w:val="0"/>
            <w:pageBreakBefore w:val="0"/>
            <w:widowControl/>
            <w:tabs>
              <w:tab w:val="right" w:leader="dot" w:pos="9026"/>
            </w:tabs>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HYPERLINK \l _Toc21273 </w:instrText>
          </w:r>
          <w:r>
            <w:rPr>
              <w:rFonts w:hint="eastAsia" w:ascii="宋体" w:hAnsi="宋体" w:eastAsia="宋体" w:cs="宋体"/>
              <w:color w:val="0000FF"/>
              <w:sz w:val="24"/>
              <w:szCs w:val="24"/>
            </w:rPr>
            <w:fldChar w:fldCharType="separate"/>
          </w:r>
          <w:r>
            <w:rPr>
              <w:rFonts w:hint="eastAsia" w:ascii="宋体" w:hAnsi="宋体" w:eastAsia="宋体" w:cs="宋体"/>
              <w:color w:val="0000FF"/>
              <w:sz w:val="24"/>
              <w:szCs w:val="24"/>
            </w:rPr>
            <w:t>1.3评价依据</w:t>
          </w:r>
          <w:r>
            <w:rPr>
              <w:rFonts w:hint="eastAsia" w:ascii="宋体" w:hAnsi="宋体" w:eastAsia="宋体" w:cs="宋体"/>
              <w:color w:val="0000FF"/>
              <w:sz w:val="24"/>
              <w:szCs w:val="24"/>
            </w:rPr>
            <w:tab/>
          </w: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PAGEREF _Toc21273 \h </w:instrText>
          </w:r>
          <w:r>
            <w:rPr>
              <w:rFonts w:hint="eastAsia" w:ascii="宋体" w:hAnsi="宋体" w:eastAsia="宋体" w:cs="宋体"/>
              <w:color w:val="0000FF"/>
              <w:sz w:val="24"/>
              <w:szCs w:val="24"/>
            </w:rPr>
            <w:fldChar w:fldCharType="separate"/>
          </w:r>
          <w:r>
            <w:rPr>
              <w:rFonts w:hint="eastAsia" w:ascii="宋体" w:hAnsi="宋体" w:eastAsia="宋体" w:cs="宋体"/>
              <w:color w:val="0000FF"/>
              <w:sz w:val="24"/>
              <w:szCs w:val="24"/>
            </w:rPr>
            <w:t>64</w:t>
          </w:r>
          <w:r>
            <w:rPr>
              <w:rFonts w:hint="eastAsia" w:ascii="宋体" w:hAnsi="宋体" w:eastAsia="宋体" w:cs="宋体"/>
              <w:color w:val="0000FF"/>
              <w:sz w:val="24"/>
              <w:szCs w:val="24"/>
            </w:rPr>
            <w:fldChar w:fldCharType="end"/>
          </w:r>
          <w:r>
            <w:rPr>
              <w:rFonts w:hint="eastAsia" w:ascii="宋体" w:hAnsi="宋体" w:eastAsia="宋体" w:cs="宋体"/>
              <w:color w:val="0000FF"/>
              <w:sz w:val="24"/>
              <w:szCs w:val="24"/>
            </w:rPr>
            <w:fldChar w:fldCharType="end"/>
          </w:r>
        </w:p>
        <w:p w14:paraId="58D5A9C1">
          <w:pPr>
            <w:pStyle w:val="105"/>
            <w:keepNext w:val="0"/>
            <w:keepLines w:val="0"/>
            <w:pageBreakBefore w:val="0"/>
            <w:widowControl/>
            <w:tabs>
              <w:tab w:val="right" w:leader="dot" w:pos="9026"/>
            </w:tabs>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HYPERLINK \l _Toc20614 </w:instrText>
          </w:r>
          <w:r>
            <w:rPr>
              <w:rFonts w:hint="eastAsia" w:ascii="宋体" w:hAnsi="宋体" w:eastAsia="宋体" w:cs="宋体"/>
              <w:color w:val="0000FF"/>
              <w:sz w:val="24"/>
              <w:szCs w:val="24"/>
            </w:rPr>
            <w:fldChar w:fldCharType="separate"/>
          </w:r>
          <w:r>
            <w:rPr>
              <w:rFonts w:hint="eastAsia" w:ascii="宋体" w:hAnsi="宋体" w:eastAsia="宋体" w:cs="宋体"/>
              <w:color w:val="0000FF"/>
              <w:sz w:val="24"/>
              <w:szCs w:val="24"/>
            </w:rPr>
            <w:t>1.4评价因子、评价等级、评价范围、评价方法</w:t>
          </w:r>
          <w:r>
            <w:rPr>
              <w:rFonts w:hint="eastAsia" w:ascii="宋体" w:hAnsi="宋体" w:eastAsia="宋体" w:cs="宋体"/>
              <w:color w:val="0000FF"/>
              <w:sz w:val="24"/>
              <w:szCs w:val="24"/>
            </w:rPr>
            <w:tab/>
          </w: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PAGEREF _Toc20614 \h </w:instrText>
          </w:r>
          <w:r>
            <w:rPr>
              <w:rFonts w:hint="eastAsia" w:ascii="宋体" w:hAnsi="宋体" w:eastAsia="宋体" w:cs="宋体"/>
              <w:color w:val="0000FF"/>
              <w:sz w:val="24"/>
              <w:szCs w:val="24"/>
            </w:rPr>
            <w:fldChar w:fldCharType="separate"/>
          </w:r>
          <w:r>
            <w:rPr>
              <w:rFonts w:hint="eastAsia" w:ascii="宋体" w:hAnsi="宋体" w:eastAsia="宋体" w:cs="宋体"/>
              <w:color w:val="0000FF"/>
              <w:sz w:val="24"/>
              <w:szCs w:val="24"/>
            </w:rPr>
            <w:t>65</w:t>
          </w:r>
          <w:r>
            <w:rPr>
              <w:rFonts w:hint="eastAsia" w:ascii="宋体" w:hAnsi="宋体" w:eastAsia="宋体" w:cs="宋体"/>
              <w:color w:val="0000FF"/>
              <w:sz w:val="24"/>
              <w:szCs w:val="24"/>
            </w:rPr>
            <w:fldChar w:fldCharType="end"/>
          </w:r>
          <w:r>
            <w:rPr>
              <w:rFonts w:hint="eastAsia" w:ascii="宋体" w:hAnsi="宋体" w:eastAsia="宋体" w:cs="宋体"/>
              <w:color w:val="0000FF"/>
              <w:sz w:val="24"/>
              <w:szCs w:val="24"/>
            </w:rPr>
            <w:fldChar w:fldCharType="end"/>
          </w:r>
        </w:p>
        <w:p w14:paraId="4744AE09">
          <w:pPr>
            <w:pStyle w:val="105"/>
            <w:keepNext w:val="0"/>
            <w:keepLines w:val="0"/>
            <w:pageBreakBefore w:val="0"/>
            <w:widowControl/>
            <w:tabs>
              <w:tab w:val="right" w:leader="dot" w:pos="9026"/>
            </w:tabs>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HYPERLINK \l _Toc8706 </w:instrText>
          </w:r>
          <w:r>
            <w:rPr>
              <w:rFonts w:hint="eastAsia" w:ascii="宋体" w:hAnsi="宋体" w:eastAsia="宋体" w:cs="宋体"/>
              <w:color w:val="0000FF"/>
              <w:sz w:val="24"/>
              <w:szCs w:val="24"/>
            </w:rPr>
            <w:fldChar w:fldCharType="separate"/>
          </w:r>
          <w:r>
            <w:rPr>
              <w:rFonts w:hint="eastAsia" w:ascii="宋体" w:hAnsi="宋体" w:eastAsia="宋体" w:cs="宋体"/>
              <w:color w:val="0000FF"/>
              <w:sz w:val="24"/>
              <w:szCs w:val="24"/>
            </w:rPr>
            <w:t>1.5评价标准</w:t>
          </w:r>
          <w:r>
            <w:rPr>
              <w:rFonts w:hint="eastAsia" w:ascii="宋体" w:hAnsi="宋体" w:eastAsia="宋体" w:cs="宋体"/>
              <w:color w:val="0000FF"/>
              <w:sz w:val="24"/>
              <w:szCs w:val="24"/>
            </w:rPr>
            <w:tab/>
          </w: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PAGEREF _Toc8706 \h </w:instrText>
          </w:r>
          <w:r>
            <w:rPr>
              <w:rFonts w:hint="eastAsia" w:ascii="宋体" w:hAnsi="宋体" w:eastAsia="宋体" w:cs="宋体"/>
              <w:color w:val="0000FF"/>
              <w:sz w:val="24"/>
              <w:szCs w:val="24"/>
            </w:rPr>
            <w:fldChar w:fldCharType="separate"/>
          </w:r>
          <w:r>
            <w:rPr>
              <w:rFonts w:hint="eastAsia" w:ascii="宋体" w:hAnsi="宋体" w:eastAsia="宋体" w:cs="宋体"/>
              <w:color w:val="0000FF"/>
              <w:sz w:val="24"/>
              <w:szCs w:val="24"/>
            </w:rPr>
            <w:t>66</w:t>
          </w:r>
          <w:r>
            <w:rPr>
              <w:rFonts w:hint="eastAsia" w:ascii="宋体" w:hAnsi="宋体" w:eastAsia="宋体" w:cs="宋体"/>
              <w:color w:val="0000FF"/>
              <w:sz w:val="24"/>
              <w:szCs w:val="24"/>
            </w:rPr>
            <w:fldChar w:fldCharType="end"/>
          </w:r>
          <w:r>
            <w:rPr>
              <w:rFonts w:hint="eastAsia" w:ascii="宋体" w:hAnsi="宋体" w:eastAsia="宋体" w:cs="宋体"/>
              <w:color w:val="0000FF"/>
              <w:sz w:val="24"/>
              <w:szCs w:val="24"/>
            </w:rPr>
            <w:fldChar w:fldCharType="end"/>
          </w:r>
        </w:p>
        <w:p w14:paraId="3712D1BF">
          <w:pPr>
            <w:pStyle w:val="105"/>
            <w:keepNext w:val="0"/>
            <w:keepLines w:val="0"/>
            <w:pageBreakBefore w:val="0"/>
            <w:widowControl/>
            <w:tabs>
              <w:tab w:val="right" w:leader="dot" w:pos="9026"/>
            </w:tabs>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HYPERLINK \l _Toc29303 </w:instrText>
          </w:r>
          <w:r>
            <w:rPr>
              <w:rFonts w:hint="eastAsia" w:ascii="宋体" w:hAnsi="宋体" w:eastAsia="宋体" w:cs="宋体"/>
              <w:color w:val="0000FF"/>
              <w:sz w:val="24"/>
              <w:szCs w:val="24"/>
            </w:rPr>
            <w:fldChar w:fldCharType="separate"/>
          </w:r>
          <w:r>
            <w:rPr>
              <w:rFonts w:hint="eastAsia" w:ascii="宋体" w:hAnsi="宋体" w:eastAsia="宋体" w:cs="宋体"/>
              <w:color w:val="0000FF"/>
              <w:sz w:val="24"/>
              <w:szCs w:val="24"/>
            </w:rPr>
            <w:t>1.6环境保护目标</w:t>
          </w:r>
          <w:r>
            <w:rPr>
              <w:rFonts w:hint="eastAsia" w:ascii="宋体" w:hAnsi="宋体" w:eastAsia="宋体" w:cs="宋体"/>
              <w:color w:val="0000FF"/>
              <w:sz w:val="24"/>
              <w:szCs w:val="24"/>
            </w:rPr>
            <w:tab/>
          </w: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PAGEREF _Toc29303 \h </w:instrText>
          </w:r>
          <w:r>
            <w:rPr>
              <w:rFonts w:hint="eastAsia" w:ascii="宋体" w:hAnsi="宋体" w:eastAsia="宋体" w:cs="宋体"/>
              <w:color w:val="0000FF"/>
              <w:sz w:val="24"/>
              <w:szCs w:val="24"/>
            </w:rPr>
            <w:fldChar w:fldCharType="separate"/>
          </w:r>
          <w:r>
            <w:rPr>
              <w:rFonts w:hint="eastAsia" w:ascii="宋体" w:hAnsi="宋体" w:eastAsia="宋体" w:cs="宋体"/>
              <w:color w:val="0000FF"/>
              <w:sz w:val="24"/>
              <w:szCs w:val="24"/>
            </w:rPr>
            <w:t>66</w:t>
          </w:r>
          <w:r>
            <w:rPr>
              <w:rFonts w:hint="eastAsia" w:ascii="宋体" w:hAnsi="宋体" w:eastAsia="宋体" w:cs="宋体"/>
              <w:color w:val="0000FF"/>
              <w:sz w:val="24"/>
              <w:szCs w:val="24"/>
            </w:rPr>
            <w:fldChar w:fldCharType="end"/>
          </w:r>
          <w:r>
            <w:rPr>
              <w:rFonts w:hint="eastAsia" w:ascii="宋体" w:hAnsi="宋体" w:eastAsia="宋体" w:cs="宋体"/>
              <w:color w:val="0000FF"/>
              <w:sz w:val="24"/>
              <w:szCs w:val="24"/>
            </w:rPr>
            <w:fldChar w:fldCharType="end"/>
          </w:r>
        </w:p>
        <w:p w14:paraId="7DD751D7">
          <w:pPr>
            <w:pStyle w:val="105"/>
            <w:keepNext w:val="0"/>
            <w:keepLines w:val="0"/>
            <w:pageBreakBefore w:val="0"/>
            <w:widowControl/>
            <w:tabs>
              <w:tab w:val="right" w:leader="dot" w:pos="902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HYPERLINK \l _Toc3024 </w:instrText>
          </w:r>
          <w:r>
            <w:rPr>
              <w:rFonts w:hint="eastAsia" w:ascii="宋体" w:hAnsi="宋体" w:eastAsia="宋体" w:cs="宋体"/>
              <w:color w:val="0000FF"/>
              <w:sz w:val="24"/>
              <w:szCs w:val="24"/>
            </w:rPr>
            <w:fldChar w:fldCharType="separate"/>
          </w:r>
          <w:r>
            <w:rPr>
              <w:rFonts w:hint="eastAsia" w:ascii="宋体" w:hAnsi="宋体" w:eastAsia="宋体" w:cs="宋体"/>
              <w:color w:val="0000FF"/>
              <w:sz w:val="24"/>
              <w:szCs w:val="24"/>
            </w:rPr>
            <w:t>2电磁环境现状监测与评价</w:t>
          </w:r>
          <w:r>
            <w:rPr>
              <w:rFonts w:hint="eastAsia" w:ascii="宋体" w:hAnsi="宋体" w:eastAsia="宋体" w:cs="宋体"/>
              <w:color w:val="0000FF"/>
              <w:sz w:val="24"/>
              <w:szCs w:val="24"/>
            </w:rPr>
            <w:tab/>
          </w: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PAGEREF _Toc3024 \h </w:instrText>
          </w:r>
          <w:r>
            <w:rPr>
              <w:rFonts w:hint="eastAsia" w:ascii="宋体" w:hAnsi="宋体" w:eastAsia="宋体" w:cs="宋体"/>
              <w:color w:val="0000FF"/>
              <w:sz w:val="24"/>
              <w:szCs w:val="24"/>
            </w:rPr>
            <w:fldChar w:fldCharType="separate"/>
          </w:r>
          <w:r>
            <w:rPr>
              <w:rFonts w:hint="eastAsia" w:ascii="宋体" w:hAnsi="宋体" w:eastAsia="宋体" w:cs="宋体"/>
              <w:color w:val="0000FF"/>
              <w:sz w:val="24"/>
              <w:szCs w:val="24"/>
            </w:rPr>
            <w:t>67</w:t>
          </w:r>
          <w:r>
            <w:rPr>
              <w:rFonts w:hint="eastAsia" w:ascii="宋体" w:hAnsi="宋体" w:eastAsia="宋体" w:cs="宋体"/>
              <w:color w:val="0000FF"/>
              <w:sz w:val="24"/>
              <w:szCs w:val="24"/>
            </w:rPr>
            <w:fldChar w:fldCharType="end"/>
          </w:r>
          <w:r>
            <w:rPr>
              <w:rFonts w:hint="eastAsia" w:ascii="宋体" w:hAnsi="宋体" w:eastAsia="宋体" w:cs="宋体"/>
              <w:color w:val="0000FF"/>
              <w:sz w:val="24"/>
              <w:szCs w:val="24"/>
            </w:rPr>
            <w:fldChar w:fldCharType="end"/>
          </w:r>
        </w:p>
        <w:p w14:paraId="4D2B578A">
          <w:pPr>
            <w:pStyle w:val="105"/>
            <w:keepNext w:val="0"/>
            <w:keepLines w:val="0"/>
            <w:pageBreakBefore w:val="0"/>
            <w:widowControl/>
            <w:tabs>
              <w:tab w:val="right" w:leader="dot" w:pos="9026"/>
            </w:tabs>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HYPERLINK \l _Toc21320 </w:instrText>
          </w:r>
          <w:r>
            <w:rPr>
              <w:rFonts w:hint="eastAsia" w:ascii="宋体" w:hAnsi="宋体" w:eastAsia="宋体" w:cs="宋体"/>
              <w:color w:val="0000FF"/>
              <w:sz w:val="24"/>
              <w:szCs w:val="24"/>
            </w:rPr>
            <w:fldChar w:fldCharType="separate"/>
          </w:r>
          <w:r>
            <w:rPr>
              <w:rFonts w:hint="eastAsia" w:ascii="宋体" w:hAnsi="宋体" w:eastAsia="宋体" w:cs="宋体"/>
              <w:color w:val="0000FF"/>
              <w:sz w:val="24"/>
              <w:szCs w:val="24"/>
            </w:rPr>
            <w:t>2.1监测因子</w:t>
          </w:r>
          <w:r>
            <w:rPr>
              <w:rFonts w:hint="eastAsia" w:ascii="宋体" w:hAnsi="宋体" w:eastAsia="宋体" w:cs="宋体"/>
              <w:color w:val="0000FF"/>
              <w:sz w:val="24"/>
              <w:szCs w:val="24"/>
            </w:rPr>
            <w:tab/>
          </w: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PAGEREF _Toc21320 \h </w:instrText>
          </w:r>
          <w:r>
            <w:rPr>
              <w:rFonts w:hint="eastAsia" w:ascii="宋体" w:hAnsi="宋体" w:eastAsia="宋体" w:cs="宋体"/>
              <w:color w:val="0000FF"/>
              <w:sz w:val="24"/>
              <w:szCs w:val="24"/>
            </w:rPr>
            <w:fldChar w:fldCharType="separate"/>
          </w:r>
          <w:r>
            <w:rPr>
              <w:rFonts w:hint="eastAsia" w:ascii="宋体" w:hAnsi="宋体" w:eastAsia="宋体" w:cs="宋体"/>
              <w:color w:val="0000FF"/>
              <w:sz w:val="24"/>
              <w:szCs w:val="24"/>
            </w:rPr>
            <w:t>67</w:t>
          </w:r>
          <w:r>
            <w:rPr>
              <w:rFonts w:hint="eastAsia" w:ascii="宋体" w:hAnsi="宋体" w:eastAsia="宋体" w:cs="宋体"/>
              <w:color w:val="0000FF"/>
              <w:sz w:val="24"/>
              <w:szCs w:val="24"/>
            </w:rPr>
            <w:fldChar w:fldCharType="end"/>
          </w:r>
          <w:r>
            <w:rPr>
              <w:rFonts w:hint="eastAsia" w:ascii="宋体" w:hAnsi="宋体" w:eastAsia="宋体" w:cs="宋体"/>
              <w:color w:val="0000FF"/>
              <w:sz w:val="24"/>
              <w:szCs w:val="24"/>
            </w:rPr>
            <w:fldChar w:fldCharType="end"/>
          </w:r>
        </w:p>
        <w:p w14:paraId="0BCC6830">
          <w:pPr>
            <w:pStyle w:val="105"/>
            <w:keepNext w:val="0"/>
            <w:keepLines w:val="0"/>
            <w:pageBreakBefore w:val="0"/>
            <w:widowControl/>
            <w:tabs>
              <w:tab w:val="right" w:leader="dot" w:pos="9026"/>
            </w:tabs>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HYPERLINK \l _Toc26437 </w:instrText>
          </w:r>
          <w:r>
            <w:rPr>
              <w:rFonts w:hint="eastAsia" w:ascii="宋体" w:hAnsi="宋体" w:eastAsia="宋体" w:cs="宋体"/>
              <w:color w:val="0000FF"/>
              <w:sz w:val="24"/>
              <w:szCs w:val="24"/>
            </w:rPr>
            <w:fldChar w:fldCharType="separate"/>
          </w:r>
          <w:r>
            <w:rPr>
              <w:rFonts w:hint="eastAsia" w:ascii="宋体" w:hAnsi="宋体" w:eastAsia="宋体" w:cs="宋体"/>
              <w:color w:val="0000FF"/>
              <w:sz w:val="24"/>
              <w:szCs w:val="24"/>
            </w:rPr>
            <w:t>2.2监测方法及布点</w:t>
          </w:r>
          <w:r>
            <w:rPr>
              <w:rFonts w:hint="eastAsia" w:ascii="宋体" w:hAnsi="宋体" w:eastAsia="宋体" w:cs="宋体"/>
              <w:color w:val="0000FF"/>
              <w:sz w:val="24"/>
              <w:szCs w:val="24"/>
            </w:rPr>
            <w:tab/>
          </w: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PAGEREF _Toc26437 \h </w:instrText>
          </w:r>
          <w:r>
            <w:rPr>
              <w:rFonts w:hint="eastAsia" w:ascii="宋体" w:hAnsi="宋体" w:eastAsia="宋体" w:cs="宋体"/>
              <w:color w:val="0000FF"/>
              <w:sz w:val="24"/>
              <w:szCs w:val="24"/>
            </w:rPr>
            <w:fldChar w:fldCharType="separate"/>
          </w:r>
          <w:r>
            <w:rPr>
              <w:rFonts w:hint="eastAsia" w:ascii="宋体" w:hAnsi="宋体" w:eastAsia="宋体" w:cs="宋体"/>
              <w:color w:val="0000FF"/>
              <w:sz w:val="24"/>
              <w:szCs w:val="24"/>
            </w:rPr>
            <w:t>67</w:t>
          </w:r>
          <w:r>
            <w:rPr>
              <w:rFonts w:hint="eastAsia" w:ascii="宋体" w:hAnsi="宋体" w:eastAsia="宋体" w:cs="宋体"/>
              <w:color w:val="0000FF"/>
              <w:sz w:val="24"/>
              <w:szCs w:val="24"/>
            </w:rPr>
            <w:fldChar w:fldCharType="end"/>
          </w:r>
          <w:r>
            <w:rPr>
              <w:rFonts w:hint="eastAsia" w:ascii="宋体" w:hAnsi="宋体" w:eastAsia="宋体" w:cs="宋体"/>
              <w:color w:val="0000FF"/>
              <w:sz w:val="24"/>
              <w:szCs w:val="24"/>
            </w:rPr>
            <w:fldChar w:fldCharType="end"/>
          </w:r>
        </w:p>
        <w:p w14:paraId="1F0B5F48">
          <w:pPr>
            <w:pStyle w:val="105"/>
            <w:keepNext w:val="0"/>
            <w:keepLines w:val="0"/>
            <w:pageBreakBefore w:val="0"/>
            <w:widowControl/>
            <w:tabs>
              <w:tab w:val="right" w:leader="dot" w:pos="9026"/>
            </w:tabs>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HYPERLINK \l _Toc15702 </w:instrText>
          </w:r>
          <w:r>
            <w:rPr>
              <w:rFonts w:hint="eastAsia" w:ascii="宋体" w:hAnsi="宋体" w:eastAsia="宋体" w:cs="宋体"/>
              <w:color w:val="0000FF"/>
              <w:sz w:val="24"/>
              <w:szCs w:val="24"/>
            </w:rPr>
            <w:fldChar w:fldCharType="separate"/>
          </w:r>
          <w:r>
            <w:rPr>
              <w:rFonts w:hint="eastAsia" w:ascii="宋体" w:hAnsi="宋体" w:eastAsia="宋体" w:cs="宋体"/>
              <w:color w:val="0000FF"/>
              <w:sz w:val="24"/>
              <w:szCs w:val="24"/>
              <w:highlight w:val="none"/>
            </w:rPr>
            <w:t>2.3监测单位及监测时间</w:t>
          </w:r>
          <w:r>
            <w:rPr>
              <w:rFonts w:hint="eastAsia" w:ascii="宋体" w:hAnsi="宋体" w:eastAsia="宋体" w:cs="宋体"/>
              <w:color w:val="0000FF"/>
              <w:sz w:val="24"/>
              <w:szCs w:val="24"/>
            </w:rPr>
            <w:tab/>
          </w: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PAGEREF _Toc15702 \h </w:instrText>
          </w:r>
          <w:r>
            <w:rPr>
              <w:rFonts w:hint="eastAsia" w:ascii="宋体" w:hAnsi="宋体" w:eastAsia="宋体" w:cs="宋体"/>
              <w:color w:val="0000FF"/>
              <w:sz w:val="24"/>
              <w:szCs w:val="24"/>
            </w:rPr>
            <w:fldChar w:fldCharType="separate"/>
          </w:r>
          <w:r>
            <w:rPr>
              <w:rFonts w:hint="eastAsia" w:ascii="宋体" w:hAnsi="宋体" w:eastAsia="宋体" w:cs="宋体"/>
              <w:color w:val="0000FF"/>
              <w:sz w:val="24"/>
              <w:szCs w:val="24"/>
            </w:rPr>
            <w:t>67</w:t>
          </w:r>
          <w:r>
            <w:rPr>
              <w:rFonts w:hint="eastAsia" w:ascii="宋体" w:hAnsi="宋体" w:eastAsia="宋体" w:cs="宋体"/>
              <w:color w:val="0000FF"/>
              <w:sz w:val="24"/>
              <w:szCs w:val="24"/>
            </w:rPr>
            <w:fldChar w:fldCharType="end"/>
          </w:r>
          <w:r>
            <w:rPr>
              <w:rFonts w:hint="eastAsia" w:ascii="宋体" w:hAnsi="宋体" w:eastAsia="宋体" w:cs="宋体"/>
              <w:color w:val="0000FF"/>
              <w:sz w:val="24"/>
              <w:szCs w:val="24"/>
            </w:rPr>
            <w:fldChar w:fldCharType="end"/>
          </w:r>
        </w:p>
        <w:p w14:paraId="443ED7DD">
          <w:pPr>
            <w:pStyle w:val="105"/>
            <w:keepNext w:val="0"/>
            <w:keepLines w:val="0"/>
            <w:pageBreakBefore w:val="0"/>
            <w:widowControl/>
            <w:tabs>
              <w:tab w:val="right" w:leader="dot" w:pos="9026"/>
            </w:tabs>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HYPERLINK \l _Toc20856 </w:instrText>
          </w:r>
          <w:r>
            <w:rPr>
              <w:rFonts w:hint="eastAsia" w:ascii="宋体" w:hAnsi="宋体" w:eastAsia="宋体" w:cs="宋体"/>
              <w:color w:val="0000FF"/>
              <w:sz w:val="24"/>
              <w:szCs w:val="24"/>
            </w:rPr>
            <w:fldChar w:fldCharType="separate"/>
          </w:r>
          <w:r>
            <w:rPr>
              <w:rFonts w:hint="eastAsia" w:ascii="宋体" w:hAnsi="宋体" w:eastAsia="宋体" w:cs="宋体"/>
              <w:color w:val="0000FF"/>
              <w:sz w:val="24"/>
              <w:szCs w:val="24"/>
            </w:rPr>
            <w:t>2.4监测仪器、监测条件</w:t>
          </w:r>
          <w:r>
            <w:rPr>
              <w:rFonts w:hint="eastAsia" w:ascii="宋体" w:hAnsi="宋体" w:eastAsia="宋体" w:cs="宋体"/>
              <w:color w:val="0000FF"/>
              <w:sz w:val="24"/>
              <w:szCs w:val="24"/>
            </w:rPr>
            <w:tab/>
          </w: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PAGEREF _Toc20856 \h </w:instrText>
          </w:r>
          <w:r>
            <w:rPr>
              <w:rFonts w:hint="eastAsia" w:ascii="宋体" w:hAnsi="宋体" w:eastAsia="宋体" w:cs="宋体"/>
              <w:color w:val="0000FF"/>
              <w:sz w:val="24"/>
              <w:szCs w:val="24"/>
            </w:rPr>
            <w:fldChar w:fldCharType="separate"/>
          </w:r>
          <w:r>
            <w:rPr>
              <w:rFonts w:hint="eastAsia" w:ascii="宋体" w:hAnsi="宋体" w:eastAsia="宋体" w:cs="宋体"/>
              <w:color w:val="0000FF"/>
              <w:sz w:val="24"/>
              <w:szCs w:val="24"/>
            </w:rPr>
            <w:t>67</w:t>
          </w:r>
          <w:r>
            <w:rPr>
              <w:rFonts w:hint="eastAsia" w:ascii="宋体" w:hAnsi="宋体" w:eastAsia="宋体" w:cs="宋体"/>
              <w:color w:val="0000FF"/>
              <w:sz w:val="24"/>
              <w:szCs w:val="24"/>
            </w:rPr>
            <w:fldChar w:fldCharType="end"/>
          </w:r>
          <w:r>
            <w:rPr>
              <w:rFonts w:hint="eastAsia" w:ascii="宋体" w:hAnsi="宋体" w:eastAsia="宋体" w:cs="宋体"/>
              <w:color w:val="0000FF"/>
              <w:sz w:val="24"/>
              <w:szCs w:val="24"/>
            </w:rPr>
            <w:fldChar w:fldCharType="end"/>
          </w:r>
        </w:p>
        <w:p w14:paraId="2DFFD74A">
          <w:pPr>
            <w:pStyle w:val="105"/>
            <w:keepNext w:val="0"/>
            <w:keepLines w:val="0"/>
            <w:pageBreakBefore w:val="0"/>
            <w:widowControl/>
            <w:tabs>
              <w:tab w:val="right" w:leader="dot" w:pos="9026"/>
            </w:tabs>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HYPERLINK \l _Toc11456 </w:instrText>
          </w:r>
          <w:r>
            <w:rPr>
              <w:rFonts w:hint="eastAsia" w:ascii="宋体" w:hAnsi="宋体" w:eastAsia="宋体" w:cs="宋体"/>
              <w:color w:val="0000FF"/>
              <w:sz w:val="24"/>
              <w:szCs w:val="24"/>
            </w:rPr>
            <w:fldChar w:fldCharType="separate"/>
          </w:r>
          <w:r>
            <w:rPr>
              <w:rFonts w:hint="eastAsia" w:ascii="宋体" w:hAnsi="宋体" w:eastAsia="宋体" w:cs="宋体"/>
              <w:color w:val="0000FF"/>
              <w:sz w:val="24"/>
              <w:szCs w:val="24"/>
            </w:rPr>
            <w:t>2.5监测结果</w:t>
          </w:r>
          <w:r>
            <w:rPr>
              <w:rFonts w:hint="eastAsia" w:ascii="宋体" w:hAnsi="宋体" w:eastAsia="宋体" w:cs="宋体"/>
              <w:color w:val="0000FF"/>
              <w:sz w:val="24"/>
              <w:szCs w:val="24"/>
            </w:rPr>
            <w:tab/>
          </w: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PAGEREF _Toc11456 \h </w:instrText>
          </w:r>
          <w:r>
            <w:rPr>
              <w:rFonts w:hint="eastAsia" w:ascii="宋体" w:hAnsi="宋体" w:eastAsia="宋体" w:cs="宋体"/>
              <w:color w:val="0000FF"/>
              <w:sz w:val="24"/>
              <w:szCs w:val="24"/>
            </w:rPr>
            <w:fldChar w:fldCharType="separate"/>
          </w:r>
          <w:r>
            <w:rPr>
              <w:rFonts w:hint="eastAsia" w:ascii="宋体" w:hAnsi="宋体" w:eastAsia="宋体" w:cs="宋体"/>
              <w:color w:val="0000FF"/>
              <w:sz w:val="24"/>
              <w:szCs w:val="24"/>
            </w:rPr>
            <w:t>67</w:t>
          </w:r>
          <w:r>
            <w:rPr>
              <w:rFonts w:hint="eastAsia" w:ascii="宋体" w:hAnsi="宋体" w:eastAsia="宋体" w:cs="宋体"/>
              <w:color w:val="0000FF"/>
              <w:sz w:val="24"/>
              <w:szCs w:val="24"/>
            </w:rPr>
            <w:fldChar w:fldCharType="end"/>
          </w:r>
          <w:r>
            <w:rPr>
              <w:rFonts w:hint="eastAsia" w:ascii="宋体" w:hAnsi="宋体" w:eastAsia="宋体" w:cs="宋体"/>
              <w:color w:val="0000FF"/>
              <w:sz w:val="24"/>
              <w:szCs w:val="24"/>
            </w:rPr>
            <w:fldChar w:fldCharType="end"/>
          </w:r>
        </w:p>
        <w:p w14:paraId="5BB32868">
          <w:pPr>
            <w:pStyle w:val="105"/>
            <w:keepNext w:val="0"/>
            <w:keepLines w:val="0"/>
            <w:pageBreakBefore w:val="0"/>
            <w:widowControl/>
            <w:tabs>
              <w:tab w:val="right" w:leader="dot" w:pos="902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HYPERLINK \l _Toc982 </w:instrText>
          </w:r>
          <w:r>
            <w:rPr>
              <w:rFonts w:hint="eastAsia" w:ascii="宋体" w:hAnsi="宋体" w:eastAsia="宋体" w:cs="宋体"/>
              <w:color w:val="0000FF"/>
              <w:sz w:val="24"/>
              <w:szCs w:val="24"/>
            </w:rPr>
            <w:fldChar w:fldCharType="separate"/>
          </w:r>
          <w:r>
            <w:rPr>
              <w:rFonts w:hint="eastAsia" w:ascii="宋体" w:hAnsi="宋体" w:eastAsia="宋体" w:cs="宋体"/>
              <w:bCs/>
              <w:color w:val="0000FF"/>
              <w:kern w:val="44"/>
              <w:sz w:val="24"/>
              <w:szCs w:val="24"/>
              <w:lang w:val="en-US" w:eastAsia="zh-CN" w:bidi="ar-SA"/>
            </w:rPr>
            <w:t>3电磁环境影响预测分析</w:t>
          </w:r>
          <w:r>
            <w:rPr>
              <w:rFonts w:hint="eastAsia" w:ascii="宋体" w:hAnsi="宋体" w:eastAsia="宋体" w:cs="宋体"/>
              <w:color w:val="0000FF"/>
              <w:sz w:val="24"/>
              <w:szCs w:val="24"/>
            </w:rPr>
            <w:tab/>
          </w: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PAGEREF _Toc982 \h </w:instrText>
          </w:r>
          <w:r>
            <w:rPr>
              <w:rFonts w:hint="eastAsia" w:ascii="宋体" w:hAnsi="宋体" w:eastAsia="宋体" w:cs="宋体"/>
              <w:color w:val="0000FF"/>
              <w:sz w:val="24"/>
              <w:szCs w:val="24"/>
            </w:rPr>
            <w:fldChar w:fldCharType="separate"/>
          </w:r>
          <w:r>
            <w:rPr>
              <w:rFonts w:hint="eastAsia" w:ascii="宋体" w:hAnsi="宋体" w:eastAsia="宋体" w:cs="宋体"/>
              <w:color w:val="0000FF"/>
              <w:sz w:val="24"/>
              <w:szCs w:val="24"/>
            </w:rPr>
            <w:t>68</w:t>
          </w:r>
          <w:r>
            <w:rPr>
              <w:rFonts w:hint="eastAsia" w:ascii="宋体" w:hAnsi="宋体" w:eastAsia="宋体" w:cs="宋体"/>
              <w:color w:val="0000FF"/>
              <w:sz w:val="24"/>
              <w:szCs w:val="24"/>
            </w:rPr>
            <w:fldChar w:fldCharType="end"/>
          </w:r>
          <w:r>
            <w:rPr>
              <w:rFonts w:hint="eastAsia" w:ascii="宋体" w:hAnsi="宋体" w:eastAsia="宋体" w:cs="宋体"/>
              <w:color w:val="0000FF"/>
              <w:sz w:val="24"/>
              <w:szCs w:val="24"/>
            </w:rPr>
            <w:fldChar w:fldCharType="end"/>
          </w:r>
        </w:p>
        <w:p w14:paraId="2BF63132">
          <w:pPr>
            <w:pStyle w:val="105"/>
            <w:keepNext w:val="0"/>
            <w:keepLines w:val="0"/>
            <w:pageBreakBefore w:val="0"/>
            <w:widowControl/>
            <w:tabs>
              <w:tab w:val="right" w:leader="dot" w:pos="9026"/>
            </w:tabs>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HYPERLINK \l _Toc29688 </w:instrText>
          </w:r>
          <w:r>
            <w:rPr>
              <w:rFonts w:hint="eastAsia" w:ascii="宋体" w:hAnsi="宋体" w:eastAsia="宋体" w:cs="宋体"/>
              <w:color w:val="0000FF"/>
              <w:sz w:val="24"/>
              <w:szCs w:val="24"/>
            </w:rPr>
            <w:fldChar w:fldCharType="separate"/>
          </w:r>
          <w:r>
            <w:rPr>
              <w:rFonts w:hint="eastAsia" w:ascii="宋体" w:hAnsi="宋体" w:eastAsia="宋体" w:cs="宋体"/>
              <w:color w:val="0000FF"/>
              <w:kern w:val="2"/>
              <w:sz w:val="24"/>
              <w:szCs w:val="24"/>
              <w:lang w:val="en-US" w:eastAsia="zh-CN" w:bidi="ar-SA"/>
            </w:rPr>
            <w:t>3.1升压站站电磁环境影响预测</w:t>
          </w:r>
          <w:r>
            <w:rPr>
              <w:rFonts w:hint="eastAsia" w:ascii="宋体" w:hAnsi="宋体" w:eastAsia="宋体" w:cs="宋体"/>
              <w:color w:val="0000FF"/>
              <w:sz w:val="24"/>
              <w:szCs w:val="24"/>
            </w:rPr>
            <w:tab/>
          </w: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PAGEREF _Toc29688 \h </w:instrText>
          </w:r>
          <w:r>
            <w:rPr>
              <w:rFonts w:hint="eastAsia" w:ascii="宋体" w:hAnsi="宋体" w:eastAsia="宋体" w:cs="宋体"/>
              <w:color w:val="0000FF"/>
              <w:sz w:val="24"/>
              <w:szCs w:val="24"/>
            </w:rPr>
            <w:fldChar w:fldCharType="separate"/>
          </w:r>
          <w:r>
            <w:rPr>
              <w:rFonts w:hint="eastAsia" w:ascii="宋体" w:hAnsi="宋体" w:eastAsia="宋体" w:cs="宋体"/>
              <w:color w:val="0000FF"/>
              <w:sz w:val="24"/>
              <w:szCs w:val="24"/>
            </w:rPr>
            <w:t>68</w:t>
          </w:r>
          <w:r>
            <w:rPr>
              <w:rFonts w:hint="eastAsia" w:ascii="宋体" w:hAnsi="宋体" w:eastAsia="宋体" w:cs="宋体"/>
              <w:color w:val="0000FF"/>
              <w:sz w:val="24"/>
              <w:szCs w:val="24"/>
            </w:rPr>
            <w:fldChar w:fldCharType="end"/>
          </w:r>
          <w:r>
            <w:rPr>
              <w:rFonts w:hint="eastAsia" w:ascii="宋体" w:hAnsi="宋体" w:eastAsia="宋体" w:cs="宋体"/>
              <w:color w:val="0000FF"/>
              <w:sz w:val="24"/>
              <w:szCs w:val="24"/>
            </w:rPr>
            <w:fldChar w:fldCharType="end"/>
          </w:r>
        </w:p>
        <w:p w14:paraId="024EE185">
          <w:pPr>
            <w:pStyle w:val="105"/>
            <w:keepNext w:val="0"/>
            <w:keepLines w:val="0"/>
            <w:pageBreakBefore w:val="0"/>
            <w:widowControl/>
            <w:tabs>
              <w:tab w:val="right" w:leader="dot" w:pos="9026"/>
            </w:tabs>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HYPERLINK \l _Toc29395 </w:instrText>
          </w:r>
          <w:r>
            <w:rPr>
              <w:rFonts w:hint="eastAsia" w:ascii="宋体" w:hAnsi="宋体" w:eastAsia="宋体" w:cs="宋体"/>
              <w:color w:val="0000FF"/>
              <w:sz w:val="24"/>
              <w:szCs w:val="24"/>
            </w:rPr>
            <w:fldChar w:fldCharType="separate"/>
          </w:r>
          <w:r>
            <w:rPr>
              <w:rFonts w:hint="eastAsia" w:ascii="宋体" w:hAnsi="宋体" w:eastAsia="宋体" w:cs="宋体"/>
              <w:color w:val="0000FF"/>
              <w:kern w:val="2"/>
              <w:sz w:val="24"/>
              <w:szCs w:val="24"/>
              <w:lang w:val="en-US" w:eastAsia="zh-CN" w:bidi="ar-SA"/>
            </w:rPr>
            <w:t>3.2架空线路电磁环境影响模式预测</w:t>
          </w:r>
          <w:r>
            <w:rPr>
              <w:rFonts w:hint="eastAsia" w:ascii="宋体" w:hAnsi="宋体" w:eastAsia="宋体" w:cs="宋体"/>
              <w:color w:val="0000FF"/>
              <w:sz w:val="24"/>
              <w:szCs w:val="24"/>
            </w:rPr>
            <w:tab/>
          </w: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PAGEREF _Toc29395 \h </w:instrText>
          </w:r>
          <w:r>
            <w:rPr>
              <w:rFonts w:hint="eastAsia" w:ascii="宋体" w:hAnsi="宋体" w:eastAsia="宋体" w:cs="宋体"/>
              <w:color w:val="0000FF"/>
              <w:sz w:val="24"/>
              <w:szCs w:val="24"/>
            </w:rPr>
            <w:fldChar w:fldCharType="separate"/>
          </w:r>
          <w:r>
            <w:rPr>
              <w:rFonts w:hint="eastAsia" w:ascii="宋体" w:hAnsi="宋体" w:eastAsia="宋体" w:cs="宋体"/>
              <w:color w:val="0000FF"/>
              <w:sz w:val="24"/>
              <w:szCs w:val="24"/>
            </w:rPr>
            <w:t>72</w:t>
          </w:r>
          <w:r>
            <w:rPr>
              <w:rFonts w:hint="eastAsia" w:ascii="宋体" w:hAnsi="宋体" w:eastAsia="宋体" w:cs="宋体"/>
              <w:color w:val="0000FF"/>
              <w:sz w:val="24"/>
              <w:szCs w:val="24"/>
            </w:rPr>
            <w:fldChar w:fldCharType="end"/>
          </w:r>
          <w:r>
            <w:rPr>
              <w:rFonts w:hint="eastAsia" w:ascii="宋体" w:hAnsi="宋体" w:eastAsia="宋体" w:cs="宋体"/>
              <w:color w:val="0000FF"/>
              <w:sz w:val="24"/>
              <w:szCs w:val="24"/>
            </w:rPr>
            <w:fldChar w:fldCharType="end"/>
          </w:r>
        </w:p>
        <w:p w14:paraId="428E08FD">
          <w:pPr>
            <w:pStyle w:val="105"/>
            <w:keepNext w:val="0"/>
            <w:keepLines w:val="0"/>
            <w:pageBreakBefore w:val="0"/>
            <w:widowControl/>
            <w:tabs>
              <w:tab w:val="right" w:leader="dot" w:pos="9026"/>
            </w:tabs>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HYPERLINK \l _Toc14894 </w:instrText>
          </w:r>
          <w:r>
            <w:rPr>
              <w:rFonts w:hint="eastAsia" w:ascii="宋体" w:hAnsi="宋体" w:eastAsia="宋体" w:cs="宋体"/>
              <w:color w:val="0000FF"/>
              <w:sz w:val="24"/>
              <w:szCs w:val="24"/>
            </w:rPr>
            <w:fldChar w:fldCharType="separate"/>
          </w:r>
          <w:r>
            <w:rPr>
              <w:rFonts w:hint="eastAsia" w:ascii="宋体" w:hAnsi="宋体" w:eastAsia="宋体" w:cs="宋体"/>
              <w:bCs w:val="0"/>
              <w:color w:val="0000FF"/>
              <w:kern w:val="15"/>
              <w:sz w:val="24"/>
              <w:szCs w:val="24"/>
              <w:highlight w:val="none"/>
              <w:lang w:val="en-US" w:eastAsia="zh-CN" w:bidi="ar-SA"/>
            </w:rPr>
            <w:t>3.3</w:t>
          </w:r>
          <w:r>
            <w:rPr>
              <w:rFonts w:hint="eastAsia" w:ascii="宋体" w:hAnsi="宋体" w:eastAsia="宋体" w:cs="宋体"/>
              <w:bCs w:val="0"/>
              <w:color w:val="0000FF"/>
              <w:kern w:val="2"/>
              <w:sz w:val="24"/>
              <w:szCs w:val="24"/>
              <w:highlight w:val="none"/>
              <w:lang w:val="en-US" w:eastAsia="zh-CN" w:bidi="ar-SA"/>
            </w:rPr>
            <w:t>间隔扩建端</w:t>
          </w:r>
          <w:r>
            <w:rPr>
              <w:rFonts w:hint="eastAsia" w:ascii="宋体" w:hAnsi="宋体" w:eastAsia="宋体" w:cs="宋体"/>
              <w:bCs w:val="0"/>
              <w:color w:val="0000FF"/>
              <w:kern w:val="15"/>
              <w:sz w:val="24"/>
              <w:szCs w:val="24"/>
              <w:highlight w:val="none"/>
              <w:lang w:val="en-US" w:eastAsia="zh-CN" w:bidi="ar-SA"/>
            </w:rPr>
            <w:t>工频电场、磁感应强度预测</w:t>
          </w:r>
          <w:r>
            <w:rPr>
              <w:rFonts w:hint="eastAsia" w:ascii="宋体" w:hAnsi="宋体" w:eastAsia="宋体" w:cs="宋体"/>
              <w:color w:val="0000FF"/>
              <w:sz w:val="24"/>
              <w:szCs w:val="24"/>
            </w:rPr>
            <w:tab/>
          </w: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PAGEREF _Toc14894 \h </w:instrText>
          </w:r>
          <w:r>
            <w:rPr>
              <w:rFonts w:hint="eastAsia" w:ascii="宋体" w:hAnsi="宋体" w:eastAsia="宋体" w:cs="宋体"/>
              <w:color w:val="0000FF"/>
              <w:sz w:val="24"/>
              <w:szCs w:val="24"/>
            </w:rPr>
            <w:fldChar w:fldCharType="separate"/>
          </w:r>
          <w:r>
            <w:rPr>
              <w:rFonts w:hint="eastAsia" w:ascii="宋体" w:hAnsi="宋体" w:eastAsia="宋体" w:cs="宋体"/>
              <w:color w:val="0000FF"/>
              <w:sz w:val="24"/>
              <w:szCs w:val="24"/>
            </w:rPr>
            <w:t>86</w:t>
          </w:r>
          <w:r>
            <w:rPr>
              <w:rFonts w:hint="eastAsia" w:ascii="宋体" w:hAnsi="宋体" w:eastAsia="宋体" w:cs="宋体"/>
              <w:color w:val="0000FF"/>
              <w:sz w:val="24"/>
              <w:szCs w:val="24"/>
            </w:rPr>
            <w:fldChar w:fldCharType="end"/>
          </w:r>
          <w:r>
            <w:rPr>
              <w:rFonts w:hint="eastAsia" w:ascii="宋体" w:hAnsi="宋体" w:eastAsia="宋体" w:cs="宋体"/>
              <w:color w:val="0000FF"/>
              <w:sz w:val="24"/>
              <w:szCs w:val="24"/>
            </w:rPr>
            <w:fldChar w:fldCharType="end"/>
          </w:r>
        </w:p>
        <w:p w14:paraId="4C9146C7">
          <w:pPr>
            <w:pStyle w:val="105"/>
            <w:keepNext w:val="0"/>
            <w:keepLines w:val="0"/>
            <w:pageBreakBefore w:val="0"/>
            <w:widowControl/>
            <w:tabs>
              <w:tab w:val="right" w:leader="dot" w:pos="902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HYPERLINK \l _Toc17220 </w:instrText>
          </w:r>
          <w:r>
            <w:rPr>
              <w:rFonts w:hint="eastAsia" w:ascii="宋体" w:hAnsi="宋体" w:eastAsia="宋体" w:cs="宋体"/>
              <w:color w:val="0000FF"/>
              <w:sz w:val="24"/>
              <w:szCs w:val="24"/>
            </w:rPr>
            <w:fldChar w:fldCharType="separate"/>
          </w:r>
          <w:r>
            <w:rPr>
              <w:rFonts w:hint="eastAsia" w:ascii="宋体" w:hAnsi="宋体" w:eastAsia="宋体" w:cs="宋体"/>
              <w:color w:val="0000FF"/>
              <w:sz w:val="24"/>
              <w:szCs w:val="24"/>
            </w:rPr>
            <w:t>4电磁环境保护措施</w:t>
          </w:r>
          <w:r>
            <w:rPr>
              <w:rFonts w:hint="eastAsia" w:ascii="宋体" w:hAnsi="宋体" w:eastAsia="宋体" w:cs="宋体"/>
              <w:color w:val="0000FF"/>
              <w:sz w:val="24"/>
              <w:szCs w:val="24"/>
            </w:rPr>
            <w:tab/>
          </w: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PAGEREF _Toc17220 \h </w:instrText>
          </w:r>
          <w:r>
            <w:rPr>
              <w:rFonts w:hint="eastAsia" w:ascii="宋体" w:hAnsi="宋体" w:eastAsia="宋体" w:cs="宋体"/>
              <w:color w:val="0000FF"/>
              <w:sz w:val="24"/>
              <w:szCs w:val="24"/>
            </w:rPr>
            <w:fldChar w:fldCharType="separate"/>
          </w:r>
          <w:r>
            <w:rPr>
              <w:rFonts w:hint="eastAsia" w:ascii="宋体" w:hAnsi="宋体" w:eastAsia="宋体" w:cs="宋体"/>
              <w:color w:val="0000FF"/>
              <w:sz w:val="24"/>
              <w:szCs w:val="24"/>
            </w:rPr>
            <w:t>86</w:t>
          </w:r>
          <w:r>
            <w:rPr>
              <w:rFonts w:hint="eastAsia" w:ascii="宋体" w:hAnsi="宋体" w:eastAsia="宋体" w:cs="宋体"/>
              <w:color w:val="0000FF"/>
              <w:sz w:val="24"/>
              <w:szCs w:val="24"/>
            </w:rPr>
            <w:fldChar w:fldCharType="end"/>
          </w:r>
          <w:r>
            <w:rPr>
              <w:rFonts w:hint="eastAsia" w:ascii="宋体" w:hAnsi="宋体" w:eastAsia="宋体" w:cs="宋体"/>
              <w:color w:val="0000FF"/>
              <w:sz w:val="24"/>
              <w:szCs w:val="24"/>
            </w:rPr>
            <w:fldChar w:fldCharType="end"/>
          </w:r>
        </w:p>
        <w:p w14:paraId="4A8197B4">
          <w:pPr>
            <w:pStyle w:val="105"/>
            <w:keepNext w:val="0"/>
            <w:keepLines w:val="0"/>
            <w:pageBreakBefore w:val="0"/>
            <w:widowControl/>
            <w:tabs>
              <w:tab w:val="right" w:leader="dot" w:pos="9026"/>
            </w:tabs>
            <w:kinsoku/>
            <w:wordWrap/>
            <w:overflowPunct/>
            <w:topLinePunct w:val="0"/>
            <w:autoSpaceDE/>
            <w:autoSpaceDN/>
            <w:bidi w:val="0"/>
            <w:adjustRightInd/>
            <w:snapToGrid/>
            <w:spacing w:line="360" w:lineRule="auto"/>
            <w:ind w:leftChars="0"/>
            <w:textAlignment w:val="auto"/>
            <w:rPr>
              <w:color w:val="0000FF"/>
            </w:rPr>
          </w:pP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HYPERLINK \l _Toc18879 </w:instrText>
          </w:r>
          <w:r>
            <w:rPr>
              <w:rFonts w:hint="eastAsia" w:ascii="宋体" w:hAnsi="宋体" w:eastAsia="宋体" w:cs="宋体"/>
              <w:color w:val="0000FF"/>
              <w:sz w:val="24"/>
              <w:szCs w:val="24"/>
            </w:rPr>
            <w:fldChar w:fldCharType="separate"/>
          </w:r>
          <w:r>
            <w:rPr>
              <w:rFonts w:hint="eastAsia" w:ascii="宋体" w:hAnsi="宋体" w:eastAsia="宋体" w:cs="宋体"/>
              <w:bCs/>
              <w:color w:val="0000FF"/>
              <w:kern w:val="44"/>
              <w:sz w:val="24"/>
              <w:szCs w:val="24"/>
              <w:lang w:val="en-US" w:eastAsia="zh-CN" w:bidi="ar-SA"/>
            </w:rPr>
            <w:t>5电磁环境影响评价结论</w:t>
          </w:r>
          <w:r>
            <w:rPr>
              <w:rFonts w:hint="eastAsia" w:ascii="宋体" w:hAnsi="宋体" w:eastAsia="宋体" w:cs="宋体"/>
              <w:color w:val="0000FF"/>
              <w:sz w:val="24"/>
              <w:szCs w:val="24"/>
            </w:rPr>
            <w:tab/>
          </w:r>
          <w:r>
            <w:rPr>
              <w:rFonts w:hint="eastAsia" w:ascii="宋体" w:hAnsi="宋体" w:eastAsia="宋体" w:cs="宋体"/>
              <w:color w:val="0000FF"/>
              <w:sz w:val="24"/>
              <w:szCs w:val="24"/>
            </w:rPr>
            <w:fldChar w:fldCharType="begin"/>
          </w:r>
          <w:r>
            <w:rPr>
              <w:rFonts w:hint="eastAsia" w:ascii="宋体" w:hAnsi="宋体" w:eastAsia="宋体" w:cs="宋体"/>
              <w:color w:val="0000FF"/>
              <w:sz w:val="24"/>
              <w:szCs w:val="24"/>
            </w:rPr>
            <w:instrText xml:space="preserve"> PAGEREF _Toc18879 \h </w:instrText>
          </w:r>
          <w:r>
            <w:rPr>
              <w:rFonts w:hint="eastAsia" w:ascii="宋体" w:hAnsi="宋体" w:eastAsia="宋体" w:cs="宋体"/>
              <w:color w:val="0000FF"/>
              <w:sz w:val="24"/>
              <w:szCs w:val="24"/>
            </w:rPr>
            <w:fldChar w:fldCharType="separate"/>
          </w:r>
          <w:r>
            <w:rPr>
              <w:rFonts w:hint="eastAsia" w:ascii="宋体" w:hAnsi="宋体" w:eastAsia="宋体" w:cs="宋体"/>
              <w:color w:val="0000FF"/>
              <w:sz w:val="24"/>
              <w:szCs w:val="24"/>
            </w:rPr>
            <w:t>86</w:t>
          </w:r>
          <w:r>
            <w:rPr>
              <w:rFonts w:hint="eastAsia" w:ascii="宋体" w:hAnsi="宋体" w:eastAsia="宋体" w:cs="宋体"/>
              <w:color w:val="0000FF"/>
              <w:sz w:val="24"/>
              <w:szCs w:val="24"/>
            </w:rPr>
            <w:fldChar w:fldCharType="end"/>
          </w:r>
          <w:r>
            <w:rPr>
              <w:rFonts w:hint="eastAsia" w:ascii="宋体" w:hAnsi="宋体" w:eastAsia="宋体" w:cs="宋体"/>
              <w:color w:val="0000FF"/>
              <w:sz w:val="24"/>
              <w:szCs w:val="24"/>
            </w:rPr>
            <w:fldChar w:fldCharType="end"/>
          </w:r>
        </w:p>
        <w:p w14:paraId="1800A1CB">
          <w:pPr>
            <w:rPr>
              <w:rFonts w:hint="eastAsia" w:ascii="Times New Roman" w:hAnsi="Times New Roman" w:eastAsia="宋体" w:cs="Times New Roman"/>
              <w:b/>
              <w:color w:val="0000FF"/>
              <w:kern w:val="2"/>
              <w:sz w:val="21"/>
              <w:szCs w:val="24"/>
              <w:lang w:val="en-US" w:eastAsia="zh-CN" w:bidi="ar-SA"/>
            </w:rPr>
          </w:pPr>
          <w:r>
            <w:rPr>
              <w:rFonts w:hint="eastAsia"/>
              <w:b/>
              <w:color w:val="0000FF"/>
            </w:rPr>
            <w:fldChar w:fldCharType="end"/>
          </w:r>
        </w:p>
      </w:sdtContent>
    </w:sdt>
    <w:p w14:paraId="5441BA72">
      <w:pPr>
        <w:pStyle w:val="21"/>
        <w:tabs>
          <w:tab w:val="right" w:leader="dot" w:pos="9026"/>
        </w:tabs>
        <w:outlineLvl w:val="9"/>
        <w:rPr>
          <w:rFonts w:hint="eastAsia" w:ascii="宋体" w:hAnsi="宋体" w:eastAsia="宋体" w:cs="宋体"/>
          <w:color w:val="0000FF"/>
          <w:sz w:val="24"/>
          <w:highlight w:val="none"/>
          <w:lang w:val="en-US" w:eastAsia="zh-CN"/>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eastAsia="宋体" w:cs="宋体"/>
          <w:color w:val="0000FF"/>
          <w:highlight w:val="none"/>
          <w:lang w:val="en-US" w:eastAsia="zh-CN"/>
        </w:rPr>
        <w:fldChar w:fldCharType="end"/>
      </w:r>
    </w:p>
    <w:p w14:paraId="12E55865">
      <w:pPr>
        <w:pStyle w:val="2"/>
        <w:keepNext/>
        <w:keepLines w:val="0"/>
        <w:pageBreakBefore w:val="0"/>
        <w:widowControl w:val="0"/>
        <w:tabs>
          <w:tab w:val="left" w:pos="425"/>
        </w:tabs>
        <w:kinsoku/>
        <w:wordWrap/>
        <w:overflowPunct w:val="0"/>
        <w:topLinePunct w:val="0"/>
        <w:autoSpaceDE/>
        <w:autoSpaceDN/>
        <w:bidi w:val="0"/>
        <w:adjustRightInd w:val="0"/>
        <w:snapToGrid w:val="0"/>
        <w:spacing w:before="0" w:after="0" w:line="360" w:lineRule="auto"/>
        <w:ind w:left="431" w:hanging="431"/>
        <w:textAlignment w:val="auto"/>
        <w:outlineLvl w:val="1"/>
        <w:rPr>
          <w:rFonts w:hint="eastAsia" w:ascii="宋体" w:hAnsi="宋体" w:eastAsia="宋体" w:cs="宋体"/>
          <w:b/>
          <w:color w:val="auto"/>
          <w:highlight w:val="none"/>
        </w:rPr>
      </w:pPr>
      <w:bookmarkStart w:id="99" w:name="_Toc957"/>
      <w:bookmarkStart w:id="100" w:name="_Toc32628"/>
      <w:bookmarkStart w:id="101" w:name="_Toc9332"/>
      <w:bookmarkStart w:id="102" w:name="_Toc9988"/>
      <w:r>
        <w:rPr>
          <w:rFonts w:hint="eastAsia" w:ascii="宋体" w:hAnsi="宋体" w:eastAsia="宋体" w:cs="宋体"/>
          <w:b/>
          <w:color w:val="auto"/>
          <w:highlight w:val="none"/>
        </w:rPr>
        <w:t>1总则</w:t>
      </w:r>
      <w:bookmarkEnd w:id="99"/>
      <w:bookmarkEnd w:id="100"/>
      <w:bookmarkEnd w:id="101"/>
      <w:bookmarkEnd w:id="102"/>
    </w:p>
    <w:p w14:paraId="0D34B8F1">
      <w:pPr>
        <w:pStyle w:val="3"/>
        <w:pageBreakBefore w:val="0"/>
        <w:widowControl w:val="0"/>
        <w:kinsoku/>
        <w:wordWrap/>
        <w:overflowPunct/>
        <w:topLinePunct w:val="0"/>
        <w:bidi w:val="0"/>
        <w:adjustRightInd w:val="0"/>
        <w:snapToGrid w:val="0"/>
        <w:spacing w:before="0" w:beforeLines="0" w:after="0" w:afterLines="0" w:line="360" w:lineRule="auto"/>
        <w:textAlignment w:val="auto"/>
        <w:rPr>
          <w:rFonts w:hint="eastAsia" w:ascii="宋体" w:hAnsi="宋体" w:eastAsia="宋体" w:cs="宋体"/>
          <w:color w:val="auto"/>
          <w:sz w:val="28"/>
          <w:highlight w:val="none"/>
        </w:rPr>
      </w:pPr>
      <w:bookmarkStart w:id="103" w:name="_Toc23409"/>
      <w:bookmarkStart w:id="104" w:name="_Toc22624"/>
      <w:bookmarkStart w:id="105" w:name="_Toc30928"/>
      <w:bookmarkStart w:id="106" w:name="_Toc3584"/>
      <w:r>
        <w:rPr>
          <w:rFonts w:hint="eastAsia" w:ascii="宋体" w:hAnsi="宋体" w:eastAsia="宋体" w:cs="宋体"/>
          <w:color w:val="auto"/>
          <w:sz w:val="28"/>
          <w:highlight w:val="none"/>
        </w:rPr>
        <w:t>1.1项目规模</w:t>
      </w:r>
      <w:bookmarkEnd w:id="103"/>
      <w:bookmarkEnd w:id="104"/>
      <w:bookmarkEnd w:id="105"/>
      <w:bookmarkEnd w:id="106"/>
    </w:p>
    <w:p w14:paraId="6B08877D">
      <w:pPr>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宋体" w:hAnsi="宋体" w:eastAsia="宋体" w:cs="宋体"/>
          <w:color w:val="auto"/>
        </w:rPr>
      </w:pPr>
      <w:bookmarkStart w:id="107" w:name="_Toc20519"/>
      <w:r>
        <w:rPr>
          <w:rFonts w:hint="eastAsia" w:ascii="宋体" w:hAnsi="宋体" w:cs="宋体"/>
          <w:color w:val="auto"/>
          <w:sz w:val="24"/>
          <w:highlight w:val="none"/>
          <w:lang w:val="en-US" w:eastAsia="zh-CN"/>
        </w:rPr>
        <w:t>华电鄯善煤电灵活性改造配套风电项目220千伏输变电工程主要建设内容及规模：</w:t>
      </w:r>
      <w:r>
        <w:rPr>
          <w:rFonts w:hint="eastAsia" w:ascii="宋体" w:hAnsi="宋体" w:cs="宋体"/>
          <w:color w:val="auto"/>
          <w:kern w:val="0"/>
          <w:sz w:val="24"/>
          <w:szCs w:val="24"/>
          <w:lang w:val="en-US" w:eastAsia="zh-CN" w:bidi="ar"/>
        </w:rPr>
        <w:t>新建1座220kV升压站，安装1台240MVA变压器，配套建设相关附属设施；新建1回本项目220kV升压站至大唐鄯善东220kV升压站220kV输电线路，路径长约9.7km，单回路架设。大唐鄯善东220kV升压站220kV出线侧扩建一个220kV出线间隔。</w:t>
      </w:r>
    </w:p>
    <w:p w14:paraId="39A43544">
      <w:pPr>
        <w:pStyle w:val="3"/>
        <w:pageBreakBefore w:val="0"/>
        <w:widowControl w:val="0"/>
        <w:kinsoku/>
        <w:wordWrap/>
        <w:overflowPunct/>
        <w:topLinePunct w:val="0"/>
        <w:bidi w:val="0"/>
        <w:adjustRightInd w:val="0"/>
        <w:snapToGrid w:val="0"/>
        <w:spacing w:before="0" w:beforeLines="0" w:after="0" w:afterLines="0" w:line="360" w:lineRule="auto"/>
        <w:textAlignment w:val="auto"/>
        <w:rPr>
          <w:rFonts w:hint="eastAsia" w:ascii="宋体" w:hAnsi="宋体" w:eastAsia="宋体" w:cs="宋体"/>
          <w:color w:val="auto"/>
          <w:sz w:val="28"/>
          <w:highlight w:val="none"/>
        </w:rPr>
      </w:pPr>
      <w:bookmarkStart w:id="108" w:name="_Toc30356"/>
      <w:bookmarkStart w:id="109" w:name="_Toc19756"/>
      <w:bookmarkStart w:id="110" w:name="_Toc1023"/>
      <w:r>
        <w:rPr>
          <w:rFonts w:hint="eastAsia" w:ascii="宋体" w:hAnsi="宋体" w:eastAsia="宋体" w:cs="宋体"/>
          <w:color w:val="auto"/>
          <w:sz w:val="28"/>
          <w:highlight w:val="none"/>
        </w:rPr>
        <w:t>1.2评价目的</w:t>
      </w:r>
      <w:bookmarkEnd w:id="107"/>
      <w:bookmarkEnd w:id="108"/>
      <w:bookmarkEnd w:id="109"/>
      <w:bookmarkEnd w:id="110"/>
    </w:p>
    <w:p w14:paraId="67797F76">
      <w:pPr>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宋体" w:hAnsi="宋体" w:eastAsia="宋体" w:cs="宋体"/>
          <w:color w:val="auto"/>
          <w:kern w:val="0"/>
          <w:sz w:val="24"/>
        </w:rPr>
      </w:pPr>
      <w:bookmarkStart w:id="111" w:name="_Toc9586"/>
      <w:r>
        <w:rPr>
          <w:rFonts w:hint="eastAsia" w:ascii="宋体" w:hAnsi="宋体" w:eastAsia="宋体" w:cs="宋体"/>
          <w:color w:val="auto"/>
          <w:sz w:val="24"/>
        </w:rPr>
        <w:t>根据《中华人民共和国环境影响评价法</w:t>
      </w:r>
      <w:r>
        <w:rPr>
          <w:rFonts w:hint="eastAsia" w:ascii="宋体" w:hAnsi="宋体" w:cs="宋体"/>
          <w:color w:val="auto"/>
          <w:sz w:val="24"/>
          <w:lang w:eastAsia="zh-CN"/>
        </w:rPr>
        <w:t>》《</w:t>
      </w:r>
      <w:r>
        <w:rPr>
          <w:rFonts w:hint="eastAsia" w:ascii="宋体" w:hAnsi="宋体" w:eastAsia="宋体" w:cs="宋体"/>
          <w:color w:val="auto"/>
          <w:sz w:val="24"/>
        </w:rPr>
        <w:t>建设项目环境保护管理条例》及《建设项目环境影响评价分类管理名录》</w:t>
      </w:r>
      <w:r>
        <w:rPr>
          <w:rFonts w:hint="eastAsia" w:ascii="宋体" w:hAnsi="宋体" w:eastAsia="宋体" w:cs="宋体"/>
          <w:color w:val="auto"/>
          <w:sz w:val="24"/>
          <w:lang w:val="en-US" w:eastAsia="zh-CN"/>
        </w:rPr>
        <w:t>等</w:t>
      </w:r>
      <w:r>
        <w:rPr>
          <w:rFonts w:hint="eastAsia" w:ascii="宋体" w:hAnsi="宋体" w:eastAsia="宋体" w:cs="宋体"/>
          <w:color w:val="auto"/>
          <w:sz w:val="24"/>
        </w:rPr>
        <w:t>有关</w:t>
      </w:r>
      <w:r>
        <w:rPr>
          <w:rFonts w:hint="eastAsia" w:ascii="宋体" w:hAnsi="宋体" w:eastAsia="宋体" w:cs="宋体"/>
          <w:color w:val="auto"/>
          <w:sz w:val="24"/>
          <w:lang w:val="en-US" w:eastAsia="zh-CN"/>
        </w:rPr>
        <w:t>法律法规</w:t>
      </w:r>
      <w:r>
        <w:rPr>
          <w:rFonts w:hint="eastAsia" w:ascii="宋体" w:hAnsi="宋体" w:eastAsia="宋体" w:cs="宋体"/>
          <w:color w:val="auto"/>
          <w:sz w:val="24"/>
        </w:rPr>
        <w:t>，为切实做好项目的环境保护工作，使输变电事业与环境保护协调发展，控制电磁环境污染、</w:t>
      </w:r>
      <w:r>
        <w:rPr>
          <w:rFonts w:hint="eastAsia" w:ascii="宋体" w:hAnsi="宋体" w:cs="宋体"/>
          <w:color w:val="auto"/>
          <w:sz w:val="24"/>
          <w:lang w:eastAsia="zh-CN"/>
        </w:rPr>
        <w:t>避害就利</w:t>
      </w:r>
      <w:r>
        <w:rPr>
          <w:rFonts w:hint="eastAsia" w:ascii="宋体" w:hAnsi="宋体" w:eastAsia="宋体" w:cs="宋体"/>
          <w:color w:val="auto"/>
          <w:sz w:val="24"/>
        </w:rPr>
        <w:t>、保障公众健康，</w:t>
      </w:r>
      <w:r>
        <w:rPr>
          <w:rFonts w:hint="eastAsia" w:ascii="宋体" w:hAnsi="宋体" w:cs="宋体"/>
          <w:color w:val="auto"/>
          <w:sz w:val="24"/>
          <w:lang w:val="en-US" w:eastAsia="zh-CN"/>
        </w:rPr>
        <w:t>华电瀚海吐鲁番能源开发有限公司</w:t>
      </w:r>
      <w:r>
        <w:rPr>
          <w:rFonts w:hint="eastAsia" w:ascii="宋体" w:hAnsi="宋体" w:eastAsia="宋体" w:cs="宋体"/>
          <w:color w:val="auto"/>
          <w:sz w:val="24"/>
        </w:rPr>
        <w:t>委托我单位</w:t>
      </w:r>
      <w:r>
        <w:rPr>
          <w:rFonts w:hint="eastAsia" w:ascii="宋体" w:hAnsi="宋体" w:eastAsia="宋体" w:cs="宋体"/>
          <w:color w:val="auto"/>
          <w:kern w:val="0"/>
          <w:sz w:val="24"/>
        </w:rPr>
        <w:t>承担本项目的电磁环境影响评价工作，分析说明本项目建设运行后电磁环境影响的情况。</w:t>
      </w:r>
    </w:p>
    <w:bookmarkEnd w:id="111"/>
    <w:p w14:paraId="13F3D318">
      <w:pPr>
        <w:pStyle w:val="3"/>
        <w:pageBreakBefore w:val="0"/>
        <w:widowControl w:val="0"/>
        <w:kinsoku/>
        <w:wordWrap/>
        <w:overflowPunct/>
        <w:topLinePunct w:val="0"/>
        <w:bidi w:val="0"/>
        <w:adjustRightInd w:val="0"/>
        <w:snapToGrid w:val="0"/>
        <w:spacing w:before="0" w:beforeLines="0" w:after="0" w:afterLines="0" w:line="360" w:lineRule="auto"/>
        <w:textAlignment w:val="auto"/>
        <w:rPr>
          <w:rFonts w:hint="eastAsia" w:ascii="宋体" w:hAnsi="宋体" w:eastAsia="宋体" w:cs="宋体"/>
          <w:color w:val="auto"/>
          <w:sz w:val="28"/>
          <w:szCs w:val="28"/>
        </w:rPr>
      </w:pPr>
      <w:bookmarkStart w:id="112" w:name="_Toc6831"/>
      <w:bookmarkStart w:id="113" w:name="_Toc75713157"/>
      <w:bookmarkStart w:id="114" w:name="_Toc25205"/>
      <w:bookmarkStart w:id="115" w:name="_Toc12954"/>
      <w:bookmarkStart w:id="116" w:name="_Toc17927"/>
      <w:bookmarkStart w:id="117" w:name="_Toc7213"/>
      <w:bookmarkStart w:id="118" w:name="_Toc22640"/>
      <w:bookmarkStart w:id="119" w:name="_Toc21273"/>
      <w:r>
        <w:rPr>
          <w:rFonts w:hint="eastAsia" w:ascii="宋体" w:hAnsi="宋体" w:eastAsia="宋体" w:cs="宋体"/>
          <w:color w:val="auto"/>
          <w:sz w:val="28"/>
          <w:szCs w:val="28"/>
        </w:rPr>
        <w:t>1.3评价依据</w:t>
      </w:r>
      <w:bookmarkEnd w:id="112"/>
      <w:bookmarkEnd w:id="113"/>
      <w:bookmarkEnd w:id="114"/>
      <w:bookmarkEnd w:id="115"/>
      <w:bookmarkEnd w:id="116"/>
      <w:bookmarkEnd w:id="117"/>
      <w:bookmarkEnd w:id="118"/>
      <w:bookmarkEnd w:id="119"/>
    </w:p>
    <w:p w14:paraId="28D66C33">
      <w:pPr>
        <w:pageBreakBefore w:val="0"/>
        <w:widowControl w:val="0"/>
        <w:kinsoku/>
        <w:wordWrap/>
        <w:overflowPunct/>
        <w:topLinePunct w:val="0"/>
        <w:bidi w:val="0"/>
        <w:adjustRightInd w:val="0"/>
        <w:snapToGrid w:val="0"/>
        <w:spacing w:line="360" w:lineRule="auto"/>
        <w:textAlignment w:val="auto"/>
        <w:outlineLvl w:val="2"/>
        <w:rPr>
          <w:rFonts w:hint="eastAsia" w:ascii="宋体" w:hAnsi="宋体" w:eastAsia="宋体" w:cs="宋体"/>
          <w:b/>
          <w:color w:val="auto"/>
          <w:kern w:val="15"/>
          <w:sz w:val="24"/>
        </w:rPr>
      </w:pPr>
      <w:bookmarkStart w:id="120" w:name="_Toc75713158"/>
      <w:bookmarkStart w:id="121" w:name="_Toc67826179"/>
      <w:bookmarkStart w:id="122" w:name="_Toc19727"/>
      <w:bookmarkStart w:id="123" w:name="_Toc9392"/>
      <w:bookmarkStart w:id="124" w:name="_Toc26219"/>
      <w:bookmarkStart w:id="125" w:name="_Toc24128"/>
      <w:r>
        <w:rPr>
          <w:rFonts w:hint="eastAsia" w:ascii="宋体" w:hAnsi="宋体" w:eastAsia="宋体" w:cs="宋体"/>
          <w:b/>
          <w:color w:val="auto"/>
          <w:kern w:val="15"/>
          <w:sz w:val="24"/>
        </w:rPr>
        <w:t>1.3.1国家</w:t>
      </w:r>
      <w:r>
        <w:rPr>
          <w:rFonts w:hint="eastAsia" w:ascii="宋体" w:hAnsi="宋体" w:cs="宋体"/>
          <w:b/>
          <w:color w:val="auto"/>
          <w:kern w:val="15"/>
          <w:sz w:val="24"/>
          <w:lang w:eastAsia="zh-CN"/>
        </w:rPr>
        <w:t>法律法规</w:t>
      </w:r>
      <w:r>
        <w:rPr>
          <w:rFonts w:hint="eastAsia" w:ascii="宋体" w:hAnsi="宋体" w:eastAsia="宋体" w:cs="宋体"/>
          <w:b/>
          <w:color w:val="auto"/>
          <w:kern w:val="15"/>
          <w:sz w:val="24"/>
        </w:rPr>
        <w:t>及相关规范</w:t>
      </w:r>
      <w:bookmarkEnd w:id="120"/>
      <w:bookmarkEnd w:id="121"/>
      <w:bookmarkEnd w:id="122"/>
      <w:bookmarkEnd w:id="123"/>
      <w:bookmarkEnd w:id="124"/>
      <w:bookmarkEnd w:id="125"/>
    </w:p>
    <w:p w14:paraId="5C90006A">
      <w:pPr>
        <w:pStyle w:val="6"/>
        <w:pageBreakBefore w:val="0"/>
        <w:widowControl w:val="0"/>
        <w:kinsoku/>
        <w:wordWrap/>
        <w:overflowPunct/>
        <w:topLinePunct w:val="0"/>
        <w:bidi w:val="0"/>
        <w:adjustRightInd w:val="0"/>
        <w:snapToGrid w:val="0"/>
        <w:spacing w:line="360" w:lineRule="auto"/>
        <w:ind w:firstLine="480"/>
        <w:textAlignment w:val="auto"/>
        <w:rPr>
          <w:rFonts w:hint="eastAsia" w:ascii="宋体" w:hAnsi="宋体" w:eastAsia="宋体" w:cs="宋体"/>
          <w:color w:val="auto"/>
          <w:sz w:val="24"/>
        </w:rPr>
      </w:pPr>
      <w:r>
        <w:rPr>
          <w:rFonts w:hint="eastAsia" w:ascii="宋体" w:hAnsi="宋体" w:eastAsia="宋体" w:cs="宋体"/>
          <w:color w:val="auto"/>
          <w:sz w:val="24"/>
        </w:rPr>
        <w:t>(1)《中华人民共和国环境保护法》</w:t>
      </w:r>
      <w:r>
        <w:rPr>
          <w:rFonts w:hint="eastAsia" w:ascii="宋体" w:hAnsi="宋体" w:cs="宋体"/>
          <w:color w:val="auto"/>
          <w:sz w:val="24"/>
          <w:lang w:eastAsia="zh-CN"/>
        </w:rPr>
        <w:t>（</w:t>
      </w:r>
      <w:r>
        <w:rPr>
          <w:rFonts w:hint="eastAsia" w:ascii="宋体" w:hAnsi="宋体" w:eastAsia="宋体" w:cs="宋体"/>
          <w:color w:val="auto"/>
          <w:sz w:val="24"/>
        </w:rPr>
        <w:t>2014年4月24日修订，2015年1月1日起施行</w:t>
      </w:r>
      <w:r>
        <w:rPr>
          <w:rFonts w:hint="eastAsia" w:ascii="宋体" w:hAnsi="宋体" w:cs="宋体"/>
          <w:color w:val="auto"/>
          <w:sz w:val="24"/>
          <w:lang w:eastAsia="zh-CN"/>
        </w:rPr>
        <w:t>）</w:t>
      </w:r>
      <w:r>
        <w:rPr>
          <w:rFonts w:hint="eastAsia" w:ascii="宋体" w:hAnsi="宋体" w:eastAsia="宋体" w:cs="宋体"/>
          <w:color w:val="auto"/>
          <w:sz w:val="24"/>
        </w:rPr>
        <w:t>；</w:t>
      </w:r>
    </w:p>
    <w:p w14:paraId="4AD0FB8B">
      <w:pPr>
        <w:pStyle w:val="6"/>
        <w:pageBreakBefore w:val="0"/>
        <w:widowControl w:val="0"/>
        <w:kinsoku/>
        <w:wordWrap/>
        <w:overflowPunct/>
        <w:topLinePunct w:val="0"/>
        <w:bidi w:val="0"/>
        <w:adjustRightInd w:val="0"/>
        <w:snapToGrid w:val="0"/>
        <w:spacing w:line="360" w:lineRule="auto"/>
        <w:ind w:firstLine="480"/>
        <w:textAlignment w:val="auto"/>
        <w:rPr>
          <w:rFonts w:hint="eastAsia" w:ascii="宋体" w:hAnsi="宋体" w:eastAsia="宋体" w:cs="宋体"/>
          <w:color w:val="auto"/>
          <w:sz w:val="24"/>
        </w:rPr>
      </w:pPr>
      <w:r>
        <w:rPr>
          <w:rFonts w:hint="eastAsia" w:ascii="宋体" w:hAnsi="宋体" w:eastAsia="宋体" w:cs="宋体"/>
          <w:color w:val="auto"/>
          <w:sz w:val="24"/>
        </w:rPr>
        <w:t>(2)《中华人民共和国环境影响评价法》</w:t>
      </w:r>
      <w:r>
        <w:rPr>
          <w:rFonts w:hint="eastAsia" w:ascii="宋体" w:hAnsi="宋体" w:cs="宋体"/>
          <w:color w:val="auto"/>
          <w:sz w:val="24"/>
          <w:lang w:eastAsia="zh-CN"/>
        </w:rPr>
        <w:t>（</w:t>
      </w:r>
      <w:r>
        <w:rPr>
          <w:rFonts w:hint="eastAsia" w:ascii="宋体" w:hAnsi="宋体" w:eastAsia="宋体" w:cs="宋体"/>
          <w:color w:val="auto"/>
          <w:sz w:val="24"/>
        </w:rPr>
        <w:t>2018年12月29日修订并实施</w:t>
      </w:r>
      <w:r>
        <w:rPr>
          <w:rFonts w:hint="eastAsia" w:ascii="宋体" w:hAnsi="宋体" w:cs="宋体"/>
          <w:color w:val="auto"/>
          <w:sz w:val="24"/>
          <w:lang w:eastAsia="zh-CN"/>
        </w:rPr>
        <w:t>）</w:t>
      </w:r>
      <w:r>
        <w:rPr>
          <w:rFonts w:hint="eastAsia" w:ascii="宋体" w:hAnsi="宋体" w:eastAsia="宋体" w:cs="宋体"/>
          <w:color w:val="auto"/>
          <w:sz w:val="24"/>
        </w:rPr>
        <w:t>；</w:t>
      </w:r>
    </w:p>
    <w:p w14:paraId="40828A82">
      <w:pPr>
        <w:pStyle w:val="6"/>
        <w:pageBreakBefore w:val="0"/>
        <w:widowControl w:val="0"/>
        <w:kinsoku/>
        <w:wordWrap/>
        <w:overflowPunct/>
        <w:topLinePunct w:val="0"/>
        <w:bidi w:val="0"/>
        <w:adjustRightInd w:val="0"/>
        <w:snapToGrid w:val="0"/>
        <w:spacing w:line="360" w:lineRule="auto"/>
        <w:ind w:firstLine="480"/>
        <w:textAlignment w:val="auto"/>
        <w:rPr>
          <w:rFonts w:hint="eastAsia" w:ascii="宋体" w:hAnsi="宋体" w:eastAsia="宋体" w:cs="宋体"/>
          <w:color w:val="auto"/>
          <w:sz w:val="24"/>
        </w:rPr>
      </w:pPr>
      <w:r>
        <w:rPr>
          <w:rFonts w:hint="eastAsia" w:ascii="宋体" w:hAnsi="宋体" w:eastAsia="宋体" w:cs="宋体"/>
          <w:color w:val="auto"/>
          <w:sz w:val="24"/>
        </w:rPr>
        <w:t>(3)《建设项目环境保护管理条例》</w:t>
      </w:r>
      <w:r>
        <w:rPr>
          <w:rFonts w:hint="eastAsia" w:ascii="宋体" w:hAnsi="宋体" w:cs="宋体"/>
          <w:color w:val="auto"/>
          <w:sz w:val="24"/>
          <w:lang w:eastAsia="zh-CN"/>
        </w:rPr>
        <w:t>（</w:t>
      </w:r>
      <w:r>
        <w:rPr>
          <w:rFonts w:hint="eastAsia" w:ascii="宋体" w:hAnsi="宋体" w:eastAsia="宋体" w:cs="宋体"/>
          <w:color w:val="auto"/>
          <w:sz w:val="24"/>
        </w:rPr>
        <w:t>国务院令</w:t>
      </w:r>
      <w:r>
        <w:rPr>
          <w:rFonts w:hint="eastAsia" w:ascii="宋体" w:hAnsi="宋体" w:cs="宋体"/>
          <w:color w:val="auto"/>
          <w:sz w:val="24"/>
          <w:lang w:eastAsia="zh-CN"/>
        </w:rPr>
        <w:t>〔2017〕682号</w:t>
      </w:r>
      <w:r>
        <w:rPr>
          <w:rFonts w:hint="eastAsia" w:ascii="宋体" w:hAnsi="宋体" w:eastAsia="宋体" w:cs="宋体"/>
          <w:color w:val="auto"/>
          <w:sz w:val="24"/>
        </w:rPr>
        <w:t>，2017年6月21日修订，2017年10月1日起施行</w:t>
      </w:r>
      <w:r>
        <w:rPr>
          <w:rFonts w:hint="eastAsia" w:ascii="宋体" w:hAnsi="宋体" w:cs="宋体"/>
          <w:color w:val="auto"/>
          <w:sz w:val="24"/>
          <w:lang w:eastAsia="zh-CN"/>
        </w:rPr>
        <w:t>）</w:t>
      </w:r>
      <w:r>
        <w:rPr>
          <w:rFonts w:hint="eastAsia" w:ascii="宋体" w:hAnsi="宋体" w:eastAsia="宋体" w:cs="宋体"/>
          <w:color w:val="auto"/>
          <w:sz w:val="24"/>
        </w:rPr>
        <w:t>；</w:t>
      </w:r>
    </w:p>
    <w:p w14:paraId="5F0780DC">
      <w:pPr>
        <w:pStyle w:val="6"/>
        <w:pageBreakBefore w:val="0"/>
        <w:widowControl w:val="0"/>
        <w:kinsoku/>
        <w:wordWrap/>
        <w:overflowPunct/>
        <w:topLinePunct w:val="0"/>
        <w:bidi w:val="0"/>
        <w:adjustRightInd w:val="0"/>
        <w:snapToGrid w:val="0"/>
        <w:spacing w:line="360" w:lineRule="auto"/>
        <w:ind w:firstLine="480"/>
        <w:textAlignment w:val="auto"/>
        <w:rPr>
          <w:rFonts w:hint="eastAsia" w:ascii="宋体" w:hAnsi="宋体" w:eastAsia="宋体" w:cs="宋体"/>
          <w:color w:val="auto"/>
          <w:sz w:val="24"/>
        </w:rPr>
      </w:pPr>
      <w:r>
        <w:rPr>
          <w:rFonts w:hint="eastAsia" w:ascii="宋体" w:hAnsi="宋体" w:eastAsia="宋体" w:cs="宋体"/>
          <w:color w:val="auto"/>
          <w:sz w:val="24"/>
        </w:rPr>
        <w:t>(4)《建设项目环境影响评价分类管理名录</w:t>
      </w:r>
      <w:r>
        <w:rPr>
          <w:rFonts w:hint="eastAsia" w:ascii="宋体" w:hAnsi="宋体" w:cs="宋体"/>
          <w:color w:val="auto"/>
          <w:sz w:val="24"/>
          <w:lang w:eastAsia="zh-CN"/>
        </w:rPr>
        <w:t>（</w:t>
      </w:r>
      <w:r>
        <w:rPr>
          <w:rFonts w:hint="eastAsia" w:ascii="宋体" w:hAnsi="宋体" w:eastAsia="宋体" w:cs="宋体"/>
          <w:color w:val="auto"/>
          <w:sz w:val="24"/>
        </w:rPr>
        <w:t>2021年版</w:t>
      </w:r>
      <w:r>
        <w:rPr>
          <w:rFonts w:hint="eastAsia" w:ascii="宋体" w:hAnsi="宋体" w:cs="宋体"/>
          <w:color w:val="auto"/>
          <w:sz w:val="24"/>
          <w:lang w:eastAsia="zh-CN"/>
        </w:rPr>
        <w:t>）</w:t>
      </w:r>
      <w:r>
        <w:rPr>
          <w:rFonts w:hint="eastAsia" w:ascii="宋体" w:hAnsi="宋体" w:eastAsia="宋体" w:cs="宋体"/>
          <w:color w:val="auto"/>
          <w:sz w:val="24"/>
        </w:rPr>
        <w:t>》</w:t>
      </w:r>
      <w:r>
        <w:rPr>
          <w:rFonts w:hint="eastAsia" w:ascii="宋体" w:hAnsi="宋体" w:cs="宋体"/>
          <w:color w:val="auto"/>
          <w:sz w:val="24"/>
          <w:lang w:eastAsia="zh-CN"/>
        </w:rPr>
        <w:t>（</w:t>
      </w:r>
      <w:r>
        <w:rPr>
          <w:rFonts w:hint="eastAsia" w:ascii="宋体" w:hAnsi="宋体" w:eastAsia="宋体" w:cs="宋体"/>
          <w:color w:val="auto"/>
          <w:sz w:val="24"/>
        </w:rPr>
        <w:t>生态环境部令</w:t>
      </w:r>
      <w:r>
        <w:rPr>
          <w:rFonts w:hint="eastAsia" w:ascii="宋体" w:hAnsi="宋体" w:cs="宋体"/>
          <w:color w:val="auto"/>
          <w:sz w:val="24"/>
          <w:lang w:eastAsia="zh-CN"/>
        </w:rPr>
        <w:t>〔2020〕16号</w:t>
      </w:r>
      <w:r>
        <w:rPr>
          <w:rFonts w:hint="eastAsia" w:ascii="宋体" w:hAnsi="宋体" w:eastAsia="宋体" w:cs="宋体"/>
          <w:color w:val="auto"/>
          <w:sz w:val="24"/>
        </w:rPr>
        <w:t>，2021年1月1日</w:t>
      </w:r>
      <w:r>
        <w:rPr>
          <w:rFonts w:hint="eastAsia" w:ascii="宋体" w:hAnsi="宋体" w:cs="宋体"/>
          <w:color w:val="auto"/>
          <w:sz w:val="24"/>
          <w:lang w:eastAsia="zh-CN"/>
        </w:rPr>
        <w:t>）</w:t>
      </w:r>
      <w:r>
        <w:rPr>
          <w:rFonts w:hint="eastAsia" w:ascii="宋体" w:hAnsi="宋体" w:eastAsia="宋体" w:cs="宋体"/>
          <w:color w:val="auto"/>
          <w:sz w:val="24"/>
        </w:rPr>
        <w:t>；</w:t>
      </w:r>
    </w:p>
    <w:p w14:paraId="40EEB29F">
      <w:pPr>
        <w:pStyle w:val="6"/>
        <w:pageBreakBefore w:val="0"/>
        <w:widowControl w:val="0"/>
        <w:kinsoku/>
        <w:wordWrap/>
        <w:overflowPunct/>
        <w:topLinePunct w:val="0"/>
        <w:bidi w:val="0"/>
        <w:adjustRightInd w:val="0"/>
        <w:snapToGrid w:val="0"/>
        <w:spacing w:line="360" w:lineRule="auto"/>
        <w:ind w:firstLine="480"/>
        <w:textAlignment w:val="auto"/>
        <w:rPr>
          <w:rFonts w:hint="default" w:ascii="宋体" w:hAnsi="宋体" w:eastAsia="宋体" w:cs="宋体"/>
          <w:color w:val="auto"/>
          <w:sz w:val="24"/>
          <w:lang w:val="en-US"/>
        </w:rPr>
      </w:pPr>
      <w:r>
        <w:rPr>
          <w:rFonts w:hint="eastAsia" w:ascii="宋体" w:hAnsi="宋体" w:cs="宋体"/>
          <w:color w:val="auto"/>
          <w:sz w:val="24"/>
          <w:lang w:val="en-US" w:eastAsia="zh-CN"/>
        </w:rPr>
        <w:t>(5)《新疆维吾尔自治区建设项目环境影响评价文件分级审批目录（2024年本）》；</w:t>
      </w:r>
    </w:p>
    <w:p w14:paraId="7863FFA9">
      <w:pPr>
        <w:pStyle w:val="6"/>
        <w:pageBreakBefore w:val="0"/>
        <w:widowControl w:val="0"/>
        <w:kinsoku/>
        <w:wordWrap/>
        <w:overflowPunct/>
        <w:topLinePunct w:val="0"/>
        <w:bidi w:val="0"/>
        <w:adjustRightInd w:val="0"/>
        <w:snapToGrid w:val="0"/>
        <w:spacing w:line="360" w:lineRule="auto"/>
        <w:ind w:firstLine="480"/>
        <w:textAlignment w:val="auto"/>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cs="宋体"/>
          <w:color w:val="auto"/>
          <w:sz w:val="24"/>
          <w:lang w:val="en-US" w:eastAsia="zh-CN"/>
        </w:rPr>
        <w:t>6</w:t>
      </w:r>
      <w:r>
        <w:rPr>
          <w:rFonts w:hint="eastAsia" w:ascii="宋体" w:hAnsi="宋体" w:eastAsia="宋体" w:cs="宋体"/>
          <w:color w:val="auto"/>
          <w:sz w:val="24"/>
        </w:rPr>
        <w:t>)《建设项目环境影响报告表编制技术指南</w:t>
      </w:r>
      <w:r>
        <w:rPr>
          <w:rFonts w:hint="eastAsia" w:ascii="宋体" w:hAnsi="宋体" w:cs="宋体"/>
          <w:color w:val="auto"/>
          <w:sz w:val="24"/>
          <w:lang w:eastAsia="zh-CN"/>
        </w:rPr>
        <w:t>（</w:t>
      </w:r>
      <w:r>
        <w:rPr>
          <w:rFonts w:hint="eastAsia" w:ascii="宋体" w:hAnsi="宋体" w:eastAsia="宋体" w:cs="宋体"/>
          <w:color w:val="auto"/>
          <w:sz w:val="24"/>
        </w:rPr>
        <w:t>生态影响类</w:t>
      </w:r>
      <w:r>
        <w:rPr>
          <w:rFonts w:hint="eastAsia" w:ascii="宋体" w:hAnsi="宋体" w:cs="宋体"/>
          <w:color w:val="auto"/>
          <w:sz w:val="24"/>
          <w:lang w:eastAsia="zh-CN"/>
        </w:rPr>
        <w:t>）（</w:t>
      </w:r>
      <w:r>
        <w:rPr>
          <w:rFonts w:hint="eastAsia" w:ascii="宋体" w:hAnsi="宋体" w:eastAsia="宋体" w:cs="宋体"/>
          <w:color w:val="auto"/>
          <w:sz w:val="24"/>
        </w:rPr>
        <w:t>试行</w:t>
      </w:r>
      <w:r>
        <w:rPr>
          <w:rFonts w:hint="eastAsia" w:ascii="宋体" w:hAnsi="宋体" w:cs="宋体"/>
          <w:color w:val="auto"/>
          <w:sz w:val="24"/>
          <w:lang w:eastAsia="zh-CN"/>
        </w:rPr>
        <w:t>）</w:t>
      </w:r>
      <w:r>
        <w:rPr>
          <w:rFonts w:hint="eastAsia" w:ascii="宋体" w:hAnsi="宋体" w:eastAsia="宋体" w:cs="宋体"/>
          <w:color w:val="auto"/>
          <w:sz w:val="24"/>
        </w:rPr>
        <w:t>》</w:t>
      </w:r>
      <w:r>
        <w:rPr>
          <w:rFonts w:hint="eastAsia" w:ascii="宋体" w:hAnsi="宋体" w:cs="宋体"/>
          <w:color w:val="auto"/>
          <w:sz w:val="24"/>
          <w:lang w:eastAsia="zh-CN"/>
        </w:rPr>
        <w:t>（</w:t>
      </w:r>
      <w:r>
        <w:rPr>
          <w:rFonts w:hint="eastAsia" w:ascii="宋体" w:hAnsi="宋体" w:eastAsia="宋体" w:cs="宋体"/>
          <w:color w:val="auto"/>
          <w:sz w:val="24"/>
        </w:rPr>
        <w:t>环办环评〔2020〕33号，生态环境部办公厅2020年12月24日印发</w:t>
      </w:r>
      <w:r>
        <w:rPr>
          <w:rFonts w:hint="eastAsia" w:ascii="宋体" w:hAnsi="宋体" w:cs="宋体"/>
          <w:color w:val="auto"/>
          <w:sz w:val="24"/>
          <w:lang w:eastAsia="zh-CN"/>
        </w:rPr>
        <w:t>）</w:t>
      </w:r>
      <w:r>
        <w:rPr>
          <w:rFonts w:hint="eastAsia" w:ascii="宋体" w:hAnsi="宋体" w:eastAsia="宋体" w:cs="宋体"/>
          <w:color w:val="auto"/>
          <w:sz w:val="24"/>
        </w:rPr>
        <w:t>；</w:t>
      </w:r>
    </w:p>
    <w:p w14:paraId="55ABD568">
      <w:pPr>
        <w:pStyle w:val="6"/>
        <w:pageBreakBefore w:val="0"/>
        <w:widowControl w:val="0"/>
        <w:kinsoku/>
        <w:wordWrap/>
        <w:overflowPunct/>
        <w:topLinePunct w:val="0"/>
        <w:bidi w:val="0"/>
        <w:adjustRightInd w:val="0"/>
        <w:snapToGrid w:val="0"/>
        <w:spacing w:line="360" w:lineRule="auto"/>
        <w:ind w:firstLine="480"/>
        <w:textAlignment w:val="auto"/>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cs="宋体"/>
          <w:color w:val="auto"/>
          <w:sz w:val="24"/>
          <w:lang w:val="en-US" w:eastAsia="zh-CN"/>
        </w:rPr>
        <w:t>7</w:t>
      </w:r>
      <w:r>
        <w:rPr>
          <w:rFonts w:hint="eastAsia" w:ascii="宋体" w:hAnsi="宋体" w:eastAsia="宋体" w:cs="宋体"/>
          <w:color w:val="auto"/>
          <w:sz w:val="24"/>
        </w:rPr>
        <w:t>)《关于进一步加强输变电类建设项目环境保护监管工作的通知》</w:t>
      </w:r>
      <w:r>
        <w:rPr>
          <w:rFonts w:hint="eastAsia" w:ascii="宋体" w:hAnsi="宋体" w:cs="宋体"/>
          <w:color w:val="auto"/>
          <w:sz w:val="24"/>
          <w:lang w:eastAsia="zh-CN"/>
        </w:rPr>
        <w:t>（</w:t>
      </w:r>
      <w:r>
        <w:rPr>
          <w:rFonts w:hint="eastAsia" w:ascii="宋体" w:hAnsi="宋体" w:eastAsia="宋体" w:cs="宋体"/>
          <w:color w:val="auto"/>
          <w:sz w:val="24"/>
        </w:rPr>
        <w:t>环办〔2012〕131号，2012年10月26日起施行</w:t>
      </w:r>
      <w:r>
        <w:rPr>
          <w:rFonts w:hint="eastAsia" w:ascii="宋体" w:hAnsi="宋体" w:cs="宋体"/>
          <w:color w:val="auto"/>
          <w:sz w:val="24"/>
          <w:lang w:eastAsia="zh-CN"/>
        </w:rPr>
        <w:t>）</w:t>
      </w:r>
      <w:r>
        <w:rPr>
          <w:rFonts w:hint="eastAsia" w:ascii="宋体" w:hAnsi="宋体" w:eastAsia="宋体" w:cs="宋体"/>
          <w:color w:val="auto"/>
          <w:sz w:val="24"/>
        </w:rPr>
        <w:t>；</w:t>
      </w:r>
    </w:p>
    <w:p w14:paraId="0F0B97E1">
      <w:pPr>
        <w:pStyle w:val="6"/>
        <w:pageBreakBefore w:val="0"/>
        <w:widowControl w:val="0"/>
        <w:kinsoku/>
        <w:wordWrap/>
        <w:overflowPunct/>
        <w:topLinePunct w:val="0"/>
        <w:bidi w:val="0"/>
        <w:adjustRightInd w:val="0"/>
        <w:snapToGrid w:val="0"/>
        <w:spacing w:line="360" w:lineRule="auto"/>
        <w:ind w:firstLine="480"/>
        <w:textAlignment w:val="auto"/>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cs="宋体"/>
          <w:color w:val="auto"/>
          <w:sz w:val="24"/>
          <w:lang w:val="en-US" w:eastAsia="zh-CN"/>
        </w:rPr>
        <w:t>8</w:t>
      </w:r>
      <w:r>
        <w:rPr>
          <w:rFonts w:hint="eastAsia" w:ascii="宋体" w:hAnsi="宋体" w:eastAsia="宋体" w:cs="宋体"/>
          <w:color w:val="auto"/>
          <w:sz w:val="24"/>
        </w:rPr>
        <w:t>)《新疆维吾尔自治区环境保护条例》</w:t>
      </w:r>
      <w:r>
        <w:rPr>
          <w:rFonts w:hint="eastAsia" w:ascii="宋体" w:hAnsi="宋体" w:cs="宋体"/>
          <w:color w:val="auto"/>
          <w:sz w:val="24"/>
          <w:lang w:eastAsia="zh-CN"/>
        </w:rPr>
        <w:t>（</w:t>
      </w:r>
      <w:r>
        <w:rPr>
          <w:rFonts w:hint="eastAsia" w:ascii="宋体" w:hAnsi="宋体" w:eastAsia="宋体" w:cs="宋体"/>
          <w:color w:val="auto"/>
          <w:sz w:val="24"/>
        </w:rPr>
        <w:t>2018年9月21日修订并实施</w:t>
      </w:r>
      <w:r>
        <w:rPr>
          <w:rFonts w:hint="eastAsia" w:ascii="宋体" w:hAnsi="宋体" w:cs="宋体"/>
          <w:color w:val="auto"/>
          <w:sz w:val="24"/>
          <w:lang w:eastAsia="zh-CN"/>
        </w:rPr>
        <w:t>）</w:t>
      </w:r>
      <w:r>
        <w:rPr>
          <w:rFonts w:hint="eastAsia" w:ascii="宋体" w:hAnsi="宋体" w:eastAsia="宋体" w:cs="宋体"/>
          <w:color w:val="auto"/>
          <w:sz w:val="24"/>
        </w:rPr>
        <w:t>；</w:t>
      </w:r>
    </w:p>
    <w:p w14:paraId="06580060">
      <w:pPr>
        <w:pStyle w:val="6"/>
        <w:pageBreakBefore w:val="0"/>
        <w:widowControl w:val="0"/>
        <w:kinsoku/>
        <w:wordWrap/>
        <w:overflowPunct/>
        <w:topLinePunct w:val="0"/>
        <w:bidi w:val="0"/>
        <w:adjustRightInd w:val="0"/>
        <w:snapToGrid w:val="0"/>
        <w:spacing w:line="360" w:lineRule="auto"/>
        <w:ind w:firstLine="480"/>
        <w:textAlignment w:val="auto"/>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cs="宋体"/>
          <w:color w:val="auto"/>
          <w:sz w:val="24"/>
          <w:lang w:val="en-US" w:eastAsia="zh-CN"/>
        </w:rPr>
        <w:t>9</w:t>
      </w:r>
      <w:r>
        <w:rPr>
          <w:rFonts w:hint="eastAsia" w:ascii="宋体" w:hAnsi="宋体" w:eastAsia="宋体" w:cs="宋体"/>
          <w:color w:val="auto"/>
          <w:sz w:val="24"/>
        </w:rPr>
        <w:t>)《新疆维吾尔自治区辐射污染防治办法》</w:t>
      </w:r>
      <w:r>
        <w:rPr>
          <w:rFonts w:hint="eastAsia" w:ascii="宋体" w:hAnsi="宋体" w:cs="宋体"/>
          <w:color w:val="auto"/>
          <w:sz w:val="24"/>
          <w:lang w:eastAsia="zh-CN"/>
        </w:rPr>
        <w:t>（</w:t>
      </w:r>
      <w:r>
        <w:rPr>
          <w:rFonts w:hint="eastAsia" w:ascii="宋体" w:hAnsi="宋体" w:eastAsia="宋体" w:cs="宋体"/>
          <w:color w:val="auto"/>
          <w:sz w:val="24"/>
        </w:rPr>
        <w:t>政府令192号，2015年7月1日实施</w:t>
      </w:r>
      <w:r>
        <w:rPr>
          <w:rFonts w:hint="eastAsia" w:ascii="宋体" w:hAnsi="宋体" w:cs="宋体"/>
          <w:color w:val="auto"/>
          <w:sz w:val="24"/>
          <w:lang w:eastAsia="zh-CN"/>
        </w:rPr>
        <w:t>）</w:t>
      </w:r>
      <w:r>
        <w:rPr>
          <w:rFonts w:hint="eastAsia" w:ascii="宋体" w:hAnsi="宋体" w:eastAsia="宋体" w:cs="宋体"/>
          <w:color w:val="auto"/>
          <w:sz w:val="24"/>
        </w:rPr>
        <w:t>。</w:t>
      </w:r>
    </w:p>
    <w:p w14:paraId="39DCBA71">
      <w:pPr>
        <w:pageBreakBefore w:val="0"/>
        <w:widowControl w:val="0"/>
        <w:kinsoku/>
        <w:wordWrap/>
        <w:overflowPunct/>
        <w:topLinePunct w:val="0"/>
        <w:bidi w:val="0"/>
        <w:adjustRightInd w:val="0"/>
        <w:snapToGrid w:val="0"/>
        <w:spacing w:line="360" w:lineRule="auto"/>
        <w:textAlignment w:val="auto"/>
        <w:outlineLvl w:val="2"/>
        <w:rPr>
          <w:rFonts w:hint="eastAsia" w:ascii="宋体" w:hAnsi="宋体" w:eastAsia="宋体" w:cs="宋体"/>
          <w:b/>
          <w:color w:val="auto"/>
          <w:kern w:val="15"/>
          <w:sz w:val="24"/>
        </w:rPr>
      </w:pPr>
      <w:bookmarkStart w:id="126" w:name="_Toc19887"/>
      <w:bookmarkStart w:id="127" w:name="_Toc31163"/>
      <w:bookmarkStart w:id="128" w:name="_Toc10685"/>
      <w:bookmarkStart w:id="129" w:name="_Toc13594"/>
      <w:bookmarkStart w:id="130" w:name="_Toc75713159"/>
      <w:bookmarkStart w:id="131" w:name="_Toc67826180"/>
      <w:r>
        <w:rPr>
          <w:rFonts w:hint="eastAsia" w:ascii="宋体" w:hAnsi="宋体" w:eastAsia="宋体" w:cs="宋体"/>
          <w:b/>
          <w:color w:val="auto"/>
          <w:kern w:val="15"/>
          <w:sz w:val="24"/>
        </w:rPr>
        <w:t>1.3.2相关技术规范、导则</w:t>
      </w:r>
      <w:bookmarkEnd w:id="126"/>
      <w:bookmarkEnd w:id="127"/>
      <w:bookmarkEnd w:id="128"/>
      <w:bookmarkEnd w:id="129"/>
      <w:bookmarkEnd w:id="130"/>
      <w:bookmarkEnd w:id="131"/>
    </w:p>
    <w:p w14:paraId="6A0D8127">
      <w:pPr>
        <w:pStyle w:val="6"/>
        <w:pageBreakBefore w:val="0"/>
        <w:widowControl w:val="0"/>
        <w:kinsoku/>
        <w:wordWrap/>
        <w:overflowPunct/>
        <w:topLinePunct w:val="0"/>
        <w:bidi w:val="0"/>
        <w:adjustRightInd w:val="0"/>
        <w:snapToGrid w:val="0"/>
        <w:spacing w:line="360" w:lineRule="auto"/>
        <w:ind w:firstLine="480"/>
        <w:textAlignment w:val="auto"/>
        <w:rPr>
          <w:rFonts w:hint="eastAsia" w:ascii="宋体" w:hAnsi="宋体" w:eastAsia="宋体" w:cs="宋体"/>
          <w:color w:val="auto"/>
          <w:sz w:val="24"/>
        </w:rPr>
      </w:pPr>
      <w:r>
        <w:rPr>
          <w:rFonts w:hint="eastAsia" w:ascii="宋体" w:hAnsi="宋体" w:eastAsia="宋体" w:cs="宋体"/>
          <w:color w:val="auto"/>
          <w:sz w:val="24"/>
        </w:rPr>
        <w:t>(1)《建设项目环境影响评价技术导则</w:t>
      </w:r>
      <w:r>
        <w:rPr>
          <w:rFonts w:hint="eastAsia" w:ascii="宋体" w:hAnsi="宋体" w:cs="宋体"/>
          <w:color w:val="auto"/>
          <w:sz w:val="24"/>
          <w:lang w:val="en-US" w:eastAsia="zh-CN"/>
        </w:rPr>
        <w:t xml:space="preserve"> </w:t>
      </w:r>
      <w:r>
        <w:rPr>
          <w:rFonts w:hint="eastAsia" w:ascii="宋体" w:hAnsi="宋体" w:eastAsia="宋体" w:cs="宋体"/>
          <w:color w:val="auto"/>
          <w:sz w:val="24"/>
        </w:rPr>
        <w:t>总纲》(HJ2.1-2016)；</w:t>
      </w:r>
    </w:p>
    <w:p w14:paraId="5D85ECD3">
      <w:pPr>
        <w:pStyle w:val="6"/>
        <w:pageBreakBefore w:val="0"/>
        <w:widowControl w:val="0"/>
        <w:kinsoku/>
        <w:wordWrap/>
        <w:overflowPunct/>
        <w:topLinePunct w:val="0"/>
        <w:bidi w:val="0"/>
        <w:adjustRightInd w:val="0"/>
        <w:snapToGrid w:val="0"/>
        <w:spacing w:line="360" w:lineRule="auto"/>
        <w:ind w:firstLine="480"/>
        <w:textAlignment w:val="auto"/>
        <w:rPr>
          <w:rFonts w:hint="eastAsia" w:ascii="宋体" w:hAnsi="宋体" w:eastAsia="宋体" w:cs="宋体"/>
          <w:color w:val="auto"/>
          <w:sz w:val="24"/>
        </w:rPr>
      </w:pPr>
      <w:r>
        <w:rPr>
          <w:rFonts w:hint="eastAsia" w:ascii="宋体" w:hAnsi="宋体" w:eastAsia="宋体" w:cs="宋体"/>
          <w:color w:val="auto"/>
          <w:sz w:val="24"/>
        </w:rPr>
        <w:t>(2)《环境影响评价技术导则</w:t>
      </w:r>
      <w:r>
        <w:rPr>
          <w:rFonts w:hint="eastAsia" w:ascii="宋体" w:hAnsi="宋体" w:cs="宋体"/>
          <w:color w:val="auto"/>
          <w:sz w:val="24"/>
          <w:lang w:val="en-US" w:eastAsia="zh-CN"/>
        </w:rPr>
        <w:t xml:space="preserve"> </w:t>
      </w:r>
      <w:r>
        <w:rPr>
          <w:rFonts w:hint="eastAsia" w:ascii="宋体" w:hAnsi="宋体" w:eastAsia="宋体" w:cs="宋体"/>
          <w:color w:val="auto"/>
          <w:sz w:val="24"/>
        </w:rPr>
        <w:t>输变电》(HJ24-2020)；</w:t>
      </w:r>
    </w:p>
    <w:p w14:paraId="45839314">
      <w:pPr>
        <w:pStyle w:val="6"/>
        <w:pageBreakBefore w:val="0"/>
        <w:widowControl w:val="0"/>
        <w:kinsoku/>
        <w:wordWrap/>
        <w:overflowPunct/>
        <w:topLinePunct w:val="0"/>
        <w:bidi w:val="0"/>
        <w:adjustRightInd w:val="0"/>
        <w:snapToGrid w:val="0"/>
        <w:spacing w:line="360" w:lineRule="auto"/>
        <w:ind w:firstLine="480"/>
        <w:textAlignment w:val="auto"/>
        <w:rPr>
          <w:rFonts w:hint="eastAsia" w:ascii="宋体" w:hAnsi="宋体" w:eastAsia="宋体" w:cs="宋体"/>
          <w:color w:val="auto"/>
          <w:sz w:val="24"/>
        </w:rPr>
      </w:pPr>
      <w:r>
        <w:rPr>
          <w:rFonts w:hint="eastAsia" w:ascii="宋体" w:hAnsi="宋体" w:eastAsia="宋体" w:cs="宋体"/>
          <w:color w:val="auto"/>
          <w:sz w:val="24"/>
        </w:rPr>
        <w:t>(3)《电磁环境控制限值》(GB8702-2014)；</w:t>
      </w:r>
    </w:p>
    <w:p w14:paraId="701266AB">
      <w:pPr>
        <w:pStyle w:val="6"/>
        <w:pageBreakBefore w:val="0"/>
        <w:widowControl w:val="0"/>
        <w:kinsoku/>
        <w:wordWrap/>
        <w:overflowPunct/>
        <w:topLinePunct w:val="0"/>
        <w:bidi w:val="0"/>
        <w:adjustRightInd w:val="0"/>
        <w:snapToGrid w:val="0"/>
        <w:spacing w:line="360" w:lineRule="auto"/>
        <w:ind w:firstLine="480"/>
        <w:textAlignment w:val="auto"/>
        <w:rPr>
          <w:rFonts w:hint="eastAsia" w:ascii="宋体" w:hAnsi="宋体" w:eastAsia="宋体" w:cs="宋体"/>
          <w:color w:val="auto"/>
          <w:sz w:val="24"/>
        </w:rPr>
      </w:pPr>
      <w:r>
        <w:rPr>
          <w:rFonts w:hint="eastAsia" w:ascii="宋体" w:hAnsi="宋体" w:eastAsia="宋体" w:cs="宋体"/>
          <w:color w:val="auto"/>
          <w:sz w:val="24"/>
        </w:rPr>
        <w:t>(4)《交流输变电工程电磁环境监测方法</w:t>
      </w:r>
      <w:r>
        <w:rPr>
          <w:rFonts w:hint="eastAsia" w:ascii="宋体" w:hAnsi="宋体" w:cs="宋体"/>
          <w:color w:val="auto"/>
          <w:sz w:val="24"/>
          <w:lang w:eastAsia="zh-CN"/>
        </w:rPr>
        <w:t>（</w:t>
      </w:r>
      <w:r>
        <w:rPr>
          <w:rFonts w:hint="eastAsia" w:ascii="宋体" w:hAnsi="宋体" w:eastAsia="宋体" w:cs="宋体"/>
          <w:color w:val="auto"/>
          <w:sz w:val="24"/>
        </w:rPr>
        <w:t>试行</w:t>
      </w:r>
      <w:r>
        <w:rPr>
          <w:rFonts w:hint="eastAsia" w:ascii="宋体" w:hAnsi="宋体" w:cs="宋体"/>
          <w:color w:val="auto"/>
          <w:sz w:val="24"/>
          <w:lang w:eastAsia="zh-CN"/>
        </w:rPr>
        <w:t>）</w:t>
      </w:r>
      <w:r>
        <w:rPr>
          <w:rFonts w:hint="eastAsia" w:ascii="宋体" w:hAnsi="宋体" w:eastAsia="宋体" w:cs="宋体"/>
          <w:color w:val="auto"/>
          <w:sz w:val="24"/>
        </w:rPr>
        <w:t>》(HJ681-2013)；</w:t>
      </w:r>
    </w:p>
    <w:p w14:paraId="35FD2F3F">
      <w:pPr>
        <w:pStyle w:val="6"/>
        <w:pageBreakBefore w:val="0"/>
        <w:widowControl w:val="0"/>
        <w:kinsoku/>
        <w:wordWrap/>
        <w:overflowPunct/>
        <w:topLinePunct w:val="0"/>
        <w:bidi w:val="0"/>
        <w:adjustRightInd w:val="0"/>
        <w:snapToGrid w:val="0"/>
        <w:spacing w:line="360" w:lineRule="auto"/>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rPr>
        <w:t>(</w:t>
      </w:r>
      <w:r>
        <w:rPr>
          <w:rFonts w:hint="eastAsia" w:ascii="宋体" w:hAnsi="宋体" w:eastAsia="宋体" w:cs="宋体"/>
          <w:color w:val="auto"/>
          <w:sz w:val="24"/>
          <w:lang w:val="en-US" w:eastAsia="zh-CN"/>
        </w:rPr>
        <w:t>5</w:t>
      </w:r>
      <w:r>
        <w:rPr>
          <w:rFonts w:hint="eastAsia" w:ascii="宋体" w:hAnsi="宋体" w:eastAsia="宋体" w:cs="宋体"/>
          <w:color w:val="auto"/>
          <w:sz w:val="24"/>
        </w:rPr>
        <w:t>)</w:t>
      </w:r>
      <w:r>
        <w:rPr>
          <w:rFonts w:hint="eastAsia" w:ascii="宋体" w:hAnsi="宋体" w:eastAsia="宋体" w:cs="宋体"/>
          <w:color w:val="auto"/>
          <w:sz w:val="24"/>
          <w:highlight w:val="none"/>
        </w:rPr>
        <w:t>《输变电建设项目环境保护技术要求》(HJ1113-2020)。</w:t>
      </w:r>
    </w:p>
    <w:p w14:paraId="51E8920D">
      <w:pPr>
        <w:pageBreakBefore w:val="0"/>
        <w:widowControl w:val="0"/>
        <w:kinsoku/>
        <w:wordWrap/>
        <w:overflowPunct/>
        <w:topLinePunct w:val="0"/>
        <w:bidi w:val="0"/>
        <w:adjustRightInd w:val="0"/>
        <w:snapToGrid w:val="0"/>
        <w:spacing w:line="360" w:lineRule="auto"/>
        <w:textAlignment w:val="auto"/>
        <w:outlineLvl w:val="2"/>
        <w:rPr>
          <w:rFonts w:hint="eastAsia" w:ascii="宋体" w:hAnsi="宋体" w:eastAsia="宋体" w:cs="宋体"/>
          <w:b/>
          <w:color w:val="auto"/>
          <w:kern w:val="15"/>
          <w:sz w:val="24"/>
          <w:highlight w:val="none"/>
        </w:rPr>
      </w:pPr>
      <w:bookmarkStart w:id="132" w:name="_Toc32181"/>
      <w:bookmarkStart w:id="133" w:name="_Toc10733"/>
      <w:bookmarkStart w:id="134" w:name="_Toc11183"/>
      <w:bookmarkStart w:id="135" w:name="_Toc75713160"/>
      <w:bookmarkStart w:id="136" w:name="_Toc67826181"/>
      <w:bookmarkStart w:id="137" w:name="_Toc1815"/>
      <w:r>
        <w:rPr>
          <w:rFonts w:hint="eastAsia" w:ascii="宋体" w:hAnsi="宋体" w:eastAsia="宋体" w:cs="宋体"/>
          <w:b/>
          <w:color w:val="auto"/>
          <w:kern w:val="15"/>
          <w:sz w:val="24"/>
          <w:highlight w:val="none"/>
        </w:rPr>
        <w:t>1.3.3技术文件和技术资料</w:t>
      </w:r>
      <w:bookmarkEnd w:id="132"/>
      <w:bookmarkEnd w:id="133"/>
      <w:bookmarkEnd w:id="134"/>
      <w:bookmarkEnd w:id="135"/>
      <w:bookmarkEnd w:id="136"/>
      <w:bookmarkEnd w:id="137"/>
    </w:p>
    <w:p w14:paraId="5F32B8BC">
      <w:pPr>
        <w:pageBreakBefore w:val="0"/>
        <w:widowControl w:val="0"/>
        <w:kinsoku/>
        <w:wordWrap/>
        <w:overflowPunct/>
        <w:topLinePunct w:val="0"/>
        <w:bidi w:val="0"/>
        <w:adjustRightInd w:val="0"/>
        <w:snapToGrid w:val="0"/>
        <w:spacing w:line="360" w:lineRule="auto"/>
        <w:ind w:firstLine="600" w:firstLineChars="25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cs="宋体"/>
          <w:color w:val="auto"/>
          <w:sz w:val="24"/>
          <w:highlight w:val="none"/>
          <w:lang w:val="en-US" w:eastAsia="zh-CN"/>
        </w:rPr>
        <w:t>华电鄯善煤电灵活性改造配套风电项目220kV送出线路</w:t>
      </w:r>
      <w:r>
        <w:rPr>
          <w:rFonts w:hint="eastAsia" w:ascii="宋体" w:hAnsi="宋体" w:eastAsia="宋体" w:cs="宋体"/>
          <w:color w:val="auto"/>
          <w:sz w:val="24"/>
          <w:highlight w:val="none"/>
        </w:rPr>
        <w:t>可行性研究报告》</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新疆新能源研究院有限责任公司，2025年1月）</w:t>
      </w:r>
      <w:r>
        <w:rPr>
          <w:rFonts w:hint="eastAsia" w:ascii="宋体" w:hAnsi="宋体" w:eastAsia="宋体" w:cs="宋体"/>
          <w:color w:val="auto"/>
          <w:sz w:val="24"/>
          <w:highlight w:val="none"/>
        </w:rPr>
        <w:t>。</w:t>
      </w:r>
    </w:p>
    <w:p w14:paraId="7388BCDE">
      <w:pPr>
        <w:pageBreakBefore w:val="0"/>
        <w:widowControl w:val="0"/>
        <w:kinsoku/>
        <w:wordWrap/>
        <w:overflowPunct/>
        <w:topLinePunct w:val="0"/>
        <w:bidi w:val="0"/>
        <w:adjustRightInd w:val="0"/>
        <w:snapToGrid w:val="0"/>
        <w:spacing w:line="360" w:lineRule="auto"/>
        <w:ind w:firstLine="600" w:firstLineChars="250"/>
        <w:textAlignment w:val="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(2)《华电鄯善煤电灵活性改造配套风电项目220千伏升压站可行性研究报告》（新疆新能源研究院有限责任公司，2024年8月）。</w:t>
      </w:r>
    </w:p>
    <w:p w14:paraId="7643FA10">
      <w:pPr>
        <w:pStyle w:val="3"/>
        <w:pageBreakBefore w:val="0"/>
        <w:widowControl w:val="0"/>
        <w:kinsoku/>
        <w:wordWrap/>
        <w:overflowPunct/>
        <w:topLinePunct w:val="0"/>
        <w:bidi w:val="0"/>
        <w:adjustRightInd w:val="0"/>
        <w:snapToGrid w:val="0"/>
        <w:spacing w:before="0" w:beforeLines="0" w:after="0" w:afterLines="0" w:line="360" w:lineRule="auto"/>
        <w:textAlignment w:val="auto"/>
        <w:rPr>
          <w:rFonts w:hint="eastAsia" w:ascii="宋体" w:hAnsi="宋体" w:eastAsia="宋体" w:cs="宋体"/>
          <w:color w:val="auto"/>
          <w:sz w:val="28"/>
          <w:szCs w:val="28"/>
        </w:rPr>
      </w:pPr>
      <w:bookmarkStart w:id="138" w:name="_Toc21915"/>
      <w:bookmarkStart w:id="139" w:name="_Toc11811"/>
      <w:bookmarkStart w:id="140" w:name="_Toc19137"/>
      <w:bookmarkStart w:id="141" w:name="_Toc5877"/>
      <w:bookmarkStart w:id="142" w:name="_Toc75713161"/>
      <w:bookmarkStart w:id="143" w:name="_Toc27924"/>
      <w:bookmarkStart w:id="144" w:name="_Toc20614"/>
      <w:bookmarkStart w:id="145" w:name="_Toc5727"/>
      <w:r>
        <w:rPr>
          <w:rFonts w:hint="eastAsia" w:ascii="宋体" w:hAnsi="宋体" w:eastAsia="宋体" w:cs="宋体"/>
          <w:color w:val="auto"/>
          <w:sz w:val="28"/>
          <w:szCs w:val="28"/>
        </w:rPr>
        <w:t>1.4评价因子、评价等级、评价范围、评价方法</w:t>
      </w:r>
      <w:bookmarkEnd w:id="138"/>
      <w:bookmarkEnd w:id="139"/>
      <w:bookmarkEnd w:id="140"/>
      <w:bookmarkEnd w:id="141"/>
      <w:bookmarkEnd w:id="142"/>
      <w:bookmarkEnd w:id="143"/>
      <w:bookmarkEnd w:id="144"/>
      <w:bookmarkEnd w:id="145"/>
    </w:p>
    <w:p w14:paraId="0BD90CFD">
      <w:pPr>
        <w:widowControl w:val="0"/>
        <w:adjustRightInd w:val="0"/>
        <w:snapToGrid w:val="0"/>
        <w:spacing w:line="360" w:lineRule="auto"/>
        <w:ind w:firstLine="480" w:firstLineChars="200"/>
        <w:jc w:val="both"/>
        <w:rPr>
          <w:rFonts w:hint="eastAsia" w:ascii="宋体" w:hAnsi="宋体" w:eastAsia="宋体" w:cs="Calibri"/>
          <w:color w:val="auto"/>
          <w:kern w:val="2"/>
          <w:sz w:val="24"/>
          <w:szCs w:val="21"/>
          <w:lang w:val="en-US" w:eastAsia="zh-CN" w:bidi="ar-SA"/>
        </w:rPr>
      </w:pPr>
      <w:r>
        <w:rPr>
          <w:rFonts w:hint="eastAsia" w:ascii="宋体" w:hAnsi="宋体" w:cs="Calibri"/>
          <w:color w:val="auto"/>
          <w:kern w:val="2"/>
          <w:sz w:val="24"/>
          <w:szCs w:val="21"/>
          <w:lang w:val="en-US" w:eastAsia="zh-CN" w:bidi="ar-SA"/>
        </w:rPr>
        <w:t>（</w:t>
      </w:r>
      <w:r>
        <w:rPr>
          <w:rFonts w:hint="eastAsia" w:ascii="宋体" w:hAnsi="宋体" w:eastAsia="宋体" w:cs="Calibri"/>
          <w:color w:val="auto"/>
          <w:kern w:val="2"/>
          <w:sz w:val="24"/>
          <w:szCs w:val="21"/>
          <w:lang w:val="en-US" w:eastAsia="zh-CN" w:bidi="ar-SA"/>
        </w:rPr>
        <w:t>1</w:t>
      </w:r>
      <w:r>
        <w:rPr>
          <w:rFonts w:hint="eastAsia" w:ascii="宋体" w:hAnsi="宋体" w:cs="Calibri"/>
          <w:color w:val="auto"/>
          <w:kern w:val="2"/>
          <w:sz w:val="24"/>
          <w:szCs w:val="21"/>
          <w:lang w:val="en-US" w:eastAsia="zh-CN" w:bidi="ar-SA"/>
        </w:rPr>
        <w:t>）</w:t>
      </w:r>
      <w:r>
        <w:rPr>
          <w:rFonts w:hint="eastAsia" w:ascii="宋体" w:hAnsi="宋体" w:eastAsia="宋体" w:cs="Calibri"/>
          <w:color w:val="auto"/>
          <w:kern w:val="2"/>
          <w:sz w:val="24"/>
          <w:szCs w:val="21"/>
          <w:lang w:val="en-US" w:eastAsia="zh-CN" w:bidi="ar-SA"/>
        </w:rPr>
        <w:t>评价因子</w:t>
      </w:r>
    </w:p>
    <w:p w14:paraId="55E1DA4D">
      <w:pPr>
        <w:widowControl w:val="0"/>
        <w:adjustRightInd w:val="0"/>
        <w:snapToGrid w:val="0"/>
        <w:spacing w:line="360" w:lineRule="auto"/>
        <w:ind w:firstLine="480" w:firstLineChars="200"/>
        <w:jc w:val="both"/>
        <w:rPr>
          <w:rFonts w:hint="eastAsia" w:ascii="宋体" w:hAnsi="宋体" w:eastAsia="宋体" w:cs="Calibri"/>
          <w:color w:val="auto"/>
          <w:kern w:val="2"/>
          <w:sz w:val="24"/>
          <w:szCs w:val="21"/>
          <w:lang w:val="en-US" w:eastAsia="zh-CN" w:bidi="ar-SA"/>
        </w:rPr>
      </w:pPr>
      <w:r>
        <w:rPr>
          <w:rFonts w:hint="eastAsia" w:ascii="宋体" w:hAnsi="宋体" w:eastAsia="宋体" w:cs="Calibri"/>
          <w:color w:val="auto"/>
          <w:kern w:val="2"/>
          <w:sz w:val="24"/>
          <w:szCs w:val="21"/>
          <w:lang w:val="en-US" w:eastAsia="zh-CN" w:bidi="ar-SA"/>
        </w:rPr>
        <w:t>本项目为输变电类项目，运行过程中会对周围电磁环境产生影响，其主要污染因子为工频电场和工频磁场，因此，选择工频电场和工频磁场作为本专题评价因子。</w:t>
      </w:r>
    </w:p>
    <w:p w14:paraId="21885BB0">
      <w:pPr>
        <w:widowControl w:val="0"/>
        <w:adjustRightInd w:val="0"/>
        <w:snapToGrid w:val="0"/>
        <w:spacing w:line="360" w:lineRule="auto"/>
        <w:ind w:firstLine="480" w:firstLineChars="200"/>
        <w:jc w:val="both"/>
        <w:rPr>
          <w:rFonts w:hint="eastAsia" w:ascii="宋体" w:hAnsi="宋体" w:eastAsia="宋体" w:cs="Calibri"/>
          <w:color w:val="auto"/>
          <w:kern w:val="2"/>
          <w:sz w:val="24"/>
          <w:szCs w:val="21"/>
          <w:lang w:val="en-US" w:eastAsia="zh-CN" w:bidi="ar-SA"/>
        </w:rPr>
      </w:pPr>
      <w:r>
        <w:rPr>
          <w:rFonts w:hint="eastAsia" w:ascii="宋体" w:hAnsi="宋体" w:cs="Calibri"/>
          <w:color w:val="auto"/>
          <w:kern w:val="2"/>
          <w:sz w:val="24"/>
          <w:szCs w:val="21"/>
          <w:lang w:val="en-US" w:eastAsia="zh-CN" w:bidi="ar-SA"/>
        </w:rPr>
        <w:t>（</w:t>
      </w:r>
      <w:r>
        <w:rPr>
          <w:rFonts w:hint="eastAsia" w:ascii="宋体" w:hAnsi="宋体" w:eastAsia="宋体" w:cs="Calibri"/>
          <w:color w:val="auto"/>
          <w:kern w:val="2"/>
          <w:sz w:val="24"/>
          <w:szCs w:val="21"/>
          <w:lang w:val="en-US" w:eastAsia="zh-CN" w:bidi="ar-SA"/>
        </w:rPr>
        <w:t>2</w:t>
      </w:r>
      <w:r>
        <w:rPr>
          <w:rFonts w:hint="eastAsia" w:ascii="宋体" w:hAnsi="宋体" w:cs="Calibri"/>
          <w:color w:val="auto"/>
          <w:kern w:val="2"/>
          <w:sz w:val="24"/>
          <w:szCs w:val="21"/>
          <w:lang w:val="en-US" w:eastAsia="zh-CN" w:bidi="ar-SA"/>
        </w:rPr>
        <w:t>）</w:t>
      </w:r>
      <w:r>
        <w:rPr>
          <w:rFonts w:hint="eastAsia" w:ascii="宋体" w:hAnsi="宋体" w:eastAsia="宋体" w:cs="Calibri"/>
          <w:color w:val="auto"/>
          <w:kern w:val="2"/>
          <w:sz w:val="24"/>
          <w:szCs w:val="21"/>
          <w:lang w:val="en-US" w:eastAsia="zh-CN" w:bidi="ar-SA"/>
        </w:rPr>
        <w:t>评价等级</w:t>
      </w:r>
    </w:p>
    <w:p w14:paraId="7139E7CE">
      <w:pPr>
        <w:adjustRightInd w:val="0"/>
        <w:snapToGrid w:val="0"/>
        <w:spacing w:line="360" w:lineRule="auto"/>
        <w:ind w:firstLine="480" w:firstLineChars="200"/>
        <w:jc w:val="left"/>
        <w:rPr>
          <w:rFonts w:hint="eastAsia" w:ascii="宋体" w:hAnsi="宋体" w:cs="Calibri"/>
          <w:b/>
          <w:color w:val="auto"/>
          <w:sz w:val="24"/>
          <w:szCs w:val="21"/>
        </w:rPr>
      </w:pPr>
      <w:r>
        <w:rPr>
          <w:rFonts w:hint="eastAsia" w:ascii="宋体" w:hAnsi="宋体" w:cs="Calibri"/>
          <w:color w:val="auto"/>
          <w:sz w:val="24"/>
          <w:szCs w:val="21"/>
          <w:lang w:eastAsia="zh-CN"/>
        </w:rPr>
        <w:t>本项目</w:t>
      </w:r>
      <w:r>
        <w:rPr>
          <w:rFonts w:hint="eastAsia" w:ascii="宋体" w:hAnsi="宋体" w:cs="Calibri"/>
          <w:color w:val="auto"/>
          <w:sz w:val="24"/>
          <w:szCs w:val="21"/>
          <w:lang w:val="en-US" w:eastAsia="zh-CN"/>
        </w:rPr>
        <w:t>拟建220kV升压站为</w:t>
      </w:r>
      <w:r>
        <w:rPr>
          <w:rFonts w:hint="eastAsia" w:ascii="宋体" w:hAnsi="宋体" w:cs="Calibri"/>
          <w:color w:val="auto"/>
          <w:sz w:val="24"/>
          <w:szCs w:val="21"/>
        </w:rPr>
        <w:t>户外式变电站，</w:t>
      </w:r>
      <w:r>
        <w:rPr>
          <w:rFonts w:hint="eastAsia" w:ascii="宋体" w:hAnsi="宋体" w:cs="Calibri"/>
          <w:color w:val="auto"/>
          <w:sz w:val="24"/>
          <w:szCs w:val="21"/>
          <w:lang w:val="en-US" w:eastAsia="zh-CN"/>
        </w:rPr>
        <w:t>拟建220kV输电</w:t>
      </w:r>
      <w:r>
        <w:rPr>
          <w:rFonts w:hint="eastAsia" w:ascii="宋体" w:hAnsi="宋体" w:cs="Calibri"/>
          <w:color w:val="auto"/>
          <w:sz w:val="24"/>
          <w:szCs w:val="21"/>
        </w:rPr>
        <w:t>线路边导线地面投影外两侧1</w:t>
      </w:r>
      <w:r>
        <w:rPr>
          <w:rFonts w:hint="eastAsia" w:ascii="宋体" w:hAnsi="宋体" w:cs="Calibri"/>
          <w:color w:val="auto"/>
          <w:sz w:val="24"/>
          <w:szCs w:val="21"/>
          <w:lang w:val="en-US" w:eastAsia="zh-CN"/>
        </w:rPr>
        <w:t>5</w:t>
      </w:r>
      <w:r>
        <w:rPr>
          <w:rFonts w:hint="eastAsia" w:ascii="宋体" w:hAnsi="宋体" w:cs="Calibri"/>
          <w:color w:val="auto"/>
          <w:sz w:val="24"/>
          <w:szCs w:val="21"/>
        </w:rPr>
        <w:t>m范围内</w:t>
      </w:r>
      <w:r>
        <w:rPr>
          <w:rFonts w:hint="eastAsia" w:ascii="宋体" w:hAnsi="宋体" w:cs="Calibri"/>
          <w:color w:val="auto"/>
          <w:sz w:val="24"/>
          <w:szCs w:val="21"/>
          <w:lang w:val="en-US" w:eastAsia="zh-CN"/>
        </w:rPr>
        <w:t>无</w:t>
      </w:r>
      <w:r>
        <w:rPr>
          <w:rFonts w:hint="eastAsia" w:ascii="宋体" w:hAnsi="宋体" w:cs="Calibri"/>
          <w:color w:val="auto"/>
          <w:sz w:val="24"/>
          <w:szCs w:val="21"/>
        </w:rPr>
        <w:t>电磁环境敏感目标</w:t>
      </w:r>
      <w:r>
        <w:rPr>
          <w:rFonts w:hint="eastAsia" w:ascii="宋体" w:hAnsi="宋体" w:cs="Calibri"/>
          <w:color w:val="auto"/>
          <w:sz w:val="24"/>
          <w:szCs w:val="21"/>
          <w:lang w:eastAsia="zh-CN"/>
        </w:rPr>
        <w:t>。</w:t>
      </w:r>
      <w:r>
        <w:rPr>
          <w:rFonts w:hint="eastAsia" w:ascii="宋体" w:hAnsi="宋体" w:cs="Calibri"/>
          <w:color w:val="auto"/>
          <w:sz w:val="24"/>
          <w:szCs w:val="21"/>
        </w:rPr>
        <w:t>根据《环境影响评价技术导则</w:t>
      </w:r>
      <w:r>
        <w:rPr>
          <w:rFonts w:hint="eastAsia" w:ascii="宋体" w:hAnsi="宋体" w:cs="Calibri"/>
          <w:color w:val="auto"/>
          <w:sz w:val="24"/>
          <w:szCs w:val="21"/>
          <w:lang w:val="en-US" w:eastAsia="zh-CN"/>
        </w:rPr>
        <w:t xml:space="preserve"> </w:t>
      </w:r>
      <w:r>
        <w:rPr>
          <w:rFonts w:hint="eastAsia" w:ascii="宋体" w:hAnsi="宋体" w:cs="Calibri"/>
          <w:color w:val="auto"/>
          <w:sz w:val="24"/>
          <w:szCs w:val="21"/>
        </w:rPr>
        <w:t>输变电》</w:t>
      </w:r>
      <w:r>
        <w:rPr>
          <w:rFonts w:hint="eastAsia" w:ascii="宋体" w:hAnsi="宋体" w:cs="Calibri"/>
          <w:color w:val="auto"/>
          <w:sz w:val="24"/>
          <w:szCs w:val="21"/>
          <w:lang w:eastAsia="zh-CN"/>
        </w:rPr>
        <w:t>（</w:t>
      </w:r>
      <w:r>
        <w:rPr>
          <w:rFonts w:hint="eastAsia" w:ascii="宋体" w:hAnsi="宋体" w:cs="Calibri"/>
          <w:color w:val="auto"/>
          <w:sz w:val="24"/>
          <w:szCs w:val="21"/>
        </w:rPr>
        <w:t>HJ24-20</w:t>
      </w:r>
      <w:r>
        <w:rPr>
          <w:rFonts w:ascii="宋体" w:hAnsi="宋体" w:cs="Calibri"/>
          <w:color w:val="auto"/>
          <w:sz w:val="24"/>
          <w:szCs w:val="21"/>
        </w:rPr>
        <w:t>20</w:t>
      </w:r>
      <w:r>
        <w:rPr>
          <w:rFonts w:hint="eastAsia" w:ascii="宋体" w:hAnsi="宋体" w:cs="Calibri"/>
          <w:color w:val="auto"/>
          <w:sz w:val="24"/>
          <w:szCs w:val="21"/>
          <w:lang w:eastAsia="zh-CN"/>
        </w:rPr>
        <w:t>）</w:t>
      </w:r>
      <w:r>
        <w:rPr>
          <w:rFonts w:hint="eastAsia" w:ascii="宋体" w:hAnsi="宋体" w:cs="Calibri"/>
          <w:color w:val="auto"/>
          <w:sz w:val="24"/>
          <w:szCs w:val="21"/>
        </w:rPr>
        <w:t>评价工作等级划分原则，对照表1</w:t>
      </w:r>
      <w:r>
        <w:rPr>
          <w:rFonts w:hint="eastAsia" w:ascii="宋体" w:hAnsi="宋体" w:cs="Calibri"/>
          <w:color w:val="auto"/>
          <w:sz w:val="24"/>
          <w:szCs w:val="21"/>
          <w:lang w:val="en-US" w:eastAsia="zh-CN"/>
        </w:rPr>
        <w:t>.4</w:t>
      </w:r>
      <w:r>
        <w:rPr>
          <w:rFonts w:hint="eastAsia" w:ascii="宋体" w:hAnsi="宋体" w:cs="Calibri"/>
          <w:color w:val="auto"/>
          <w:sz w:val="24"/>
          <w:szCs w:val="21"/>
        </w:rPr>
        <w:t>-1，确定</w:t>
      </w:r>
      <w:r>
        <w:rPr>
          <w:rFonts w:hint="eastAsia" w:ascii="宋体" w:hAnsi="宋体" w:cs="Calibri"/>
          <w:color w:val="auto"/>
          <w:sz w:val="24"/>
          <w:szCs w:val="21"/>
          <w:lang w:eastAsia="zh-CN"/>
        </w:rPr>
        <w:t>本项目</w:t>
      </w:r>
      <w:r>
        <w:rPr>
          <w:rFonts w:hint="eastAsia" w:ascii="宋体" w:hAnsi="宋体" w:cs="Calibri"/>
          <w:color w:val="auto"/>
          <w:sz w:val="24"/>
          <w:szCs w:val="21"/>
          <w:lang w:val="en-US" w:eastAsia="zh-CN"/>
        </w:rPr>
        <w:t>升压</w:t>
      </w:r>
      <w:r>
        <w:rPr>
          <w:rFonts w:hint="eastAsia" w:ascii="宋体" w:hAnsi="宋体" w:cs="Calibri"/>
          <w:color w:val="auto"/>
          <w:sz w:val="24"/>
          <w:szCs w:val="21"/>
        </w:rPr>
        <w:t>站电磁环境影响评价等级为二级，输电线路的电磁环境影响评价等级为</w:t>
      </w:r>
      <w:r>
        <w:rPr>
          <w:rFonts w:hint="eastAsia" w:ascii="宋体" w:hAnsi="宋体" w:cs="Calibri"/>
          <w:color w:val="auto"/>
          <w:sz w:val="24"/>
          <w:szCs w:val="21"/>
          <w:lang w:val="en-US" w:eastAsia="zh-CN"/>
        </w:rPr>
        <w:t>三</w:t>
      </w:r>
      <w:r>
        <w:rPr>
          <w:rFonts w:hint="eastAsia" w:ascii="宋体" w:hAnsi="宋体" w:cs="Calibri"/>
          <w:color w:val="auto"/>
          <w:sz w:val="24"/>
          <w:szCs w:val="21"/>
        </w:rPr>
        <w:t>级。</w:t>
      </w:r>
    </w:p>
    <w:p w14:paraId="4CBD8D26">
      <w:pPr>
        <w:adjustRightInd w:val="0"/>
        <w:snapToGrid w:val="0"/>
        <w:spacing w:line="400" w:lineRule="exact"/>
        <w:ind w:firstLine="590" w:firstLineChars="245"/>
        <w:jc w:val="center"/>
        <w:rPr>
          <w:rFonts w:hint="eastAsia" w:ascii="宋体" w:hAnsi="宋体" w:cs="Calibri"/>
          <w:b/>
          <w:color w:val="auto"/>
          <w:sz w:val="24"/>
          <w:szCs w:val="21"/>
        </w:rPr>
      </w:pPr>
    </w:p>
    <w:p w14:paraId="2E7F413B">
      <w:pPr>
        <w:adjustRightInd w:val="0"/>
        <w:snapToGrid w:val="0"/>
        <w:spacing w:line="400" w:lineRule="exact"/>
        <w:ind w:firstLine="590" w:firstLineChars="245"/>
        <w:jc w:val="center"/>
        <w:rPr>
          <w:rFonts w:hint="eastAsia" w:ascii="宋体" w:hAnsi="宋体" w:cs="Calibri"/>
          <w:b/>
          <w:color w:val="auto"/>
          <w:sz w:val="24"/>
          <w:szCs w:val="21"/>
        </w:rPr>
      </w:pPr>
    </w:p>
    <w:p w14:paraId="0FE0AF96">
      <w:pPr>
        <w:adjustRightInd w:val="0"/>
        <w:snapToGrid w:val="0"/>
        <w:spacing w:line="400" w:lineRule="exact"/>
        <w:ind w:firstLine="590" w:firstLineChars="245"/>
        <w:jc w:val="center"/>
        <w:rPr>
          <w:rFonts w:hint="eastAsia" w:ascii="宋体" w:hAnsi="宋体" w:cs="Calibri"/>
          <w:b/>
          <w:color w:val="auto"/>
          <w:sz w:val="24"/>
          <w:szCs w:val="21"/>
        </w:rPr>
      </w:pPr>
    </w:p>
    <w:p w14:paraId="3D6D5DE1">
      <w:pPr>
        <w:adjustRightInd w:val="0"/>
        <w:snapToGrid w:val="0"/>
        <w:spacing w:line="400" w:lineRule="exact"/>
        <w:ind w:firstLine="590" w:firstLineChars="245"/>
        <w:jc w:val="center"/>
        <w:rPr>
          <w:rFonts w:hint="eastAsia" w:ascii="宋体" w:hAnsi="宋体" w:cs="Calibri"/>
          <w:b/>
          <w:color w:val="auto"/>
          <w:sz w:val="24"/>
          <w:szCs w:val="21"/>
        </w:rPr>
      </w:pPr>
    </w:p>
    <w:p w14:paraId="57A1CE2A">
      <w:pPr>
        <w:adjustRightInd w:val="0"/>
        <w:snapToGrid w:val="0"/>
        <w:spacing w:line="400" w:lineRule="exact"/>
        <w:ind w:firstLine="590" w:firstLineChars="245"/>
        <w:jc w:val="center"/>
        <w:rPr>
          <w:rFonts w:hint="eastAsia" w:ascii="宋体" w:hAnsi="宋体" w:cs="Calibri"/>
          <w:b/>
          <w:color w:val="auto"/>
          <w:sz w:val="24"/>
          <w:szCs w:val="21"/>
        </w:rPr>
      </w:pPr>
    </w:p>
    <w:p w14:paraId="20E1B933">
      <w:pPr>
        <w:adjustRightInd w:val="0"/>
        <w:snapToGrid w:val="0"/>
        <w:spacing w:line="400" w:lineRule="exact"/>
        <w:ind w:firstLine="590" w:firstLineChars="245"/>
        <w:jc w:val="center"/>
        <w:rPr>
          <w:rFonts w:hint="eastAsia" w:ascii="宋体" w:hAnsi="宋体" w:cs="Calibri"/>
          <w:b/>
          <w:color w:val="auto"/>
          <w:sz w:val="24"/>
          <w:szCs w:val="21"/>
        </w:rPr>
      </w:pPr>
    </w:p>
    <w:p w14:paraId="7E95C562">
      <w:pPr>
        <w:adjustRightInd w:val="0"/>
        <w:snapToGrid w:val="0"/>
        <w:spacing w:line="400" w:lineRule="exact"/>
        <w:ind w:firstLine="590" w:firstLineChars="245"/>
        <w:jc w:val="center"/>
        <w:rPr>
          <w:rFonts w:hint="eastAsia" w:ascii="宋体" w:hAnsi="宋体" w:cs="Calibri"/>
          <w:b/>
          <w:color w:val="auto"/>
          <w:sz w:val="24"/>
          <w:szCs w:val="21"/>
        </w:rPr>
      </w:pPr>
    </w:p>
    <w:p w14:paraId="06565B55">
      <w:pPr>
        <w:adjustRightInd w:val="0"/>
        <w:snapToGrid w:val="0"/>
        <w:spacing w:line="400" w:lineRule="exact"/>
        <w:ind w:firstLine="590" w:firstLineChars="245"/>
        <w:jc w:val="center"/>
        <w:rPr>
          <w:rFonts w:hint="eastAsia" w:ascii="宋体" w:hAnsi="宋体" w:cs="Calibri"/>
          <w:b/>
          <w:color w:val="auto"/>
          <w:sz w:val="24"/>
          <w:szCs w:val="21"/>
        </w:rPr>
      </w:pPr>
      <w:r>
        <w:rPr>
          <w:rFonts w:hint="eastAsia" w:ascii="宋体" w:hAnsi="宋体" w:cs="Calibri"/>
          <w:b/>
          <w:color w:val="auto"/>
          <w:sz w:val="24"/>
          <w:szCs w:val="21"/>
        </w:rPr>
        <w:t>表1</w:t>
      </w:r>
      <w:r>
        <w:rPr>
          <w:rFonts w:hint="eastAsia" w:ascii="宋体" w:hAnsi="宋体" w:cs="Calibri"/>
          <w:b/>
          <w:color w:val="auto"/>
          <w:sz w:val="24"/>
          <w:szCs w:val="21"/>
          <w:lang w:val="en-US" w:eastAsia="zh-CN"/>
        </w:rPr>
        <w:t>.4</w:t>
      </w:r>
      <w:r>
        <w:rPr>
          <w:rFonts w:hint="eastAsia" w:ascii="宋体" w:hAnsi="宋体" w:cs="Calibri"/>
          <w:b/>
          <w:color w:val="auto"/>
          <w:sz w:val="24"/>
          <w:szCs w:val="21"/>
        </w:rPr>
        <w:t>-1</w:t>
      </w:r>
      <w:r>
        <w:rPr>
          <w:rFonts w:hint="eastAsia" w:ascii="宋体" w:hAnsi="宋体" w:cs="Calibri"/>
          <w:b/>
          <w:color w:val="auto"/>
          <w:sz w:val="24"/>
          <w:szCs w:val="21"/>
          <w:lang w:val="en-US" w:eastAsia="zh-CN"/>
        </w:rPr>
        <w:t xml:space="preserve">    </w:t>
      </w:r>
      <w:r>
        <w:rPr>
          <w:rFonts w:hint="eastAsia" w:ascii="宋体" w:hAnsi="宋体" w:cs="Calibri"/>
          <w:b/>
          <w:color w:val="auto"/>
          <w:sz w:val="24"/>
          <w:szCs w:val="21"/>
        </w:rPr>
        <w:t>电磁环境影响评价工作等级划分原则</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34"/>
        <w:gridCol w:w="1371"/>
        <w:gridCol w:w="713"/>
        <w:gridCol w:w="2485"/>
        <w:gridCol w:w="696"/>
        <w:gridCol w:w="2038"/>
        <w:gridCol w:w="682"/>
      </w:tblGrid>
      <w:tr w14:paraId="434383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352" w:type="pct"/>
            <w:vMerge w:val="restart"/>
            <w:noWrap w:val="0"/>
            <w:vAlign w:val="center"/>
          </w:tcPr>
          <w:p w14:paraId="51E277DE">
            <w:pPr>
              <w:keepNext w:val="0"/>
              <w:keepLines w:val="0"/>
              <w:suppressLineNumbers w:val="0"/>
              <w:adjustRightInd w:val="0"/>
              <w:snapToGrid w:val="0"/>
              <w:spacing w:before="0" w:beforeAutospacing="0" w:after="0" w:afterAutospacing="0"/>
              <w:ind w:left="0" w:right="0"/>
              <w:jc w:val="center"/>
              <w:rPr>
                <w:rFonts w:hint="eastAsia" w:ascii="宋体" w:hAnsi="宋体" w:cs="Calibri"/>
                <w:color w:val="auto"/>
                <w:szCs w:val="21"/>
              </w:rPr>
            </w:pPr>
            <w:r>
              <w:rPr>
                <w:rFonts w:hint="eastAsia" w:ascii="宋体" w:hAnsi="宋体" w:cs="Calibri"/>
                <w:color w:val="auto"/>
                <w:szCs w:val="21"/>
              </w:rPr>
              <w:t>分</w:t>
            </w:r>
          </w:p>
          <w:p w14:paraId="7691890E">
            <w:pPr>
              <w:keepNext w:val="0"/>
              <w:keepLines w:val="0"/>
              <w:suppressLineNumbers w:val="0"/>
              <w:adjustRightInd w:val="0"/>
              <w:snapToGrid w:val="0"/>
              <w:spacing w:before="0" w:beforeAutospacing="0" w:after="0" w:afterAutospacing="0"/>
              <w:ind w:left="0" w:right="0"/>
              <w:jc w:val="center"/>
              <w:rPr>
                <w:rFonts w:hint="eastAsia" w:ascii="宋体" w:hAnsi="宋体" w:cs="Calibri"/>
                <w:color w:val="auto"/>
                <w:szCs w:val="21"/>
              </w:rPr>
            </w:pPr>
            <w:r>
              <w:rPr>
                <w:rFonts w:hint="eastAsia" w:ascii="宋体" w:hAnsi="宋体" w:cs="Calibri"/>
                <w:color w:val="auto"/>
                <w:szCs w:val="21"/>
              </w:rPr>
              <w:t>类</w:t>
            </w:r>
          </w:p>
        </w:tc>
        <w:tc>
          <w:tcPr>
            <w:tcW w:w="572" w:type="pct"/>
            <w:vMerge w:val="restart"/>
            <w:noWrap w:val="0"/>
            <w:vAlign w:val="center"/>
          </w:tcPr>
          <w:p w14:paraId="4B752BAD">
            <w:pPr>
              <w:keepNext w:val="0"/>
              <w:keepLines w:val="0"/>
              <w:suppressLineNumbers w:val="0"/>
              <w:adjustRightInd w:val="0"/>
              <w:snapToGrid w:val="0"/>
              <w:spacing w:before="0" w:beforeAutospacing="0" w:after="0" w:afterAutospacing="0"/>
              <w:ind w:left="0" w:right="0"/>
              <w:jc w:val="center"/>
              <w:rPr>
                <w:rFonts w:hint="eastAsia" w:ascii="宋体" w:hAnsi="宋体" w:cs="Calibri"/>
                <w:color w:val="auto"/>
                <w:szCs w:val="21"/>
              </w:rPr>
            </w:pPr>
            <w:r>
              <w:rPr>
                <w:rFonts w:hint="eastAsia" w:ascii="宋体" w:hAnsi="宋体" w:cs="Calibri"/>
                <w:color w:val="auto"/>
                <w:szCs w:val="21"/>
              </w:rPr>
              <w:t>电压</w:t>
            </w:r>
          </w:p>
          <w:p w14:paraId="7E19CA1F">
            <w:pPr>
              <w:keepNext w:val="0"/>
              <w:keepLines w:val="0"/>
              <w:suppressLineNumbers w:val="0"/>
              <w:adjustRightInd w:val="0"/>
              <w:snapToGrid w:val="0"/>
              <w:spacing w:before="0" w:beforeAutospacing="0" w:after="0" w:afterAutospacing="0"/>
              <w:ind w:left="0" w:right="0"/>
              <w:jc w:val="center"/>
              <w:rPr>
                <w:rFonts w:hint="eastAsia" w:ascii="宋体" w:hAnsi="宋体" w:cs="Calibri"/>
                <w:color w:val="auto"/>
                <w:szCs w:val="21"/>
              </w:rPr>
            </w:pPr>
            <w:r>
              <w:rPr>
                <w:rFonts w:hint="eastAsia" w:ascii="宋体" w:hAnsi="宋体" w:cs="Calibri"/>
                <w:color w:val="auto"/>
                <w:szCs w:val="21"/>
              </w:rPr>
              <w:t>等级</w:t>
            </w:r>
          </w:p>
        </w:tc>
        <w:tc>
          <w:tcPr>
            <w:tcW w:w="457" w:type="pct"/>
            <w:vMerge w:val="restart"/>
            <w:noWrap w:val="0"/>
            <w:vAlign w:val="center"/>
          </w:tcPr>
          <w:p w14:paraId="325AC8E5">
            <w:pPr>
              <w:keepNext w:val="0"/>
              <w:keepLines w:val="0"/>
              <w:suppressLineNumbers w:val="0"/>
              <w:adjustRightInd w:val="0"/>
              <w:snapToGrid w:val="0"/>
              <w:spacing w:before="0" w:beforeAutospacing="0" w:after="0" w:afterAutospacing="0"/>
              <w:ind w:left="0" w:right="0"/>
              <w:jc w:val="center"/>
              <w:rPr>
                <w:rFonts w:hint="eastAsia" w:ascii="宋体" w:hAnsi="宋体" w:cs="Calibri"/>
                <w:color w:val="auto"/>
                <w:szCs w:val="21"/>
              </w:rPr>
            </w:pPr>
            <w:r>
              <w:rPr>
                <w:rFonts w:hint="eastAsia" w:ascii="宋体" w:hAnsi="宋体" w:cs="Calibri"/>
                <w:color w:val="auto"/>
                <w:szCs w:val="21"/>
              </w:rPr>
              <w:t>工程</w:t>
            </w:r>
          </w:p>
        </w:tc>
        <w:tc>
          <w:tcPr>
            <w:tcW w:w="1496" w:type="pct"/>
            <w:vMerge w:val="restart"/>
            <w:noWrap w:val="0"/>
            <w:vAlign w:val="center"/>
          </w:tcPr>
          <w:p w14:paraId="4B862B93">
            <w:pPr>
              <w:keepNext w:val="0"/>
              <w:keepLines w:val="0"/>
              <w:suppressLineNumbers w:val="0"/>
              <w:adjustRightInd w:val="0"/>
              <w:snapToGrid w:val="0"/>
              <w:spacing w:before="0" w:beforeAutospacing="0" w:after="0" w:afterAutospacing="0"/>
              <w:ind w:left="0" w:right="0"/>
              <w:jc w:val="center"/>
              <w:rPr>
                <w:rFonts w:hint="eastAsia" w:ascii="宋体" w:hAnsi="宋体" w:cs="Calibri"/>
                <w:color w:val="auto"/>
                <w:szCs w:val="21"/>
              </w:rPr>
            </w:pPr>
            <w:r>
              <w:rPr>
                <w:rFonts w:hint="eastAsia" w:ascii="宋体" w:hAnsi="宋体" w:cs="Calibri"/>
                <w:color w:val="auto"/>
                <w:szCs w:val="21"/>
              </w:rPr>
              <w:t>条件</w:t>
            </w:r>
          </w:p>
        </w:tc>
        <w:tc>
          <w:tcPr>
            <w:tcW w:w="447" w:type="pct"/>
            <w:vMerge w:val="restart"/>
            <w:noWrap w:val="0"/>
            <w:vAlign w:val="center"/>
          </w:tcPr>
          <w:p w14:paraId="0C7F2160">
            <w:pPr>
              <w:keepNext w:val="0"/>
              <w:keepLines w:val="0"/>
              <w:suppressLineNumbers w:val="0"/>
              <w:adjustRightInd w:val="0"/>
              <w:snapToGrid w:val="0"/>
              <w:spacing w:before="0" w:beforeAutospacing="0" w:after="0" w:afterAutospacing="0"/>
              <w:ind w:left="0" w:right="0"/>
              <w:jc w:val="center"/>
              <w:rPr>
                <w:rFonts w:hint="eastAsia" w:ascii="宋体" w:hAnsi="宋体" w:cs="Calibri"/>
                <w:color w:val="auto"/>
                <w:szCs w:val="21"/>
              </w:rPr>
            </w:pPr>
            <w:r>
              <w:rPr>
                <w:rFonts w:hint="eastAsia" w:ascii="宋体" w:hAnsi="宋体" w:cs="Calibri"/>
                <w:color w:val="auto"/>
                <w:szCs w:val="21"/>
              </w:rPr>
              <w:t>评价工作等级</w:t>
            </w:r>
          </w:p>
        </w:tc>
        <w:tc>
          <w:tcPr>
            <w:tcW w:w="1672" w:type="pct"/>
            <w:gridSpan w:val="2"/>
            <w:noWrap w:val="0"/>
            <w:vAlign w:val="center"/>
          </w:tcPr>
          <w:p w14:paraId="536D5B4D">
            <w:pPr>
              <w:keepNext w:val="0"/>
              <w:keepLines w:val="0"/>
              <w:suppressLineNumbers w:val="0"/>
              <w:adjustRightInd w:val="0"/>
              <w:snapToGrid w:val="0"/>
              <w:spacing w:before="0" w:beforeAutospacing="0" w:after="0" w:afterAutospacing="0"/>
              <w:ind w:left="0" w:right="0"/>
              <w:jc w:val="center"/>
              <w:rPr>
                <w:rFonts w:hint="eastAsia" w:ascii="宋体" w:hAnsi="宋体" w:eastAsia="宋体" w:cs="Calibri"/>
                <w:color w:val="auto"/>
                <w:szCs w:val="21"/>
                <w:lang w:eastAsia="zh-CN"/>
              </w:rPr>
            </w:pPr>
            <w:r>
              <w:rPr>
                <w:rFonts w:hint="eastAsia" w:ascii="宋体" w:hAnsi="宋体" w:cs="Calibri"/>
                <w:color w:val="auto"/>
                <w:szCs w:val="21"/>
                <w:lang w:eastAsia="zh-CN"/>
              </w:rPr>
              <w:t>本项目</w:t>
            </w:r>
          </w:p>
        </w:tc>
      </w:tr>
      <w:tr w14:paraId="0263E3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2" w:type="pct"/>
            <w:vMerge w:val="continue"/>
            <w:noWrap w:val="0"/>
            <w:vAlign w:val="top"/>
          </w:tcPr>
          <w:p w14:paraId="604730FC">
            <w:pPr>
              <w:keepNext w:val="0"/>
              <w:keepLines w:val="0"/>
              <w:suppressLineNumbers w:val="0"/>
              <w:adjustRightInd w:val="0"/>
              <w:snapToGrid w:val="0"/>
              <w:spacing w:before="0" w:beforeAutospacing="0" w:after="0" w:afterAutospacing="0"/>
              <w:ind w:left="0" w:right="0"/>
              <w:jc w:val="center"/>
              <w:rPr>
                <w:rFonts w:hint="eastAsia" w:ascii="宋体" w:hAnsi="宋体" w:cs="Calibri"/>
                <w:color w:val="auto"/>
                <w:szCs w:val="21"/>
              </w:rPr>
            </w:pPr>
          </w:p>
        </w:tc>
        <w:tc>
          <w:tcPr>
            <w:tcW w:w="572" w:type="pct"/>
            <w:vMerge w:val="continue"/>
            <w:noWrap w:val="0"/>
            <w:vAlign w:val="center"/>
          </w:tcPr>
          <w:p w14:paraId="321CD277">
            <w:pPr>
              <w:keepNext w:val="0"/>
              <w:keepLines w:val="0"/>
              <w:suppressLineNumbers w:val="0"/>
              <w:adjustRightInd w:val="0"/>
              <w:snapToGrid w:val="0"/>
              <w:spacing w:before="0" w:beforeAutospacing="0" w:after="0" w:afterAutospacing="0"/>
              <w:ind w:left="0" w:right="0"/>
              <w:jc w:val="center"/>
              <w:rPr>
                <w:rFonts w:hint="eastAsia" w:ascii="宋体" w:hAnsi="宋体" w:cs="Calibri"/>
                <w:color w:val="auto"/>
                <w:szCs w:val="21"/>
              </w:rPr>
            </w:pPr>
          </w:p>
        </w:tc>
        <w:tc>
          <w:tcPr>
            <w:tcW w:w="457" w:type="pct"/>
            <w:vMerge w:val="continue"/>
            <w:noWrap w:val="0"/>
            <w:vAlign w:val="center"/>
          </w:tcPr>
          <w:p w14:paraId="3F142C5B">
            <w:pPr>
              <w:keepNext w:val="0"/>
              <w:keepLines w:val="0"/>
              <w:suppressLineNumbers w:val="0"/>
              <w:adjustRightInd w:val="0"/>
              <w:snapToGrid w:val="0"/>
              <w:spacing w:before="0" w:beforeAutospacing="0" w:after="0" w:afterAutospacing="0"/>
              <w:ind w:left="0" w:right="0"/>
              <w:jc w:val="center"/>
              <w:rPr>
                <w:rFonts w:hint="eastAsia" w:ascii="宋体" w:hAnsi="宋体" w:cs="Calibri"/>
                <w:color w:val="auto"/>
                <w:szCs w:val="21"/>
              </w:rPr>
            </w:pPr>
          </w:p>
        </w:tc>
        <w:tc>
          <w:tcPr>
            <w:tcW w:w="1496" w:type="pct"/>
            <w:vMerge w:val="continue"/>
            <w:noWrap w:val="0"/>
            <w:vAlign w:val="center"/>
          </w:tcPr>
          <w:p w14:paraId="066006A6">
            <w:pPr>
              <w:keepNext w:val="0"/>
              <w:keepLines w:val="0"/>
              <w:suppressLineNumbers w:val="0"/>
              <w:adjustRightInd w:val="0"/>
              <w:snapToGrid w:val="0"/>
              <w:spacing w:before="0" w:beforeAutospacing="0" w:after="0" w:afterAutospacing="0"/>
              <w:ind w:left="0" w:right="0"/>
              <w:jc w:val="center"/>
              <w:rPr>
                <w:rFonts w:hint="eastAsia" w:ascii="宋体" w:hAnsi="宋体" w:cs="Calibri"/>
                <w:color w:val="auto"/>
                <w:szCs w:val="21"/>
              </w:rPr>
            </w:pPr>
          </w:p>
        </w:tc>
        <w:tc>
          <w:tcPr>
            <w:tcW w:w="447" w:type="pct"/>
            <w:vMerge w:val="continue"/>
            <w:noWrap w:val="0"/>
            <w:vAlign w:val="center"/>
          </w:tcPr>
          <w:p w14:paraId="6D63A2D3">
            <w:pPr>
              <w:keepNext w:val="0"/>
              <w:keepLines w:val="0"/>
              <w:suppressLineNumbers w:val="0"/>
              <w:adjustRightInd w:val="0"/>
              <w:snapToGrid w:val="0"/>
              <w:spacing w:before="0" w:beforeAutospacing="0" w:after="0" w:afterAutospacing="0"/>
              <w:ind w:left="0" w:right="0"/>
              <w:jc w:val="center"/>
              <w:rPr>
                <w:rFonts w:hint="eastAsia" w:ascii="宋体" w:hAnsi="宋体" w:cs="Calibri"/>
                <w:color w:val="auto"/>
                <w:szCs w:val="21"/>
              </w:rPr>
            </w:pPr>
          </w:p>
        </w:tc>
        <w:tc>
          <w:tcPr>
            <w:tcW w:w="1234" w:type="pct"/>
            <w:noWrap w:val="0"/>
            <w:vAlign w:val="center"/>
          </w:tcPr>
          <w:p w14:paraId="32351E74">
            <w:pPr>
              <w:keepNext w:val="0"/>
              <w:keepLines w:val="0"/>
              <w:suppressLineNumbers w:val="0"/>
              <w:adjustRightInd w:val="0"/>
              <w:snapToGrid w:val="0"/>
              <w:spacing w:before="0" w:beforeAutospacing="0" w:after="0" w:afterAutospacing="0"/>
              <w:ind w:left="0" w:right="0"/>
              <w:jc w:val="center"/>
              <w:rPr>
                <w:rFonts w:hint="eastAsia" w:ascii="宋体" w:hAnsi="宋体" w:cs="Calibri"/>
                <w:color w:val="auto"/>
                <w:szCs w:val="21"/>
              </w:rPr>
            </w:pPr>
            <w:r>
              <w:rPr>
                <w:rFonts w:hint="eastAsia" w:ascii="宋体" w:hAnsi="宋体" w:cs="Calibri"/>
                <w:color w:val="auto"/>
                <w:szCs w:val="21"/>
              </w:rPr>
              <w:t>条件</w:t>
            </w:r>
          </w:p>
        </w:tc>
        <w:tc>
          <w:tcPr>
            <w:tcW w:w="438" w:type="pct"/>
            <w:noWrap w:val="0"/>
            <w:vAlign w:val="center"/>
          </w:tcPr>
          <w:p w14:paraId="75C697C4">
            <w:pPr>
              <w:keepNext w:val="0"/>
              <w:keepLines w:val="0"/>
              <w:suppressLineNumbers w:val="0"/>
              <w:adjustRightInd w:val="0"/>
              <w:snapToGrid w:val="0"/>
              <w:spacing w:before="0" w:beforeAutospacing="0" w:after="0" w:afterAutospacing="0"/>
              <w:ind w:left="0" w:right="0"/>
              <w:jc w:val="center"/>
              <w:rPr>
                <w:rFonts w:hint="eastAsia" w:ascii="宋体" w:hAnsi="宋体" w:cs="Calibri"/>
                <w:color w:val="auto"/>
                <w:szCs w:val="21"/>
              </w:rPr>
            </w:pPr>
            <w:r>
              <w:rPr>
                <w:rFonts w:hint="eastAsia" w:ascii="宋体" w:hAnsi="宋体" w:cs="Calibri"/>
                <w:color w:val="auto"/>
                <w:szCs w:val="21"/>
              </w:rPr>
              <w:t>工作</w:t>
            </w:r>
          </w:p>
          <w:p w14:paraId="255C333C">
            <w:pPr>
              <w:keepNext w:val="0"/>
              <w:keepLines w:val="0"/>
              <w:suppressLineNumbers w:val="0"/>
              <w:adjustRightInd w:val="0"/>
              <w:snapToGrid w:val="0"/>
              <w:spacing w:before="0" w:beforeAutospacing="0" w:after="0" w:afterAutospacing="0"/>
              <w:ind w:left="0" w:right="0"/>
              <w:jc w:val="center"/>
              <w:rPr>
                <w:rFonts w:hint="eastAsia" w:ascii="宋体" w:hAnsi="宋体" w:cs="Calibri"/>
                <w:color w:val="auto"/>
                <w:szCs w:val="21"/>
              </w:rPr>
            </w:pPr>
            <w:r>
              <w:rPr>
                <w:rFonts w:hint="eastAsia" w:ascii="宋体" w:hAnsi="宋体" w:cs="Calibri"/>
                <w:color w:val="auto"/>
                <w:szCs w:val="21"/>
              </w:rPr>
              <w:t>等级</w:t>
            </w:r>
          </w:p>
        </w:tc>
      </w:tr>
      <w:tr w14:paraId="1683E8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352" w:type="pct"/>
            <w:vMerge w:val="restart"/>
            <w:noWrap w:val="0"/>
            <w:vAlign w:val="center"/>
          </w:tcPr>
          <w:p w14:paraId="62CA88BF">
            <w:pPr>
              <w:keepNext w:val="0"/>
              <w:keepLines w:val="0"/>
              <w:suppressLineNumbers w:val="0"/>
              <w:adjustRightInd w:val="0"/>
              <w:snapToGrid w:val="0"/>
              <w:spacing w:before="0" w:beforeAutospacing="0" w:after="0" w:afterAutospacing="0"/>
              <w:ind w:left="0" w:right="0"/>
              <w:jc w:val="center"/>
              <w:rPr>
                <w:rFonts w:hint="eastAsia" w:ascii="宋体" w:hAnsi="宋体" w:cs="Calibri"/>
                <w:color w:val="auto"/>
                <w:szCs w:val="21"/>
              </w:rPr>
            </w:pPr>
            <w:r>
              <w:rPr>
                <w:rFonts w:hint="eastAsia" w:ascii="宋体" w:hAnsi="宋体" w:cs="Calibri"/>
                <w:color w:val="auto"/>
                <w:szCs w:val="21"/>
              </w:rPr>
              <w:t>交流</w:t>
            </w:r>
          </w:p>
        </w:tc>
        <w:tc>
          <w:tcPr>
            <w:tcW w:w="572" w:type="pct"/>
            <w:vMerge w:val="restart"/>
            <w:noWrap w:val="0"/>
            <w:vAlign w:val="center"/>
          </w:tcPr>
          <w:p w14:paraId="38F0B0C6">
            <w:pPr>
              <w:keepNext w:val="0"/>
              <w:keepLines w:val="0"/>
              <w:suppressLineNumbers w:val="0"/>
              <w:adjustRightInd w:val="0"/>
              <w:snapToGrid w:val="0"/>
              <w:spacing w:before="0" w:beforeAutospacing="0" w:after="0" w:afterAutospacing="0"/>
              <w:ind w:left="0" w:right="0"/>
              <w:jc w:val="center"/>
              <w:rPr>
                <w:rFonts w:hint="eastAsia" w:ascii="宋体" w:hAnsi="宋体" w:cs="Calibri"/>
                <w:color w:val="auto"/>
                <w:szCs w:val="21"/>
              </w:rPr>
            </w:pPr>
            <w:r>
              <w:rPr>
                <w:rFonts w:hint="eastAsia" w:ascii="宋体" w:hAnsi="宋体" w:cs="Calibri"/>
                <w:color w:val="auto"/>
                <w:szCs w:val="21"/>
              </w:rPr>
              <w:t>220kV</w:t>
            </w:r>
            <w:r>
              <w:rPr>
                <w:rFonts w:hint="eastAsia" w:ascii="宋体" w:hAnsi="宋体" w:cs="Calibri"/>
                <w:color w:val="auto"/>
                <w:szCs w:val="21"/>
                <w:lang w:eastAsia="zh-CN"/>
              </w:rPr>
              <w:t>~</w:t>
            </w:r>
            <w:r>
              <w:rPr>
                <w:rFonts w:hint="eastAsia" w:ascii="宋体" w:hAnsi="宋体" w:cs="宋体"/>
                <w:color w:val="auto"/>
                <w:szCs w:val="21"/>
              </w:rPr>
              <w:t>330kV</w:t>
            </w:r>
          </w:p>
        </w:tc>
        <w:tc>
          <w:tcPr>
            <w:tcW w:w="457" w:type="pct"/>
            <w:vMerge w:val="restart"/>
            <w:noWrap w:val="0"/>
            <w:vAlign w:val="center"/>
          </w:tcPr>
          <w:p w14:paraId="34E66416">
            <w:pPr>
              <w:keepNext w:val="0"/>
              <w:keepLines w:val="0"/>
              <w:suppressLineNumbers w:val="0"/>
              <w:adjustRightInd w:val="0"/>
              <w:snapToGrid w:val="0"/>
              <w:spacing w:before="0" w:beforeAutospacing="0" w:after="0" w:afterAutospacing="0"/>
              <w:ind w:left="0" w:right="0"/>
              <w:jc w:val="center"/>
              <w:rPr>
                <w:rFonts w:hint="eastAsia" w:ascii="宋体" w:hAnsi="宋体" w:cs="Calibri"/>
                <w:color w:val="auto"/>
                <w:szCs w:val="21"/>
              </w:rPr>
            </w:pPr>
            <w:r>
              <w:rPr>
                <w:rFonts w:hint="eastAsia" w:ascii="宋体" w:hAnsi="宋体" w:cs="Calibri"/>
                <w:color w:val="auto"/>
                <w:szCs w:val="21"/>
                <w:lang w:val="en-US" w:eastAsia="zh-CN"/>
              </w:rPr>
              <w:t>升压</w:t>
            </w:r>
            <w:r>
              <w:rPr>
                <w:rFonts w:hint="eastAsia" w:ascii="宋体" w:hAnsi="宋体" w:cs="Calibri"/>
                <w:color w:val="auto"/>
                <w:szCs w:val="21"/>
              </w:rPr>
              <w:t>站</w:t>
            </w:r>
          </w:p>
        </w:tc>
        <w:tc>
          <w:tcPr>
            <w:tcW w:w="1496" w:type="pct"/>
            <w:noWrap w:val="0"/>
            <w:vAlign w:val="center"/>
          </w:tcPr>
          <w:p w14:paraId="70CF5E40">
            <w:pPr>
              <w:keepNext w:val="0"/>
              <w:keepLines w:val="0"/>
              <w:suppressLineNumbers w:val="0"/>
              <w:spacing w:before="0" w:beforeAutospacing="0" w:after="0" w:afterAutospacing="0"/>
              <w:ind w:left="0" w:right="0"/>
              <w:rPr>
                <w:rFonts w:hint="eastAsia" w:ascii="宋体" w:hAnsi="宋体" w:cs="Calibri"/>
                <w:color w:val="auto"/>
                <w:szCs w:val="21"/>
              </w:rPr>
            </w:pPr>
            <w:r>
              <w:rPr>
                <w:rFonts w:hint="eastAsia" w:ascii="宋体" w:hAnsi="宋体" w:cs="Calibri"/>
                <w:color w:val="auto"/>
                <w:szCs w:val="21"/>
              </w:rPr>
              <w:t>户内式、地下式</w:t>
            </w:r>
          </w:p>
        </w:tc>
        <w:tc>
          <w:tcPr>
            <w:tcW w:w="447" w:type="pct"/>
            <w:noWrap w:val="0"/>
            <w:vAlign w:val="center"/>
          </w:tcPr>
          <w:p w14:paraId="6F6A6118">
            <w:pPr>
              <w:keepNext w:val="0"/>
              <w:keepLines w:val="0"/>
              <w:suppressLineNumbers w:val="0"/>
              <w:spacing w:before="0" w:beforeAutospacing="0" w:after="0" w:afterAutospacing="0"/>
              <w:ind w:left="0" w:right="0"/>
              <w:jc w:val="center"/>
              <w:rPr>
                <w:rFonts w:hint="eastAsia" w:ascii="宋体" w:hAnsi="宋体" w:cs="Calibri"/>
                <w:color w:val="auto"/>
                <w:szCs w:val="21"/>
              </w:rPr>
            </w:pPr>
            <w:r>
              <w:rPr>
                <w:rFonts w:hint="eastAsia" w:ascii="宋体" w:hAnsi="宋体" w:cs="Calibri"/>
                <w:color w:val="auto"/>
                <w:szCs w:val="21"/>
              </w:rPr>
              <w:t>三级</w:t>
            </w:r>
          </w:p>
        </w:tc>
        <w:tc>
          <w:tcPr>
            <w:tcW w:w="1234" w:type="pct"/>
            <w:noWrap w:val="0"/>
            <w:vAlign w:val="center"/>
          </w:tcPr>
          <w:p w14:paraId="3B8F2164">
            <w:pPr>
              <w:keepNext w:val="0"/>
              <w:keepLines w:val="0"/>
              <w:suppressLineNumbers w:val="0"/>
              <w:adjustRightInd w:val="0"/>
              <w:snapToGrid w:val="0"/>
              <w:spacing w:before="0" w:beforeAutospacing="0" w:after="0" w:afterAutospacing="0"/>
              <w:ind w:left="0" w:right="0"/>
              <w:jc w:val="center"/>
              <w:rPr>
                <w:rFonts w:hint="eastAsia" w:ascii="宋体" w:hAnsi="宋体" w:cs="Calibri"/>
                <w:color w:val="auto"/>
                <w:szCs w:val="21"/>
              </w:rPr>
            </w:pPr>
            <w:r>
              <w:rPr>
                <w:rFonts w:hint="eastAsia" w:ascii="宋体" w:hAnsi="宋体" w:cs="Calibri"/>
                <w:color w:val="auto"/>
                <w:szCs w:val="21"/>
              </w:rPr>
              <w:t>/</w:t>
            </w:r>
          </w:p>
        </w:tc>
        <w:tc>
          <w:tcPr>
            <w:tcW w:w="438" w:type="pct"/>
            <w:noWrap w:val="0"/>
            <w:vAlign w:val="center"/>
          </w:tcPr>
          <w:p w14:paraId="33E96707">
            <w:pPr>
              <w:keepNext w:val="0"/>
              <w:keepLines w:val="0"/>
              <w:suppressLineNumbers w:val="0"/>
              <w:adjustRightInd w:val="0"/>
              <w:snapToGrid w:val="0"/>
              <w:spacing w:before="0" w:beforeAutospacing="0" w:after="0" w:afterAutospacing="0"/>
              <w:ind w:left="0" w:right="0"/>
              <w:jc w:val="center"/>
              <w:rPr>
                <w:rFonts w:hint="eastAsia" w:ascii="宋体" w:hAnsi="宋体" w:cs="Calibri"/>
                <w:color w:val="auto"/>
                <w:szCs w:val="21"/>
              </w:rPr>
            </w:pPr>
            <w:r>
              <w:rPr>
                <w:rFonts w:hint="eastAsia" w:ascii="宋体" w:hAnsi="宋体" w:cs="Calibri"/>
                <w:color w:val="auto"/>
                <w:szCs w:val="21"/>
              </w:rPr>
              <w:t>/</w:t>
            </w:r>
          </w:p>
        </w:tc>
      </w:tr>
      <w:tr w14:paraId="6C78AD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3" w:hRule="atLeast"/>
          <w:jc w:val="center"/>
        </w:trPr>
        <w:tc>
          <w:tcPr>
            <w:tcW w:w="352" w:type="pct"/>
            <w:vMerge w:val="continue"/>
            <w:noWrap w:val="0"/>
            <w:vAlign w:val="center"/>
          </w:tcPr>
          <w:p w14:paraId="6298B599">
            <w:pPr>
              <w:keepNext w:val="0"/>
              <w:keepLines w:val="0"/>
              <w:suppressLineNumbers w:val="0"/>
              <w:adjustRightInd w:val="0"/>
              <w:snapToGrid w:val="0"/>
              <w:spacing w:before="0" w:beforeAutospacing="0" w:after="0" w:afterAutospacing="0"/>
              <w:ind w:left="0" w:right="0"/>
              <w:jc w:val="center"/>
              <w:rPr>
                <w:rFonts w:hint="eastAsia" w:ascii="宋体" w:hAnsi="宋体" w:cs="Calibri"/>
                <w:color w:val="auto"/>
                <w:szCs w:val="21"/>
              </w:rPr>
            </w:pPr>
          </w:p>
        </w:tc>
        <w:tc>
          <w:tcPr>
            <w:tcW w:w="572" w:type="pct"/>
            <w:vMerge w:val="continue"/>
            <w:noWrap w:val="0"/>
            <w:vAlign w:val="center"/>
          </w:tcPr>
          <w:p w14:paraId="18091408">
            <w:pPr>
              <w:keepNext w:val="0"/>
              <w:keepLines w:val="0"/>
              <w:suppressLineNumbers w:val="0"/>
              <w:adjustRightInd w:val="0"/>
              <w:snapToGrid w:val="0"/>
              <w:spacing w:before="0" w:beforeAutospacing="0" w:after="0" w:afterAutospacing="0"/>
              <w:ind w:left="0" w:right="0"/>
              <w:jc w:val="center"/>
              <w:rPr>
                <w:rFonts w:hint="eastAsia" w:ascii="宋体" w:hAnsi="宋体" w:cs="Calibri"/>
                <w:color w:val="auto"/>
                <w:szCs w:val="21"/>
              </w:rPr>
            </w:pPr>
          </w:p>
        </w:tc>
        <w:tc>
          <w:tcPr>
            <w:tcW w:w="457" w:type="pct"/>
            <w:vMerge w:val="continue"/>
            <w:noWrap w:val="0"/>
            <w:vAlign w:val="center"/>
          </w:tcPr>
          <w:p w14:paraId="149330BD">
            <w:pPr>
              <w:keepNext w:val="0"/>
              <w:keepLines w:val="0"/>
              <w:suppressLineNumbers w:val="0"/>
              <w:adjustRightInd w:val="0"/>
              <w:snapToGrid w:val="0"/>
              <w:spacing w:before="0" w:beforeAutospacing="0" w:after="0" w:afterAutospacing="0"/>
              <w:ind w:left="0" w:right="0"/>
              <w:jc w:val="center"/>
              <w:rPr>
                <w:rFonts w:hint="eastAsia" w:ascii="宋体" w:hAnsi="宋体" w:cs="Calibri"/>
                <w:color w:val="auto"/>
                <w:szCs w:val="21"/>
              </w:rPr>
            </w:pPr>
          </w:p>
        </w:tc>
        <w:tc>
          <w:tcPr>
            <w:tcW w:w="1496" w:type="pct"/>
            <w:noWrap w:val="0"/>
            <w:vAlign w:val="center"/>
          </w:tcPr>
          <w:p w14:paraId="483048AB">
            <w:pPr>
              <w:keepNext w:val="0"/>
              <w:keepLines w:val="0"/>
              <w:suppressLineNumbers w:val="0"/>
              <w:spacing w:before="0" w:beforeAutospacing="0" w:after="0" w:afterAutospacing="0"/>
              <w:ind w:left="0" w:right="0"/>
              <w:rPr>
                <w:rFonts w:hint="eastAsia" w:ascii="宋体" w:hAnsi="宋体" w:cs="Calibri"/>
                <w:color w:val="auto"/>
                <w:szCs w:val="21"/>
              </w:rPr>
            </w:pPr>
            <w:r>
              <w:rPr>
                <w:rFonts w:hint="eastAsia" w:ascii="宋体" w:hAnsi="宋体" w:cs="Calibri"/>
                <w:color w:val="auto"/>
                <w:szCs w:val="21"/>
              </w:rPr>
              <w:t>户外式</w:t>
            </w:r>
          </w:p>
        </w:tc>
        <w:tc>
          <w:tcPr>
            <w:tcW w:w="447" w:type="pct"/>
            <w:noWrap w:val="0"/>
            <w:vAlign w:val="center"/>
          </w:tcPr>
          <w:p w14:paraId="6DBE2D1F">
            <w:pPr>
              <w:keepNext w:val="0"/>
              <w:keepLines w:val="0"/>
              <w:suppressLineNumbers w:val="0"/>
              <w:spacing w:before="0" w:beforeAutospacing="0" w:after="0" w:afterAutospacing="0"/>
              <w:ind w:left="0" w:right="0"/>
              <w:jc w:val="center"/>
              <w:rPr>
                <w:rFonts w:hint="eastAsia" w:ascii="宋体" w:hAnsi="宋体" w:cs="Calibri"/>
                <w:color w:val="auto"/>
                <w:szCs w:val="21"/>
              </w:rPr>
            </w:pPr>
            <w:r>
              <w:rPr>
                <w:rFonts w:hint="eastAsia" w:ascii="宋体" w:hAnsi="宋体" w:cs="Calibri"/>
                <w:color w:val="auto"/>
                <w:szCs w:val="21"/>
              </w:rPr>
              <w:t>二级</w:t>
            </w:r>
          </w:p>
        </w:tc>
        <w:tc>
          <w:tcPr>
            <w:tcW w:w="1234" w:type="pct"/>
            <w:noWrap w:val="0"/>
            <w:vAlign w:val="center"/>
          </w:tcPr>
          <w:p w14:paraId="3DDA77CD">
            <w:pPr>
              <w:keepNext w:val="0"/>
              <w:keepLines w:val="0"/>
              <w:suppressLineNumbers w:val="0"/>
              <w:adjustRightInd w:val="0"/>
              <w:snapToGrid w:val="0"/>
              <w:spacing w:before="0" w:beforeAutospacing="0" w:after="0" w:afterAutospacing="0"/>
              <w:ind w:left="0" w:right="0"/>
              <w:jc w:val="center"/>
              <w:rPr>
                <w:rFonts w:hint="eastAsia" w:ascii="宋体" w:hAnsi="宋体" w:cs="Calibri"/>
                <w:color w:val="auto"/>
                <w:szCs w:val="21"/>
              </w:rPr>
            </w:pPr>
            <w:r>
              <w:rPr>
                <w:rFonts w:hint="eastAsia" w:ascii="宋体" w:hAnsi="宋体" w:cs="Calibri"/>
                <w:color w:val="auto"/>
                <w:szCs w:val="21"/>
              </w:rPr>
              <w:t>户外式</w:t>
            </w:r>
          </w:p>
        </w:tc>
        <w:tc>
          <w:tcPr>
            <w:tcW w:w="438" w:type="pct"/>
            <w:noWrap w:val="0"/>
            <w:vAlign w:val="center"/>
          </w:tcPr>
          <w:p w14:paraId="397C7DCD">
            <w:pPr>
              <w:keepNext w:val="0"/>
              <w:keepLines w:val="0"/>
              <w:suppressLineNumbers w:val="0"/>
              <w:adjustRightInd w:val="0"/>
              <w:snapToGrid w:val="0"/>
              <w:spacing w:before="0" w:beforeAutospacing="0" w:after="0" w:afterAutospacing="0"/>
              <w:ind w:left="0" w:right="0"/>
              <w:jc w:val="center"/>
              <w:rPr>
                <w:rFonts w:hint="eastAsia" w:ascii="宋体" w:hAnsi="宋体" w:cs="Calibri"/>
                <w:color w:val="auto"/>
                <w:szCs w:val="21"/>
              </w:rPr>
            </w:pPr>
            <w:r>
              <w:rPr>
                <w:rFonts w:hint="eastAsia" w:ascii="宋体" w:hAnsi="宋体" w:cs="Calibri"/>
                <w:color w:val="auto"/>
                <w:szCs w:val="21"/>
              </w:rPr>
              <w:t>二级</w:t>
            </w:r>
          </w:p>
        </w:tc>
      </w:tr>
      <w:tr w14:paraId="6401A9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6" w:hRule="atLeast"/>
          <w:jc w:val="center"/>
        </w:trPr>
        <w:tc>
          <w:tcPr>
            <w:tcW w:w="352" w:type="pct"/>
            <w:vMerge w:val="continue"/>
            <w:noWrap w:val="0"/>
            <w:vAlign w:val="top"/>
          </w:tcPr>
          <w:p w14:paraId="7E96A182">
            <w:pPr>
              <w:keepNext w:val="0"/>
              <w:keepLines w:val="0"/>
              <w:suppressLineNumbers w:val="0"/>
              <w:adjustRightInd w:val="0"/>
              <w:snapToGrid w:val="0"/>
              <w:spacing w:before="0" w:beforeAutospacing="0" w:after="0" w:afterAutospacing="0"/>
              <w:ind w:left="0" w:right="0"/>
              <w:jc w:val="center"/>
              <w:rPr>
                <w:rFonts w:hint="eastAsia" w:ascii="宋体" w:hAnsi="宋体" w:cs="Calibri"/>
                <w:color w:val="auto"/>
                <w:szCs w:val="21"/>
              </w:rPr>
            </w:pPr>
          </w:p>
        </w:tc>
        <w:tc>
          <w:tcPr>
            <w:tcW w:w="572" w:type="pct"/>
            <w:vMerge w:val="continue"/>
            <w:noWrap w:val="0"/>
            <w:vAlign w:val="center"/>
          </w:tcPr>
          <w:p w14:paraId="083D34DA">
            <w:pPr>
              <w:keepNext w:val="0"/>
              <w:keepLines w:val="0"/>
              <w:suppressLineNumbers w:val="0"/>
              <w:adjustRightInd w:val="0"/>
              <w:snapToGrid w:val="0"/>
              <w:spacing w:before="0" w:beforeAutospacing="0" w:after="0" w:afterAutospacing="0"/>
              <w:ind w:left="0" w:right="0"/>
              <w:jc w:val="center"/>
              <w:rPr>
                <w:rFonts w:hint="eastAsia" w:ascii="宋体" w:hAnsi="宋体" w:cs="Calibri"/>
                <w:color w:val="auto"/>
                <w:szCs w:val="21"/>
              </w:rPr>
            </w:pPr>
          </w:p>
        </w:tc>
        <w:tc>
          <w:tcPr>
            <w:tcW w:w="457" w:type="pct"/>
            <w:vMerge w:val="restart"/>
            <w:noWrap w:val="0"/>
            <w:vAlign w:val="center"/>
          </w:tcPr>
          <w:p w14:paraId="57553B25">
            <w:pPr>
              <w:keepNext w:val="0"/>
              <w:keepLines w:val="0"/>
              <w:suppressLineNumbers w:val="0"/>
              <w:adjustRightInd w:val="0"/>
              <w:snapToGrid w:val="0"/>
              <w:spacing w:before="0" w:beforeAutospacing="0" w:after="0" w:afterAutospacing="0"/>
              <w:ind w:left="0" w:right="0"/>
              <w:jc w:val="center"/>
              <w:rPr>
                <w:rFonts w:hint="eastAsia" w:ascii="宋体" w:hAnsi="宋体" w:cs="Calibri"/>
                <w:color w:val="auto"/>
                <w:szCs w:val="21"/>
              </w:rPr>
            </w:pPr>
            <w:r>
              <w:rPr>
                <w:rFonts w:hint="eastAsia" w:ascii="宋体" w:hAnsi="宋体" w:cs="Calibri"/>
                <w:color w:val="auto"/>
                <w:szCs w:val="21"/>
              </w:rPr>
              <w:t>输电线路</w:t>
            </w:r>
          </w:p>
        </w:tc>
        <w:tc>
          <w:tcPr>
            <w:tcW w:w="1496" w:type="pct"/>
            <w:noWrap w:val="0"/>
            <w:vAlign w:val="center"/>
          </w:tcPr>
          <w:p w14:paraId="1955D54C">
            <w:pPr>
              <w:keepNext w:val="0"/>
              <w:keepLines w:val="0"/>
              <w:suppressLineNumbers w:val="0"/>
              <w:spacing w:before="0" w:beforeAutospacing="0" w:after="0" w:afterAutospacing="0" w:line="240" w:lineRule="atLeast"/>
              <w:ind w:left="0" w:right="0"/>
              <w:rPr>
                <w:rFonts w:hint="eastAsia" w:ascii="宋体" w:hAnsi="宋体" w:cs="Calibri"/>
                <w:color w:val="auto"/>
                <w:szCs w:val="21"/>
              </w:rPr>
            </w:pPr>
            <w:r>
              <w:rPr>
                <w:rFonts w:hint="eastAsia" w:ascii="宋体" w:hAnsi="宋体" w:cs="Calibri"/>
                <w:color w:val="auto"/>
                <w:szCs w:val="21"/>
              </w:rPr>
              <w:t>1.地下电缆</w:t>
            </w:r>
          </w:p>
          <w:p w14:paraId="379F8345">
            <w:pPr>
              <w:keepNext w:val="0"/>
              <w:keepLines w:val="0"/>
              <w:suppressLineNumbers w:val="0"/>
              <w:spacing w:before="0" w:beforeAutospacing="0" w:after="0" w:afterAutospacing="0" w:line="240" w:lineRule="atLeast"/>
              <w:ind w:left="0" w:right="0"/>
              <w:rPr>
                <w:rFonts w:hint="eastAsia" w:ascii="宋体" w:hAnsi="宋体" w:cs="Calibri"/>
                <w:color w:val="auto"/>
                <w:szCs w:val="21"/>
              </w:rPr>
            </w:pPr>
            <w:r>
              <w:rPr>
                <w:rFonts w:hint="eastAsia" w:ascii="宋体" w:hAnsi="宋体" w:cs="Calibri"/>
                <w:color w:val="auto"/>
                <w:szCs w:val="21"/>
              </w:rPr>
              <w:t>2.边导线地面投影外两侧各1</w:t>
            </w:r>
            <w:r>
              <w:rPr>
                <w:rFonts w:hint="eastAsia" w:ascii="宋体" w:hAnsi="宋体" w:cs="Calibri"/>
                <w:color w:val="auto"/>
                <w:szCs w:val="21"/>
                <w:lang w:val="en-US" w:eastAsia="zh-CN"/>
              </w:rPr>
              <w:t>5</w:t>
            </w:r>
            <w:r>
              <w:rPr>
                <w:rFonts w:hint="eastAsia" w:ascii="宋体" w:hAnsi="宋体" w:cs="Calibri"/>
                <w:color w:val="auto"/>
                <w:szCs w:val="21"/>
              </w:rPr>
              <w:t>m范围内无电磁环境敏感目标的架空线</w:t>
            </w:r>
          </w:p>
        </w:tc>
        <w:tc>
          <w:tcPr>
            <w:tcW w:w="447" w:type="pct"/>
            <w:noWrap w:val="0"/>
            <w:vAlign w:val="center"/>
          </w:tcPr>
          <w:p w14:paraId="31FFAAB7">
            <w:pPr>
              <w:keepNext w:val="0"/>
              <w:keepLines w:val="0"/>
              <w:suppressLineNumbers w:val="0"/>
              <w:spacing w:before="0" w:beforeAutospacing="0" w:after="0" w:afterAutospacing="0"/>
              <w:ind w:left="0" w:right="0"/>
              <w:jc w:val="center"/>
              <w:rPr>
                <w:rFonts w:hint="eastAsia" w:ascii="宋体" w:hAnsi="宋体" w:cs="Calibri"/>
                <w:color w:val="auto"/>
                <w:szCs w:val="21"/>
              </w:rPr>
            </w:pPr>
            <w:r>
              <w:rPr>
                <w:rFonts w:hint="eastAsia" w:ascii="宋体" w:hAnsi="宋体" w:cs="Calibri"/>
                <w:color w:val="auto"/>
                <w:szCs w:val="21"/>
              </w:rPr>
              <w:t>三级</w:t>
            </w:r>
          </w:p>
        </w:tc>
        <w:tc>
          <w:tcPr>
            <w:tcW w:w="1234" w:type="pct"/>
            <w:noWrap w:val="0"/>
            <w:vAlign w:val="center"/>
          </w:tcPr>
          <w:p w14:paraId="4643C27A">
            <w:pPr>
              <w:keepNext w:val="0"/>
              <w:keepLines w:val="0"/>
              <w:numPr>
                <w:ilvl w:val="0"/>
                <w:numId w:val="0"/>
              </w:numPr>
              <w:suppressLineNumbers w:val="0"/>
              <w:adjustRightInd w:val="0"/>
              <w:snapToGrid w:val="0"/>
              <w:spacing w:before="0" w:beforeAutospacing="0" w:after="0" w:afterAutospacing="0"/>
              <w:ind w:left="0" w:leftChars="0" w:right="0" w:rightChars="0"/>
              <w:jc w:val="both"/>
              <w:rPr>
                <w:rFonts w:hint="default" w:ascii="宋体" w:hAnsi="宋体" w:eastAsia="宋体" w:cs="Calibri"/>
                <w:color w:val="auto"/>
                <w:szCs w:val="21"/>
                <w:lang w:val="en-US" w:eastAsia="zh-CN"/>
              </w:rPr>
            </w:pPr>
            <w:r>
              <w:rPr>
                <w:rFonts w:hint="default" w:ascii="宋体" w:hAnsi="宋体" w:eastAsia="宋体" w:cs="Calibri"/>
                <w:color w:val="auto"/>
                <w:kern w:val="2"/>
                <w:sz w:val="21"/>
                <w:szCs w:val="21"/>
                <w:lang w:val="en-US" w:eastAsia="zh-CN" w:bidi="ar-SA"/>
              </w:rPr>
              <w:t>边导线地面投影外两侧各</w:t>
            </w:r>
            <w:r>
              <w:rPr>
                <w:rFonts w:hint="eastAsia" w:ascii="宋体" w:hAnsi="宋体" w:cs="Calibri"/>
                <w:color w:val="auto"/>
                <w:szCs w:val="21"/>
                <w:lang w:val="en-US" w:eastAsia="zh-CN"/>
              </w:rPr>
              <w:t>15m范围内无电磁环境敏感目标的架空线</w:t>
            </w:r>
          </w:p>
        </w:tc>
        <w:tc>
          <w:tcPr>
            <w:tcW w:w="438" w:type="pct"/>
            <w:noWrap w:val="0"/>
            <w:vAlign w:val="center"/>
          </w:tcPr>
          <w:p w14:paraId="5F394BBA">
            <w:pPr>
              <w:keepNext w:val="0"/>
              <w:keepLines w:val="0"/>
              <w:suppressLineNumbers w:val="0"/>
              <w:adjustRightInd w:val="0"/>
              <w:snapToGrid w:val="0"/>
              <w:spacing w:before="0" w:beforeAutospacing="0" w:after="0" w:afterAutospacing="0"/>
              <w:ind w:left="0" w:right="0"/>
              <w:jc w:val="center"/>
              <w:rPr>
                <w:rFonts w:hint="eastAsia" w:ascii="宋体" w:hAnsi="宋体" w:eastAsia="宋体" w:cs="Calibri"/>
                <w:color w:val="auto"/>
                <w:szCs w:val="21"/>
                <w:lang w:val="en-US" w:eastAsia="zh-CN"/>
              </w:rPr>
            </w:pPr>
            <w:r>
              <w:rPr>
                <w:rFonts w:hint="eastAsia" w:ascii="宋体" w:hAnsi="宋体" w:cs="Calibri"/>
                <w:color w:val="auto"/>
                <w:szCs w:val="21"/>
                <w:lang w:val="en-US" w:eastAsia="zh-CN"/>
              </w:rPr>
              <w:t>三级</w:t>
            </w:r>
          </w:p>
        </w:tc>
      </w:tr>
      <w:tr w14:paraId="7B246F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3" w:hRule="atLeast"/>
          <w:jc w:val="center"/>
        </w:trPr>
        <w:tc>
          <w:tcPr>
            <w:tcW w:w="352" w:type="pct"/>
            <w:vMerge w:val="continue"/>
            <w:noWrap w:val="0"/>
            <w:vAlign w:val="top"/>
          </w:tcPr>
          <w:p w14:paraId="702603B9">
            <w:pPr>
              <w:keepNext w:val="0"/>
              <w:keepLines w:val="0"/>
              <w:suppressLineNumbers w:val="0"/>
              <w:adjustRightInd w:val="0"/>
              <w:snapToGrid w:val="0"/>
              <w:spacing w:before="0" w:beforeAutospacing="0" w:after="0" w:afterAutospacing="0"/>
              <w:ind w:left="0" w:right="0"/>
              <w:jc w:val="center"/>
              <w:rPr>
                <w:rFonts w:hint="eastAsia" w:ascii="宋体" w:hAnsi="宋体" w:cs="Calibri"/>
                <w:color w:val="auto"/>
                <w:szCs w:val="21"/>
              </w:rPr>
            </w:pPr>
          </w:p>
        </w:tc>
        <w:tc>
          <w:tcPr>
            <w:tcW w:w="572" w:type="pct"/>
            <w:vMerge w:val="continue"/>
            <w:noWrap w:val="0"/>
            <w:vAlign w:val="center"/>
          </w:tcPr>
          <w:p w14:paraId="4F2A5897">
            <w:pPr>
              <w:keepNext w:val="0"/>
              <w:keepLines w:val="0"/>
              <w:suppressLineNumbers w:val="0"/>
              <w:adjustRightInd w:val="0"/>
              <w:snapToGrid w:val="0"/>
              <w:spacing w:before="0" w:beforeAutospacing="0" w:after="0" w:afterAutospacing="0"/>
              <w:ind w:left="0" w:right="0"/>
              <w:jc w:val="center"/>
              <w:rPr>
                <w:rFonts w:hint="eastAsia" w:ascii="宋体" w:hAnsi="宋体" w:cs="Calibri"/>
                <w:color w:val="auto"/>
                <w:szCs w:val="21"/>
              </w:rPr>
            </w:pPr>
          </w:p>
        </w:tc>
        <w:tc>
          <w:tcPr>
            <w:tcW w:w="457" w:type="pct"/>
            <w:vMerge w:val="continue"/>
            <w:noWrap w:val="0"/>
            <w:vAlign w:val="center"/>
          </w:tcPr>
          <w:p w14:paraId="3C5564A0">
            <w:pPr>
              <w:keepNext w:val="0"/>
              <w:keepLines w:val="0"/>
              <w:suppressLineNumbers w:val="0"/>
              <w:adjustRightInd w:val="0"/>
              <w:snapToGrid w:val="0"/>
              <w:spacing w:before="0" w:beforeAutospacing="0" w:after="0" w:afterAutospacing="0"/>
              <w:ind w:left="0" w:right="0"/>
              <w:jc w:val="center"/>
              <w:rPr>
                <w:rFonts w:hint="eastAsia" w:ascii="宋体" w:hAnsi="宋体" w:cs="Calibri"/>
                <w:color w:val="auto"/>
                <w:szCs w:val="21"/>
              </w:rPr>
            </w:pPr>
          </w:p>
        </w:tc>
        <w:tc>
          <w:tcPr>
            <w:tcW w:w="1496" w:type="pct"/>
            <w:noWrap w:val="0"/>
            <w:vAlign w:val="center"/>
          </w:tcPr>
          <w:p w14:paraId="1AA96100">
            <w:pPr>
              <w:keepNext w:val="0"/>
              <w:keepLines w:val="0"/>
              <w:suppressLineNumbers w:val="0"/>
              <w:spacing w:before="0" w:beforeAutospacing="0" w:after="0" w:afterAutospacing="0" w:line="240" w:lineRule="atLeast"/>
              <w:ind w:left="0" w:right="0"/>
              <w:rPr>
                <w:rFonts w:hint="eastAsia" w:ascii="宋体" w:hAnsi="宋体" w:cs="Calibri"/>
                <w:color w:val="auto"/>
                <w:szCs w:val="21"/>
              </w:rPr>
            </w:pPr>
            <w:r>
              <w:rPr>
                <w:rFonts w:hint="eastAsia" w:ascii="宋体" w:hAnsi="宋体" w:cs="Calibri"/>
                <w:color w:val="auto"/>
                <w:szCs w:val="21"/>
              </w:rPr>
              <w:t>边导线地面投影外两侧各1</w:t>
            </w:r>
            <w:r>
              <w:rPr>
                <w:rFonts w:hint="eastAsia" w:ascii="宋体" w:hAnsi="宋体" w:cs="Calibri"/>
                <w:color w:val="auto"/>
                <w:szCs w:val="21"/>
                <w:lang w:val="en-US" w:eastAsia="zh-CN"/>
              </w:rPr>
              <w:t>5</w:t>
            </w:r>
            <w:r>
              <w:rPr>
                <w:rFonts w:hint="eastAsia" w:ascii="宋体" w:hAnsi="宋体" w:cs="Calibri"/>
                <w:color w:val="auto"/>
                <w:szCs w:val="21"/>
              </w:rPr>
              <w:t>m范围内有电磁环境敏感目标的架空线</w:t>
            </w:r>
          </w:p>
        </w:tc>
        <w:tc>
          <w:tcPr>
            <w:tcW w:w="447" w:type="pct"/>
            <w:noWrap w:val="0"/>
            <w:vAlign w:val="center"/>
          </w:tcPr>
          <w:p w14:paraId="77CC98B7">
            <w:pPr>
              <w:keepNext w:val="0"/>
              <w:keepLines w:val="0"/>
              <w:suppressLineNumbers w:val="0"/>
              <w:spacing w:before="0" w:beforeAutospacing="0" w:after="0" w:afterAutospacing="0"/>
              <w:ind w:left="0" w:right="0"/>
              <w:jc w:val="center"/>
              <w:rPr>
                <w:rFonts w:hint="eastAsia" w:ascii="宋体" w:hAnsi="宋体" w:cs="Calibri"/>
                <w:color w:val="auto"/>
                <w:szCs w:val="21"/>
              </w:rPr>
            </w:pPr>
            <w:r>
              <w:rPr>
                <w:rFonts w:hint="eastAsia" w:ascii="宋体" w:hAnsi="宋体" w:cs="Calibri"/>
                <w:color w:val="auto"/>
                <w:szCs w:val="21"/>
              </w:rPr>
              <w:t>二级</w:t>
            </w:r>
          </w:p>
        </w:tc>
        <w:tc>
          <w:tcPr>
            <w:tcW w:w="1234" w:type="pct"/>
            <w:noWrap w:val="0"/>
            <w:vAlign w:val="center"/>
          </w:tcPr>
          <w:p w14:paraId="5AD71AEB">
            <w:pPr>
              <w:keepNext w:val="0"/>
              <w:keepLines w:val="0"/>
              <w:suppressLineNumbers w:val="0"/>
              <w:adjustRightInd w:val="0"/>
              <w:snapToGrid w:val="0"/>
              <w:spacing w:before="0" w:beforeAutospacing="0" w:after="0" w:afterAutospacing="0"/>
              <w:ind w:left="0" w:right="0"/>
              <w:jc w:val="center"/>
              <w:rPr>
                <w:rFonts w:hint="eastAsia" w:ascii="宋体" w:hAnsi="宋体" w:eastAsia="宋体" w:cs="Calibri"/>
                <w:color w:val="auto"/>
                <w:szCs w:val="21"/>
                <w:lang w:val="en-US" w:eastAsia="zh-CN"/>
              </w:rPr>
            </w:pPr>
            <w:r>
              <w:rPr>
                <w:rFonts w:hint="eastAsia" w:ascii="宋体" w:hAnsi="宋体" w:cs="Calibri"/>
                <w:color w:val="auto"/>
                <w:szCs w:val="21"/>
                <w:lang w:val="en-US" w:eastAsia="zh-CN"/>
              </w:rPr>
              <w:t>/</w:t>
            </w:r>
          </w:p>
        </w:tc>
        <w:tc>
          <w:tcPr>
            <w:tcW w:w="438" w:type="pct"/>
            <w:noWrap w:val="0"/>
            <w:vAlign w:val="center"/>
          </w:tcPr>
          <w:p w14:paraId="28AEEDB7">
            <w:pPr>
              <w:keepNext w:val="0"/>
              <w:keepLines w:val="0"/>
              <w:suppressLineNumbers w:val="0"/>
              <w:adjustRightInd w:val="0"/>
              <w:snapToGrid w:val="0"/>
              <w:spacing w:before="0" w:beforeAutospacing="0" w:after="0" w:afterAutospacing="0"/>
              <w:ind w:left="0" w:right="0"/>
              <w:jc w:val="center"/>
              <w:rPr>
                <w:rFonts w:hint="eastAsia" w:ascii="宋体" w:hAnsi="宋体" w:eastAsia="宋体" w:cs="Calibri"/>
                <w:color w:val="auto"/>
                <w:szCs w:val="21"/>
                <w:lang w:eastAsia="zh-CN"/>
              </w:rPr>
            </w:pPr>
            <w:r>
              <w:rPr>
                <w:rFonts w:hint="eastAsia" w:ascii="宋体" w:hAnsi="宋体" w:cs="Calibri"/>
                <w:color w:val="auto"/>
                <w:szCs w:val="21"/>
                <w:lang w:val="en-US" w:eastAsia="zh-CN"/>
              </w:rPr>
              <w:t>/</w:t>
            </w:r>
          </w:p>
        </w:tc>
      </w:tr>
    </w:tbl>
    <w:p w14:paraId="32D04A87">
      <w:pPr>
        <w:widowControl w:val="0"/>
        <w:adjustRightInd w:val="0"/>
        <w:snapToGrid w:val="0"/>
        <w:spacing w:line="360" w:lineRule="auto"/>
        <w:ind w:firstLine="480" w:firstLineChars="200"/>
        <w:jc w:val="both"/>
        <w:rPr>
          <w:rFonts w:hint="eastAsia" w:ascii="宋体" w:hAnsi="宋体" w:eastAsia="宋体" w:cs="Calibri"/>
          <w:color w:val="0000FF"/>
          <w:kern w:val="2"/>
          <w:sz w:val="24"/>
          <w:szCs w:val="21"/>
          <w:lang w:val="en-US" w:eastAsia="zh-CN" w:bidi="ar-SA"/>
        </w:rPr>
      </w:pPr>
    </w:p>
    <w:p w14:paraId="3CA51865">
      <w:pPr>
        <w:widowControl w:val="0"/>
        <w:adjustRightInd w:val="0"/>
        <w:snapToGrid w:val="0"/>
        <w:spacing w:line="360" w:lineRule="auto"/>
        <w:ind w:firstLine="480" w:firstLineChars="200"/>
        <w:jc w:val="both"/>
        <w:rPr>
          <w:rFonts w:hint="eastAsia" w:ascii="宋体" w:hAnsi="宋体" w:eastAsia="宋体" w:cs="Calibri"/>
          <w:color w:val="auto"/>
          <w:kern w:val="2"/>
          <w:sz w:val="24"/>
          <w:szCs w:val="21"/>
          <w:lang w:val="en-US" w:eastAsia="zh-CN" w:bidi="ar-SA"/>
        </w:rPr>
      </w:pPr>
      <w:r>
        <w:rPr>
          <w:rFonts w:hint="eastAsia" w:ascii="宋体" w:hAnsi="宋体" w:cs="Calibri"/>
          <w:color w:val="auto"/>
          <w:kern w:val="2"/>
          <w:sz w:val="24"/>
          <w:szCs w:val="21"/>
          <w:lang w:val="en-US" w:eastAsia="zh-CN" w:bidi="ar-SA"/>
        </w:rPr>
        <w:t>（</w:t>
      </w:r>
      <w:r>
        <w:rPr>
          <w:rFonts w:hint="eastAsia" w:ascii="宋体" w:hAnsi="宋体" w:eastAsia="宋体" w:cs="Calibri"/>
          <w:color w:val="auto"/>
          <w:kern w:val="2"/>
          <w:sz w:val="24"/>
          <w:szCs w:val="21"/>
          <w:lang w:val="en-US" w:eastAsia="zh-CN" w:bidi="ar-SA"/>
        </w:rPr>
        <w:t>3</w:t>
      </w:r>
      <w:r>
        <w:rPr>
          <w:rFonts w:hint="eastAsia" w:ascii="宋体" w:hAnsi="宋体" w:cs="Calibri"/>
          <w:color w:val="auto"/>
          <w:kern w:val="2"/>
          <w:sz w:val="24"/>
          <w:szCs w:val="21"/>
          <w:lang w:val="en-US" w:eastAsia="zh-CN" w:bidi="ar-SA"/>
        </w:rPr>
        <w:t>）</w:t>
      </w:r>
      <w:r>
        <w:rPr>
          <w:rFonts w:hint="eastAsia" w:ascii="宋体" w:hAnsi="宋体" w:eastAsia="宋体" w:cs="Calibri"/>
          <w:color w:val="auto"/>
          <w:kern w:val="2"/>
          <w:sz w:val="24"/>
          <w:szCs w:val="21"/>
          <w:lang w:val="en-US" w:eastAsia="zh-CN" w:bidi="ar-SA"/>
        </w:rPr>
        <w:t>评价范围</w:t>
      </w:r>
    </w:p>
    <w:p w14:paraId="1B1A69D6">
      <w:pPr>
        <w:pStyle w:val="6"/>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sz w:val="24"/>
        </w:rPr>
      </w:pPr>
      <w:r>
        <w:rPr>
          <w:rFonts w:hint="eastAsia" w:ascii="宋体" w:hAnsi="宋体" w:eastAsia="宋体" w:cs="Calibri"/>
          <w:color w:val="auto"/>
          <w:kern w:val="2"/>
          <w:sz w:val="24"/>
          <w:szCs w:val="21"/>
          <w:lang w:val="en-US" w:eastAsia="zh-CN" w:bidi="ar-SA"/>
        </w:rPr>
        <w:t>根据《环境影响评价技术导则</w:t>
      </w:r>
      <w:r>
        <w:rPr>
          <w:rFonts w:hint="eastAsia" w:ascii="宋体" w:hAnsi="宋体" w:cs="Calibri"/>
          <w:color w:val="auto"/>
          <w:kern w:val="2"/>
          <w:sz w:val="24"/>
          <w:szCs w:val="21"/>
          <w:lang w:val="en-US" w:eastAsia="zh-CN" w:bidi="ar-SA"/>
        </w:rPr>
        <w:t xml:space="preserve"> </w:t>
      </w:r>
      <w:r>
        <w:rPr>
          <w:rFonts w:hint="eastAsia" w:ascii="宋体" w:hAnsi="宋体" w:eastAsia="宋体" w:cs="Calibri"/>
          <w:color w:val="auto"/>
          <w:kern w:val="2"/>
          <w:sz w:val="24"/>
          <w:szCs w:val="21"/>
          <w:lang w:val="en-US" w:eastAsia="zh-CN" w:bidi="ar-SA"/>
        </w:rPr>
        <w:t>输变电》(HJ24-20</w:t>
      </w:r>
      <w:r>
        <w:rPr>
          <w:rFonts w:ascii="宋体" w:hAnsi="宋体" w:eastAsia="宋体" w:cs="Calibri"/>
          <w:color w:val="auto"/>
          <w:kern w:val="2"/>
          <w:sz w:val="24"/>
          <w:szCs w:val="21"/>
          <w:lang w:val="en-US" w:eastAsia="zh-CN" w:bidi="ar-SA"/>
        </w:rPr>
        <w:t>20</w:t>
      </w:r>
      <w:r>
        <w:rPr>
          <w:rFonts w:hint="eastAsia" w:ascii="宋体" w:hAnsi="宋体" w:eastAsia="宋体" w:cs="Calibri"/>
          <w:color w:val="auto"/>
          <w:kern w:val="2"/>
          <w:sz w:val="24"/>
          <w:szCs w:val="21"/>
          <w:lang w:val="en-US" w:eastAsia="zh-CN" w:bidi="ar-SA"/>
        </w:rPr>
        <w:t>)，电压等级为220kV的输变电工程以</w:t>
      </w:r>
      <w:r>
        <w:rPr>
          <w:rFonts w:hint="eastAsia" w:ascii="宋体" w:hAnsi="宋体" w:cs="Calibri"/>
          <w:color w:val="auto"/>
          <w:kern w:val="2"/>
          <w:sz w:val="24"/>
          <w:szCs w:val="21"/>
          <w:lang w:val="en-US" w:eastAsia="zh-CN" w:bidi="ar-SA"/>
        </w:rPr>
        <w:t>升压</w:t>
      </w:r>
      <w:r>
        <w:rPr>
          <w:rFonts w:hint="eastAsia" w:ascii="宋体" w:hAnsi="宋体" w:eastAsia="宋体" w:cs="Calibri"/>
          <w:color w:val="auto"/>
          <w:kern w:val="2"/>
          <w:sz w:val="24"/>
          <w:szCs w:val="21"/>
          <w:lang w:val="en-US" w:eastAsia="zh-CN" w:bidi="ar-SA"/>
        </w:rPr>
        <w:t>站站界外40m、架空线路边导线地面投影外两侧各40m为电磁环境影响评价范围</w:t>
      </w:r>
      <w:r>
        <w:rPr>
          <w:rFonts w:hint="eastAsia" w:ascii="宋体" w:hAnsi="宋体" w:eastAsia="宋体" w:cs="宋体"/>
          <w:color w:val="auto"/>
          <w:sz w:val="24"/>
        </w:rPr>
        <w:t>。</w:t>
      </w:r>
    </w:p>
    <w:p w14:paraId="764CC19D">
      <w:pPr>
        <w:pStyle w:val="3"/>
        <w:pageBreakBefore w:val="0"/>
        <w:widowControl w:val="0"/>
        <w:kinsoku/>
        <w:wordWrap/>
        <w:overflowPunct/>
        <w:topLinePunct w:val="0"/>
        <w:bidi w:val="0"/>
        <w:adjustRightInd w:val="0"/>
        <w:snapToGrid w:val="0"/>
        <w:spacing w:before="0" w:beforeLines="0" w:after="0" w:afterLines="0" w:line="360" w:lineRule="auto"/>
        <w:textAlignment w:val="auto"/>
        <w:rPr>
          <w:rFonts w:hint="eastAsia" w:ascii="宋体" w:hAnsi="宋体" w:eastAsia="宋体" w:cs="宋体"/>
          <w:color w:val="auto"/>
          <w:sz w:val="28"/>
          <w:szCs w:val="28"/>
        </w:rPr>
      </w:pPr>
      <w:bookmarkStart w:id="146" w:name="_Toc8979"/>
      <w:bookmarkStart w:id="147" w:name="_Toc75713162"/>
      <w:bookmarkStart w:id="148" w:name="_Toc26638"/>
      <w:bookmarkStart w:id="149" w:name="_Toc22069"/>
      <w:bookmarkStart w:id="150" w:name="_Toc8577"/>
      <w:bookmarkStart w:id="151" w:name="_Toc11751"/>
      <w:bookmarkStart w:id="152" w:name="_Toc32473"/>
      <w:bookmarkStart w:id="153" w:name="_Toc8706"/>
      <w:r>
        <w:rPr>
          <w:rFonts w:hint="eastAsia" w:ascii="宋体" w:hAnsi="宋体" w:eastAsia="宋体" w:cs="宋体"/>
          <w:color w:val="auto"/>
          <w:sz w:val="28"/>
          <w:szCs w:val="28"/>
        </w:rPr>
        <w:t>1.5评价标准</w:t>
      </w:r>
      <w:bookmarkEnd w:id="146"/>
      <w:bookmarkEnd w:id="147"/>
      <w:bookmarkEnd w:id="148"/>
      <w:bookmarkEnd w:id="149"/>
      <w:bookmarkEnd w:id="150"/>
      <w:bookmarkEnd w:id="151"/>
      <w:bookmarkEnd w:id="152"/>
      <w:bookmarkEnd w:id="153"/>
    </w:p>
    <w:p w14:paraId="2705E923">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根据《环境影响评价技术导则</w:t>
      </w:r>
      <w:r>
        <w:rPr>
          <w:rFonts w:hint="eastAsia" w:ascii="宋体" w:hAnsi="宋体" w:cs="宋体"/>
          <w:color w:val="auto"/>
          <w:sz w:val="24"/>
          <w:lang w:val="en-US" w:eastAsia="zh-CN"/>
        </w:rPr>
        <w:t xml:space="preserve"> </w:t>
      </w:r>
      <w:r>
        <w:rPr>
          <w:rFonts w:hint="eastAsia" w:ascii="宋体" w:hAnsi="宋体" w:eastAsia="宋体" w:cs="宋体"/>
          <w:color w:val="auto"/>
          <w:sz w:val="24"/>
        </w:rPr>
        <w:t>输变电》(HJ24-2020)，工频电场强度、工频磁感应强度应满足《电磁环境控制限值》</w:t>
      </w:r>
      <w:r>
        <w:rPr>
          <w:rFonts w:hint="eastAsia" w:ascii="宋体" w:hAnsi="宋体" w:cs="宋体"/>
          <w:color w:val="auto"/>
          <w:sz w:val="24"/>
          <w:lang w:eastAsia="zh-CN"/>
        </w:rPr>
        <w:t>（</w:t>
      </w:r>
      <w:r>
        <w:rPr>
          <w:rFonts w:hint="eastAsia" w:ascii="宋体" w:hAnsi="宋体" w:eastAsia="宋体" w:cs="宋体"/>
          <w:color w:val="auto"/>
          <w:sz w:val="24"/>
        </w:rPr>
        <w:t>GB8702-2014</w:t>
      </w:r>
      <w:r>
        <w:rPr>
          <w:rFonts w:hint="eastAsia" w:ascii="宋体" w:hAnsi="宋体" w:cs="宋体"/>
          <w:color w:val="auto"/>
          <w:sz w:val="24"/>
          <w:lang w:eastAsia="zh-CN"/>
        </w:rPr>
        <w:t>）</w:t>
      </w:r>
      <w:r>
        <w:rPr>
          <w:rFonts w:hint="eastAsia" w:ascii="宋体" w:hAnsi="宋体" w:eastAsia="宋体" w:cs="宋体"/>
          <w:color w:val="auto"/>
          <w:sz w:val="24"/>
        </w:rPr>
        <w:t>的要求，具体见表1.5-1。</w:t>
      </w:r>
    </w:p>
    <w:p w14:paraId="3558C21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color w:val="auto"/>
          <w:sz w:val="24"/>
        </w:rPr>
      </w:pPr>
      <w:r>
        <w:rPr>
          <w:rFonts w:hint="eastAsia" w:ascii="宋体" w:hAnsi="宋体" w:eastAsia="宋体" w:cs="宋体"/>
          <w:b/>
          <w:color w:val="auto"/>
          <w:sz w:val="24"/>
        </w:rPr>
        <w:t>表1.5-1</w:t>
      </w:r>
      <w:r>
        <w:rPr>
          <w:rFonts w:hint="eastAsia" w:ascii="宋体" w:hAnsi="宋体" w:cs="宋体"/>
          <w:b/>
          <w:color w:val="auto"/>
          <w:sz w:val="24"/>
          <w:lang w:val="en-US" w:eastAsia="zh-CN"/>
        </w:rPr>
        <w:t xml:space="preserve">    </w:t>
      </w:r>
      <w:r>
        <w:rPr>
          <w:rFonts w:hint="eastAsia" w:ascii="宋体" w:hAnsi="宋体" w:eastAsia="宋体" w:cs="宋体"/>
          <w:b/>
          <w:color w:val="auto"/>
          <w:sz w:val="24"/>
        </w:rPr>
        <w:t>电磁环境控制限值</w:t>
      </w:r>
    </w:p>
    <w:tbl>
      <w:tblPr>
        <w:tblStyle w:val="32"/>
        <w:tblW w:w="87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85"/>
        <w:gridCol w:w="1986"/>
        <w:gridCol w:w="1534"/>
        <w:gridCol w:w="1728"/>
        <w:gridCol w:w="1197"/>
      </w:tblGrid>
      <w:tr w14:paraId="7F1E3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2285" w:type="dxa"/>
            <w:tcBorders>
              <w:tl2br w:val="nil"/>
              <w:tr2bl w:val="nil"/>
            </w:tcBorders>
            <w:noWrap w:val="0"/>
            <w:vAlign w:val="center"/>
          </w:tcPr>
          <w:p w14:paraId="0DF9D95B">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color w:val="auto"/>
                <w:kern w:val="15"/>
                <w:sz w:val="21"/>
                <w:szCs w:val="21"/>
              </w:rPr>
            </w:pPr>
            <w:r>
              <w:rPr>
                <w:rFonts w:hint="eastAsia" w:ascii="宋体" w:hAnsi="宋体" w:eastAsia="宋体" w:cs="宋体"/>
                <w:b/>
                <w:color w:val="auto"/>
                <w:kern w:val="15"/>
                <w:sz w:val="21"/>
                <w:szCs w:val="21"/>
              </w:rPr>
              <w:t>项目</w:t>
            </w:r>
          </w:p>
        </w:tc>
        <w:tc>
          <w:tcPr>
            <w:tcW w:w="1986" w:type="dxa"/>
            <w:tcBorders>
              <w:tl2br w:val="nil"/>
              <w:tr2bl w:val="nil"/>
            </w:tcBorders>
            <w:noWrap w:val="0"/>
            <w:vAlign w:val="center"/>
          </w:tcPr>
          <w:p w14:paraId="40A23FBC">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color w:val="auto"/>
                <w:kern w:val="15"/>
                <w:sz w:val="21"/>
                <w:szCs w:val="21"/>
              </w:rPr>
            </w:pPr>
            <w:r>
              <w:rPr>
                <w:rFonts w:hint="eastAsia" w:ascii="宋体" w:hAnsi="宋体" w:eastAsia="宋体" w:cs="宋体"/>
                <w:b/>
                <w:color w:val="auto"/>
                <w:kern w:val="15"/>
                <w:sz w:val="21"/>
                <w:szCs w:val="21"/>
              </w:rPr>
              <w:t>频率范围</w:t>
            </w:r>
          </w:p>
        </w:tc>
        <w:tc>
          <w:tcPr>
            <w:tcW w:w="1534" w:type="dxa"/>
            <w:tcBorders>
              <w:tl2br w:val="nil"/>
              <w:tr2bl w:val="nil"/>
            </w:tcBorders>
            <w:noWrap w:val="0"/>
            <w:vAlign w:val="center"/>
          </w:tcPr>
          <w:p w14:paraId="757E399C">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color w:val="auto"/>
                <w:kern w:val="15"/>
                <w:sz w:val="21"/>
                <w:szCs w:val="21"/>
              </w:rPr>
            </w:pPr>
            <w:r>
              <w:rPr>
                <w:rFonts w:hint="eastAsia" w:ascii="宋体" w:hAnsi="宋体" w:eastAsia="宋体" w:cs="宋体"/>
                <w:b/>
                <w:color w:val="auto"/>
                <w:kern w:val="15"/>
                <w:sz w:val="21"/>
                <w:szCs w:val="21"/>
              </w:rPr>
              <w:t>工频电场强度</w:t>
            </w:r>
          </w:p>
        </w:tc>
        <w:tc>
          <w:tcPr>
            <w:tcW w:w="1728" w:type="dxa"/>
            <w:tcBorders>
              <w:tl2br w:val="nil"/>
              <w:tr2bl w:val="nil"/>
            </w:tcBorders>
            <w:noWrap w:val="0"/>
            <w:vAlign w:val="center"/>
          </w:tcPr>
          <w:p w14:paraId="45D262BA">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color w:val="auto"/>
                <w:kern w:val="15"/>
                <w:sz w:val="21"/>
                <w:szCs w:val="21"/>
              </w:rPr>
            </w:pPr>
            <w:r>
              <w:rPr>
                <w:rFonts w:hint="eastAsia" w:ascii="宋体" w:hAnsi="宋体" w:eastAsia="宋体" w:cs="宋体"/>
                <w:b/>
                <w:color w:val="auto"/>
                <w:kern w:val="15"/>
                <w:sz w:val="21"/>
                <w:szCs w:val="21"/>
              </w:rPr>
              <w:t>工频磁感应强度</w:t>
            </w:r>
          </w:p>
        </w:tc>
        <w:tc>
          <w:tcPr>
            <w:tcW w:w="1197" w:type="dxa"/>
            <w:tcBorders>
              <w:tl2br w:val="nil"/>
              <w:tr2bl w:val="nil"/>
            </w:tcBorders>
            <w:noWrap w:val="0"/>
            <w:vAlign w:val="center"/>
          </w:tcPr>
          <w:p w14:paraId="02D1C8BF">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color w:val="auto"/>
                <w:kern w:val="15"/>
                <w:sz w:val="21"/>
                <w:szCs w:val="21"/>
              </w:rPr>
            </w:pPr>
            <w:r>
              <w:rPr>
                <w:rFonts w:hint="eastAsia" w:ascii="宋体" w:hAnsi="宋体" w:eastAsia="宋体" w:cs="宋体"/>
                <w:b/>
                <w:color w:val="auto"/>
                <w:kern w:val="15"/>
                <w:sz w:val="21"/>
                <w:szCs w:val="21"/>
              </w:rPr>
              <w:t>备注</w:t>
            </w:r>
          </w:p>
        </w:tc>
      </w:tr>
      <w:tr w14:paraId="719264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2285" w:type="dxa"/>
            <w:tcBorders>
              <w:tl2br w:val="nil"/>
              <w:tr2bl w:val="nil"/>
            </w:tcBorders>
            <w:noWrap w:val="0"/>
            <w:vAlign w:val="center"/>
          </w:tcPr>
          <w:p w14:paraId="0A201ACE">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color w:val="auto"/>
                <w:kern w:val="15"/>
                <w:sz w:val="21"/>
                <w:szCs w:val="21"/>
              </w:rPr>
            </w:pPr>
            <w:r>
              <w:rPr>
                <w:rFonts w:hint="eastAsia" w:ascii="宋体" w:hAnsi="宋体" w:eastAsia="宋体" w:cs="宋体"/>
                <w:color w:val="auto"/>
                <w:sz w:val="21"/>
                <w:szCs w:val="21"/>
              </w:rPr>
              <w:t>《电磁环境控制限值》(GB8702-2014)</w:t>
            </w:r>
          </w:p>
        </w:tc>
        <w:tc>
          <w:tcPr>
            <w:tcW w:w="1986" w:type="dxa"/>
            <w:tcBorders>
              <w:tl2br w:val="nil"/>
              <w:tr2bl w:val="nil"/>
            </w:tcBorders>
            <w:noWrap w:val="0"/>
            <w:vAlign w:val="center"/>
          </w:tcPr>
          <w:p w14:paraId="6043D6D1">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color w:val="auto"/>
                <w:kern w:val="15"/>
                <w:sz w:val="21"/>
                <w:szCs w:val="21"/>
              </w:rPr>
            </w:pPr>
            <w:r>
              <w:rPr>
                <w:rFonts w:hint="eastAsia" w:ascii="宋体" w:hAnsi="宋体" w:eastAsia="宋体" w:cs="宋体"/>
                <w:color w:val="auto"/>
                <w:kern w:val="15"/>
                <w:sz w:val="21"/>
                <w:szCs w:val="21"/>
              </w:rPr>
              <w:t>0.025kHz</w:t>
            </w:r>
            <w:r>
              <w:rPr>
                <w:rFonts w:hint="eastAsia" w:ascii="宋体" w:hAnsi="宋体" w:cs="宋体"/>
                <w:color w:val="auto"/>
                <w:kern w:val="15"/>
                <w:sz w:val="21"/>
                <w:szCs w:val="21"/>
                <w:lang w:eastAsia="zh-CN"/>
              </w:rPr>
              <w:t>~</w:t>
            </w:r>
            <w:r>
              <w:rPr>
                <w:rFonts w:hint="eastAsia" w:ascii="宋体" w:hAnsi="宋体" w:eastAsia="宋体" w:cs="宋体"/>
                <w:color w:val="auto"/>
                <w:kern w:val="15"/>
                <w:sz w:val="21"/>
                <w:szCs w:val="21"/>
              </w:rPr>
              <w:t>1.2kHz</w:t>
            </w:r>
          </w:p>
        </w:tc>
        <w:tc>
          <w:tcPr>
            <w:tcW w:w="1534" w:type="dxa"/>
            <w:tcBorders>
              <w:tl2br w:val="nil"/>
              <w:tr2bl w:val="nil"/>
            </w:tcBorders>
            <w:noWrap w:val="0"/>
            <w:vAlign w:val="center"/>
          </w:tcPr>
          <w:p w14:paraId="632BBA45">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color w:val="auto"/>
                <w:kern w:val="15"/>
                <w:sz w:val="21"/>
                <w:szCs w:val="21"/>
              </w:rPr>
            </w:pPr>
            <w:r>
              <w:rPr>
                <w:rFonts w:hint="eastAsia" w:ascii="宋体" w:hAnsi="宋体" w:eastAsia="宋体" w:cs="宋体"/>
                <w:color w:val="auto"/>
                <w:kern w:val="15"/>
                <w:sz w:val="21"/>
                <w:szCs w:val="21"/>
              </w:rPr>
              <w:t>200/f</w:t>
            </w:r>
          </w:p>
        </w:tc>
        <w:tc>
          <w:tcPr>
            <w:tcW w:w="1728" w:type="dxa"/>
            <w:tcBorders>
              <w:tl2br w:val="nil"/>
              <w:tr2bl w:val="nil"/>
            </w:tcBorders>
            <w:noWrap w:val="0"/>
            <w:vAlign w:val="center"/>
          </w:tcPr>
          <w:p w14:paraId="1BC9011F">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color w:val="auto"/>
                <w:kern w:val="15"/>
                <w:sz w:val="21"/>
                <w:szCs w:val="21"/>
              </w:rPr>
            </w:pPr>
            <w:r>
              <w:rPr>
                <w:rFonts w:hint="eastAsia" w:ascii="宋体" w:hAnsi="宋体" w:eastAsia="宋体" w:cs="宋体"/>
                <w:color w:val="auto"/>
                <w:kern w:val="15"/>
                <w:sz w:val="21"/>
                <w:szCs w:val="21"/>
              </w:rPr>
              <w:t>5/f</w:t>
            </w:r>
          </w:p>
        </w:tc>
        <w:tc>
          <w:tcPr>
            <w:tcW w:w="1197" w:type="dxa"/>
            <w:tcBorders>
              <w:tl2br w:val="nil"/>
              <w:tr2bl w:val="nil"/>
            </w:tcBorders>
            <w:noWrap w:val="0"/>
            <w:vAlign w:val="center"/>
          </w:tcPr>
          <w:p w14:paraId="1331C9DF">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color w:val="auto"/>
                <w:kern w:val="15"/>
                <w:sz w:val="21"/>
                <w:szCs w:val="21"/>
              </w:rPr>
            </w:pPr>
            <w:r>
              <w:rPr>
                <w:rFonts w:hint="eastAsia" w:ascii="宋体" w:hAnsi="宋体" w:eastAsia="宋体" w:cs="宋体"/>
                <w:color w:val="auto"/>
                <w:kern w:val="15"/>
                <w:sz w:val="21"/>
                <w:szCs w:val="21"/>
              </w:rPr>
              <w:t>f代表频率</w:t>
            </w:r>
          </w:p>
        </w:tc>
      </w:tr>
      <w:tr w14:paraId="387E0D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2285" w:type="dxa"/>
            <w:tcBorders>
              <w:tl2br w:val="nil"/>
              <w:tr2bl w:val="nil"/>
            </w:tcBorders>
            <w:shd w:val="clear" w:color="auto" w:fill="auto"/>
            <w:noWrap w:val="0"/>
            <w:vAlign w:val="center"/>
          </w:tcPr>
          <w:p w14:paraId="705B7A10">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auto"/>
                <w:kern w:val="15"/>
                <w:sz w:val="21"/>
                <w:szCs w:val="24"/>
                <w:highlight w:val="none"/>
                <w:lang w:val="en-US" w:eastAsia="zh-CN" w:bidi="ar-SA"/>
              </w:rPr>
            </w:pPr>
            <w:r>
              <w:rPr>
                <w:rFonts w:hint="eastAsia" w:ascii="宋体" w:hAnsi="宋体"/>
                <w:color w:val="auto"/>
                <w:kern w:val="15"/>
                <w:highlight w:val="none"/>
                <w:lang w:val="en-US" w:eastAsia="zh-CN"/>
              </w:rPr>
              <w:t>交流输变电工程</w:t>
            </w:r>
          </w:p>
        </w:tc>
        <w:tc>
          <w:tcPr>
            <w:tcW w:w="1986" w:type="dxa"/>
            <w:tcBorders>
              <w:tl2br w:val="nil"/>
              <w:tr2bl w:val="nil"/>
            </w:tcBorders>
            <w:shd w:val="clear" w:color="auto" w:fill="auto"/>
            <w:noWrap w:val="0"/>
            <w:vAlign w:val="center"/>
          </w:tcPr>
          <w:p w14:paraId="294706B1">
            <w:pPr>
              <w:keepNext w:val="0"/>
              <w:keepLines w:val="0"/>
              <w:suppressLineNumbers w:val="0"/>
              <w:spacing w:before="0" w:beforeAutospacing="0" w:after="0" w:afterAutospacing="0" w:line="300" w:lineRule="exact"/>
              <w:ind w:left="0" w:right="0"/>
              <w:jc w:val="center"/>
              <w:rPr>
                <w:rFonts w:hint="eastAsia" w:ascii="宋体" w:hAnsi="宋体" w:eastAsia="宋体" w:cs="Times New Roman"/>
                <w:color w:val="auto"/>
                <w:kern w:val="15"/>
                <w:sz w:val="21"/>
                <w:szCs w:val="24"/>
                <w:highlight w:val="none"/>
                <w:lang w:val="en-US" w:eastAsia="zh-CN" w:bidi="ar-SA"/>
              </w:rPr>
            </w:pPr>
            <w:r>
              <w:rPr>
                <w:rFonts w:hint="eastAsia" w:ascii="宋体" w:hAnsi="宋体" w:eastAsia="宋体"/>
                <w:color w:val="auto"/>
                <w:kern w:val="15"/>
                <w:highlight w:val="none"/>
              </w:rPr>
              <w:t>0.05kHz(50Hz)</w:t>
            </w:r>
          </w:p>
        </w:tc>
        <w:tc>
          <w:tcPr>
            <w:tcW w:w="1534" w:type="dxa"/>
            <w:tcBorders>
              <w:tl2br w:val="nil"/>
              <w:tr2bl w:val="nil"/>
            </w:tcBorders>
            <w:shd w:val="clear" w:color="auto" w:fill="auto"/>
            <w:noWrap w:val="0"/>
            <w:vAlign w:val="center"/>
          </w:tcPr>
          <w:p w14:paraId="0C76C104">
            <w:pPr>
              <w:keepNext w:val="0"/>
              <w:keepLines w:val="0"/>
              <w:suppressLineNumbers w:val="0"/>
              <w:spacing w:before="0" w:beforeAutospacing="0" w:after="0" w:afterAutospacing="0" w:line="300" w:lineRule="exact"/>
              <w:ind w:left="0" w:right="0"/>
              <w:jc w:val="center"/>
              <w:rPr>
                <w:rFonts w:hint="eastAsia" w:ascii="宋体" w:hAnsi="宋体" w:eastAsia="宋体" w:cs="Times New Roman"/>
                <w:color w:val="auto"/>
                <w:kern w:val="15"/>
                <w:sz w:val="21"/>
                <w:szCs w:val="24"/>
                <w:highlight w:val="none"/>
                <w:lang w:val="en-US" w:eastAsia="zh-CN" w:bidi="ar-SA"/>
              </w:rPr>
            </w:pPr>
            <w:r>
              <w:rPr>
                <w:rFonts w:hint="eastAsia" w:ascii="宋体" w:hAnsi="宋体" w:eastAsia="宋体"/>
                <w:color w:val="auto"/>
                <w:kern w:val="15"/>
                <w:highlight w:val="none"/>
              </w:rPr>
              <w:t>4000V/m</w:t>
            </w:r>
          </w:p>
        </w:tc>
        <w:tc>
          <w:tcPr>
            <w:tcW w:w="1728" w:type="dxa"/>
            <w:tcBorders>
              <w:tl2br w:val="nil"/>
              <w:tr2bl w:val="nil"/>
            </w:tcBorders>
            <w:shd w:val="clear" w:color="auto" w:fill="auto"/>
            <w:noWrap w:val="0"/>
            <w:vAlign w:val="center"/>
          </w:tcPr>
          <w:p w14:paraId="2B989BB9">
            <w:pPr>
              <w:keepNext w:val="0"/>
              <w:keepLines w:val="0"/>
              <w:suppressLineNumbers w:val="0"/>
              <w:spacing w:before="0" w:beforeAutospacing="0" w:after="0" w:afterAutospacing="0" w:line="300" w:lineRule="exact"/>
              <w:ind w:left="0" w:right="0"/>
              <w:jc w:val="center"/>
              <w:rPr>
                <w:rFonts w:hint="eastAsia" w:ascii="宋体" w:hAnsi="宋体" w:eastAsia="宋体" w:cs="Times New Roman"/>
                <w:color w:val="auto"/>
                <w:kern w:val="15"/>
                <w:sz w:val="21"/>
                <w:szCs w:val="24"/>
                <w:highlight w:val="none"/>
                <w:lang w:val="en-US" w:eastAsia="zh-CN" w:bidi="ar-SA"/>
              </w:rPr>
            </w:pPr>
            <w:r>
              <w:rPr>
                <w:rFonts w:hint="eastAsia" w:ascii="宋体" w:hAnsi="宋体" w:eastAsia="宋体"/>
                <w:color w:val="auto"/>
                <w:kern w:val="15"/>
                <w:highlight w:val="none"/>
              </w:rPr>
              <w:t>100μT</w:t>
            </w:r>
          </w:p>
        </w:tc>
        <w:tc>
          <w:tcPr>
            <w:tcW w:w="1197" w:type="dxa"/>
            <w:tcBorders>
              <w:tl2br w:val="nil"/>
              <w:tr2bl w:val="nil"/>
            </w:tcBorders>
            <w:shd w:val="clear" w:color="auto" w:fill="auto"/>
            <w:noWrap w:val="0"/>
            <w:vAlign w:val="center"/>
          </w:tcPr>
          <w:p w14:paraId="7F4FD1AC">
            <w:pPr>
              <w:keepNext w:val="0"/>
              <w:keepLines w:val="0"/>
              <w:suppressLineNumbers w:val="0"/>
              <w:spacing w:before="0" w:beforeAutospacing="0" w:after="0" w:afterAutospacing="0" w:line="300" w:lineRule="exact"/>
              <w:ind w:left="0" w:right="0"/>
              <w:jc w:val="center"/>
              <w:rPr>
                <w:rFonts w:hint="eastAsia" w:ascii="宋体" w:hAnsi="宋体" w:eastAsia="宋体" w:cs="Times New Roman"/>
                <w:color w:val="auto"/>
                <w:kern w:val="15"/>
                <w:sz w:val="21"/>
                <w:szCs w:val="24"/>
                <w:highlight w:val="none"/>
                <w:lang w:val="en-US" w:eastAsia="zh-CN" w:bidi="ar-SA"/>
              </w:rPr>
            </w:pPr>
            <w:r>
              <w:rPr>
                <w:rFonts w:hint="eastAsia" w:ascii="宋体" w:hAnsi="宋体" w:eastAsia="宋体"/>
                <w:color w:val="auto"/>
                <w:kern w:val="15"/>
                <w:highlight w:val="none"/>
              </w:rPr>
              <w:t>——</w:t>
            </w:r>
          </w:p>
        </w:tc>
      </w:tr>
    </w:tbl>
    <w:p w14:paraId="458539A5">
      <w:pPr>
        <w:pageBreakBefore w:val="0"/>
        <w:widowControl w:val="0"/>
        <w:kinsoku/>
        <w:wordWrap/>
        <w:topLinePunct w:val="0"/>
        <w:bidi w:val="0"/>
        <w:adjustRightInd/>
        <w:snapToGrid/>
        <w:spacing w:line="360" w:lineRule="auto"/>
        <w:ind w:firstLine="420" w:firstLineChars="200"/>
        <w:textAlignment w:val="auto"/>
        <w:rPr>
          <w:rFonts w:hint="eastAsia" w:ascii="宋体" w:hAnsi="宋体" w:eastAsia="宋体" w:cs="宋体"/>
          <w:color w:val="auto"/>
        </w:rPr>
      </w:pPr>
    </w:p>
    <w:p w14:paraId="1EF143BC">
      <w:pPr>
        <w:pageBreakBefore w:val="0"/>
        <w:widowControl w:val="0"/>
        <w:kinsoku/>
        <w:wordWrap/>
        <w:topLinePunct w:val="0"/>
        <w:bidi w:val="0"/>
        <w:adjustRightInd/>
        <w:snapToGrid/>
        <w:spacing w:line="360" w:lineRule="auto"/>
        <w:ind w:firstLine="480" w:firstLineChars="200"/>
        <w:textAlignment w:val="auto"/>
        <w:rPr>
          <w:rFonts w:hint="eastAsia" w:ascii="宋体" w:hAnsi="宋体" w:eastAsia="宋体" w:cs="宋体"/>
          <w:color w:val="auto"/>
          <w:kern w:val="0"/>
          <w:sz w:val="24"/>
          <w:lang w:val="zh-CN"/>
        </w:rPr>
      </w:pPr>
      <w:r>
        <w:rPr>
          <w:rFonts w:hint="eastAsia" w:ascii="宋体" w:hAnsi="宋体" w:eastAsia="宋体" w:cs="宋体"/>
          <w:color w:val="auto"/>
          <w:sz w:val="24"/>
          <w:lang w:val="zh-CN" w:eastAsia="zh-CN"/>
        </w:rPr>
        <w:t>架空输电线路线下的耕地、园地、牧草地、畜禽饲养地、养殖水面、道路等场所，其频率50Hz的工频电场强度控制限值为10kV/m，</w:t>
      </w:r>
      <w:r>
        <w:rPr>
          <w:rFonts w:hint="eastAsia" w:ascii="宋体" w:hAnsi="宋体" w:eastAsia="宋体" w:cs="宋体"/>
          <w:color w:val="auto"/>
          <w:sz w:val="24"/>
          <w:lang w:val="en-US" w:eastAsia="zh-CN"/>
        </w:rPr>
        <w:t>且应给出警示和防护指示标志。</w:t>
      </w:r>
    </w:p>
    <w:p w14:paraId="7B7D31B8">
      <w:pPr>
        <w:pStyle w:val="3"/>
        <w:pageBreakBefore w:val="0"/>
        <w:widowControl w:val="0"/>
        <w:kinsoku/>
        <w:wordWrap/>
        <w:topLinePunct w:val="0"/>
        <w:bidi w:val="0"/>
        <w:adjustRightInd/>
        <w:snapToGrid/>
        <w:spacing w:before="0" w:beforeLines="0" w:after="0" w:afterLines="0" w:line="360" w:lineRule="auto"/>
        <w:textAlignment w:val="auto"/>
        <w:outlineLvl w:val="1"/>
        <w:rPr>
          <w:rFonts w:hint="eastAsia" w:ascii="宋体" w:hAnsi="宋体" w:eastAsia="宋体" w:cs="宋体"/>
          <w:color w:val="auto"/>
          <w:sz w:val="28"/>
          <w:szCs w:val="28"/>
        </w:rPr>
      </w:pPr>
      <w:bookmarkStart w:id="154" w:name="_Toc14431"/>
      <w:bookmarkStart w:id="155" w:name="_Toc75713163"/>
      <w:bookmarkStart w:id="156" w:name="_Toc29303"/>
      <w:bookmarkStart w:id="157" w:name="_Toc11281"/>
      <w:bookmarkStart w:id="158" w:name="_Toc25731"/>
      <w:bookmarkStart w:id="159" w:name="_Toc5628"/>
      <w:bookmarkStart w:id="160" w:name="_Toc28543"/>
      <w:bookmarkStart w:id="161" w:name="_Toc691"/>
      <w:r>
        <w:rPr>
          <w:rFonts w:hint="eastAsia" w:ascii="宋体" w:hAnsi="宋体" w:eastAsia="宋体" w:cs="宋体"/>
          <w:color w:val="auto"/>
          <w:sz w:val="28"/>
          <w:szCs w:val="28"/>
        </w:rPr>
        <w:t>1.6环境保护目标</w:t>
      </w:r>
      <w:bookmarkEnd w:id="154"/>
      <w:bookmarkEnd w:id="155"/>
      <w:bookmarkEnd w:id="156"/>
      <w:bookmarkEnd w:id="157"/>
      <w:bookmarkEnd w:id="158"/>
      <w:bookmarkEnd w:id="159"/>
      <w:bookmarkEnd w:id="160"/>
      <w:bookmarkEnd w:id="161"/>
    </w:p>
    <w:p w14:paraId="43189407">
      <w:pPr>
        <w:pageBreakBefore w:val="0"/>
        <w:widowControl w:val="0"/>
        <w:kinsoku/>
        <w:wordWrap/>
        <w:topLinePunct w:val="0"/>
        <w:bidi w:val="0"/>
        <w:adjustRightInd/>
        <w:snapToGrid/>
        <w:spacing w:line="360" w:lineRule="auto"/>
        <w:ind w:firstLine="480" w:firstLineChars="200"/>
        <w:textAlignment w:val="auto"/>
        <w:rPr>
          <w:rFonts w:hint="eastAsia" w:ascii="宋体" w:hAnsi="宋体" w:eastAsia="宋体" w:cs="宋体"/>
          <w:color w:val="auto"/>
          <w:sz w:val="24"/>
        </w:rPr>
        <w:sectPr>
          <w:footerReference r:id="rId5" w:type="default"/>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r>
        <w:rPr>
          <w:rFonts w:hint="eastAsia" w:ascii="宋体" w:hAnsi="宋体" w:eastAsia="宋体" w:cs="宋体"/>
          <w:color w:val="auto"/>
          <w:sz w:val="24"/>
        </w:rPr>
        <w:t>根据《环境影响评价技术导则</w:t>
      </w:r>
      <w:r>
        <w:rPr>
          <w:rFonts w:hint="eastAsia" w:ascii="宋体" w:hAnsi="宋体" w:cs="宋体"/>
          <w:color w:val="auto"/>
          <w:sz w:val="24"/>
          <w:lang w:val="en-US" w:eastAsia="zh-CN"/>
        </w:rPr>
        <w:t xml:space="preserve"> </w:t>
      </w:r>
      <w:r>
        <w:rPr>
          <w:rFonts w:hint="eastAsia" w:ascii="宋体" w:hAnsi="宋体" w:eastAsia="宋体" w:cs="宋体"/>
          <w:color w:val="auto"/>
          <w:sz w:val="24"/>
        </w:rPr>
        <w:t>输变电》(HJ24-2020)，电磁环境敏感目标是指电磁环境影响评价需重点关注的对象。包括住宅、学校、医院、办公楼、工厂等有公众居住、工作或学习的建筑物。根据现场踏勘情况，建设项目</w:t>
      </w:r>
      <w:r>
        <w:rPr>
          <w:rFonts w:hint="eastAsia" w:ascii="宋体" w:hAnsi="宋体" w:eastAsia="宋体" w:cs="宋体"/>
          <w:color w:val="auto"/>
          <w:sz w:val="24"/>
          <w:lang w:val="en-US" w:eastAsia="zh-CN"/>
        </w:rPr>
        <w:t>电磁</w:t>
      </w:r>
      <w:r>
        <w:rPr>
          <w:rFonts w:hint="eastAsia" w:ascii="宋体" w:hAnsi="宋体" w:eastAsia="宋体" w:cs="宋体"/>
          <w:color w:val="auto"/>
          <w:sz w:val="24"/>
        </w:rPr>
        <w:t>评价范围不涉及上述</w:t>
      </w:r>
      <w:r>
        <w:rPr>
          <w:rFonts w:hint="eastAsia" w:ascii="宋体" w:hAnsi="宋体" w:eastAsia="宋体" w:cs="宋体"/>
          <w:color w:val="auto"/>
          <w:sz w:val="24"/>
          <w:lang w:val="en-US" w:eastAsia="zh-CN"/>
        </w:rPr>
        <w:t>电磁</w:t>
      </w:r>
      <w:r>
        <w:rPr>
          <w:rFonts w:hint="eastAsia" w:ascii="宋体" w:hAnsi="宋体" w:eastAsia="宋体" w:cs="宋体"/>
          <w:color w:val="auto"/>
          <w:sz w:val="24"/>
        </w:rPr>
        <w:t>环境敏感目标。</w:t>
      </w:r>
    </w:p>
    <w:p w14:paraId="2B675A81">
      <w:pPr>
        <w:bidi w:val="0"/>
        <w:rPr>
          <w:rFonts w:hint="eastAsia"/>
        </w:rPr>
      </w:pPr>
      <w:bookmarkStart w:id="162" w:name="_Toc23534"/>
      <w:bookmarkStart w:id="163" w:name="_Toc1275"/>
      <w:bookmarkStart w:id="164" w:name="_Toc20595"/>
      <w:bookmarkStart w:id="165" w:name="_Toc75713164"/>
      <w:bookmarkStart w:id="166" w:name="_Toc319"/>
      <w:bookmarkStart w:id="167" w:name="_Toc25765"/>
      <w:bookmarkStart w:id="168" w:name="_Toc24339"/>
      <w:bookmarkStart w:id="169" w:name="_Toc3024"/>
    </w:p>
    <w:p w14:paraId="15CE168F">
      <w:pPr>
        <w:pStyle w:val="2"/>
        <w:keepNext/>
        <w:keepLines w:val="0"/>
        <w:pageBreakBefore w:val="0"/>
        <w:widowControl w:val="0"/>
        <w:kinsoku/>
        <w:wordWrap/>
        <w:overflowPunct w:val="0"/>
        <w:topLinePunct w:val="0"/>
        <w:autoSpaceDE/>
        <w:autoSpaceDN/>
        <w:bidi w:val="0"/>
        <w:adjustRightInd/>
        <w:snapToGrid/>
        <w:spacing w:before="0" w:after="0" w:line="360" w:lineRule="auto"/>
        <w:ind w:left="0" w:firstLine="0"/>
        <w:textAlignment w:val="auto"/>
        <w:outlineLvl w:val="1"/>
        <w:rPr>
          <w:rFonts w:hint="eastAsia" w:ascii="宋体" w:hAnsi="宋体" w:eastAsia="宋体" w:cs="宋体"/>
          <w:color w:val="auto"/>
        </w:rPr>
      </w:pPr>
      <w:r>
        <w:rPr>
          <w:rFonts w:hint="eastAsia" w:ascii="宋体" w:hAnsi="宋体" w:eastAsia="宋体" w:cs="宋体"/>
          <w:color w:val="auto"/>
        </w:rPr>
        <w:t>2电磁环境现状监测与评价</w:t>
      </w:r>
      <w:bookmarkEnd w:id="162"/>
      <w:bookmarkEnd w:id="163"/>
      <w:bookmarkEnd w:id="164"/>
      <w:bookmarkEnd w:id="165"/>
      <w:bookmarkEnd w:id="166"/>
      <w:bookmarkEnd w:id="167"/>
      <w:bookmarkEnd w:id="168"/>
      <w:bookmarkEnd w:id="169"/>
    </w:p>
    <w:p w14:paraId="1B89AD33">
      <w:pPr>
        <w:keepLines w:val="0"/>
        <w:pageBreakBefore w:val="0"/>
        <w:widowControl w:val="0"/>
        <w:kinsoku/>
        <w:wordWrap/>
        <w:topLinePunct w:val="0"/>
        <w:autoSpaceDE/>
        <w:autoSpaceDN/>
        <w:bidi w:val="0"/>
        <w:adjustRightInd/>
        <w:snapToGrid/>
        <w:spacing w:line="360" w:lineRule="auto"/>
        <w:ind w:left="0"/>
        <w:textAlignment w:val="auto"/>
        <w:outlineLvl w:val="1"/>
        <w:rPr>
          <w:rFonts w:hint="eastAsia" w:ascii="宋体" w:hAnsi="宋体" w:eastAsia="宋体" w:cs="宋体"/>
          <w:b/>
          <w:color w:val="auto"/>
          <w:sz w:val="28"/>
          <w:szCs w:val="28"/>
        </w:rPr>
      </w:pPr>
      <w:bookmarkStart w:id="170" w:name="_Toc21320"/>
      <w:bookmarkStart w:id="171" w:name="_Toc21199"/>
      <w:bookmarkStart w:id="172" w:name="_Toc17880"/>
      <w:bookmarkStart w:id="173" w:name="_Toc2075"/>
      <w:r>
        <w:rPr>
          <w:rFonts w:hint="eastAsia" w:ascii="宋体" w:hAnsi="宋体" w:eastAsia="宋体" w:cs="宋体"/>
          <w:b/>
          <w:color w:val="auto"/>
          <w:sz w:val="28"/>
          <w:szCs w:val="28"/>
        </w:rPr>
        <w:t>2.1监测因子</w:t>
      </w:r>
      <w:bookmarkEnd w:id="170"/>
      <w:bookmarkEnd w:id="171"/>
      <w:bookmarkEnd w:id="172"/>
      <w:bookmarkEnd w:id="173"/>
    </w:p>
    <w:p w14:paraId="067DA45E">
      <w:pPr>
        <w:keepLines w:val="0"/>
        <w:pageBreakBefore w:val="0"/>
        <w:widowControl w:val="0"/>
        <w:kinsoku/>
        <w:wordWrap/>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工频电场强度、工频磁感应强度</w:t>
      </w:r>
    </w:p>
    <w:p w14:paraId="064AFE33">
      <w:pPr>
        <w:keepLines w:val="0"/>
        <w:pageBreakBefore w:val="0"/>
        <w:widowControl w:val="0"/>
        <w:kinsoku/>
        <w:wordWrap/>
        <w:topLinePunct w:val="0"/>
        <w:autoSpaceDE/>
        <w:autoSpaceDN/>
        <w:bidi w:val="0"/>
        <w:adjustRightInd/>
        <w:snapToGrid/>
        <w:spacing w:line="360" w:lineRule="auto"/>
        <w:ind w:left="0"/>
        <w:textAlignment w:val="auto"/>
        <w:outlineLvl w:val="1"/>
        <w:rPr>
          <w:rFonts w:hint="eastAsia" w:ascii="宋体" w:hAnsi="宋体" w:eastAsia="宋体" w:cs="宋体"/>
          <w:b/>
          <w:color w:val="auto"/>
          <w:sz w:val="28"/>
          <w:szCs w:val="28"/>
        </w:rPr>
      </w:pPr>
      <w:bookmarkStart w:id="174" w:name="_Toc15629"/>
      <w:bookmarkStart w:id="175" w:name="_Toc19847"/>
      <w:bookmarkStart w:id="176" w:name="_Toc26437"/>
      <w:bookmarkStart w:id="177" w:name="_Toc29597"/>
      <w:r>
        <w:rPr>
          <w:rFonts w:hint="eastAsia" w:ascii="宋体" w:hAnsi="宋体" w:eastAsia="宋体" w:cs="宋体"/>
          <w:b/>
          <w:color w:val="auto"/>
          <w:sz w:val="28"/>
          <w:szCs w:val="28"/>
        </w:rPr>
        <w:t>2.2监测方法及布点</w:t>
      </w:r>
      <w:bookmarkEnd w:id="174"/>
      <w:bookmarkEnd w:id="175"/>
      <w:bookmarkEnd w:id="176"/>
      <w:bookmarkEnd w:id="177"/>
    </w:p>
    <w:p w14:paraId="095C612A">
      <w:pPr>
        <w:keepLines w:val="0"/>
        <w:pageBreakBefore w:val="0"/>
        <w:widowControl w:val="0"/>
        <w:kinsoku/>
        <w:wordWrap/>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监测方法：《交流输变电工程电磁环境监测办法</w:t>
      </w:r>
      <w:r>
        <w:rPr>
          <w:rFonts w:hint="eastAsia" w:ascii="宋体" w:hAnsi="宋体" w:cs="宋体"/>
          <w:color w:val="auto"/>
          <w:sz w:val="24"/>
          <w:lang w:eastAsia="zh-CN"/>
        </w:rPr>
        <w:t>（</w:t>
      </w:r>
      <w:r>
        <w:rPr>
          <w:rFonts w:hint="eastAsia" w:ascii="宋体" w:hAnsi="宋体" w:eastAsia="宋体" w:cs="宋体"/>
          <w:color w:val="auto"/>
          <w:sz w:val="24"/>
          <w:highlight w:val="none"/>
        </w:rPr>
        <w:t>试行</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》(HJ681-2013)。根据《环境影响评价技术导则</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rPr>
        <w:t>输变电》</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HJ24-2020</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的要求，本次评价设置</w:t>
      </w:r>
      <w:r>
        <w:rPr>
          <w:rFonts w:hint="eastAsia" w:ascii="宋体" w:hAnsi="宋体" w:cs="宋体"/>
          <w:color w:val="auto"/>
          <w:sz w:val="24"/>
          <w:highlight w:val="none"/>
          <w:lang w:val="en-US" w:eastAsia="zh-CN"/>
        </w:rPr>
        <w:t>4</w:t>
      </w:r>
      <w:r>
        <w:rPr>
          <w:rFonts w:hint="eastAsia" w:ascii="宋体" w:hAnsi="宋体" w:eastAsia="宋体" w:cs="宋体"/>
          <w:color w:val="auto"/>
          <w:sz w:val="24"/>
          <w:highlight w:val="none"/>
        </w:rPr>
        <w:t>个现状监测点，</w:t>
      </w:r>
      <w:r>
        <w:rPr>
          <w:rFonts w:hint="eastAsia" w:ascii="宋体" w:hAnsi="宋体" w:eastAsia="宋体" w:cs="宋体"/>
          <w:color w:val="auto"/>
          <w:sz w:val="24"/>
        </w:rPr>
        <w:t>距地面1.5m处。</w:t>
      </w:r>
    </w:p>
    <w:p w14:paraId="3906C331">
      <w:pPr>
        <w:keepLines w:val="0"/>
        <w:pageBreakBefore w:val="0"/>
        <w:widowControl w:val="0"/>
        <w:kinsoku/>
        <w:wordWrap/>
        <w:topLinePunct w:val="0"/>
        <w:autoSpaceDE/>
        <w:autoSpaceDN/>
        <w:bidi w:val="0"/>
        <w:adjustRightInd/>
        <w:snapToGrid/>
        <w:spacing w:line="360" w:lineRule="auto"/>
        <w:ind w:left="0"/>
        <w:textAlignment w:val="auto"/>
        <w:outlineLvl w:val="1"/>
        <w:rPr>
          <w:rFonts w:hint="eastAsia" w:ascii="宋体" w:hAnsi="宋体" w:eastAsia="宋体" w:cs="宋体"/>
          <w:b/>
          <w:color w:val="auto"/>
          <w:sz w:val="28"/>
          <w:szCs w:val="28"/>
          <w:highlight w:val="none"/>
        </w:rPr>
      </w:pPr>
      <w:bookmarkStart w:id="178" w:name="_Toc15702"/>
      <w:bookmarkStart w:id="179" w:name="_Toc4830"/>
      <w:bookmarkStart w:id="180" w:name="_Toc24436"/>
      <w:bookmarkStart w:id="181" w:name="_Toc23721"/>
      <w:r>
        <w:rPr>
          <w:rFonts w:hint="eastAsia" w:ascii="宋体" w:hAnsi="宋体" w:eastAsia="宋体" w:cs="宋体"/>
          <w:b/>
          <w:color w:val="auto"/>
          <w:sz w:val="28"/>
          <w:szCs w:val="28"/>
          <w:highlight w:val="none"/>
        </w:rPr>
        <w:t>2.3监测单位及监测时间</w:t>
      </w:r>
      <w:bookmarkEnd w:id="178"/>
      <w:bookmarkEnd w:id="179"/>
      <w:bookmarkEnd w:id="180"/>
      <w:bookmarkEnd w:id="181"/>
    </w:p>
    <w:p w14:paraId="2C32A4AD">
      <w:pPr>
        <w:pageBreakBefore w:val="0"/>
        <w:widowControl w:val="0"/>
        <w:kinsoku/>
        <w:wordWrap/>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监测单位：新疆鼎耀工程咨询有限公司</w:t>
      </w:r>
    </w:p>
    <w:p w14:paraId="6127C021">
      <w:pPr>
        <w:pageBreakBefore w:val="0"/>
        <w:widowControl w:val="0"/>
        <w:kinsoku/>
        <w:wordWrap/>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监测时间：20</w:t>
      </w:r>
      <w:r>
        <w:rPr>
          <w:rFonts w:hint="eastAsia" w:ascii="宋体" w:hAnsi="宋体" w:eastAsia="宋体" w:cs="宋体"/>
          <w:color w:val="auto"/>
          <w:sz w:val="24"/>
          <w:highlight w:val="none"/>
          <w:lang w:val="en-US" w:eastAsia="zh-CN"/>
        </w:rPr>
        <w:t>2</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3</w:t>
      </w:r>
      <w:r>
        <w:rPr>
          <w:rFonts w:hint="eastAsia" w:ascii="宋体" w:hAnsi="宋体" w:eastAsia="宋体" w:cs="宋体"/>
          <w:color w:val="auto"/>
          <w:sz w:val="24"/>
          <w:highlight w:val="none"/>
        </w:rPr>
        <w:t>月</w:t>
      </w:r>
      <w:r>
        <w:rPr>
          <w:rFonts w:hint="eastAsia" w:ascii="宋体" w:hAnsi="宋体" w:cs="宋体"/>
          <w:color w:val="auto"/>
          <w:sz w:val="24"/>
          <w:highlight w:val="none"/>
          <w:lang w:val="en-US" w:eastAsia="zh-CN"/>
        </w:rPr>
        <w:t>11</w:t>
      </w:r>
      <w:r>
        <w:rPr>
          <w:rFonts w:hint="eastAsia" w:ascii="宋体" w:hAnsi="宋体" w:eastAsia="宋体" w:cs="宋体"/>
          <w:color w:val="auto"/>
          <w:sz w:val="24"/>
          <w:highlight w:val="none"/>
        </w:rPr>
        <w:t>日</w:t>
      </w:r>
    </w:p>
    <w:p w14:paraId="5542A259">
      <w:pPr>
        <w:pageBreakBefore w:val="0"/>
        <w:widowControl w:val="0"/>
        <w:kinsoku/>
        <w:wordWrap/>
        <w:topLinePunct w:val="0"/>
        <w:bidi w:val="0"/>
        <w:adjustRightInd/>
        <w:snapToGrid/>
        <w:spacing w:line="360" w:lineRule="auto"/>
        <w:textAlignment w:val="auto"/>
        <w:outlineLvl w:val="1"/>
        <w:rPr>
          <w:rFonts w:hint="eastAsia" w:ascii="宋体" w:hAnsi="宋体" w:eastAsia="宋体" w:cs="宋体"/>
          <w:b/>
          <w:color w:val="auto"/>
          <w:sz w:val="28"/>
          <w:szCs w:val="28"/>
        </w:rPr>
      </w:pPr>
      <w:bookmarkStart w:id="182" w:name="_Toc6500"/>
      <w:bookmarkStart w:id="183" w:name="_Toc32761"/>
      <w:bookmarkStart w:id="184" w:name="_Toc3851"/>
      <w:bookmarkStart w:id="185" w:name="_Toc20856"/>
      <w:r>
        <w:rPr>
          <w:rFonts w:hint="eastAsia" w:ascii="宋体" w:hAnsi="宋体" w:eastAsia="宋体" w:cs="宋体"/>
          <w:b/>
          <w:color w:val="auto"/>
          <w:sz w:val="28"/>
          <w:szCs w:val="28"/>
        </w:rPr>
        <w:t>2.4监测仪器、监测条件</w:t>
      </w:r>
      <w:bookmarkEnd w:id="182"/>
      <w:bookmarkEnd w:id="183"/>
      <w:bookmarkEnd w:id="184"/>
      <w:bookmarkEnd w:id="185"/>
    </w:p>
    <w:p w14:paraId="77884FF7">
      <w:pPr>
        <w:pageBreakBefore w:val="0"/>
        <w:widowControl w:val="0"/>
        <w:kinsoku/>
        <w:wordWrap/>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监测仪器参数，见表2.4-1。</w:t>
      </w:r>
    </w:p>
    <w:p w14:paraId="23AE150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color w:val="auto"/>
          <w:sz w:val="24"/>
        </w:rPr>
      </w:pPr>
      <w:r>
        <w:rPr>
          <w:rFonts w:hint="eastAsia" w:ascii="宋体" w:hAnsi="宋体" w:eastAsia="宋体" w:cs="宋体"/>
          <w:b/>
          <w:color w:val="auto"/>
          <w:sz w:val="24"/>
        </w:rPr>
        <w:t>表2.4-1</w:t>
      </w:r>
      <w:r>
        <w:rPr>
          <w:rFonts w:hint="eastAsia" w:ascii="宋体" w:hAnsi="宋体" w:cs="宋体"/>
          <w:b/>
          <w:color w:val="auto"/>
          <w:sz w:val="24"/>
          <w:lang w:val="en-US" w:eastAsia="zh-CN"/>
        </w:rPr>
        <w:t xml:space="preserve">    </w:t>
      </w:r>
      <w:r>
        <w:rPr>
          <w:rFonts w:hint="eastAsia" w:ascii="宋体" w:hAnsi="宋体" w:eastAsia="宋体" w:cs="宋体"/>
          <w:b/>
          <w:color w:val="auto"/>
          <w:sz w:val="24"/>
        </w:rPr>
        <w:t>监测仪器参数表</w:t>
      </w:r>
    </w:p>
    <w:tbl>
      <w:tblPr>
        <w:tblStyle w:val="32"/>
        <w:tblW w:w="5014"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28" w:type="dxa"/>
          <w:bottom w:w="0" w:type="dxa"/>
          <w:right w:w="28" w:type="dxa"/>
        </w:tblCellMar>
      </w:tblPr>
      <w:tblGrid>
        <w:gridCol w:w="406"/>
        <w:gridCol w:w="1038"/>
        <w:gridCol w:w="2150"/>
        <w:gridCol w:w="2120"/>
        <w:gridCol w:w="1537"/>
        <w:gridCol w:w="2444"/>
      </w:tblGrid>
      <w:tr w14:paraId="0A0FD6E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692" w:hRule="atLeast"/>
          <w:jc w:val="center"/>
        </w:trPr>
        <w:tc>
          <w:tcPr>
            <w:tcW w:w="218" w:type="pct"/>
            <w:tcBorders>
              <w:tl2br w:val="nil"/>
              <w:tr2bl w:val="nil"/>
            </w:tcBorders>
            <w:noWrap w:val="0"/>
            <w:tcMar>
              <w:top w:w="0" w:type="dxa"/>
              <w:left w:w="0" w:type="dxa"/>
              <w:bottom w:w="0" w:type="dxa"/>
              <w:right w:w="0" w:type="dxa"/>
            </w:tcMar>
            <w:vAlign w:val="center"/>
          </w:tcPr>
          <w:p w14:paraId="4393C467">
            <w:pPr>
              <w:keepNext w:val="0"/>
              <w:keepLines w:val="0"/>
              <w:suppressLineNumbers w:val="0"/>
              <w:spacing w:before="0" w:beforeAutospacing="0" w:after="0" w:afterAutospacing="0"/>
              <w:ind w:left="0" w:right="0"/>
              <w:jc w:val="center"/>
              <w:outlineLvl w:val="9"/>
              <w:rPr>
                <w:rFonts w:hint="eastAsia" w:ascii="宋体" w:hAnsi="宋体" w:eastAsia="宋体" w:cs="宋体"/>
                <w:b/>
                <w:color w:val="auto"/>
                <w:szCs w:val="21"/>
              </w:rPr>
            </w:pPr>
            <w:r>
              <w:rPr>
                <w:rFonts w:hint="eastAsia" w:ascii="宋体" w:hAnsi="宋体" w:eastAsia="宋体" w:cs="宋体"/>
                <w:b/>
                <w:color w:val="auto"/>
                <w:szCs w:val="21"/>
              </w:rPr>
              <w:t>序号</w:t>
            </w:r>
          </w:p>
        </w:tc>
        <w:tc>
          <w:tcPr>
            <w:tcW w:w="544" w:type="pct"/>
            <w:tcBorders>
              <w:tl2br w:val="nil"/>
              <w:tr2bl w:val="nil"/>
            </w:tcBorders>
            <w:noWrap w:val="0"/>
            <w:tcMar>
              <w:top w:w="0" w:type="dxa"/>
              <w:left w:w="0" w:type="dxa"/>
              <w:bottom w:w="0" w:type="dxa"/>
              <w:right w:w="0" w:type="dxa"/>
            </w:tcMar>
            <w:vAlign w:val="center"/>
          </w:tcPr>
          <w:p w14:paraId="79132013">
            <w:pPr>
              <w:keepNext w:val="0"/>
              <w:keepLines w:val="0"/>
              <w:suppressLineNumbers w:val="0"/>
              <w:spacing w:before="0" w:beforeAutospacing="0" w:after="0" w:afterAutospacing="0"/>
              <w:ind w:left="0" w:right="0"/>
              <w:jc w:val="center"/>
              <w:outlineLvl w:val="9"/>
              <w:rPr>
                <w:rFonts w:hint="eastAsia" w:ascii="宋体" w:hAnsi="宋体" w:eastAsia="宋体" w:cs="宋体"/>
                <w:b/>
                <w:color w:val="auto"/>
                <w:szCs w:val="21"/>
              </w:rPr>
            </w:pPr>
            <w:r>
              <w:rPr>
                <w:rFonts w:hint="eastAsia" w:ascii="宋体" w:hAnsi="宋体" w:eastAsia="宋体" w:cs="宋体"/>
                <w:b/>
                <w:color w:val="auto"/>
                <w:szCs w:val="21"/>
              </w:rPr>
              <w:t>监测</w:t>
            </w:r>
          </w:p>
          <w:p w14:paraId="21AB313F">
            <w:pPr>
              <w:keepNext w:val="0"/>
              <w:keepLines w:val="0"/>
              <w:suppressLineNumbers w:val="0"/>
              <w:spacing w:before="0" w:beforeAutospacing="0" w:after="0" w:afterAutospacing="0"/>
              <w:ind w:left="0" w:right="0"/>
              <w:jc w:val="center"/>
              <w:outlineLvl w:val="9"/>
              <w:rPr>
                <w:rFonts w:hint="eastAsia" w:ascii="宋体" w:hAnsi="宋体" w:eastAsia="宋体" w:cs="宋体"/>
                <w:b/>
                <w:color w:val="auto"/>
                <w:szCs w:val="21"/>
              </w:rPr>
            </w:pPr>
            <w:r>
              <w:rPr>
                <w:rFonts w:hint="eastAsia" w:ascii="宋体" w:hAnsi="宋体" w:eastAsia="宋体" w:cs="宋体"/>
                <w:b/>
                <w:color w:val="auto"/>
                <w:szCs w:val="21"/>
              </w:rPr>
              <w:t>项目</w:t>
            </w:r>
          </w:p>
        </w:tc>
        <w:tc>
          <w:tcPr>
            <w:tcW w:w="1117" w:type="pct"/>
            <w:tcBorders>
              <w:tl2br w:val="nil"/>
              <w:tr2bl w:val="nil"/>
            </w:tcBorders>
            <w:noWrap w:val="0"/>
            <w:tcMar>
              <w:top w:w="0" w:type="dxa"/>
              <w:left w:w="0" w:type="dxa"/>
              <w:bottom w:w="0" w:type="dxa"/>
              <w:right w:w="0" w:type="dxa"/>
            </w:tcMar>
            <w:vAlign w:val="center"/>
          </w:tcPr>
          <w:p w14:paraId="7772C156">
            <w:pPr>
              <w:keepNext w:val="0"/>
              <w:keepLines w:val="0"/>
              <w:suppressLineNumbers w:val="0"/>
              <w:spacing w:before="0" w:beforeAutospacing="0" w:after="0" w:afterAutospacing="0"/>
              <w:ind w:left="0" w:right="0"/>
              <w:jc w:val="center"/>
              <w:outlineLvl w:val="9"/>
              <w:rPr>
                <w:rFonts w:hint="eastAsia" w:ascii="宋体" w:hAnsi="宋体" w:eastAsia="宋体" w:cs="宋体"/>
                <w:b/>
                <w:color w:val="auto"/>
                <w:szCs w:val="21"/>
              </w:rPr>
            </w:pPr>
            <w:r>
              <w:rPr>
                <w:rFonts w:hint="eastAsia" w:ascii="宋体" w:hAnsi="宋体" w:eastAsia="宋体" w:cs="宋体"/>
                <w:b/>
                <w:color w:val="auto"/>
                <w:szCs w:val="21"/>
              </w:rPr>
              <w:t>设备名称</w:t>
            </w:r>
          </w:p>
        </w:tc>
        <w:tc>
          <w:tcPr>
            <w:tcW w:w="1050" w:type="pct"/>
            <w:tcBorders>
              <w:tl2br w:val="nil"/>
              <w:tr2bl w:val="nil"/>
            </w:tcBorders>
            <w:noWrap w:val="0"/>
            <w:tcMar>
              <w:top w:w="0" w:type="dxa"/>
              <w:left w:w="0" w:type="dxa"/>
              <w:bottom w:w="0" w:type="dxa"/>
              <w:right w:w="0" w:type="dxa"/>
            </w:tcMar>
            <w:vAlign w:val="center"/>
          </w:tcPr>
          <w:p w14:paraId="4D3B8841">
            <w:pPr>
              <w:keepNext w:val="0"/>
              <w:keepLines w:val="0"/>
              <w:suppressLineNumbers w:val="0"/>
              <w:spacing w:before="0" w:beforeAutospacing="0" w:after="0" w:afterAutospacing="0"/>
              <w:ind w:left="0" w:right="0"/>
              <w:jc w:val="center"/>
              <w:outlineLvl w:val="9"/>
              <w:rPr>
                <w:rFonts w:hint="eastAsia" w:ascii="宋体" w:hAnsi="宋体" w:eastAsia="宋体" w:cs="宋体"/>
                <w:b/>
                <w:color w:val="auto"/>
                <w:szCs w:val="21"/>
              </w:rPr>
            </w:pPr>
            <w:r>
              <w:rPr>
                <w:rFonts w:hint="eastAsia" w:ascii="宋体" w:hAnsi="宋体" w:eastAsia="宋体" w:cs="宋体"/>
                <w:b/>
                <w:color w:val="auto"/>
                <w:szCs w:val="21"/>
              </w:rPr>
              <w:t>设备</w:t>
            </w:r>
            <w:r>
              <w:rPr>
                <w:rFonts w:hint="eastAsia" w:ascii="宋体" w:hAnsi="宋体" w:cs="宋体"/>
                <w:b/>
                <w:color w:val="auto"/>
                <w:szCs w:val="21"/>
                <w:lang w:eastAsia="zh-CN"/>
              </w:rPr>
              <w:t>（</w:t>
            </w:r>
            <w:r>
              <w:rPr>
                <w:rFonts w:hint="eastAsia" w:ascii="宋体" w:hAnsi="宋体" w:eastAsia="宋体" w:cs="宋体"/>
                <w:b/>
                <w:color w:val="auto"/>
                <w:szCs w:val="21"/>
              </w:rPr>
              <w:t>校准证书</w:t>
            </w:r>
            <w:r>
              <w:rPr>
                <w:rFonts w:hint="eastAsia" w:ascii="宋体" w:hAnsi="宋体" w:cs="宋体"/>
                <w:b/>
                <w:color w:val="auto"/>
                <w:szCs w:val="21"/>
                <w:lang w:eastAsia="zh-CN"/>
              </w:rPr>
              <w:t>）</w:t>
            </w:r>
            <w:r>
              <w:rPr>
                <w:rFonts w:hint="eastAsia" w:ascii="宋体" w:hAnsi="宋体" w:eastAsia="宋体" w:cs="宋体"/>
                <w:b/>
                <w:color w:val="auto"/>
                <w:szCs w:val="21"/>
              </w:rPr>
              <w:t>编号</w:t>
            </w:r>
          </w:p>
        </w:tc>
        <w:tc>
          <w:tcPr>
            <w:tcW w:w="801" w:type="pct"/>
            <w:tcBorders>
              <w:tl2br w:val="nil"/>
              <w:tr2bl w:val="nil"/>
            </w:tcBorders>
            <w:noWrap w:val="0"/>
            <w:tcMar>
              <w:top w:w="0" w:type="dxa"/>
              <w:left w:w="0" w:type="dxa"/>
              <w:bottom w:w="0" w:type="dxa"/>
              <w:right w:w="0" w:type="dxa"/>
            </w:tcMar>
            <w:vAlign w:val="center"/>
          </w:tcPr>
          <w:p w14:paraId="64CD6326">
            <w:pPr>
              <w:keepNext w:val="0"/>
              <w:keepLines w:val="0"/>
              <w:suppressLineNumbers w:val="0"/>
              <w:spacing w:before="0" w:beforeAutospacing="0" w:after="0" w:afterAutospacing="0"/>
              <w:ind w:left="0" w:right="0"/>
              <w:jc w:val="center"/>
              <w:outlineLvl w:val="9"/>
              <w:rPr>
                <w:rFonts w:hint="eastAsia" w:ascii="宋体" w:hAnsi="宋体" w:eastAsia="宋体" w:cs="宋体"/>
                <w:b/>
                <w:color w:val="auto"/>
                <w:szCs w:val="21"/>
              </w:rPr>
            </w:pPr>
            <w:r>
              <w:rPr>
                <w:rFonts w:hint="eastAsia" w:ascii="宋体" w:hAnsi="宋体" w:eastAsia="宋体" w:cs="宋体"/>
                <w:b/>
                <w:color w:val="auto"/>
                <w:szCs w:val="21"/>
              </w:rPr>
              <w:t>检定/校准机构</w:t>
            </w:r>
          </w:p>
        </w:tc>
        <w:tc>
          <w:tcPr>
            <w:tcW w:w="1268" w:type="pct"/>
            <w:tcBorders>
              <w:tl2br w:val="nil"/>
              <w:tr2bl w:val="nil"/>
            </w:tcBorders>
            <w:noWrap w:val="0"/>
            <w:tcMar>
              <w:top w:w="0" w:type="dxa"/>
              <w:left w:w="0" w:type="dxa"/>
              <w:bottom w:w="0" w:type="dxa"/>
              <w:right w:w="0" w:type="dxa"/>
            </w:tcMar>
            <w:vAlign w:val="center"/>
          </w:tcPr>
          <w:p w14:paraId="2AB094D1">
            <w:pPr>
              <w:keepNext w:val="0"/>
              <w:keepLines w:val="0"/>
              <w:suppressLineNumbers w:val="0"/>
              <w:spacing w:before="0" w:beforeAutospacing="0" w:after="0" w:afterAutospacing="0"/>
              <w:ind w:left="0" w:right="0"/>
              <w:jc w:val="center"/>
              <w:outlineLvl w:val="9"/>
              <w:rPr>
                <w:rFonts w:hint="eastAsia" w:ascii="宋体" w:hAnsi="宋体" w:eastAsia="宋体" w:cs="宋体"/>
                <w:b/>
                <w:color w:val="auto"/>
                <w:szCs w:val="21"/>
              </w:rPr>
            </w:pPr>
            <w:r>
              <w:rPr>
                <w:rFonts w:hint="eastAsia" w:ascii="宋体" w:hAnsi="宋体" w:eastAsia="宋体" w:cs="宋体"/>
                <w:b/>
                <w:color w:val="auto"/>
                <w:szCs w:val="21"/>
              </w:rPr>
              <w:t>有效日期</w:t>
            </w:r>
          </w:p>
        </w:tc>
      </w:tr>
      <w:tr w14:paraId="74426B6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652" w:hRule="atLeast"/>
          <w:jc w:val="center"/>
        </w:trPr>
        <w:tc>
          <w:tcPr>
            <w:tcW w:w="218" w:type="pct"/>
            <w:tcBorders>
              <w:tl2br w:val="nil"/>
              <w:tr2bl w:val="nil"/>
            </w:tcBorders>
            <w:noWrap w:val="0"/>
            <w:tcMar>
              <w:top w:w="0" w:type="dxa"/>
              <w:left w:w="0" w:type="dxa"/>
              <w:bottom w:w="0" w:type="dxa"/>
              <w:right w:w="0" w:type="dxa"/>
            </w:tcMar>
            <w:vAlign w:val="center"/>
          </w:tcPr>
          <w:p w14:paraId="312F9543">
            <w:pPr>
              <w:keepNext w:val="0"/>
              <w:keepLines w:val="0"/>
              <w:suppressLineNumbers w:val="0"/>
              <w:spacing w:before="0" w:beforeAutospacing="0" w:after="0" w:afterAutospacing="0"/>
              <w:ind w:left="0" w:right="0"/>
              <w:jc w:val="center"/>
              <w:outlineLvl w:val="9"/>
              <w:rPr>
                <w:rFonts w:hint="eastAsia" w:ascii="宋体" w:hAnsi="宋体" w:eastAsia="宋体" w:cs="宋体"/>
                <w:color w:val="auto"/>
                <w:szCs w:val="21"/>
              </w:rPr>
            </w:pPr>
            <w:r>
              <w:rPr>
                <w:rFonts w:hint="eastAsia" w:ascii="宋体" w:hAnsi="宋体" w:eastAsia="宋体" w:cs="宋体"/>
                <w:color w:val="auto"/>
                <w:szCs w:val="21"/>
              </w:rPr>
              <w:t>1</w:t>
            </w:r>
          </w:p>
        </w:tc>
        <w:tc>
          <w:tcPr>
            <w:tcW w:w="544" w:type="pct"/>
            <w:tcBorders>
              <w:tl2br w:val="nil"/>
              <w:tr2bl w:val="nil"/>
            </w:tcBorders>
            <w:noWrap w:val="0"/>
            <w:tcMar>
              <w:top w:w="0" w:type="dxa"/>
              <w:left w:w="0" w:type="dxa"/>
              <w:bottom w:w="0" w:type="dxa"/>
              <w:right w:w="0" w:type="dxa"/>
            </w:tcMar>
            <w:vAlign w:val="center"/>
          </w:tcPr>
          <w:p w14:paraId="2E3BC9EE">
            <w:pPr>
              <w:keepNext w:val="0"/>
              <w:keepLines w:val="0"/>
              <w:suppressLineNumbers w:val="0"/>
              <w:spacing w:before="0" w:beforeAutospacing="0" w:after="0" w:afterAutospacing="0"/>
              <w:ind w:left="0" w:right="0"/>
              <w:jc w:val="center"/>
              <w:outlineLvl w:val="9"/>
              <w:rPr>
                <w:rFonts w:hint="eastAsia" w:ascii="宋体" w:hAnsi="宋体" w:eastAsia="宋体" w:cs="宋体"/>
                <w:color w:val="auto"/>
                <w:szCs w:val="21"/>
              </w:rPr>
            </w:pPr>
            <w:r>
              <w:rPr>
                <w:rFonts w:hint="eastAsia" w:ascii="宋体" w:hAnsi="宋体" w:eastAsia="宋体" w:cs="宋体"/>
                <w:color w:val="auto"/>
                <w:szCs w:val="21"/>
              </w:rPr>
              <w:t>工频电场</w:t>
            </w:r>
          </w:p>
          <w:p w14:paraId="26E86930">
            <w:pPr>
              <w:keepNext w:val="0"/>
              <w:keepLines w:val="0"/>
              <w:suppressLineNumbers w:val="0"/>
              <w:spacing w:before="0" w:beforeAutospacing="0" w:after="0" w:afterAutospacing="0"/>
              <w:ind w:left="0" w:right="0"/>
              <w:jc w:val="center"/>
              <w:outlineLvl w:val="9"/>
              <w:rPr>
                <w:rFonts w:hint="eastAsia" w:ascii="宋体" w:hAnsi="宋体" w:eastAsia="宋体" w:cs="宋体"/>
                <w:color w:val="auto"/>
                <w:szCs w:val="21"/>
              </w:rPr>
            </w:pPr>
            <w:r>
              <w:rPr>
                <w:rFonts w:hint="eastAsia" w:ascii="宋体" w:hAnsi="宋体" w:eastAsia="宋体" w:cs="宋体"/>
                <w:color w:val="auto"/>
                <w:szCs w:val="21"/>
              </w:rPr>
              <w:t>工频磁场</w:t>
            </w:r>
          </w:p>
        </w:tc>
        <w:tc>
          <w:tcPr>
            <w:tcW w:w="1117" w:type="pct"/>
            <w:tcBorders>
              <w:tl2br w:val="nil"/>
              <w:tr2bl w:val="nil"/>
            </w:tcBorders>
            <w:noWrap w:val="0"/>
            <w:tcMar>
              <w:top w:w="0" w:type="dxa"/>
              <w:left w:w="0" w:type="dxa"/>
              <w:bottom w:w="0" w:type="dxa"/>
              <w:right w:w="0" w:type="dxa"/>
            </w:tcMar>
            <w:vAlign w:val="center"/>
          </w:tcPr>
          <w:p w14:paraId="7CC4F4E9">
            <w:pPr>
              <w:keepNext w:val="0"/>
              <w:keepLines w:val="0"/>
              <w:suppressLineNumbers w:val="0"/>
              <w:spacing w:before="0" w:beforeAutospacing="0" w:after="0" w:afterAutospacing="0"/>
              <w:ind w:left="0" w:right="0"/>
              <w:jc w:val="center"/>
              <w:outlineLvl w:val="9"/>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电磁辐射分析</w:t>
            </w:r>
            <w:r>
              <w:rPr>
                <w:rFonts w:hint="eastAsia" w:ascii="宋体" w:hAnsi="宋体" w:eastAsia="宋体" w:cs="宋体"/>
                <w:color w:val="auto"/>
                <w:szCs w:val="21"/>
                <w:highlight w:val="none"/>
                <w:lang w:val="en-US" w:eastAsia="zh-CN"/>
              </w:rPr>
              <w:t>仪</w:t>
            </w:r>
          </w:p>
          <w:p w14:paraId="436F6296">
            <w:pPr>
              <w:keepNext w:val="0"/>
              <w:keepLines w:val="0"/>
              <w:suppressLineNumbers w:val="0"/>
              <w:spacing w:before="0" w:beforeAutospacing="0" w:after="0" w:afterAutospacing="0"/>
              <w:ind w:left="0" w:right="0"/>
              <w:jc w:val="center"/>
              <w:outlineLvl w:val="9"/>
              <w:rPr>
                <w:rFonts w:hint="default" w:ascii="宋体" w:hAnsi="宋体" w:eastAsia="宋体" w:cs="宋体"/>
                <w:color w:val="auto"/>
                <w:szCs w:val="21"/>
                <w:highlight w:val="yellow"/>
                <w:lang w:val="en-US" w:eastAsia="zh-CN"/>
              </w:rPr>
            </w:pPr>
            <w:r>
              <w:rPr>
                <w:rFonts w:hint="eastAsia" w:ascii="宋体" w:hAnsi="宋体" w:cs="宋体"/>
                <w:color w:val="auto"/>
                <w:szCs w:val="21"/>
                <w:highlight w:val="none"/>
                <w:lang w:val="en-US" w:eastAsia="zh-CN"/>
              </w:rPr>
              <w:t>LF01</w:t>
            </w:r>
            <w:r>
              <w:rPr>
                <w:rFonts w:hint="eastAsia" w:ascii="宋体" w:hAnsi="宋体" w:eastAsia="宋体" w:cs="宋体"/>
                <w:color w:val="auto"/>
                <w:szCs w:val="21"/>
                <w:highlight w:val="none"/>
                <w:lang w:val="en-US" w:eastAsia="zh-CN"/>
              </w:rPr>
              <w:t>&amp;</w:t>
            </w:r>
            <w:r>
              <w:rPr>
                <w:rFonts w:hint="eastAsia" w:ascii="宋体" w:hAnsi="宋体" w:cs="宋体"/>
                <w:color w:val="auto"/>
                <w:szCs w:val="21"/>
                <w:highlight w:val="none"/>
                <w:lang w:val="en-US" w:eastAsia="zh-CN"/>
              </w:rPr>
              <w:t>SEM</w:t>
            </w: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600</w:t>
            </w:r>
          </w:p>
        </w:tc>
        <w:tc>
          <w:tcPr>
            <w:tcW w:w="1050" w:type="pct"/>
            <w:tcBorders>
              <w:tl2br w:val="nil"/>
              <w:tr2bl w:val="nil"/>
            </w:tcBorders>
            <w:noWrap w:val="0"/>
            <w:tcMar>
              <w:top w:w="0" w:type="dxa"/>
              <w:left w:w="0" w:type="dxa"/>
              <w:bottom w:w="0" w:type="dxa"/>
              <w:right w:w="0" w:type="dxa"/>
            </w:tcMar>
            <w:vAlign w:val="center"/>
          </w:tcPr>
          <w:p w14:paraId="1B445997">
            <w:pPr>
              <w:keepNext w:val="0"/>
              <w:keepLines w:val="0"/>
              <w:suppressLineNumbers w:val="0"/>
              <w:spacing w:before="0" w:beforeAutospacing="0" w:after="0" w:afterAutospacing="0"/>
              <w:ind w:left="0" w:right="0"/>
              <w:jc w:val="center"/>
              <w:outlineLvl w:val="9"/>
              <w:rPr>
                <w:rFonts w:hint="default" w:ascii="宋体" w:hAnsi="宋体" w:eastAsia="宋体" w:cs="宋体"/>
                <w:color w:val="auto"/>
                <w:szCs w:val="21"/>
                <w:highlight w:val="none"/>
                <w:lang w:val="en-US"/>
              </w:rPr>
            </w:pPr>
            <w:r>
              <w:rPr>
                <w:rFonts w:hint="eastAsia" w:ascii="宋体" w:hAnsi="宋体" w:eastAsia="宋体" w:cs="宋体"/>
                <w:color w:val="auto"/>
                <w:szCs w:val="21"/>
                <w:highlight w:val="none"/>
                <w:lang w:val="zh-CN" w:eastAsia="zh-CN"/>
              </w:rPr>
              <w:t>J20</w:t>
            </w:r>
            <w:r>
              <w:rPr>
                <w:rFonts w:hint="eastAsia" w:ascii="宋体" w:hAnsi="宋体" w:cs="宋体"/>
                <w:color w:val="auto"/>
                <w:szCs w:val="21"/>
                <w:highlight w:val="none"/>
                <w:lang w:val="en-US" w:eastAsia="zh-CN"/>
              </w:rPr>
              <w:t>2312261250-02-001</w:t>
            </w:r>
          </w:p>
        </w:tc>
        <w:tc>
          <w:tcPr>
            <w:tcW w:w="801" w:type="pct"/>
            <w:tcBorders>
              <w:tl2br w:val="nil"/>
              <w:tr2bl w:val="nil"/>
            </w:tcBorders>
            <w:noWrap w:val="0"/>
            <w:tcMar>
              <w:top w:w="0" w:type="dxa"/>
              <w:left w:w="0" w:type="dxa"/>
              <w:bottom w:w="0" w:type="dxa"/>
              <w:right w:w="0" w:type="dxa"/>
            </w:tcMar>
            <w:vAlign w:val="center"/>
          </w:tcPr>
          <w:p w14:paraId="7BD00209">
            <w:pPr>
              <w:keepNext w:val="0"/>
              <w:keepLines w:val="0"/>
              <w:suppressLineNumbers w:val="0"/>
              <w:spacing w:before="0" w:beforeAutospacing="0" w:after="0" w:afterAutospacing="0"/>
              <w:ind w:left="0" w:right="0"/>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广电计量检测集团股份有限公司</w:t>
            </w:r>
          </w:p>
        </w:tc>
        <w:tc>
          <w:tcPr>
            <w:tcW w:w="1268" w:type="pct"/>
            <w:tcBorders>
              <w:tl2br w:val="nil"/>
              <w:tr2bl w:val="nil"/>
            </w:tcBorders>
            <w:noWrap w:val="0"/>
            <w:tcMar>
              <w:top w:w="0" w:type="dxa"/>
              <w:left w:w="0" w:type="dxa"/>
              <w:bottom w:w="0" w:type="dxa"/>
              <w:right w:w="0" w:type="dxa"/>
            </w:tcMar>
            <w:vAlign w:val="center"/>
          </w:tcPr>
          <w:p w14:paraId="4B89E1CC">
            <w:pPr>
              <w:keepNext w:val="0"/>
              <w:keepLines w:val="0"/>
              <w:suppressLineNumbers w:val="0"/>
              <w:spacing w:before="0" w:beforeAutospacing="0" w:after="0" w:afterAutospacing="0"/>
              <w:ind w:left="0" w:right="0"/>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202</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val="en-US" w:eastAsia="zh-CN"/>
              </w:rPr>
              <w:t>年0</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lang w:val="en-US" w:eastAsia="zh-CN"/>
              </w:rPr>
              <w:t>月</w:t>
            </w:r>
            <w:r>
              <w:rPr>
                <w:rFonts w:hint="eastAsia" w:ascii="宋体" w:hAnsi="宋体" w:cs="宋体"/>
                <w:color w:val="auto"/>
                <w:szCs w:val="21"/>
                <w:highlight w:val="none"/>
                <w:lang w:val="en-US" w:eastAsia="zh-CN"/>
              </w:rPr>
              <w:t>22</w:t>
            </w:r>
            <w:r>
              <w:rPr>
                <w:rFonts w:hint="eastAsia" w:ascii="宋体" w:hAnsi="宋体" w:eastAsia="宋体" w:cs="宋体"/>
                <w:color w:val="auto"/>
                <w:szCs w:val="21"/>
                <w:highlight w:val="none"/>
                <w:lang w:val="en-US" w:eastAsia="zh-CN"/>
              </w:rPr>
              <w:t>日～202</w:t>
            </w: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lang w:val="en-US" w:eastAsia="zh-CN"/>
              </w:rPr>
              <w:t>年0</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lang w:val="en-US" w:eastAsia="zh-CN"/>
              </w:rPr>
              <w:t>月</w:t>
            </w:r>
            <w:r>
              <w:rPr>
                <w:rFonts w:hint="eastAsia" w:ascii="宋体" w:hAnsi="宋体" w:cs="宋体"/>
                <w:color w:val="auto"/>
                <w:szCs w:val="21"/>
                <w:highlight w:val="none"/>
                <w:lang w:val="en-US" w:eastAsia="zh-CN"/>
              </w:rPr>
              <w:t>21</w:t>
            </w:r>
            <w:r>
              <w:rPr>
                <w:rFonts w:hint="eastAsia" w:ascii="宋体" w:hAnsi="宋体" w:eastAsia="宋体" w:cs="宋体"/>
                <w:color w:val="auto"/>
                <w:szCs w:val="21"/>
                <w:highlight w:val="none"/>
                <w:lang w:val="en-US" w:eastAsia="zh-CN"/>
              </w:rPr>
              <w:t>日</w:t>
            </w:r>
          </w:p>
        </w:tc>
      </w:tr>
      <w:tr w14:paraId="464D692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706" w:hRule="atLeast"/>
          <w:jc w:val="center"/>
        </w:trPr>
        <w:tc>
          <w:tcPr>
            <w:tcW w:w="218" w:type="pct"/>
            <w:tcBorders>
              <w:tl2br w:val="nil"/>
              <w:tr2bl w:val="nil"/>
            </w:tcBorders>
            <w:noWrap w:val="0"/>
            <w:tcMar>
              <w:top w:w="0" w:type="dxa"/>
              <w:left w:w="0" w:type="dxa"/>
              <w:bottom w:w="0" w:type="dxa"/>
              <w:right w:w="0" w:type="dxa"/>
            </w:tcMar>
            <w:vAlign w:val="center"/>
          </w:tcPr>
          <w:p w14:paraId="76269ACB">
            <w:pPr>
              <w:keepNext w:val="0"/>
              <w:keepLines w:val="0"/>
              <w:suppressLineNumbers w:val="0"/>
              <w:spacing w:before="0" w:beforeAutospacing="0" w:after="0" w:afterAutospacing="0"/>
              <w:ind w:left="0" w:right="0"/>
              <w:jc w:val="center"/>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2</w:t>
            </w:r>
          </w:p>
        </w:tc>
        <w:tc>
          <w:tcPr>
            <w:tcW w:w="544" w:type="pct"/>
            <w:tcBorders>
              <w:tl2br w:val="nil"/>
              <w:tr2bl w:val="nil"/>
            </w:tcBorders>
            <w:noWrap w:val="0"/>
            <w:tcMar>
              <w:top w:w="0" w:type="dxa"/>
              <w:left w:w="0" w:type="dxa"/>
              <w:bottom w:w="0" w:type="dxa"/>
              <w:right w:w="0" w:type="dxa"/>
            </w:tcMar>
            <w:vAlign w:val="center"/>
          </w:tcPr>
          <w:p w14:paraId="5967CB4A">
            <w:pPr>
              <w:keepNext w:val="0"/>
              <w:keepLines w:val="0"/>
              <w:widowControl/>
              <w:suppressLineNumbers w:val="0"/>
              <w:spacing w:before="0" w:beforeAutospacing="0" w:after="0" w:afterAutospacing="0"/>
              <w:ind w:left="0" w:right="0"/>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zh-CN" w:eastAsia="zh-CN"/>
              </w:rPr>
              <w:t>风速</w:t>
            </w:r>
          </w:p>
        </w:tc>
        <w:tc>
          <w:tcPr>
            <w:tcW w:w="1117" w:type="pct"/>
            <w:tcBorders>
              <w:tl2br w:val="nil"/>
              <w:tr2bl w:val="nil"/>
            </w:tcBorders>
            <w:noWrap w:val="0"/>
            <w:tcMar>
              <w:top w:w="0" w:type="dxa"/>
              <w:left w:w="0" w:type="dxa"/>
              <w:bottom w:w="0" w:type="dxa"/>
              <w:right w:w="0" w:type="dxa"/>
            </w:tcMar>
            <w:vAlign w:val="center"/>
          </w:tcPr>
          <w:p w14:paraId="5C446261">
            <w:pPr>
              <w:keepNext w:val="0"/>
              <w:keepLines w:val="0"/>
              <w:suppressLineNumbers w:val="0"/>
              <w:spacing w:before="0" w:beforeAutospacing="0" w:after="0" w:afterAutospacing="0"/>
              <w:ind w:left="0" w:right="0"/>
              <w:jc w:val="center"/>
              <w:outlineLvl w:val="9"/>
              <w:rPr>
                <w:rFonts w:hint="eastAsia" w:ascii="宋体" w:hAnsi="宋体" w:eastAsia="宋体" w:cs="宋体"/>
                <w:color w:val="auto"/>
                <w:szCs w:val="21"/>
                <w:highlight w:val="none"/>
                <w:lang w:val="zh-CN" w:eastAsia="zh-CN"/>
              </w:rPr>
            </w:pPr>
            <w:r>
              <w:rPr>
                <w:rFonts w:hint="eastAsia" w:ascii="宋体" w:hAnsi="宋体" w:eastAsia="宋体" w:cs="宋体"/>
                <w:color w:val="auto"/>
                <w:szCs w:val="21"/>
                <w:highlight w:val="none"/>
                <w:lang w:val="zh-CN" w:eastAsia="zh-CN"/>
              </w:rPr>
              <w:t>HT-91风速仪</w:t>
            </w:r>
          </w:p>
          <w:p w14:paraId="79807E27">
            <w:pPr>
              <w:keepNext w:val="0"/>
              <w:keepLines w:val="0"/>
              <w:suppressLineNumbers w:val="0"/>
              <w:spacing w:before="0" w:beforeAutospacing="0" w:after="0" w:afterAutospacing="0"/>
              <w:ind w:left="0" w:right="0"/>
              <w:jc w:val="center"/>
              <w:outlineLvl w:val="9"/>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201904</w:t>
            </w:r>
            <w:r>
              <w:rPr>
                <w:rFonts w:hint="eastAsia" w:ascii="宋体" w:hAnsi="宋体" w:cs="宋体"/>
                <w:color w:val="auto"/>
                <w:szCs w:val="21"/>
                <w:highlight w:val="none"/>
                <w:lang w:val="en-US" w:eastAsia="zh-CN"/>
              </w:rPr>
              <w:t>012023</w:t>
            </w:r>
          </w:p>
        </w:tc>
        <w:tc>
          <w:tcPr>
            <w:tcW w:w="1050" w:type="pct"/>
            <w:tcBorders>
              <w:tl2br w:val="nil"/>
              <w:tr2bl w:val="nil"/>
            </w:tcBorders>
            <w:noWrap w:val="0"/>
            <w:tcMar>
              <w:top w:w="0" w:type="dxa"/>
              <w:left w:w="0" w:type="dxa"/>
              <w:bottom w:w="0" w:type="dxa"/>
              <w:right w:w="0" w:type="dxa"/>
            </w:tcMar>
            <w:vAlign w:val="center"/>
          </w:tcPr>
          <w:p w14:paraId="0F4899FD">
            <w:pPr>
              <w:keepNext w:val="0"/>
              <w:keepLines w:val="0"/>
              <w:suppressLineNumbers w:val="0"/>
              <w:spacing w:before="0" w:beforeAutospacing="0" w:after="0" w:afterAutospacing="0"/>
              <w:ind w:left="0" w:right="0"/>
              <w:jc w:val="center"/>
              <w:outlineLvl w:val="9"/>
              <w:rPr>
                <w:rFonts w:hint="eastAsia" w:ascii="宋体" w:hAnsi="宋体" w:eastAsia="宋体" w:cs="宋体"/>
                <w:color w:val="auto"/>
                <w:szCs w:val="21"/>
                <w:highlight w:val="none"/>
                <w:lang w:val="zh-CN" w:eastAsia="zh-CN"/>
              </w:rPr>
            </w:pPr>
            <w:r>
              <w:rPr>
                <w:rFonts w:hint="eastAsia" w:ascii="宋体" w:hAnsi="宋体" w:eastAsia="宋体" w:cs="宋体"/>
                <w:color w:val="auto"/>
                <w:szCs w:val="21"/>
                <w:highlight w:val="none"/>
                <w:lang w:val="zh-CN" w:eastAsia="zh-CN"/>
              </w:rPr>
              <w:t>J202404281135-000</w:t>
            </w:r>
            <w:r>
              <w:rPr>
                <w:rFonts w:hint="eastAsia" w:ascii="宋体" w:hAnsi="宋体" w:cs="宋体"/>
                <w:color w:val="auto"/>
                <w:szCs w:val="21"/>
                <w:highlight w:val="none"/>
                <w:lang w:val="en-US" w:eastAsia="zh-CN"/>
              </w:rPr>
              <w:t>1</w:t>
            </w:r>
          </w:p>
        </w:tc>
        <w:tc>
          <w:tcPr>
            <w:tcW w:w="801" w:type="pct"/>
            <w:tcBorders>
              <w:tl2br w:val="nil"/>
              <w:tr2bl w:val="nil"/>
            </w:tcBorders>
            <w:noWrap w:val="0"/>
            <w:tcMar>
              <w:top w:w="0" w:type="dxa"/>
              <w:left w:w="0" w:type="dxa"/>
              <w:bottom w:w="0" w:type="dxa"/>
              <w:right w:w="0" w:type="dxa"/>
            </w:tcMar>
            <w:vAlign w:val="center"/>
          </w:tcPr>
          <w:p w14:paraId="54EB0828">
            <w:pPr>
              <w:keepNext w:val="0"/>
              <w:keepLines w:val="0"/>
              <w:suppressLineNumbers w:val="0"/>
              <w:spacing w:before="0" w:beforeAutospacing="0" w:after="0" w:afterAutospacing="0"/>
              <w:ind w:left="0" w:right="0"/>
              <w:jc w:val="center"/>
              <w:outlineLvl w:val="9"/>
              <w:rPr>
                <w:rFonts w:hint="eastAsia" w:ascii="宋体" w:hAnsi="宋体" w:eastAsia="宋体" w:cs="宋体"/>
                <w:color w:val="auto"/>
                <w:szCs w:val="21"/>
                <w:highlight w:val="yellow"/>
              </w:rPr>
            </w:pPr>
            <w:r>
              <w:rPr>
                <w:rFonts w:hint="eastAsia" w:ascii="宋体" w:hAnsi="宋体" w:eastAsia="宋体" w:cs="宋体"/>
                <w:color w:val="auto"/>
                <w:szCs w:val="21"/>
                <w:highlight w:val="none"/>
                <w:lang w:val="en-US" w:eastAsia="zh-CN"/>
              </w:rPr>
              <w:t>广电计量检测集团股份有限公司</w:t>
            </w:r>
          </w:p>
        </w:tc>
        <w:tc>
          <w:tcPr>
            <w:tcW w:w="1268" w:type="pct"/>
            <w:tcBorders>
              <w:tl2br w:val="nil"/>
              <w:tr2bl w:val="nil"/>
            </w:tcBorders>
            <w:noWrap w:val="0"/>
            <w:tcMar>
              <w:top w:w="0" w:type="dxa"/>
              <w:left w:w="0" w:type="dxa"/>
              <w:bottom w:w="0" w:type="dxa"/>
              <w:right w:w="0" w:type="dxa"/>
            </w:tcMar>
            <w:vAlign w:val="center"/>
          </w:tcPr>
          <w:p w14:paraId="1913B9C2">
            <w:pPr>
              <w:keepNext w:val="0"/>
              <w:keepLines w:val="0"/>
              <w:suppressLineNumbers w:val="0"/>
              <w:spacing w:before="0" w:beforeAutospacing="0" w:after="0" w:afterAutospacing="0"/>
              <w:ind w:left="0" w:right="0"/>
              <w:jc w:val="center"/>
              <w:outlineLvl w:val="9"/>
              <w:rPr>
                <w:rFonts w:hint="eastAsia" w:ascii="宋体" w:hAnsi="宋体" w:eastAsia="宋体" w:cs="宋体"/>
                <w:color w:val="auto"/>
                <w:szCs w:val="21"/>
                <w:highlight w:val="yellow"/>
              </w:rPr>
            </w:pPr>
            <w:r>
              <w:rPr>
                <w:rFonts w:hint="eastAsia" w:ascii="宋体" w:hAnsi="宋体" w:eastAsia="宋体" w:cs="宋体"/>
                <w:color w:val="auto"/>
                <w:szCs w:val="21"/>
                <w:highlight w:val="none"/>
                <w:lang w:val="zh-CN" w:eastAsia="zh-CN"/>
              </w:rPr>
              <w:t>2024年05月0</w:t>
            </w: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lang w:val="zh-CN" w:eastAsia="zh-CN"/>
              </w:rPr>
              <w:t>日～2025年05月0</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val="zh-CN" w:eastAsia="zh-CN"/>
              </w:rPr>
              <w:t>日</w:t>
            </w:r>
          </w:p>
        </w:tc>
      </w:tr>
      <w:tr w14:paraId="0FC0DD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706" w:hRule="atLeast"/>
          <w:jc w:val="center"/>
        </w:trPr>
        <w:tc>
          <w:tcPr>
            <w:tcW w:w="218" w:type="pct"/>
            <w:tcBorders>
              <w:tl2br w:val="nil"/>
              <w:tr2bl w:val="nil"/>
            </w:tcBorders>
            <w:noWrap w:val="0"/>
            <w:tcMar>
              <w:top w:w="0" w:type="dxa"/>
              <w:left w:w="0" w:type="dxa"/>
              <w:bottom w:w="0" w:type="dxa"/>
              <w:right w:w="0" w:type="dxa"/>
            </w:tcMar>
            <w:vAlign w:val="center"/>
          </w:tcPr>
          <w:p w14:paraId="117113D9">
            <w:pPr>
              <w:keepNext w:val="0"/>
              <w:keepLines w:val="0"/>
              <w:suppressLineNumbers w:val="0"/>
              <w:spacing w:before="0" w:beforeAutospacing="0" w:after="0" w:afterAutospacing="0"/>
              <w:ind w:left="0" w:right="0"/>
              <w:jc w:val="center"/>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3</w:t>
            </w:r>
          </w:p>
        </w:tc>
        <w:tc>
          <w:tcPr>
            <w:tcW w:w="544" w:type="pct"/>
            <w:tcBorders>
              <w:tl2br w:val="nil"/>
              <w:tr2bl w:val="nil"/>
            </w:tcBorders>
            <w:noWrap w:val="0"/>
            <w:tcMar>
              <w:top w:w="0" w:type="dxa"/>
              <w:left w:w="0" w:type="dxa"/>
              <w:bottom w:w="0" w:type="dxa"/>
              <w:right w:w="0" w:type="dxa"/>
            </w:tcMar>
            <w:vAlign w:val="center"/>
          </w:tcPr>
          <w:p w14:paraId="03901F63">
            <w:pPr>
              <w:keepNext w:val="0"/>
              <w:keepLines w:val="0"/>
              <w:widowControl/>
              <w:suppressLineNumbers w:val="0"/>
              <w:spacing w:before="0" w:beforeAutospacing="0" w:after="0" w:afterAutospacing="0"/>
              <w:ind w:left="0" w:right="0"/>
              <w:jc w:val="center"/>
              <w:outlineLvl w:val="9"/>
              <w:rPr>
                <w:rFonts w:hint="eastAsia" w:ascii="宋体" w:hAnsi="宋体" w:eastAsia="宋体" w:cs="宋体"/>
                <w:color w:val="auto"/>
                <w:szCs w:val="21"/>
              </w:rPr>
            </w:pPr>
            <w:r>
              <w:rPr>
                <w:rFonts w:hint="eastAsia" w:ascii="宋体" w:hAnsi="宋体" w:eastAsia="宋体" w:cs="宋体"/>
                <w:color w:val="auto"/>
                <w:szCs w:val="21"/>
                <w:lang w:eastAsia="zh-CN"/>
              </w:rPr>
              <w:t>温</w:t>
            </w:r>
            <w:r>
              <w:rPr>
                <w:rFonts w:hint="eastAsia" w:ascii="宋体" w:hAnsi="宋体" w:eastAsia="宋体" w:cs="宋体"/>
                <w:color w:val="auto"/>
                <w:szCs w:val="21"/>
              </w:rPr>
              <w:t>湿度</w:t>
            </w:r>
          </w:p>
        </w:tc>
        <w:tc>
          <w:tcPr>
            <w:tcW w:w="1117" w:type="pct"/>
            <w:tcBorders>
              <w:tl2br w:val="nil"/>
              <w:tr2bl w:val="nil"/>
            </w:tcBorders>
            <w:noWrap w:val="0"/>
            <w:tcMar>
              <w:top w:w="0" w:type="dxa"/>
              <w:left w:w="0" w:type="dxa"/>
              <w:bottom w:w="0" w:type="dxa"/>
              <w:right w:w="0" w:type="dxa"/>
            </w:tcMar>
            <w:vAlign w:val="center"/>
          </w:tcPr>
          <w:p w14:paraId="4938319B">
            <w:pPr>
              <w:keepNext w:val="0"/>
              <w:keepLines w:val="0"/>
              <w:suppressLineNumbers w:val="0"/>
              <w:spacing w:before="0" w:beforeAutospacing="0" w:after="0" w:afterAutospacing="0"/>
              <w:ind w:left="0" w:right="0"/>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TY-2060</w:t>
            </w:r>
          </w:p>
          <w:p w14:paraId="34550711">
            <w:pPr>
              <w:keepNext w:val="0"/>
              <w:keepLines w:val="0"/>
              <w:suppressLineNumbers w:val="0"/>
              <w:spacing w:before="0" w:beforeAutospacing="0" w:after="0" w:afterAutospacing="0"/>
              <w:ind w:left="0" w:right="0"/>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数字温湿度计</w:t>
            </w:r>
          </w:p>
          <w:p w14:paraId="30CF73B7">
            <w:pPr>
              <w:keepNext w:val="0"/>
              <w:keepLines w:val="0"/>
              <w:suppressLineNumbers w:val="0"/>
              <w:spacing w:before="0" w:beforeAutospacing="0" w:after="0" w:afterAutospacing="0"/>
              <w:ind w:left="0" w:right="0"/>
              <w:jc w:val="center"/>
              <w:outlineLvl w:val="9"/>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70216</w:t>
            </w:r>
            <w:r>
              <w:rPr>
                <w:rFonts w:hint="eastAsia" w:ascii="宋体" w:hAnsi="宋体" w:cs="宋体"/>
                <w:color w:val="auto"/>
                <w:szCs w:val="21"/>
                <w:highlight w:val="none"/>
                <w:lang w:val="en-US" w:eastAsia="zh-CN"/>
              </w:rPr>
              <w:t>7</w:t>
            </w:r>
          </w:p>
        </w:tc>
        <w:tc>
          <w:tcPr>
            <w:tcW w:w="1050" w:type="pct"/>
            <w:tcBorders>
              <w:tl2br w:val="nil"/>
              <w:tr2bl w:val="nil"/>
            </w:tcBorders>
            <w:noWrap w:val="0"/>
            <w:tcMar>
              <w:top w:w="0" w:type="dxa"/>
              <w:left w:w="0" w:type="dxa"/>
              <w:bottom w:w="0" w:type="dxa"/>
              <w:right w:w="0" w:type="dxa"/>
            </w:tcMar>
            <w:vAlign w:val="center"/>
          </w:tcPr>
          <w:p w14:paraId="411F6DF7">
            <w:pPr>
              <w:keepNext w:val="0"/>
              <w:keepLines w:val="0"/>
              <w:suppressLineNumbers w:val="0"/>
              <w:spacing w:before="0" w:beforeAutospacing="0" w:after="0" w:afterAutospacing="0"/>
              <w:ind w:left="0" w:right="0"/>
              <w:jc w:val="center"/>
              <w:outlineLvl w:val="9"/>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zh-CN" w:eastAsia="zh-CN"/>
              </w:rPr>
              <w:t>J202404281135-000</w:t>
            </w:r>
            <w:r>
              <w:rPr>
                <w:rFonts w:hint="eastAsia" w:ascii="宋体" w:hAnsi="宋体" w:cs="宋体"/>
                <w:color w:val="auto"/>
                <w:szCs w:val="21"/>
                <w:highlight w:val="none"/>
                <w:lang w:val="en-US" w:eastAsia="zh-CN"/>
              </w:rPr>
              <w:t>5</w:t>
            </w:r>
          </w:p>
        </w:tc>
        <w:tc>
          <w:tcPr>
            <w:tcW w:w="801" w:type="pct"/>
            <w:tcBorders>
              <w:tl2br w:val="nil"/>
              <w:tr2bl w:val="nil"/>
            </w:tcBorders>
            <w:noWrap w:val="0"/>
            <w:tcMar>
              <w:top w:w="0" w:type="dxa"/>
              <w:left w:w="0" w:type="dxa"/>
              <w:bottom w:w="0" w:type="dxa"/>
              <w:right w:w="0" w:type="dxa"/>
            </w:tcMar>
            <w:vAlign w:val="center"/>
          </w:tcPr>
          <w:p w14:paraId="6A468BC4">
            <w:pPr>
              <w:keepNext w:val="0"/>
              <w:keepLines w:val="0"/>
              <w:suppressLineNumbers w:val="0"/>
              <w:spacing w:before="0" w:beforeAutospacing="0" w:after="0" w:afterAutospacing="0"/>
              <w:ind w:left="0" w:right="0"/>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广电计量检测集团股份有限公司</w:t>
            </w:r>
          </w:p>
        </w:tc>
        <w:tc>
          <w:tcPr>
            <w:tcW w:w="1268" w:type="pct"/>
            <w:tcBorders>
              <w:tl2br w:val="nil"/>
              <w:tr2bl w:val="nil"/>
            </w:tcBorders>
            <w:noWrap w:val="0"/>
            <w:tcMar>
              <w:top w:w="0" w:type="dxa"/>
              <w:left w:w="0" w:type="dxa"/>
              <w:bottom w:w="0" w:type="dxa"/>
              <w:right w:w="0" w:type="dxa"/>
            </w:tcMar>
            <w:vAlign w:val="center"/>
          </w:tcPr>
          <w:p w14:paraId="443930D7">
            <w:pPr>
              <w:keepNext w:val="0"/>
              <w:keepLines w:val="0"/>
              <w:suppressLineNumbers w:val="0"/>
              <w:spacing w:before="0" w:beforeAutospacing="0" w:after="0" w:afterAutospacing="0"/>
              <w:ind w:left="0" w:right="0"/>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zh-CN" w:eastAsia="zh-CN"/>
              </w:rPr>
              <w:t>2024年05月0</w:t>
            </w: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lang w:val="zh-CN" w:eastAsia="zh-CN"/>
              </w:rPr>
              <w:t>日～2025年05月0</w:t>
            </w: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lang w:val="zh-CN" w:eastAsia="zh-CN"/>
              </w:rPr>
              <w:t>日</w:t>
            </w:r>
          </w:p>
        </w:tc>
      </w:tr>
    </w:tbl>
    <w:p w14:paraId="71B38769">
      <w:pPr>
        <w:keepNext w:val="0"/>
        <w:keepLines w:val="0"/>
        <w:pageBreakBefore w:val="0"/>
        <w:widowControl w:val="0"/>
        <w:suppressLineNumbers w:val="0"/>
        <w:kinsoku/>
        <w:wordWrap/>
        <w:overflowPunct/>
        <w:topLinePunct w:val="0"/>
        <w:autoSpaceDE w:val="0"/>
        <w:autoSpaceDN w:val="0"/>
        <w:bidi w:val="0"/>
        <w:adjustRightInd w:val="0"/>
        <w:snapToGrid w:val="0"/>
        <w:spacing w:before="313" w:beforeLines="100" w:beforeAutospacing="0" w:after="0" w:afterAutospacing="0" w:line="360" w:lineRule="auto"/>
        <w:ind w:left="0" w:right="0" w:firstLine="480" w:firstLineChars="200"/>
        <w:textAlignment w:val="auto"/>
        <w:outlineLvl w:val="9"/>
        <w:rPr>
          <w:rFonts w:hint="eastAsia" w:ascii="宋体" w:hAnsi="宋体" w:eastAsia="宋体" w:cs="宋体"/>
          <w:color w:val="auto"/>
          <w:sz w:val="24"/>
        </w:rPr>
      </w:pPr>
      <w:r>
        <w:rPr>
          <w:rFonts w:hint="eastAsia" w:ascii="宋体" w:hAnsi="宋体" w:eastAsia="宋体" w:cs="宋体"/>
          <w:color w:val="auto"/>
          <w:sz w:val="24"/>
          <w:highlight w:val="none"/>
        </w:rPr>
        <w:t>监测条件：天气</w:t>
      </w:r>
      <w:r>
        <w:rPr>
          <w:rFonts w:hint="eastAsia" w:ascii="宋体" w:hAnsi="宋体" w:cs="宋体"/>
          <w:color w:val="auto"/>
          <w:sz w:val="24"/>
          <w:highlight w:val="none"/>
          <w:lang w:eastAsia="zh-CN"/>
        </w:rPr>
        <w:t>晴</w:t>
      </w:r>
      <w:r>
        <w:rPr>
          <w:rFonts w:hint="eastAsia" w:ascii="宋体" w:hAnsi="宋体" w:eastAsia="宋体" w:cs="宋体"/>
          <w:color w:val="auto"/>
          <w:sz w:val="24"/>
          <w:highlight w:val="none"/>
        </w:rPr>
        <w:t>、相对湿</w:t>
      </w:r>
      <w:r>
        <w:rPr>
          <w:rFonts w:hint="eastAsia" w:ascii="宋体" w:hAnsi="宋体" w:eastAsia="宋体" w:cs="宋体"/>
          <w:color w:val="auto"/>
          <w:sz w:val="24"/>
        </w:rPr>
        <w:t>度</w:t>
      </w:r>
      <w:r>
        <w:rPr>
          <w:rFonts w:hint="eastAsia" w:ascii="宋体" w:hAnsi="宋体" w:cs="宋体"/>
          <w:color w:val="auto"/>
          <w:sz w:val="24"/>
          <w:lang w:val="en-US" w:eastAsia="zh-CN"/>
        </w:rPr>
        <w:t>28%～34</w:t>
      </w:r>
      <w:r>
        <w:rPr>
          <w:rFonts w:hint="eastAsia" w:ascii="宋体" w:hAnsi="宋体" w:eastAsia="宋体" w:cs="宋体"/>
          <w:color w:val="auto"/>
          <w:sz w:val="24"/>
        </w:rPr>
        <w:t>%、温度</w:t>
      </w:r>
      <w:r>
        <w:rPr>
          <w:rFonts w:hint="eastAsia" w:ascii="宋体" w:hAnsi="宋体" w:cs="宋体"/>
          <w:color w:val="auto"/>
          <w:sz w:val="24"/>
          <w:lang w:val="en-US" w:eastAsia="zh-CN"/>
        </w:rPr>
        <w:t>3</w:t>
      </w:r>
      <w:r>
        <w:rPr>
          <w:rFonts w:hint="eastAsia" w:ascii="宋体" w:hAnsi="宋体" w:eastAsia="宋体" w:cs="宋体"/>
          <w:color w:val="auto"/>
          <w:sz w:val="24"/>
        </w:rPr>
        <w:t>～</w:t>
      </w:r>
      <w:r>
        <w:rPr>
          <w:rFonts w:hint="eastAsia" w:ascii="宋体" w:hAnsi="宋体" w:cs="宋体"/>
          <w:color w:val="auto"/>
          <w:sz w:val="24"/>
          <w:lang w:val="en-US" w:eastAsia="zh-CN"/>
        </w:rPr>
        <w:t>11</w:t>
      </w:r>
      <w:r>
        <w:rPr>
          <w:rFonts w:hint="eastAsia" w:ascii="宋体" w:hAnsi="宋体" w:eastAsia="宋体" w:cs="宋体"/>
          <w:color w:val="auto"/>
          <w:sz w:val="24"/>
        </w:rPr>
        <w:t>℃、风速</w:t>
      </w:r>
      <w:r>
        <w:rPr>
          <w:rFonts w:hint="eastAsia" w:ascii="宋体" w:hAnsi="宋体" w:cs="宋体"/>
          <w:color w:val="auto"/>
          <w:sz w:val="24"/>
          <w:lang w:val="en-US" w:eastAsia="zh-CN"/>
        </w:rPr>
        <w:t>昼间2.2</w:t>
      </w:r>
      <w:r>
        <w:rPr>
          <w:rFonts w:hint="eastAsia" w:ascii="宋体" w:hAnsi="宋体" w:eastAsia="宋体" w:cs="宋体"/>
          <w:color w:val="auto"/>
          <w:sz w:val="24"/>
        </w:rPr>
        <w:t>～</w:t>
      </w:r>
      <w:r>
        <w:rPr>
          <w:rFonts w:hint="eastAsia" w:ascii="宋体" w:hAnsi="宋体" w:cs="宋体"/>
          <w:color w:val="auto"/>
          <w:sz w:val="24"/>
          <w:lang w:val="en-US" w:eastAsia="zh-CN"/>
        </w:rPr>
        <w:t>3</w:t>
      </w:r>
      <w:r>
        <w:rPr>
          <w:rFonts w:hint="eastAsia" w:ascii="宋体" w:hAnsi="宋体" w:eastAsia="宋体" w:cs="宋体"/>
          <w:color w:val="auto"/>
          <w:sz w:val="24"/>
          <w:lang w:val="en-US" w:eastAsia="zh-CN"/>
        </w:rPr>
        <w:t>.</w:t>
      </w:r>
      <w:r>
        <w:rPr>
          <w:rFonts w:hint="eastAsia" w:ascii="宋体" w:hAnsi="宋体" w:cs="宋体"/>
          <w:color w:val="auto"/>
          <w:sz w:val="24"/>
          <w:lang w:val="en-US" w:eastAsia="zh-CN"/>
        </w:rPr>
        <w:t>3</w:t>
      </w:r>
      <w:r>
        <w:rPr>
          <w:rFonts w:hint="eastAsia" w:ascii="宋体" w:hAnsi="宋体" w:eastAsia="宋体" w:cs="宋体"/>
          <w:color w:val="auto"/>
          <w:sz w:val="24"/>
        </w:rPr>
        <w:t>m/s。</w:t>
      </w:r>
      <w:bookmarkStart w:id="186" w:name="_Toc12263"/>
    </w:p>
    <w:p w14:paraId="71A92850">
      <w:pPr>
        <w:keepNext w:val="0"/>
        <w:keepLines w:val="0"/>
        <w:pageBreakBefore w:val="0"/>
        <w:widowControl w:val="0"/>
        <w:kinsoku/>
        <w:wordWrap/>
        <w:overflowPunct/>
        <w:topLinePunct w:val="0"/>
        <w:bidi w:val="0"/>
        <w:adjustRightInd w:val="0"/>
        <w:snapToGrid w:val="0"/>
        <w:spacing w:line="360" w:lineRule="auto"/>
        <w:textAlignment w:val="auto"/>
        <w:outlineLvl w:val="1"/>
        <w:rPr>
          <w:rFonts w:hint="eastAsia" w:ascii="宋体" w:hAnsi="宋体" w:eastAsia="宋体" w:cs="宋体"/>
          <w:b/>
          <w:color w:val="auto"/>
          <w:sz w:val="28"/>
          <w:szCs w:val="28"/>
        </w:rPr>
      </w:pPr>
      <w:bookmarkStart w:id="187" w:name="_Toc11456"/>
      <w:bookmarkStart w:id="188" w:name="_Toc25831"/>
      <w:bookmarkStart w:id="189" w:name="_Toc20158"/>
      <w:r>
        <w:rPr>
          <w:rFonts w:hint="eastAsia" w:ascii="宋体" w:hAnsi="宋体" w:eastAsia="宋体" w:cs="宋体"/>
          <w:b/>
          <w:color w:val="auto"/>
          <w:sz w:val="28"/>
          <w:szCs w:val="28"/>
        </w:rPr>
        <w:t>2.5监测结果</w:t>
      </w:r>
      <w:bookmarkEnd w:id="187"/>
      <w:bookmarkEnd w:id="188"/>
      <w:bookmarkEnd w:id="189"/>
    </w:p>
    <w:p w14:paraId="691CB52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监测结果，见表2.5-1。</w:t>
      </w:r>
    </w:p>
    <w:p w14:paraId="48B4E86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color w:val="0000FF"/>
          <w:sz w:val="24"/>
        </w:rPr>
      </w:pPr>
      <w:r>
        <w:rPr>
          <w:rFonts w:hint="eastAsia" w:ascii="宋体" w:hAnsi="宋体" w:eastAsia="宋体" w:cs="宋体"/>
          <w:b/>
          <w:color w:val="auto"/>
          <w:sz w:val="24"/>
        </w:rPr>
        <w:t>表2.5-1</w:t>
      </w:r>
      <w:r>
        <w:rPr>
          <w:rFonts w:hint="eastAsia" w:ascii="宋体" w:hAnsi="宋体" w:cs="宋体"/>
          <w:b/>
          <w:color w:val="auto"/>
          <w:sz w:val="24"/>
          <w:lang w:val="en-US" w:eastAsia="zh-CN"/>
        </w:rPr>
        <w:t xml:space="preserve">    </w:t>
      </w:r>
      <w:r>
        <w:rPr>
          <w:rFonts w:hint="eastAsia" w:ascii="宋体" w:hAnsi="宋体" w:eastAsia="宋体" w:cs="宋体"/>
          <w:b/>
          <w:color w:val="auto"/>
          <w:sz w:val="24"/>
        </w:rPr>
        <w:t>电磁环境现状监测结果</w:t>
      </w:r>
    </w:p>
    <w:tbl>
      <w:tblPr>
        <w:tblStyle w:val="32"/>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69"/>
        <w:gridCol w:w="5125"/>
        <w:gridCol w:w="1790"/>
        <w:gridCol w:w="1668"/>
      </w:tblGrid>
      <w:tr w14:paraId="2E80AF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44" w:type="pct"/>
            <w:gridSpan w:val="2"/>
            <w:tcBorders>
              <w:tl2br w:val="nil"/>
              <w:tr2bl w:val="nil"/>
            </w:tcBorders>
            <w:noWrap w:val="0"/>
            <w:vAlign w:val="center"/>
          </w:tcPr>
          <w:p w14:paraId="78C27474">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监测点</w:t>
            </w:r>
          </w:p>
        </w:tc>
        <w:tc>
          <w:tcPr>
            <w:tcW w:w="908" w:type="pct"/>
            <w:vMerge w:val="restart"/>
            <w:tcBorders>
              <w:tl2br w:val="nil"/>
              <w:tr2bl w:val="nil"/>
            </w:tcBorders>
            <w:noWrap w:val="0"/>
            <w:vAlign w:val="center"/>
          </w:tcPr>
          <w:p w14:paraId="1351A734">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工频电场强度V/m</w:t>
            </w:r>
          </w:p>
        </w:tc>
        <w:tc>
          <w:tcPr>
            <w:tcW w:w="846" w:type="pct"/>
            <w:vMerge w:val="restart"/>
            <w:tcBorders>
              <w:tl2br w:val="nil"/>
              <w:tr2bl w:val="nil"/>
            </w:tcBorders>
            <w:noWrap w:val="0"/>
            <w:vAlign w:val="center"/>
          </w:tcPr>
          <w:p w14:paraId="00D3F351">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工频磁感应强度μT</w:t>
            </w:r>
          </w:p>
        </w:tc>
      </w:tr>
      <w:tr w14:paraId="35D178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pct"/>
            <w:tcBorders>
              <w:tl2br w:val="nil"/>
              <w:tr2bl w:val="nil"/>
            </w:tcBorders>
            <w:noWrap w:val="0"/>
            <w:vAlign w:val="center"/>
          </w:tcPr>
          <w:p w14:paraId="2EFBDB1F">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监测点</w:t>
            </w:r>
          </w:p>
          <w:p w14:paraId="1C6CE8E6">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位编号</w:t>
            </w:r>
          </w:p>
        </w:tc>
        <w:tc>
          <w:tcPr>
            <w:tcW w:w="2599" w:type="pct"/>
            <w:tcBorders>
              <w:tl2br w:val="nil"/>
              <w:tr2bl w:val="nil"/>
            </w:tcBorders>
            <w:noWrap w:val="0"/>
            <w:vAlign w:val="center"/>
          </w:tcPr>
          <w:p w14:paraId="7B81D183">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监测点位置</w:t>
            </w:r>
          </w:p>
        </w:tc>
        <w:tc>
          <w:tcPr>
            <w:tcW w:w="908" w:type="pct"/>
            <w:vMerge w:val="continue"/>
            <w:tcBorders>
              <w:tl2br w:val="nil"/>
              <w:tr2bl w:val="nil"/>
            </w:tcBorders>
            <w:noWrap w:val="0"/>
            <w:vAlign w:val="center"/>
          </w:tcPr>
          <w:p w14:paraId="1B9CE632">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jc w:val="left"/>
              <w:textAlignment w:val="auto"/>
              <w:rPr>
                <w:rFonts w:hint="eastAsia" w:ascii="宋体" w:hAnsi="宋体" w:eastAsia="宋体" w:cs="宋体"/>
                <w:b/>
                <w:color w:val="0000FF"/>
                <w:sz w:val="21"/>
                <w:szCs w:val="21"/>
              </w:rPr>
            </w:pPr>
          </w:p>
        </w:tc>
        <w:tc>
          <w:tcPr>
            <w:tcW w:w="846" w:type="pct"/>
            <w:vMerge w:val="continue"/>
            <w:tcBorders>
              <w:tl2br w:val="nil"/>
              <w:tr2bl w:val="nil"/>
            </w:tcBorders>
            <w:noWrap w:val="0"/>
            <w:vAlign w:val="center"/>
          </w:tcPr>
          <w:p w14:paraId="356A6290">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jc w:val="left"/>
              <w:textAlignment w:val="auto"/>
              <w:rPr>
                <w:rFonts w:hint="eastAsia" w:ascii="宋体" w:hAnsi="宋体" w:eastAsia="宋体" w:cs="宋体"/>
                <w:b/>
                <w:color w:val="0000FF"/>
                <w:sz w:val="21"/>
                <w:szCs w:val="21"/>
              </w:rPr>
            </w:pPr>
          </w:p>
        </w:tc>
      </w:tr>
      <w:tr w14:paraId="2FCA16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pct"/>
            <w:tcBorders>
              <w:tl2br w:val="nil"/>
              <w:tr2bl w:val="nil"/>
            </w:tcBorders>
            <w:noWrap w:val="0"/>
            <w:vAlign w:val="center"/>
          </w:tcPr>
          <w:p w14:paraId="54932439">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599" w:type="pct"/>
            <w:tcBorders>
              <w:tl2br w:val="nil"/>
              <w:tr2bl w:val="nil"/>
            </w:tcBorders>
            <w:shd w:val="clear" w:color="auto" w:fill="auto"/>
            <w:noWrap w:val="0"/>
            <w:vAlign w:val="center"/>
          </w:tcPr>
          <w:p w14:paraId="66230C3F">
            <w:pPr>
              <w:keepNext w:val="0"/>
              <w:keepLines w:val="0"/>
              <w:suppressLineNumbers w:val="0"/>
              <w:tabs>
                <w:tab w:val="left" w:pos="2057"/>
              </w:tabs>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大唐鄯善东220kV升压站出线端</w:t>
            </w:r>
          </w:p>
        </w:tc>
        <w:tc>
          <w:tcPr>
            <w:tcW w:w="908" w:type="pct"/>
            <w:tcBorders>
              <w:tl2br w:val="nil"/>
              <w:tr2bl w:val="nil"/>
            </w:tcBorders>
            <w:shd w:val="clear" w:color="auto" w:fill="auto"/>
            <w:noWrap w:val="0"/>
            <w:vAlign w:val="center"/>
          </w:tcPr>
          <w:p w14:paraId="1EEDE1F5">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jc w:val="center"/>
              <w:rPr>
                <w:rFonts w:hint="default"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42.36</w:t>
            </w:r>
          </w:p>
        </w:tc>
        <w:tc>
          <w:tcPr>
            <w:tcW w:w="846" w:type="pct"/>
            <w:tcBorders>
              <w:tl2br w:val="nil"/>
              <w:tr2bl w:val="nil"/>
            </w:tcBorders>
            <w:shd w:val="clear" w:color="auto" w:fill="auto"/>
            <w:noWrap w:val="0"/>
            <w:vAlign w:val="center"/>
          </w:tcPr>
          <w:p w14:paraId="19C8AA44">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0.</w:t>
            </w:r>
            <w:r>
              <w:rPr>
                <w:rFonts w:hint="eastAsia" w:ascii="宋体" w:hAnsi="宋体" w:cs="宋体"/>
                <w:color w:val="auto"/>
                <w:sz w:val="21"/>
                <w:szCs w:val="21"/>
                <w:lang w:val="en-US" w:eastAsia="zh-CN"/>
              </w:rPr>
              <w:t>0984</w:t>
            </w:r>
          </w:p>
        </w:tc>
      </w:tr>
      <w:tr w14:paraId="6BD522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pct"/>
            <w:tcBorders>
              <w:tl2br w:val="nil"/>
              <w:tr2bl w:val="nil"/>
            </w:tcBorders>
            <w:shd w:val="clear" w:color="auto" w:fill="auto"/>
            <w:noWrap w:val="0"/>
            <w:vAlign w:val="center"/>
          </w:tcPr>
          <w:p w14:paraId="6481F899">
            <w:pPr>
              <w:keepNext w:val="0"/>
              <w:keepLines w:val="0"/>
              <w:pageBreakBefore w:val="0"/>
              <w:suppressLineNumbers w:val="0"/>
              <w:tabs>
                <w:tab w:val="left" w:pos="6300"/>
              </w:tabs>
              <w:kinsoku/>
              <w:wordWrap/>
              <w:overflowPunct/>
              <w:topLinePunct w:val="0"/>
              <w:bidi w:val="0"/>
              <w:adjustRightInd/>
              <w:spacing w:before="0" w:beforeAutospacing="0" w:after="0" w:afterAutospacing="0" w:line="240" w:lineRule="auto"/>
              <w:ind w:left="0" w:leftChars="0" w:right="0" w:firstLine="0" w:firstLineChars="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2</w:t>
            </w:r>
          </w:p>
        </w:tc>
        <w:tc>
          <w:tcPr>
            <w:tcW w:w="2599" w:type="pct"/>
            <w:tcBorders>
              <w:tl2br w:val="nil"/>
              <w:tr2bl w:val="nil"/>
            </w:tcBorders>
            <w:shd w:val="clear" w:color="auto" w:fill="auto"/>
            <w:noWrap w:val="0"/>
            <w:vAlign w:val="center"/>
          </w:tcPr>
          <w:p w14:paraId="4E1A2195">
            <w:pPr>
              <w:keepNext w:val="0"/>
              <w:keepLines w:val="0"/>
              <w:suppressLineNumbers w:val="0"/>
              <w:tabs>
                <w:tab w:val="left" w:pos="2057"/>
              </w:tabs>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拟建输电线路路径沿线1</w:t>
            </w:r>
          </w:p>
        </w:tc>
        <w:tc>
          <w:tcPr>
            <w:tcW w:w="908" w:type="pct"/>
            <w:tcBorders>
              <w:tl2br w:val="nil"/>
              <w:tr2bl w:val="nil"/>
            </w:tcBorders>
            <w:shd w:val="clear" w:color="auto" w:fill="auto"/>
            <w:noWrap w:val="0"/>
            <w:vAlign w:val="center"/>
          </w:tcPr>
          <w:p w14:paraId="212762B5">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jc w:val="center"/>
              <w:rPr>
                <w:rFonts w:hint="default"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5.23</w:t>
            </w:r>
          </w:p>
        </w:tc>
        <w:tc>
          <w:tcPr>
            <w:tcW w:w="846" w:type="pct"/>
            <w:tcBorders>
              <w:tl2br w:val="nil"/>
              <w:tr2bl w:val="nil"/>
            </w:tcBorders>
            <w:shd w:val="clear" w:color="auto" w:fill="auto"/>
            <w:noWrap w:val="0"/>
            <w:vAlign w:val="center"/>
          </w:tcPr>
          <w:p w14:paraId="597663DF">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jc w:val="center"/>
              <w:rPr>
                <w:rFonts w:hint="default"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0.0423</w:t>
            </w:r>
          </w:p>
        </w:tc>
      </w:tr>
      <w:tr w14:paraId="1009CE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pct"/>
            <w:tcBorders>
              <w:tl2br w:val="nil"/>
              <w:tr2bl w:val="nil"/>
            </w:tcBorders>
            <w:shd w:val="clear" w:color="auto" w:fill="auto"/>
            <w:noWrap w:val="0"/>
            <w:vAlign w:val="center"/>
          </w:tcPr>
          <w:p w14:paraId="5A219E5E">
            <w:pPr>
              <w:keepNext w:val="0"/>
              <w:keepLines w:val="0"/>
              <w:pageBreakBefore w:val="0"/>
              <w:suppressLineNumbers w:val="0"/>
              <w:tabs>
                <w:tab w:val="left" w:pos="6300"/>
              </w:tabs>
              <w:kinsoku/>
              <w:wordWrap/>
              <w:overflowPunct/>
              <w:topLinePunct w:val="0"/>
              <w:bidi w:val="0"/>
              <w:adjustRightInd/>
              <w:spacing w:before="0" w:beforeAutospacing="0" w:after="0" w:afterAutospacing="0" w:line="240" w:lineRule="auto"/>
              <w:ind w:left="0" w:leftChars="0" w:right="0" w:firstLine="0" w:firstLineChars="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3</w:t>
            </w:r>
          </w:p>
        </w:tc>
        <w:tc>
          <w:tcPr>
            <w:tcW w:w="2599" w:type="pct"/>
            <w:tcBorders>
              <w:tl2br w:val="nil"/>
              <w:tr2bl w:val="nil"/>
            </w:tcBorders>
            <w:shd w:val="clear" w:color="auto" w:fill="auto"/>
            <w:noWrap w:val="0"/>
            <w:vAlign w:val="center"/>
          </w:tcPr>
          <w:p w14:paraId="5D29AB58">
            <w:pPr>
              <w:keepNext w:val="0"/>
              <w:keepLines w:val="0"/>
              <w:suppressLineNumbers w:val="0"/>
              <w:tabs>
                <w:tab w:val="left" w:pos="2057"/>
              </w:tabs>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拟建输电线路路径沿线2</w:t>
            </w:r>
          </w:p>
        </w:tc>
        <w:tc>
          <w:tcPr>
            <w:tcW w:w="908" w:type="pct"/>
            <w:tcBorders>
              <w:tl2br w:val="nil"/>
              <w:tr2bl w:val="nil"/>
            </w:tcBorders>
            <w:shd w:val="clear" w:color="auto" w:fill="auto"/>
            <w:noWrap w:val="0"/>
            <w:vAlign w:val="center"/>
          </w:tcPr>
          <w:p w14:paraId="404404D2">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jc w:val="center"/>
              <w:rPr>
                <w:rFonts w:hint="default"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4.88</w:t>
            </w:r>
          </w:p>
        </w:tc>
        <w:tc>
          <w:tcPr>
            <w:tcW w:w="846" w:type="pct"/>
            <w:tcBorders>
              <w:tl2br w:val="nil"/>
              <w:tr2bl w:val="nil"/>
            </w:tcBorders>
            <w:shd w:val="clear" w:color="auto" w:fill="auto"/>
            <w:noWrap w:val="0"/>
            <w:vAlign w:val="center"/>
          </w:tcPr>
          <w:p w14:paraId="3705AF1C">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jc w:val="center"/>
              <w:rPr>
                <w:rFonts w:hint="default"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0.0459</w:t>
            </w:r>
          </w:p>
        </w:tc>
      </w:tr>
      <w:tr w14:paraId="46CAB9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pct"/>
            <w:tcBorders>
              <w:tl2br w:val="nil"/>
              <w:tr2bl w:val="nil"/>
            </w:tcBorders>
            <w:shd w:val="clear" w:color="auto" w:fill="auto"/>
            <w:noWrap w:val="0"/>
            <w:vAlign w:val="center"/>
          </w:tcPr>
          <w:p w14:paraId="1FD16724">
            <w:pPr>
              <w:keepNext w:val="0"/>
              <w:keepLines w:val="0"/>
              <w:pageBreakBefore w:val="0"/>
              <w:suppressLineNumbers w:val="0"/>
              <w:tabs>
                <w:tab w:val="left" w:pos="6300"/>
              </w:tabs>
              <w:kinsoku/>
              <w:wordWrap/>
              <w:overflowPunct/>
              <w:topLinePunct w:val="0"/>
              <w:bidi w:val="0"/>
              <w:adjustRightInd/>
              <w:spacing w:before="0" w:beforeAutospacing="0" w:after="0" w:afterAutospacing="0" w:line="240" w:lineRule="auto"/>
              <w:ind w:left="0" w:leftChars="0" w:right="0" w:firstLine="0" w:firstLineChars="0"/>
              <w:jc w:val="center"/>
              <w:rPr>
                <w:rFonts w:hint="eastAsia" w:ascii="宋体" w:hAnsi="宋体" w:eastAsia="宋体" w:cs="宋体"/>
                <w:b w:val="0"/>
                <w:bCs w:val="0"/>
                <w:color w:val="auto"/>
                <w:kern w:val="2"/>
                <w:sz w:val="21"/>
                <w:szCs w:val="21"/>
                <w:lang w:val="en-US" w:eastAsia="zh-CN" w:bidi="ar-SA"/>
              </w:rPr>
            </w:pPr>
            <w:r>
              <w:rPr>
                <w:rFonts w:hint="eastAsia" w:ascii="宋体" w:hAnsi="宋体" w:cs="宋体"/>
                <w:b w:val="0"/>
                <w:bCs w:val="0"/>
                <w:color w:val="auto"/>
                <w:sz w:val="21"/>
                <w:szCs w:val="21"/>
                <w:lang w:val="en-US" w:eastAsia="zh-CN"/>
              </w:rPr>
              <w:t>4</w:t>
            </w:r>
          </w:p>
        </w:tc>
        <w:tc>
          <w:tcPr>
            <w:tcW w:w="2599" w:type="pct"/>
            <w:tcBorders>
              <w:tl2br w:val="nil"/>
              <w:tr2bl w:val="nil"/>
            </w:tcBorders>
            <w:shd w:val="clear" w:color="auto" w:fill="auto"/>
            <w:noWrap w:val="0"/>
            <w:vAlign w:val="center"/>
          </w:tcPr>
          <w:p w14:paraId="2120964A">
            <w:pPr>
              <w:keepNext w:val="0"/>
              <w:keepLines w:val="0"/>
              <w:suppressLineNumbers w:val="0"/>
              <w:tabs>
                <w:tab w:val="left" w:pos="2057"/>
              </w:tabs>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本项目拟建</w:t>
            </w:r>
            <w:r>
              <w:rPr>
                <w:rFonts w:hint="eastAsia" w:ascii="宋体" w:hAnsi="宋体" w:cs="宋体"/>
                <w:color w:val="auto"/>
                <w:kern w:val="2"/>
                <w:sz w:val="21"/>
                <w:szCs w:val="21"/>
                <w:highlight w:val="none"/>
                <w:lang w:val="en-US" w:eastAsia="zh-CN" w:bidi="ar-SA"/>
              </w:rPr>
              <w:t>升压站</w:t>
            </w:r>
            <w:r>
              <w:rPr>
                <w:rFonts w:hint="eastAsia" w:ascii="宋体" w:hAnsi="宋体" w:eastAsia="宋体" w:cs="宋体"/>
                <w:color w:val="auto"/>
                <w:kern w:val="2"/>
                <w:sz w:val="21"/>
                <w:szCs w:val="21"/>
                <w:highlight w:val="none"/>
                <w:lang w:val="en-US" w:eastAsia="zh-CN" w:bidi="ar-SA"/>
              </w:rPr>
              <w:t>站址</w:t>
            </w:r>
          </w:p>
        </w:tc>
        <w:tc>
          <w:tcPr>
            <w:tcW w:w="908" w:type="pct"/>
            <w:tcBorders>
              <w:tl2br w:val="nil"/>
              <w:tr2bl w:val="nil"/>
            </w:tcBorders>
            <w:shd w:val="clear" w:color="auto" w:fill="auto"/>
            <w:noWrap w:val="0"/>
            <w:vAlign w:val="center"/>
          </w:tcPr>
          <w:p w14:paraId="63D675CD">
            <w:pPr>
              <w:keepNext w:val="0"/>
              <w:keepLines w:val="0"/>
              <w:pageBreakBefore w:val="0"/>
              <w:suppressLineNumbers w:val="0"/>
              <w:tabs>
                <w:tab w:val="left" w:pos="6300"/>
              </w:tabs>
              <w:kinsoku/>
              <w:wordWrap/>
              <w:overflowPunct/>
              <w:topLinePunct w:val="0"/>
              <w:bidi w:val="0"/>
              <w:adjustRightInd/>
              <w:spacing w:before="0" w:beforeAutospacing="0" w:after="0" w:afterAutospacing="0" w:line="240" w:lineRule="auto"/>
              <w:ind w:left="0" w:leftChars="0" w:right="0" w:firstLine="0" w:firstLineChars="0"/>
              <w:jc w:val="center"/>
              <w:rPr>
                <w:rFonts w:hint="default" w:ascii="宋体" w:hAnsi="宋体" w:eastAsia="宋体" w:cs="宋体"/>
                <w:color w:val="auto"/>
                <w:kern w:val="2"/>
                <w:sz w:val="21"/>
                <w:szCs w:val="21"/>
                <w:highlight w:val="none"/>
                <w:shd w:val="clear" w:color="auto" w:fill="auto"/>
                <w:lang w:val="en-US" w:eastAsia="zh-CN" w:bidi="ar-SA"/>
              </w:rPr>
            </w:pPr>
            <w:r>
              <w:rPr>
                <w:rFonts w:hint="eastAsia" w:ascii="宋体" w:hAnsi="宋体" w:cs="宋体"/>
                <w:color w:val="auto"/>
                <w:sz w:val="21"/>
                <w:szCs w:val="21"/>
                <w:highlight w:val="none"/>
                <w:shd w:val="clear" w:color="auto" w:fill="auto"/>
                <w:lang w:val="en-US" w:eastAsia="zh-CN"/>
              </w:rPr>
              <w:t>5.21</w:t>
            </w:r>
          </w:p>
        </w:tc>
        <w:tc>
          <w:tcPr>
            <w:tcW w:w="846" w:type="pct"/>
            <w:tcBorders>
              <w:tl2br w:val="nil"/>
              <w:tr2bl w:val="nil"/>
            </w:tcBorders>
            <w:shd w:val="clear" w:color="auto" w:fill="auto"/>
            <w:noWrap w:val="0"/>
            <w:vAlign w:val="center"/>
          </w:tcPr>
          <w:p w14:paraId="423FA75E">
            <w:pPr>
              <w:keepNext w:val="0"/>
              <w:keepLines w:val="0"/>
              <w:pageBreakBefore w:val="0"/>
              <w:suppressLineNumbers w:val="0"/>
              <w:tabs>
                <w:tab w:val="left" w:pos="6300"/>
              </w:tabs>
              <w:kinsoku/>
              <w:wordWrap/>
              <w:overflowPunct/>
              <w:topLinePunct w:val="0"/>
              <w:bidi w:val="0"/>
              <w:adjustRightInd/>
              <w:spacing w:before="0" w:beforeAutospacing="0" w:after="0" w:afterAutospacing="0" w:line="240" w:lineRule="auto"/>
              <w:ind w:left="0" w:leftChars="0" w:right="0" w:firstLine="0" w:firstLineChars="0"/>
              <w:jc w:val="center"/>
              <w:rPr>
                <w:rFonts w:hint="default" w:ascii="宋体" w:hAnsi="宋体" w:eastAsia="宋体" w:cs="宋体"/>
                <w:color w:val="auto"/>
                <w:kern w:val="2"/>
                <w:sz w:val="21"/>
                <w:szCs w:val="21"/>
                <w:highlight w:val="none"/>
                <w:shd w:val="clear" w:color="auto" w:fill="auto"/>
                <w:lang w:val="en-US" w:eastAsia="zh-CN" w:bidi="ar-SA"/>
              </w:rPr>
            </w:pPr>
            <w:r>
              <w:rPr>
                <w:rFonts w:hint="eastAsia" w:ascii="宋体" w:hAnsi="宋体" w:cs="宋体"/>
                <w:color w:val="auto"/>
                <w:sz w:val="21"/>
                <w:szCs w:val="21"/>
                <w:highlight w:val="none"/>
                <w:shd w:val="clear" w:color="auto" w:fill="auto"/>
                <w:lang w:val="en-US" w:eastAsia="zh-CN"/>
              </w:rPr>
              <w:t>0.0612</w:t>
            </w:r>
          </w:p>
        </w:tc>
      </w:tr>
    </w:tbl>
    <w:p w14:paraId="6392B446">
      <w:pPr>
        <w:pageBreakBefore w:val="0"/>
        <w:widowControl w:val="0"/>
        <w:kinsoku/>
        <w:wordWrap/>
        <w:topLinePunct w:val="0"/>
        <w:bidi w:val="0"/>
        <w:adjustRightInd/>
        <w:snapToGrid/>
        <w:spacing w:line="360" w:lineRule="auto"/>
        <w:ind w:left="0"/>
        <w:textAlignment w:val="auto"/>
        <w:rPr>
          <w:rFonts w:hint="eastAsia" w:ascii="宋体" w:hAnsi="宋体" w:eastAsia="宋体" w:cs="宋体"/>
          <w:color w:val="0000FF"/>
        </w:rPr>
      </w:pPr>
    </w:p>
    <w:p w14:paraId="26E66FD5">
      <w:pPr>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由表2.5</w:t>
      </w:r>
      <w:r>
        <w:rPr>
          <w:rFonts w:hint="eastAsia" w:ascii="宋体" w:hAnsi="宋体" w:cs="宋体"/>
          <w:color w:val="auto"/>
          <w:sz w:val="24"/>
          <w:lang w:eastAsia="zh-CN"/>
        </w:rPr>
        <w:t>～</w:t>
      </w:r>
      <w:r>
        <w:rPr>
          <w:rFonts w:hint="eastAsia" w:ascii="宋体" w:hAnsi="宋体" w:eastAsia="宋体" w:cs="宋体"/>
          <w:color w:val="auto"/>
          <w:sz w:val="24"/>
        </w:rPr>
        <w:t>1分析可知，拟建</w:t>
      </w:r>
      <w:r>
        <w:rPr>
          <w:rFonts w:hint="eastAsia" w:ascii="宋体" w:hAnsi="宋体" w:cs="宋体"/>
          <w:color w:val="auto"/>
          <w:sz w:val="24"/>
          <w:lang w:val="en-US" w:eastAsia="zh-CN"/>
        </w:rPr>
        <w:t>220kV升压站站址</w:t>
      </w:r>
      <w:r>
        <w:rPr>
          <w:rFonts w:hint="eastAsia" w:ascii="宋体" w:hAnsi="宋体" w:eastAsia="宋体" w:cs="宋体"/>
          <w:color w:val="auto"/>
          <w:sz w:val="24"/>
        </w:rPr>
        <w:t>中心</w:t>
      </w:r>
      <w:r>
        <w:rPr>
          <w:rFonts w:hint="eastAsia" w:ascii="宋体" w:hAnsi="宋体" w:cs="宋体"/>
          <w:color w:val="auto"/>
          <w:sz w:val="24"/>
          <w:lang w:eastAsia="zh-CN"/>
        </w:rPr>
        <w:t>、</w:t>
      </w:r>
      <w:r>
        <w:rPr>
          <w:rFonts w:hint="eastAsia" w:ascii="宋体" w:hAnsi="宋体" w:cs="宋体"/>
          <w:color w:val="auto"/>
          <w:sz w:val="24"/>
          <w:lang w:val="en-US" w:eastAsia="zh-CN"/>
        </w:rPr>
        <w:t>输电线路沿线及大唐鄯善东220kV升压站</w:t>
      </w:r>
      <w:r>
        <w:rPr>
          <w:rFonts w:hint="eastAsia" w:ascii="宋体" w:hAnsi="宋体" w:cs="宋体"/>
          <w:color w:val="auto"/>
          <w:sz w:val="24"/>
          <w:highlight w:val="none"/>
          <w:lang w:val="en-US" w:eastAsia="zh-CN"/>
        </w:rPr>
        <w:t>间隔扩建端</w:t>
      </w:r>
      <w:r>
        <w:rPr>
          <w:rFonts w:hint="eastAsia" w:ascii="宋体" w:hAnsi="宋体" w:eastAsia="宋体" w:cs="宋体"/>
          <w:color w:val="auto"/>
          <w:sz w:val="24"/>
          <w:highlight w:val="none"/>
        </w:rPr>
        <w:t>工</w:t>
      </w:r>
      <w:r>
        <w:rPr>
          <w:rFonts w:hint="eastAsia" w:ascii="宋体" w:hAnsi="宋体" w:eastAsia="宋体" w:cs="宋体"/>
          <w:color w:val="auto"/>
          <w:sz w:val="24"/>
        </w:rPr>
        <w:t>频电场强度、工频磁感应强度监测结果均满足《电磁环境控制限值》</w:t>
      </w:r>
      <w:r>
        <w:rPr>
          <w:rFonts w:hint="eastAsia" w:ascii="宋体" w:hAnsi="宋体" w:cs="宋体"/>
          <w:color w:val="auto"/>
          <w:sz w:val="24"/>
          <w:lang w:eastAsia="zh-CN"/>
        </w:rPr>
        <w:t>（</w:t>
      </w:r>
      <w:r>
        <w:rPr>
          <w:rFonts w:hint="eastAsia" w:ascii="宋体" w:hAnsi="宋体" w:eastAsia="宋体" w:cs="宋体"/>
          <w:color w:val="auto"/>
          <w:sz w:val="24"/>
        </w:rPr>
        <w:t>GB8702-2014</w:t>
      </w:r>
      <w:r>
        <w:rPr>
          <w:rFonts w:hint="eastAsia" w:ascii="宋体" w:hAnsi="宋体" w:cs="宋体"/>
          <w:color w:val="auto"/>
          <w:sz w:val="24"/>
          <w:lang w:eastAsia="zh-CN"/>
        </w:rPr>
        <w:t>）</w:t>
      </w:r>
      <w:r>
        <w:rPr>
          <w:rFonts w:hint="eastAsia" w:ascii="宋体" w:hAnsi="宋体" w:eastAsia="宋体" w:cs="宋体"/>
          <w:color w:val="auto"/>
          <w:sz w:val="24"/>
        </w:rPr>
        <w:t>中的</w:t>
      </w:r>
      <w:r>
        <w:rPr>
          <w:rFonts w:hint="eastAsia" w:ascii="宋体" w:hAnsi="宋体" w:cs="宋体"/>
          <w:color w:val="auto"/>
          <w:sz w:val="24"/>
          <w:lang w:eastAsia="zh-CN"/>
        </w:rPr>
        <w:t>（</w:t>
      </w:r>
      <w:r>
        <w:rPr>
          <w:rFonts w:hint="eastAsia" w:ascii="宋体" w:hAnsi="宋体" w:eastAsia="宋体" w:cs="宋体"/>
          <w:color w:val="auto"/>
          <w:sz w:val="24"/>
        </w:rPr>
        <w:t>工频电场强度≤4000V/m；工频磁感应强度≤100μT</w:t>
      </w:r>
      <w:r>
        <w:rPr>
          <w:rFonts w:hint="eastAsia" w:ascii="宋体" w:hAnsi="宋体" w:cs="宋体"/>
          <w:color w:val="auto"/>
          <w:sz w:val="24"/>
          <w:lang w:eastAsia="zh-CN"/>
        </w:rPr>
        <w:t>）</w:t>
      </w:r>
      <w:r>
        <w:rPr>
          <w:rFonts w:hint="eastAsia" w:ascii="宋体" w:hAnsi="宋体" w:eastAsia="宋体" w:cs="宋体"/>
          <w:color w:val="auto"/>
          <w:sz w:val="24"/>
        </w:rPr>
        <w:t>公众曝露控制限值。</w:t>
      </w:r>
    </w:p>
    <w:bookmarkEnd w:id="186"/>
    <w:p w14:paraId="1DE47F14">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1"/>
        <w:rPr>
          <w:rFonts w:hint="eastAsia" w:ascii="宋体" w:hAnsi="宋体" w:eastAsia="宋体" w:cs="Calibri"/>
          <w:b/>
          <w:bCs/>
          <w:color w:val="auto"/>
          <w:kern w:val="44"/>
          <w:sz w:val="30"/>
          <w:szCs w:val="30"/>
          <w:lang w:val="en-US" w:eastAsia="zh-CN" w:bidi="ar-SA"/>
        </w:rPr>
      </w:pPr>
      <w:bookmarkStart w:id="190" w:name="_Toc6127"/>
      <w:bookmarkStart w:id="191" w:name="_Toc23474"/>
      <w:bookmarkStart w:id="192" w:name="_Toc982"/>
      <w:bookmarkStart w:id="193" w:name="_Toc27947"/>
      <w:r>
        <w:rPr>
          <w:rFonts w:hint="eastAsia" w:ascii="宋体" w:hAnsi="宋体" w:eastAsia="宋体" w:cs="Calibri"/>
          <w:b/>
          <w:bCs/>
          <w:color w:val="auto"/>
          <w:kern w:val="44"/>
          <w:sz w:val="30"/>
          <w:szCs w:val="30"/>
          <w:lang w:val="en-US" w:eastAsia="zh-CN" w:bidi="ar-SA"/>
        </w:rPr>
        <w:t>3电磁环境影响预测分析</w:t>
      </w:r>
      <w:bookmarkEnd w:id="190"/>
      <w:bookmarkEnd w:id="191"/>
      <w:bookmarkEnd w:id="192"/>
      <w:bookmarkEnd w:id="193"/>
    </w:p>
    <w:p w14:paraId="76E55A2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cs="Calibri"/>
          <w:color w:val="auto"/>
          <w:sz w:val="24"/>
          <w:szCs w:val="21"/>
          <w:highlight w:val="none"/>
        </w:rPr>
      </w:pPr>
      <w:r>
        <w:rPr>
          <w:rFonts w:hint="eastAsia" w:ascii="宋体" w:hAnsi="宋体" w:cs="Calibri"/>
          <w:color w:val="auto"/>
          <w:sz w:val="24"/>
          <w:szCs w:val="21"/>
          <w:lang w:eastAsia="zh-CN"/>
        </w:rPr>
        <w:t>本项目</w:t>
      </w:r>
      <w:r>
        <w:rPr>
          <w:rFonts w:hint="eastAsia" w:ascii="宋体" w:hAnsi="宋体" w:cs="Calibri"/>
          <w:color w:val="auto"/>
          <w:sz w:val="24"/>
          <w:szCs w:val="21"/>
          <w:lang w:val="en-US" w:eastAsia="zh-CN"/>
        </w:rPr>
        <w:t>升压站电磁环境评价等级为二级，</w:t>
      </w:r>
      <w:r>
        <w:rPr>
          <w:rFonts w:hint="eastAsia" w:ascii="宋体" w:hAnsi="宋体" w:cs="Calibri"/>
          <w:color w:val="auto"/>
          <w:sz w:val="24"/>
          <w:szCs w:val="21"/>
        </w:rPr>
        <w:t>线路的电磁环境影响评价等级为</w:t>
      </w:r>
      <w:r>
        <w:rPr>
          <w:rFonts w:hint="eastAsia" w:ascii="宋体" w:hAnsi="宋体" w:cs="Calibri"/>
          <w:color w:val="auto"/>
          <w:sz w:val="24"/>
          <w:szCs w:val="21"/>
          <w:lang w:val="en-US" w:eastAsia="zh-CN"/>
        </w:rPr>
        <w:t>三</w:t>
      </w:r>
      <w:r>
        <w:rPr>
          <w:rFonts w:hint="eastAsia" w:ascii="宋体" w:hAnsi="宋体" w:cs="Calibri"/>
          <w:color w:val="auto"/>
          <w:sz w:val="24"/>
          <w:szCs w:val="21"/>
        </w:rPr>
        <w:t>级</w:t>
      </w:r>
      <w:r>
        <w:rPr>
          <w:rFonts w:hint="eastAsia" w:ascii="宋体" w:hAnsi="宋体" w:cs="Calibri"/>
          <w:color w:val="auto"/>
          <w:sz w:val="24"/>
          <w:szCs w:val="21"/>
          <w:lang w:eastAsia="zh-CN"/>
        </w:rPr>
        <w:t>，</w:t>
      </w:r>
      <w:r>
        <w:rPr>
          <w:rFonts w:hint="eastAsia" w:ascii="宋体" w:hAnsi="宋体" w:cs="Calibri"/>
          <w:color w:val="auto"/>
          <w:sz w:val="24"/>
          <w:szCs w:val="21"/>
        </w:rPr>
        <w:t>根据《环境影响评价技术导则</w:t>
      </w:r>
      <w:r>
        <w:rPr>
          <w:rFonts w:hint="eastAsia" w:ascii="宋体" w:hAnsi="宋体" w:cs="Calibri"/>
          <w:color w:val="auto"/>
          <w:sz w:val="24"/>
          <w:szCs w:val="21"/>
          <w:lang w:val="en-US" w:eastAsia="zh-CN"/>
        </w:rPr>
        <w:t xml:space="preserve"> </w:t>
      </w:r>
      <w:r>
        <w:rPr>
          <w:rFonts w:hint="eastAsia" w:ascii="宋体" w:hAnsi="宋体" w:cs="Calibri"/>
          <w:color w:val="auto"/>
          <w:sz w:val="24"/>
          <w:szCs w:val="21"/>
        </w:rPr>
        <w:t>输变电》</w:t>
      </w:r>
      <w:r>
        <w:rPr>
          <w:rFonts w:hint="eastAsia" w:ascii="宋体" w:hAnsi="宋体" w:cs="Calibri"/>
          <w:color w:val="auto"/>
          <w:sz w:val="24"/>
          <w:szCs w:val="21"/>
          <w:lang w:eastAsia="zh-CN"/>
        </w:rPr>
        <w:t>（</w:t>
      </w:r>
      <w:r>
        <w:rPr>
          <w:rFonts w:hint="eastAsia" w:ascii="宋体" w:hAnsi="宋体" w:cs="Calibri"/>
          <w:color w:val="auto"/>
          <w:sz w:val="24"/>
          <w:szCs w:val="21"/>
        </w:rPr>
        <w:t>HJ24-20</w:t>
      </w:r>
      <w:r>
        <w:rPr>
          <w:rFonts w:hint="eastAsia" w:ascii="宋体" w:hAnsi="宋体" w:cs="Calibri"/>
          <w:color w:val="auto"/>
          <w:sz w:val="24"/>
          <w:szCs w:val="21"/>
          <w:lang w:val="en-US" w:eastAsia="zh-CN"/>
        </w:rPr>
        <w:t>20）</w:t>
      </w:r>
      <w:r>
        <w:rPr>
          <w:rFonts w:hint="eastAsia" w:ascii="宋体" w:hAnsi="宋体" w:cs="Calibri"/>
          <w:color w:val="auto"/>
          <w:sz w:val="24"/>
          <w:szCs w:val="21"/>
        </w:rPr>
        <w:t>要求，</w:t>
      </w:r>
      <w:r>
        <w:rPr>
          <w:rFonts w:hint="eastAsia" w:ascii="宋体" w:hAnsi="宋体" w:cs="Calibri"/>
          <w:color w:val="auto"/>
          <w:sz w:val="24"/>
          <w:szCs w:val="21"/>
          <w:highlight w:val="none"/>
          <w:lang w:val="en-US" w:eastAsia="zh-CN"/>
        </w:rPr>
        <w:t>升压站</w:t>
      </w:r>
      <w:r>
        <w:rPr>
          <w:rFonts w:hint="eastAsia" w:ascii="宋体" w:hAnsi="宋体" w:cs="Calibri"/>
          <w:color w:val="auto"/>
          <w:sz w:val="24"/>
          <w:szCs w:val="21"/>
          <w:highlight w:val="none"/>
        </w:rPr>
        <w:t>电磁环境影响</w:t>
      </w:r>
      <w:r>
        <w:rPr>
          <w:rFonts w:hint="eastAsia" w:ascii="宋体" w:hAnsi="宋体" w:cs="Calibri"/>
          <w:color w:val="auto"/>
          <w:sz w:val="24"/>
          <w:szCs w:val="21"/>
          <w:highlight w:val="none"/>
          <w:lang w:val="en-US" w:eastAsia="zh-CN"/>
        </w:rPr>
        <w:t>预测应采用类比监测的方式，</w:t>
      </w:r>
      <w:r>
        <w:rPr>
          <w:rFonts w:hint="eastAsia" w:ascii="宋体" w:hAnsi="宋体" w:cs="Calibri"/>
          <w:color w:val="auto"/>
          <w:sz w:val="24"/>
          <w:szCs w:val="21"/>
          <w:highlight w:val="none"/>
        </w:rPr>
        <w:t>架空线路电磁环境影响一般采用模式预测的方式。</w:t>
      </w:r>
    </w:p>
    <w:p w14:paraId="02234F6B">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1"/>
        <w:rPr>
          <w:rFonts w:hint="eastAsia" w:ascii="宋体" w:hAnsi="宋体" w:eastAsia="宋体" w:cs="Calibri"/>
          <w:b/>
          <w:color w:val="auto"/>
          <w:kern w:val="2"/>
          <w:sz w:val="28"/>
          <w:szCs w:val="21"/>
          <w:lang w:val="en-US" w:eastAsia="zh-CN" w:bidi="ar-SA"/>
        </w:rPr>
      </w:pPr>
      <w:bookmarkStart w:id="194" w:name="_Toc10749"/>
      <w:bookmarkStart w:id="195" w:name="_Toc29688"/>
      <w:bookmarkStart w:id="196" w:name="_Toc21399"/>
      <w:r>
        <w:rPr>
          <w:rFonts w:hint="eastAsia" w:ascii="宋体" w:hAnsi="宋体" w:eastAsia="宋体" w:cs="Calibri"/>
          <w:b/>
          <w:color w:val="auto"/>
          <w:kern w:val="2"/>
          <w:sz w:val="28"/>
          <w:szCs w:val="21"/>
          <w:lang w:val="en-US" w:eastAsia="zh-CN" w:bidi="ar-SA"/>
        </w:rPr>
        <w:t>3.1</w:t>
      </w:r>
      <w:bookmarkEnd w:id="194"/>
      <w:r>
        <w:rPr>
          <w:rFonts w:hint="eastAsia" w:ascii="宋体" w:hAnsi="宋体" w:eastAsia="宋体" w:cs="Calibri"/>
          <w:b/>
          <w:color w:val="auto"/>
          <w:kern w:val="2"/>
          <w:sz w:val="28"/>
          <w:szCs w:val="21"/>
          <w:lang w:val="en-US" w:eastAsia="zh-CN" w:bidi="ar-SA"/>
        </w:rPr>
        <w:t>升压</w:t>
      </w:r>
      <w:r>
        <w:rPr>
          <w:rFonts w:hint="eastAsia" w:ascii="宋体" w:hAnsi="宋体" w:cs="Calibri"/>
          <w:b/>
          <w:color w:val="auto"/>
          <w:kern w:val="2"/>
          <w:sz w:val="28"/>
          <w:szCs w:val="21"/>
          <w:lang w:val="en-US" w:eastAsia="zh-CN" w:bidi="ar-SA"/>
        </w:rPr>
        <w:t>站</w:t>
      </w:r>
      <w:r>
        <w:rPr>
          <w:rFonts w:hint="eastAsia" w:ascii="宋体" w:hAnsi="宋体" w:eastAsia="宋体" w:cs="Calibri"/>
          <w:b/>
          <w:color w:val="auto"/>
          <w:kern w:val="2"/>
          <w:sz w:val="28"/>
          <w:szCs w:val="21"/>
          <w:lang w:val="en-US" w:eastAsia="zh-CN" w:bidi="ar-SA"/>
        </w:rPr>
        <w:t>电磁环境影响预测</w:t>
      </w:r>
      <w:bookmarkEnd w:id="195"/>
      <w:bookmarkEnd w:id="196"/>
    </w:p>
    <w:p w14:paraId="58C7B8DA">
      <w:pPr>
        <w:pageBreakBefore w:val="0"/>
        <w:widowControl w:val="0"/>
        <w:kinsoku/>
        <w:wordWrap/>
        <w:overflowPunct/>
        <w:topLinePunct w:val="0"/>
        <w:autoSpaceDE/>
        <w:autoSpaceDN/>
        <w:bidi w:val="0"/>
        <w:adjustRightInd/>
        <w:snapToGrid/>
        <w:spacing w:line="360" w:lineRule="auto"/>
        <w:textAlignment w:val="auto"/>
        <w:outlineLvl w:val="2"/>
        <w:rPr>
          <w:rFonts w:hint="eastAsia" w:ascii="宋体" w:hAnsi="宋体" w:cs="Calibri"/>
          <w:b/>
          <w:color w:val="auto"/>
          <w:kern w:val="15"/>
          <w:sz w:val="24"/>
          <w:szCs w:val="21"/>
        </w:rPr>
      </w:pPr>
      <w:bookmarkStart w:id="197" w:name="_Toc505347744"/>
      <w:r>
        <w:rPr>
          <w:rFonts w:hint="eastAsia" w:ascii="宋体" w:hAnsi="宋体" w:cs="Calibri"/>
          <w:b/>
          <w:color w:val="auto"/>
          <w:kern w:val="15"/>
          <w:sz w:val="24"/>
          <w:szCs w:val="21"/>
        </w:rPr>
        <w:t>3.1.1类比的可行性</w:t>
      </w:r>
      <w:bookmarkEnd w:id="197"/>
    </w:p>
    <w:p w14:paraId="0430AD6D">
      <w:pPr>
        <w:pageBreakBefore w:val="0"/>
        <w:widowControl w:val="0"/>
        <w:kinsoku/>
        <w:wordWrap/>
        <w:overflowPunct/>
        <w:topLinePunct w:val="0"/>
        <w:autoSpaceDE/>
        <w:autoSpaceDN/>
        <w:bidi w:val="0"/>
        <w:snapToGrid w:val="0"/>
        <w:spacing w:line="360" w:lineRule="auto"/>
        <w:ind w:firstLine="480" w:firstLineChars="200"/>
        <w:jc w:val="left"/>
        <w:textAlignment w:val="auto"/>
        <w:rPr>
          <w:rFonts w:hint="eastAsia" w:ascii="宋体" w:hAnsi="宋体" w:cs="Calibri"/>
          <w:color w:val="auto"/>
          <w:sz w:val="24"/>
          <w:szCs w:val="21"/>
          <w:lang w:eastAsia="zh-CN"/>
        </w:rPr>
      </w:pPr>
      <w:r>
        <w:rPr>
          <w:rFonts w:hint="eastAsia" w:ascii="宋体" w:hAnsi="宋体" w:cs="Calibri"/>
          <w:color w:val="auto"/>
          <w:sz w:val="24"/>
          <w:szCs w:val="21"/>
        </w:rPr>
        <w:t>本次评价</w:t>
      </w:r>
      <w:r>
        <w:rPr>
          <w:rFonts w:hint="eastAsia" w:ascii="宋体" w:hAnsi="宋体" w:cs="Calibri"/>
          <w:color w:val="auto"/>
          <w:sz w:val="24"/>
          <w:szCs w:val="21"/>
          <w:lang w:val="en-US" w:eastAsia="zh-CN"/>
        </w:rPr>
        <w:t>升压</w:t>
      </w:r>
      <w:r>
        <w:rPr>
          <w:rFonts w:hint="eastAsia" w:ascii="宋体" w:hAnsi="宋体" w:cs="Calibri"/>
          <w:color w:val="auto"/>
          <w:sz w:val="24"/>
          <w:szCs w:val="21"/>
        </w:rPr>
        <w:t>站的电磁环境影响评价预测采用类比监测的方法进行</w:t>
      </w:r>
      <w:r>
        <w:rPr>
          <w:rFonts w:hint="eastAsia" w:ascii="宋体" w:hAnsi="宋体" w:cs="Calibri"/>
          <w:color w:val="auto"/>
          <w:sz w:val="24"/>
          <w:szCs w:val="21"/>
          <w:lang w:eastAsia="zh-CN"/>
        </w:rPr>
        <w:t>。</w:t>
      </w:r>
    </w:p>
    <w:p w14:paraId="637E308E">
      <w:pPr>
        <w:pageBreakBefore w:val="0"/>
        <w:widowControl w:val="0"/>
        <w:kinsoku/>
        <w:wordWrap/>
        <w:topLinePunct w:val="0"/>
        <w:bidi w:val="0"/>
        <w:adjustRightInd/>
        <w:snapToGrid/>
        <w:spacing w:line="360" w:lineRule="auto"/>
        <w:ind w:left="0"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rPr>
        <w:t>电磁环境类比测量，从严格意义讲，具有完全相同的设备型号</w:t>
      </w:r>
      <w:r>
        <w:rPr>
          <w:rFonts w:hint="eastAsia" w:ascii="宋体" w:hAnsi="宋体" w:cs="宋体"/>
          <w:color w:val="auto"/>
          <w:sz w:val="24"/>
          <w:lang w:eastAsia="zh-CN"/>
        </w:rPr>
        <w:t>（</w:t>
      </w:r>
      <w:r>
        <w:rPr>
          <w:rFonts w:hint="eastAsia" w:ascii="宋体" w:hAnsi="宋体" w:eastAsia="宋体" w:cs="宋体"/>
          <w:color w:val="auto"/>
          <w:sz w:val="24"/>
        </w:rPr>
        <w:t>决定了电压等级及额定功率、额定电流等</w:t>
      </w:r>
      <w:r>
        <w:rPr>
          <w:rFonts w:hint="eastAsia" w:ascii="宋体" w:hAnsi="宋体" w:cs="宋体"/>
          <w:color w:val="auto"/>
          <w:sz w:val="24"/>
          <w:lang w:eastAsia="zh-CN"/>
        </w:rPr>
        <w:t>）</w:t>
      </w:r>
      <w:r>
        <w:rPr>
          <w:rFonts w:hint="eastAsia" w:ascii="宋体" w:hAnsi="宋体" w:eastAsia="宋体" w:cs="宋体"/>
          <w:color w:val="auto"/>
          <w:sz w:val="24"/>
        </w:rPr>
        <w:t>、布置情况</w:t>
      </w:r>
      <w:r>
        <w:rPr>
          <w:rFonts w:hint="eastAsia" w:ascii="宋体" w:hAnsi="宋体" w:cs="宋体"/>
          <w:color w:val="auto"/>
          <w:sz w:val="24"/>
          <w:lang w:eastAsia="zh-CN"/>
        </w:rPr>
        <w:t>（</w:t>
      </w:r>
      <w:r>
        <w:rPr>
          <w:rFonts w:hint="eastAsia" w:ascii="宋体" w:hAnsi="宋体" w:eastAsia="宋体" w:cs="宋体"/>
          <w:color w:val="auto"/>
          <w:sz w:val="24"/>
        </w:rPr>
        <w:t>决定了距离因子</w:t>
      </w:r>
      <w:r>
        <w:rPr>
          <w:rFonts w:hint="eastAsia" w:ascii="宋体" w:hAnsi="宋体" w:cs="宋体"/>
          <w:color w:val="auto"/>
          <w:sz w:val="24"/>
          <w:lang w:eastAsia="zh-CN"/>
        </w:rPr>
        <w:t>）</w:t>
      </w:r>
      <w:r>
        <w:rPr>
          <w:rFonts w:hint="eastAsia" w:ascii="宋体" w:hAnsi="宋体" w:eastAsia="宋体" w:cs="宋体"/>
          <w:color w:val="auto"/>
          <w:sz w:val="24"/>
        </w:rPr>
        <w:t>和环境条件是最理想的，即：不仅有相同的主变数和容量，而且一次主接线也相同，布置情况及环境条件也相同。但是要满足这样的条件是很困难的，要解决这一实际困难，可以在关键部分相同，而达到进行类比的条件。所谓关键部分，就是主要的工频电场、工频磁场产生源。</w:t>
      </w:r>
    </w:p>
    <w:p w14:paraId="78887CE0">
      <w:pPr>
        <w:pageBreakBefore w:val="0"/>
        <w:widowControl w:val="0"/>
        <w:kinsoku/>
        <w:wordWrap/>
        <w:topLinePunct w:val="0"/>
        <w:bidi w:val="0"/>
        <w:adjustRightInd/>
        <w:snapToGrid/>
        <w:spacing w:line="360" w:lineRule="auto"/>
        <w:ind w:left="0"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rPr>
        <w:t>对于围墙外的工频电场，要求最近的高压带电构架布置一致、电压相同，此时就可以认为具有可比性；同样对于</w:t>
      </w:r>
      <w:r>
        <w:rPr>
          <w:rFonts w:hint="eastAsia" w:ascii="宋体" w:hAnsi="宋体" w:cs="宋体"/>
          <w:color w:val="auto"/>
          <w:sz w:val="24"/>
          <w:lang w:eastAsia="zh-CN"/>
        </w:rPr>
        <w:t>升压站</w:t>
      </w:r>
      <w:r>
        <w:rPr>
          <w:rFonts w:hint="eastAsia" w:ascii="宋体" w:hAnsi="宋体" w:eastAsia="宋体" w:cs="宋体"/>
          <w:color w:val="auto"/>
          <w:sz w:val="24"/>
        </w:rPr>
        <w:t>围墙外的工频磁场，也要求最近的通流导体的布置和电流相同才具有可比性。实际情况是，工频电场的类比条件相对容易相符，因为</w:t>
      </w:r>
      <w:r>
        <w:rPr>
          <w:rFonts w:hint="eastAsia" w:ascii="宋体" w:hAnsi="宋体" w:cs="宋体"/>
          <w:color w:val="auto"/>
          <w:sz w:val="24"/>
          <w:lang w:eastAsia="zh-CN"/>
        </w:rPr>
        <w:t>升压站</w:t>
      </w:r>
      <w:r>
        <w:rPr>
          <w:rFonts w:hint="eastAsia" w:ascii="宋体" w:hAnsi="宋体" w:eastAsia="宋体" w:cs="宋体"/>
          <w:color w:val="auto"/>
          <w:sz w:val="24"/>
        </w:rPr>
        <w:t>主设备和母线电压是基本稳定的，不会随时间和负荷的变化而产生大的变化。但是产生工频磁场的电流却是随负荷变化而有较大的变化。</w:t>
      </w:r>
    </w:p>
    <w:p w14:paraId="693F06A1">
      <w:pPr>
        <w:pageBreakBefore w:val="0"/>
        <w:widowControl w:val="0"/>
        <w:kinsoku/>
        <w:wordWrap/>
        <w:topLinePunct w:val="0"/>
        <w:bidi w:val="0"/>
        <w:adjustRightInd/>
        <w:snapToGrid/>
        <w:spacing w:line="360" w:lineRule="auto"/>
        <w:ind w:left="0" w:firstLine="480" w:firstLineChars="200"/>
        <w:jc w:val="left"/>
        <w:textAlignment w:val="auto"/>
        <w:rPr>
          <w:rFonts w:ascii="宋体" w:hAnsi="宋体" w:cs="Calibri"/>
          <w:color w:val="auto"/>
          <w:sz w:val="24"/>
          <w:szCs w:val="21"/>
        </w:rPr>
      </w:pPr>
      <w:r>
        <w:rPr>
          <w:rFonts w:hint="eastAsia" w:ascii="宋体" w:hAnsi="宋体" w:eastAsia="宋体" w:cs="宋体"/>
          <w:color w:val="auto"/>
          <w:kern w:val="0"/>
          <w:sz w:val="24"/>
        </w:rPr>
        <w:t>根据以往对诸多变电站的电磁环境的类比监测结果，</w:t>
      </w:r>
      <w:r>
        <w:rPr>
          <w:rFonts w:hint="eastAsia" w:ascii="宋体" w:hAnsi="宋体" w:cs="宋体"/>
          <w:color w:val="auto"/>
          <w:kern w:val="0"/>
          <w:sz w:val="24"/>
          <w:lang w:val="en-US" w:eastAsia="zh-CN"/>
        </w:rPr>
        <w:t>升压站</w:t>
      </w:r>
      <w:r>
        <w:rPr>
          <w:rFonts w:hint="eastAsia" w:ascii="宋体" w:hAnsi="宋体" w:eastAsia="宋体" w:cs="宋体"/>
          <w:color w:val="auto"/>
          <w:kern w:val="0"/>
          <w:sz w:val="24"/>
        </w:rPr>
        <w:t>周围的工频磁场场强远小于</w:t>
      </w:r>
      <w:r>
        <w:rPr>
          <w:rFonts w:hint="eastAsia" w:ascii="宋体" w:hAnsi="宋体" w:eastAsia="宋体" w:cs="宋体"/>
          <w:color w:val="auto"/>
          <w:sz w:val="24"/>
        </w:rPr>
        <w:t>100μT</w:t>
      </w:r>
      <w:r>
        <w:rPr>
          <w:rFonts w:hint="eastAsia" w:ascii="宋体" w:hAnsi="宋体" w:eastAsia="宋体" w:cs="宋体"/>
          <w:color w:val="auto"/>
          <w:kern w:val="0"/>
          <w:sz w:val="24"/>
        </w:rPr>
        <w:t>的限值标准，而变电站围墙外进出线处的工频电场则有可能超过4kV/m。因此本项目主要针对工频电场选取类比对象。</w:t>
      </w:r>
      <w:r>
        <w:rPr>
          <w:rFonts w:hint="eastAsia" w:ascii="宋体" w:hAnsi="宋体" w:eastAsia="宋体" w:cs="宋体"/>
          <w:color w:val="auto"/>
          <w:sz w:val="24"/>
        </w:rPr>
        <w:t>按照类似工程的主变规模、电压等级、布置形式等原则。以运行的</w:t>
      </w:r>
      <w:r>
        <w:rPr>
          <w:rFonts w:hint="eastAsia" w:ascii="宋体" w:hAnsi="宋体" w:eastAsia="宋体" w:cs="宋体"/>
          <w:color w:val="auto"/>
          <w:sz w:val="24"/>
          <w:highlight w:val="none"/>
          <w:lang w:val="en-US" w:eastAsia="zh-CN"/>
        </w:rPr>
        <w:t>中广核烟墩200MW风电场配套220千伏升压站</w:t>
      </w:r>
      <w:r>
        <w:rPr>
          <w:rFonts w:hint="eastAsia" w:ascii="宋体" w:hAnsi="宋体" w:eastAsia="宋体" w:cs="宋体"/>
          <w:color w:val="auto"/>
          <w:sz w:val="24"/>
        </w:rPr>
        <w:t>作为类比对象，该变电站主变压器容量为</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×240MVA，电压等级为220kV</w:t>
      </w:r>
      <w:r>
        <w:rPr>
          <w:rFonts w:hint="eastAsia" w:ascii="宋体" w:hAnsi="宋体" w:eastAsia="宋体" w:cs="宋体"/>
          <w:color w:val="auto"/>
          <w:sz w:val="24"/>
        </w:rPr>
        <w:t>，为户外布置形式。类比变电站与本项目</w:t>
      </w:r>
      <w:r>
        <w:rPr>
          <w:rFonts w:hint="eastAsia" w:ascii="宋体" w:hAnsi="宋体" w:cs="宋体"/>
          <w:color w:val="auto"/>
          <w:sz w:val="24"/>
          <w:lang w:eastAsia="zh-CN"/>
        </w:rPr>
        <w:t>升压站</w:t>
      </w:r>
      <w:r>
        <w:rPr>
          <w:rFonts w:hint="eastAsia" w:ascii="宋体" w:hAnsi="宋体" w:eastAsia="宋体" w:cs="宋体"/>
          <w:color w:val="auto"/>
          <w:sz w:val="24"/>
        </w:rPr>
        <w:t>主要技术参数对照，见表3.1-1</w:t>
      </w:r>
      <w:r>
        <w:rPr>
          <w:rFonts w:ascii="宋体" w:hAnsi="宋体" w:cs="Calibri"/>
          <w:color w:val="auto"/>
          <w:sz w:val="24"/>
          <w:szCs w:val="21"/>
        </w:rPr>
        <w:t>。</w:t>
      </w:r>
    </w:p>
    <w:p w14:paraId="2141FD16">
      <w:pPr>
        <w:snapToGrid w:val="0"/>
        <w:spacing w:line="240" w:lineRule="auto"/>
        <w:ind w:firstLine="482" w:firstLineChars="200"/>
        <w:rPr>
          <w:rFonts w:ascii="宋体" w:hAnsi="宋体" w:cs="Calibri"/>
          <w:b/>
          <w:color w:val="auto"/>
          <w:sz w:val="24"/>
          <w:szCs w:val="21"/>
        </w:rPr>
      </w:pPr>
    </w:p>
    <w:p w14:paraId="133C343F">
      <w:pPr>
        <w:snapToGrid w:val="0"/>
        <w:spacing w:line="240" w:lineRule="auto"/>
        <w:ind w:firstLine="482" w:firstLineChars="200"/>
        <w:rPr>
          <w:rFonts w:ascii="宋体" w:hAnsi="宋体" w:cs="Calibri"/>
          <w:b/>
          <w:color w:val="auto"/>
          <w:sz w:val="24"/>
          <w:szCs w:val="21"/>
        </w:rPr>
      </w:pPr>
    </w:p>
    <w:p w14:paraId="0243A0A3">
      <w:pPr>
        <w:snapToGrid w:val="0"/>
        <w:spacing w:line="240" w:lineRule="auto"/>
        <w:ind w:firstLine="482" w:firstLineChars="200"/>
        <w:rPr>
          <w:rFonts w:ascii="宋体" w:hAnsi="宋体" w:cs="Calibri"/>
          <w:b/>
          <w:color w:val="auto"/>
          <w:sz w:val="24"/>
          <w:szCs w:val="21"/>
        </w:rPr>
      </w:pPr>
    </w:p>
    <w:p w14:paraId="2E623643">
      <w:pPr>
        <w:snapToGrid w:val="0"/>
        <w:spacing w:line="240" w:lineRule="auto"/>
        <w:ind w:firstLine="482" w:firstLineChars="200"/>
        <w:jc w:val="center"/>
        <w:rPr>
          <w:rFonts w:ascii="宋体" w:hAnsi="宋体" w:cs="Calibri"/>
          <w:b/>
          <w:color w:val="auto"/>
          <w:sz w:val="24"/>
          <w:szCs w:val="21"/>
        </w:rPr>
      </w:pPr>
      <w:r>
        <w:rPr>
          <w:rFonts w:ascii="宋体" w:hAnsi="宋体" w:cs="Calibri"/>
          <w:b/>
          <w:color w:val="auto"/>
          <w:sz w:val="24"/>
          <w:szCs w:val="21"/>
        </w:rPr>
        <w:t>表</w:t>
      </w:r>
      <w:r>
        <w:rPr>
          <w:rFonts w:hint="eastAsia" w:ascii="宋体" w:hAnsi="宋体" w:cs="Calibri"/>
          <w:b/>
          <w:color w:val="auto"/>
          <w:sz w:val="24"/>
          <w:szCs w:val="21"/>
        </w:rPr>
        <w:t>3</w:t>
      </w:r>
      <w:r>
        <w:rPr>
          <w:rFonts w:hint="eastAsia" w:ascii="宋体" w:hAnsi="宋体" w:cs="Calibri"/>
          <w:b/>
          <w:color w:val="auto"/>
          <w:sz w:val="24"/>
          <w:szCs w:val="21"/>
          <w:lang w:val="en-US" w:eastAsia="zh-CN"/>
        </w:rPr>
        <w:t>.1</w:t>
      </w:r>
      <w:r>
        <w:rPr>
          <w:rFonts w:hint="eastAsia" w:ascii="宋体" w:hAnsi="宋体" w:cs="Calibri"/>
          <w:b/>
          <w:color w:val="auto"/>
          <w:sz w:val="24"/>
          <w:szCs w:val="21"/>
        </w:rPr>
        <w:t>-1</w:t>
      </w:r>
      <w:r>
        <w:rPr>
          <w:rFonts w:hint="eastAsia" w:ascii="宋体" w:hAnsi="宋体" w:cs="Calibri"/>
          <w:b/>
          <w:color w:val="auto"/>
          <w:sz w:val="24"/>
          <w:szCs w:val="21"/>
          <w:lang w:val="en-US" w:eastAsia="zh-CN"/>
        </w:rPr>
        <w:t xml:space="preserve">    </w:t>
      </w:r>
      <w:r>
        <w:rPr>
          <w:rFonts w:ascii="宋体" w:hAnsi="宋体" w:cs="Calibri"/>
          <w:b/>
          <w:color w:val="auto"/>
          <w:sz w:val="24"/>
          <w:szCs w:val="21"/>
        </w:rPr>
        <w:t>主要技术指标对照表</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2049"/>
        <w:gridCol w:w="4857"/>
        <w:gridCol w:w="2944"/>
      </w:tblGrid>
      <w:tr w14:paraId="228DFFF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40" w:type="pct"/>
            <w:tcBorders>
              <w:tl2br w:val="nil"/>
              <w:tr2bl w:val="nil"/>
            </w:tcBorders>
            <w:noWrap w:val="0"/>
            <w:vAlign w:val="center"/>
          </w:tcPr>
          <w:p w14:paraId="7AF4BA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主要指标</w:t>
            </w:r>
          </w:p>
        </w:tc>
        <w:tc>
          <w:tcPr>
            <w:tcW w:w="2465" w:type="pct"/>
            <w:tcBorders>
              <w:tl2br w:val="nil"/>
              <w:tr2bl w:val="nil"/>
            </w:tcBorders>
            <w:noWrap w:val="0"/>
            <w:vAlign w:val="center"/>
          </w:tcPr>
          <w:p w14:paraId="7E52942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中广核烟墩200MW风电场</w:t>
            </w:r>
          </w:p>
          <w:p w14:paraId="234D9A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配套220千伏升压站</w:t>
            </w:r>
          </w:p>
        </w:tc>
        <w:tc>
          <w:tcPr>
            <w:tcW w:w="1494" w:type="pct"/>
            <w:tcBorders>
              <w:tl2br w:val="nil"/>
              <w:tr2bl w:val="nil"/>
            </w:tcBorders>
            <w:noWrap w:val="0"/>
            <w:vAlign w:val="center"/>
          </w:tcPr>
          <w:p w14:paraId="68796A0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color w:val="0000FF"/>
                <w:sz w:val="21"/>
                <w:szCs w:val="21"/>
                <w:highlight w:val="none"/>
                <w:lang w:val="en-US" w:eastAsia="zh-CN"/>
              </w:rPr>
            </w:pPr>
            <w:r>
              <w:rPr>
                <w:rFonts w:hint="eastAsia" w:ascii="宋体" w:hAnsi="宋体" w:cs="宋体"/>
                <w:b/>
                <w:color w:val="auto"/>
                <w:sz w:val="21"/>
                <w:szCs w:val="21"/>
                <w:highlight w:val="none"/>
                <w:lang w:val="en-US" w:eastAsia="zh-CN"/>
              </w:rPr>
              <w:t>本项目220kV升压站</w:t>
            </w:r>
          </w:p>
        </w:tc>
      </w:tr>
      <w:tr w14:paraId="4BCDD7B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40" w:type="pct"/>
            <w:tcBorders>
              <w:tl2br w:val="nil"/>
              <w:tr2bl w:val="nil"/>
            </w:tcBorders>
            <w:noWrap w:val="0"/>
            <w:vAlign w:val="center"/>
          </w:tcPr>
          <w:p w14:paraId="7C406B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主变规模</w:t>
            </w:r>
          </w:p>
        </w:tc>
        <w:tc>
          <w:tcPr>
            <w:tcW w:w="2465" w:type="pct"/>
            <w:tcBorders>
              <w:tl2br w:val="nil"/>
              <w:tr2bl w:val="nil"/>
            </w:tcBorders>
            <w:noWrap w:val="0"/>
            <w:vAlign w:val="center"/>
          </w:tcPr>
          <w:p w14:paraId="1FE59B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×240MVA</w:t>
            </w:r>
          </w:p>
        </w:tc>
        <w:tc>
          <w:tcPr>
            <w:tcW w:w="1494" w:type="pct"/>
            <w:tcBorders>
              <w:tl2br w:val="nil"/>
              <w:tr2bl w:val="nil"/>
            </w:tcBorders>
            <w:noWrap w:val="0"/>
            <w:vAlign w:val="center"/>
          </w:tcPr>
          <w:p w14:paraId="0743DA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w:t>
            </w:r>
            <w:r>
              <w:rPr>
                <w:rFonts w:hint="eastAsia" w:ascii="宋体" w:hAnsi="宋体" w:eastAsia="宋体" w:cs="宋体"/>
                <w:color w:val="auto"/>
                <w:sz w:val="21"/>
                <w:szCs w:val="21"/>
              </w:rPr>
              <w:t>×2</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0MVA</w:t>
            </w:r>
          </w:p>
        </w:tc>
      </w:tr>
      <w:tr w14:paraId="1D33DD7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40" w:type="pct"/>
            <w:tcBorders>
              <w:tl2br w:val="nil"/>
              <w:tr2bl w:val="nil"/>
            </w:tcBorders>
            <w:noWrap w:val="0"/>
            <w:vAlign w:val="center"/>
          </w:tcPr>
          <w:p w14:paraId="5CB91B1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电压等级</w:t>
            </w:r>
          </w:p>
        </w:tc>
        <w:tc>
          <w:tcPr>
            <w:tcW w:w="2465" w:type="pct"/>
            <w:tcBorders>
              <w:tl2br w:val="nil"/>
              <w:tr2bl w:val="nil"/>
            </w:tcBorders>
            <w:noWrap w:val="0"/>
            <w:vAlign w:val="center"/>
          </w:tcPr>
          <w:p w14:paraId="38AD359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220kV</w:t>
            </w:r>
          </w:p>
        </w:tc>
        <w:tc>
          <w:tcPr>
            <w:tcW w:w="1494" w:type="pct"/>
            <w:tcBorders>
              <w:tl2br w:val="nil"/>
              <w:tr2bl w:val="nil"/>
            </w:tcBorders>
            <w:noWrap w:val="0"/>
            <w:vAlign w:val="center"/>
          </w:tcPr>
          <w:p w14:paraId="70DCEA7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220kV</w:t>
            </w:r>
          </w:p>
        </w:tc>
      </w:tr>
      <w:tr w14:paraId="5A098F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40" w:type="pct"/>
            <w:tcBorders>
              <w:tl2br w:val="nil"/>
              <w:tr2bl w:val="nil"/>
            </w:tcBorders>
            <w:noWrap w:val="0"/>
            <w:vAlign w:val="center"/>
          </w:tcPr>
          <w:p w14:paraId="1951557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主变布置形式</w:t>
            </w:r>
          </w:p>
        </w:tc>
        <w:tc>
          <w:tcPr>
            <w:tcW w:w="2465" w:type="pct"/>
            <w:tcBorders>
              <w:tl2br w:val="nil"/>
              <w:tr2bl w:val="nil"/>
            </w:tcBorders>
            <w:noWrap w:val="0"/>
            <w:vAlign w:val="center"/>
          </w:tcPr>
          <w:p w14:paraId="092499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户外</w:t>
            </w:r>
          </w:p>
        </w:tc>
        <w:tc>
          <w:tcPr>
            <w:tcW w:w="1494" w:type="pct"/>
            <w:tcBorders>
              <w:tl2br w:val="nil"/>
              <w:tr2bl w:val="nil"/>
            </w:tcBorders>
            <w:noWrap w:val="0"/>
            <w:vAlign w:val="center"/>
          </w:tcPr>
          <w:p w14:paraId="443E3A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户外</w:t>
            </w:r>
          </w:p>
        </w:tc>
      </w:tr>
      <w:tr w14:paraId="3073C09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40" w:type="pct"/>
            <w:tcBorders>
              <w:tl2br w:val="nil"/>
              <w:tr2bl w:val="nil"/>
            </w:tcBorders>
            <w:noWrap w:val="0"/>
            <w:vAlign w:val="center"/>
          </w:tcPr>
          <w:p w14:paraId="326D4F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配电装置</w:t>
            </w:r>
          </w:p>
        </w:tc>
        <w:tc>
          <w:tcPr>
            <w:tcW w:w="2465" w:type="pct"/>
            <w:tcBorders>
              <w:tl2br w:val="nil"/>
              <w:tr2bl w:val="nil"/>
            </w:tcBorders>
            <w:noWrap w:val="0"/>
            <w:vAlign w:val="center"/>
          </w:tcPr>
          <w:p w14:paraId="5A8EC0B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AIS</w:t>
            </w:r>
          </w:p>
        </w:tc>
        <w:tc>
          <w:tcPr>
            <w:tcW w:w="1494" w:type="pct"/>
            <w:tcBorders>
              <w:tl2br w:val="nil"/>
              <w:tr2bl w:val="nil"/>
            </w:tcBorders>
            <w:noWrap w:val="0"/>
            <w:vAlign w:val="center"/>
          </w:tcPr>
          <w:p w14:paraId="49E96C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GIS</w:t>
            </w:r>
          </w:p>
        </w:tc>
      </w:tr>
      <w:tr w14:paraId="1513DED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40" w:type="pct"/>
            <w:tcBorders>
              <w:tl2br w:val="nil"/>
              <w:tr2bl w:val="nil"/>
            </w:tcBorders>
            <w:noWrap w:val="0"/>
            <w:vAlign w:val="center"/>
          </w:tcPr>
          <w:p w14:paraId="1B1C2F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线路进出回数</w:t>
            </w:r>
          </w:p>
        </w:tc>
        <w:tc>
          <w:tcPr>
            <w:tcW w:w="2465" w:type="pct"/>
            <w:tcBorders>
              <w:tl2br w:val="nil"/>
              <w:tr2bl w:val="nil"/>
            </w:tcBorders>
            <w:noWrap w:val="0"/>
            <w:vAlign w:val="center"/>
          </w:tcPr>
          <w:p w14:paraId="3E8C0D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highlight w:val="none"/>
                <w:lang w:val="zh-CN"/>
              </w:rPr>
              <w:t>220kV出线：6回</w:t>
            </w:r>
          </w:p>
        </w:tc>
        <w:tc>
          <w:tcPr>
            <w:tcW w:w="1494" w:type="pct"/>
            <w:tcBorders>
              <w:tl2br w:val="nil"/>
              <w:tr2bl w:val="nil"/>
            </w:tcBorders>
            <w:noWrap w:val="0"/>
            <w:vAlign w:val="center"/>
          </w:tcPr>
          <w:p w14:paraId="08DCA5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220kV出线：1回</w:t>
            </w:r>
          </w:p>
        </w:tc>
      </w:tr>
      <w:tr w14:paraId="3E2F491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40" w:type="pct"/>
            <w:tcBorders>
              <w:tl2br w:val="nil"/>
              <w:tr2bl w:val="nil"/>
            </w:tcBorders>
            <w:noWrap w:val="0"/>
            <w:vAlign w:val="center"/>
          </w:tcPr>
          <w:p w14:paraId="6F586B2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占地面积</w:t>
            </w:r>
          </w:p>
        </w:tc>
        <w:tc>
          <w:tcPr>
            <w:tcW w:w="2465" w:type="pct"/>
            <w:tcBorders>
              <w:tl2br w:val="nil"/>
              <w:tr2bl w:val="nil"/>
            </w:tcBorders>
            <w:noWrap w:val="0"/>
            <w:vAlign w:val="center"/>
          </w:tcPr>
          <w:p w14:paraId="69DBF6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56100m</w:t>
            </w:r>
            <w:r>
              <w:rPr>
                <w:rFonts w:hint="eastAsia" w:ascii="宋体" w:hAnsi="宋体" w:cs="宋体"/>
                <w:color w:val="auto"/>
                <w:sz w:val="21"/>
                <w:szCs w:val="21"/>
                <w:highlight w:val="none"/>
                <w:vertAlign w:val="superscript"/>
                <w:lang w:val="en-US" w:eastAsia="zh-CN"/>
              </w:rPr>
              <w:t>2</w:t>
            </w:r>
          </w:p>
        </w:tc>
        <w:tc>
          <w:tcPr>
            <w:tcW w:w="1494" w:type="pct"/>
            <w:tcBorders>
              <w:tl2br w:val="nil"/>
              <w:tr2bl w:val="nil"/>
            </w:tcBorders>
            <w:noWrap w:val="0"/>
            <w:vAlign w:val="center"/>
          </w:tcPr>
          <w:p w14:paraId="2AFF81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23400m</w:t>
            </w:r>
            <w:r>
              <w:rPr>
                <w:rFonts w:hint="eastAsia" w:ascii="宋体" w:hAnsi="宋体" w:cs="宋体"/>
                <w:color w:val="auto"/>
                <w:sz w:val="21"/>
                <w:szCs w:val="21"/>
                <w:highlight w:val="none"/>
                <w:vertAlign w:val="superscript"/>
                <w:lang w:val="en-US" w:eastAsia="zh-CN"/>
              </w:rPr>
              <w:t>2</w:t>
            </w:r>
          </w:p>
        </w:tc>
      </w:tr>
      <w:tr w14:paraId="0D0352D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40" w:type="pct"/>
            <w:tcBorders>
              <w:tl2br w:val="nil"/>
              <w:tr2bl w:val="nil"/>
            </w:tcBorders>
            <w:noWrap w:val="0"/>
            <w:vAlign w:val="center"/>
          </w:tcPr>
          <w:p w14:paraId="2D7B23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环境条件</w:t>
            </w:r>
          </w:p>
        </w:tc>
        <w:tc>
          <w:tcPr>
            <w:tcW w:w="2465" w:type="pct"/>
            <w:tcBorders>
              <w:tl2br w:val="nil"/>
              <w:tr2bl w:val="nil"/>
            </w:tcBorders>
            <w:noWrap w:val="0"/>
            <w:vAlign w:val="center"/>
          </w:tcPr>
          <w:p w14:paraId="20B518C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干旱少雨多风</w:t>
            </w:r>
          </w:p>
        </w:tc>
        <w:tc>
          <w:tcPr>
            <w:tcW w:w="1494" w:type="pct"/>
            <w:tcBorders>
              <w:tl2br w:val="nil"/>
              <w:tr2bl w:val="nil"/>
            </w:tcBorders>
            <w:noWrap w:val="0"/>
            <w:vAlign w:val="center"/>
          </w:tcPr>
          <w:p w14:paraId="56375F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eastAsia="zh-CN"/>
              </w:rPr>
              <w:t>干旱少雨多风</w:t>
            </w:r>
          </w:p>
        </w:tc>
      </w:tr>
      <w:tr w14:paraId="07752E6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40" w:type="pct"/>
            <w:tcBorders>
              <w:tl2br w:val="nil"/>
              <w:tr2bl w:val="nil"/>
            </w:tcBorders>
            <w:noWrap w:val="0"/>
            <w:vAlign w:val="center"/>
          </w:tcPr>
          <w:p w14:paraId="3AF5C4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运行工况</w:t>
            </w:r>
          </w:p>
        </w:tc>
        <w:tc>
          <w:tcPr>
            <w:tcW w:w="2465" w:type="pct"/>
            <w:tcBorders>
              <w:tl2br w:val="nil"/>
              <w:tr2bl w:val="nil"/>
            </w:tcBorders>
            <w:noWrap w:val="0"/>
            <w:vAlign w:val="center"/>
          </w:tcPr>
          <w:p w14:paraId="78F573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1#主变监测期间</w:t>
            </w:r>
            <w:r>
              <w:rPr>
                <w:rFonts w:hint="eastAsia" w:ascii="宋体" w:hAnsi="宋体" w:eastAsia="宋体" w:cs="宋体"/>
                <w:color w:val="auto"/>
                <w:sz w:val="21"/>
                <w:szCs w:val="21"/>
              </w:rPr>
              <w:t>运行电压为</w:t>
            </w:r>
            <w:r>
              <w:rPr>
                <w:rFonts w:hint="eastAsia" w:ascii="宋体" w:hAnsi="宋体" w:eastAsia="宋体" w:cs="宋体"/>
                <w:color w:val="auto"/>
                <w:sz w:val="21"/>
                <w:szCs w:val="21"/>
                <w:lang w:val="en-US" w:eastAsia="zh-CN"/>
              </w:rPr>
              <w:t>239.73</w:t>
            </w:r>
            <w:r>
              <w:rPr>
                <w:rFonts w:hint="eastAsia" w:ascii="宋体" w:hAnsi="宋体" w:eastAsia="宋体" w:cs="宋体"/>
                <w:color w:val="auto"/>
                <w:sz w:val="21"/>
                <w:szCs w:val="21"/>
                <w:lang w:eastAsia="zh-CN"/>
              </w:rPr>
              <w:t>kV</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电流为116.25A；</w:t>
            </w:r>
          </w:p>
          <w:p w14:paraId="7D8674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2#主变监测期间</w:t>
            </w:r>
            <w:r>
              <w:rPr>
                <w:rFonts w:hint="eastAsia" w:ascii="宋体" w:hAnsi="宋体" w:eastAsia="宋体" w:cs="宋体"/>
                <w:color w:val="auto"/>
                <w:sz w:val="21"/>
                <w:szCs w:val="21"/>
              </w:rPr>
              <w:t>运行电压为</w:t>
            </w:r>
            <w:r>
              <w:rPr>
                <w:rFonts w:hint="eastAsia" w:ascii="宋体" w:hAnsi="宋体" w:eastAsia="宋体" w:cs="宋体"/>
                <w:color w:val="auto"/>
                <w:sz w:val="21"/>
                <w:szCs w:val="21"/>
                <w:lang w:val="en-US" w:eastAsia="zh-CN"/>
              </w:rPr>
              <w:t>238.96</w:t>
            </w:r>
            <w:r>
              <w:rPr>
                <w:rFonts w:hint="eastAsia" w:ascii="宋体" w:hAnsi="宋体" w:eastAsia="宋体" w:cs="宋体"/>
                <w:color w:val="auto"/>
                <w:sz w:val="21"/>
                <w:szCs w:val="21"/>
                <w:lang w:eastAsia="zh-CN"/>
              </w:rPr>
              <w:t>kV</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电流为190.80A；</w:t>
            </w:r>
          </w:p>
          <w:p w14:paraId="56162C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3#主变监测期间</w:t>
            </w:r>
            <w:r>
              <w:rPr>
                <w:rFonts w:hint="eastAsia" w:ascii="宋体" w:hAnsi="宋体" w:eastAsia="宋体" w:cs="宋体"/>
                <w:color w:val="auto"/>
                <w:sz w:val="21"/>
                <w:szCs w:val="21"/>
              </w:rPr>
              <w:t>运行电压为</w:t>
            </w:r>
            <w:r>
              <w:rPr>
                <w:rFonts w:hint="eastAsia" w:ascii="宋体" w:hAnsi="宋体" w:eastAsia="宋体" w:cs="宋体"/>
                <w:color w:val="auto"/>
                <w:sz w:val="21"/>
                <w:szCs w:val="21"/>
                <w:lang w:val="en-US" w:eastAsia="zh-CN"/>
              </w:rPr>
              <w:t>239.28</w:t>
            </w:r>
            <w:r>
              <w:rPr>
                <w:rFonts w:hint="eastAsia" w:ascii="宋体" w:hAnsi="宋体" w:eastAsia="宋体" w:cs="宋体"/>
                <w:color w:val="auto"/>
                <w:sz w:val="21"/>
                <w:szCs w:val="21"/>
                <w:lang w:eastAsia="zh-CN"/>
              </w:rPr>
              <w:t>kV</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电流为112.35A。</w:t>
            </w:r>
          </w:p>
        </w:tc>
        <w:tc>
          <w:tcPr>
            <w:tcW w:w="1494" w:type="pct"/>
            <w:tcBorders>
              <w:tl2br w:val="nil"/>
              <w:tr2bl w:val="nil"/>
            </w:tcBorders>
            <w:noWrap w:val="0"/>
            <w:vAlign w:val="center"/>
          </w:tcPr>
          <w:p w14:paraId="137CF8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bl>
    <w:p w14:paraId="20481124">
      <w:pPr>
        <w:keepNext w:val="0"/>
        <w:keepLines w:val="0"/>
        <w:pageBreakBefore w:val="0"/>
        <w:widowControl w:val="0"/>
        <w:tabs>
          <w:tab w:val="left" w:pos="8814"/>
        </w:tabs>
        <w:kinsoku/>
        <w:wordWrap/>
        <w:overflowPunct/>
        <w:topLinePunct w:val="0"/>
        <w:autoSpaceDE/>
        <w:autoSpaceDN/>
        <w:bidi w:val="0"/>
        <w:adjustRightInd/>
        <w:snapToGrid w:val="0"/>
        <w:spacing w:before="313" w:beforeLines="100" w:line="360" w:lineRule="auto"/>
        <w:ind w:firstLine="480" w:firstLineChars="200"/>
        <w:textAlignment w:val="auto"/>
        <w:rPr>
          <w:rFonts w:hint="eastAsia" w:ascii="宋体" w:hAnsi="宋体" w:cs="Calibri"/>
          <w:color w:val="auto"/>
          <w:sz w:val="24"/>
          <w:szCs w:val="21"/>
        </w:rPr>
      </w:pPr>
      <w:r>
        <w:rPr>
          <w:rFonts w:hint="eastAsia" w:ascii="宋体" w:hAnsi="宋体" w:cs="Calibri"/>
          <w:color w:val="auto"/>
          <w:sz w:val="24"/>
          <w:szCs w:val="21"/>
        </w:rPr>
        <w:t>由</w:t>
      </w:r>
      <w:r>
        <w:rPr>
          <w:rFonts w:ascii="宋体" w:hAnsi="宋体" w:cs="Calibri"/>
          <w:color w:val="auto"/>
          <w:sz w:val="24"/>
          <w:szCs w:val="21"/>
        </w:rPr>
        <w:t>表</w:t>
      </w:r>
      <w:r>
        <w:rPr>
          <w:rFonts w:hint="eastAsia" w:ascii="宋体" w:hAnsi="宋体" w:cs="Calibri"/>
          <w:color w:val="auto"/>
          <w:sz w:val="24"/>
          <w:szCs w:val="21"/>
        </w:rPr>
        <w:t>3-1对比分析，选取的类比变电站与</w:t>
      </w:r>
      <w:r>
        <w:rPr>
          <w:rFonts w:hint="eastAsia" w:ascii="宋体" w:hAnsi="宋体" w:cs="Calibri"/>
          <w:color w:val="auto"/>
          <w:sz w:val="24"/>
          <w:szCs w:val="21"/>
          <w:lang w:eastAsia="zh-CN"/>
        </w:rPr>
        <w:t>本项目</w:t>
      </w:r>
      <w:r>
        <w:rPr>
          <w:rFonts w:hint="eastAsia" w:ascii="宋体" w:hAnsi="宋体" w:cs="Calibri"/>
          <w:color w:val="auto"/>
          <w:sz w:val="24"/>
          <w:szCs w:val="21"/>
        </w:rPr>
        <w:t>变电站电压等级</w:t>
      </w:r>
      <w:r>
        <w:rPr>
          <w:rFonts w:hint="eastAsia" w:ascii="宋体" w:hAnsi="宋体" w:cs="Calibri"/>
          <w:color w:val="auto"/>
          <w:sz w:val="24"/>
          <w:szCs w:val="21"/>
          <w:lang w:val="en-US" w:eastAsia="zh-CN"/>
        </w:rPr>
        <w:t>和主变布置形式</w:t>
      </w:r>
      <w:r>
        <w:rPr>
          <w:rFonts w:hint="eastAsia" w:ascii="宋体" w:hAnsi="宋体" w:cs="Calibri"/>
          <w:color w:val="auto"/>
          <w:sz w:val="24"/>
          <w:szCs w:val="21"/>
        </w:rPr>
        <w:t>等一致</w:t>
      </w:r>
      <w:r>
        <w:rPr>
          <w:rFonts w:hint="eastAsia" w:ascii="宋体" w:hAnsi="宋体" w:cs="Calibri"/>
          <w:color w:val="auto"/>
          <w:sz w:val="24"/>
          <w:szCs w:val="21"/>
          <w:lang w:val="en-US" w:eastAsia="zh-CN"/>
        </w:rPr>
        <w:t>，</w:t>
      </w:r>
      <w:r>
        <w:rPr>
          <w:rFonts w:hint="eastAsia" w:ascii="宋体" w:hAnsi="宋体" w:cs="Calibri"/>
          <w:color w:val="auto"/>
          <w:sz w:val="24"/>
          <w:szCs w:val="21"/>
        </w:rPr>
        <w:t>类比变电站主变</w:t>
      </w:r>
      <w:r>
        <w:rPr>
          <w:rFonts w:hint="eastAsia" w:ascii="宋体" w:hAnsi="宋体" w:cs="Calibri"/>
          <w:color w:val="auto"/>
          <w:sz w:val="24"/>
          <w:szCs w:val="21"/>
          <w:lang w:val="en-US" w:eastAsia="zh-CN"/>
        </w:rPr>
        <w:t>规模较大、</w:t>
      </w:r>
      <w:r>
        <w:rPr>
          <w:rFonts w:hint="eastAsia" w:ascii="宋体" w:hAnsi="宋体" w:cs="Calibri"/>
          <w:color w:val="auto"/>
          <w:sz w:val="24"/>
          <w:szCs w:val="21"/>
        </w:rPr>
        <w:t>220kV配电装置为AIS布置，电磁影响要大于GIS布置，类比结果偏保守，监测期间类比变电站运行正常，类比可行。</w:t>
      </w:r>
    </w:p>
    <w:p w14:paraId="2FE5D8A6">
      <w:pPr>
        <w:tabs>
          <w:tab w:val="left" w:pos="8814"/>
        </w:tabs>
        <w:snapToGrid w:val="0"/>
        <w:spacing w:line="480" w:lineRule="exact"/>
        <w:ind w:firstLine="480" w:firstLineChars="200"/>
        <w:rPr>
          <w:rFonts w:hint="eastAsia" w:ascii="宋体" w:hAnsi="宋体" w:cs="Calibri"/>
          <w:color w:val="0000FF"/>
          <w:sz w:val="24"/>
          <w:szCs w:val="21"/>
        </w:rPr>
      </w:pPr>
    </w:p>
    <w:p w14:paraId="43E1B715">
      <w:pPr>
        <w:snapToGrid w:val="0"/>
        <w:spacing w:before="40" w:after="40" w:line="360" w:lineRule="auto"/>
        <w:outlineLvl w:val="2"/>
        <w:rPr>
          <w:rFonts w:hint="eastAsia" w:ascii="宋体" w:hAnsi="宋体" w:cs="Calibri"/>
          <w:b/>
          <w:color w:val="auto"/>
          <w:kern w:val="15"/>
          <w:sz w:val="24"/>
          <w:szCs w:val="21"/>
        </w:rPr>
      </w:pPr>
      <w:bookmarkStart w:id="198" w:name="_Toc505347745"/>
      <w:r>
        <w:rPr>
          <w:rFonts w:hint="eastAsia" w:ascii="宋体" w:hAnsi="宋体" w:cs="Calibri"/>
          <w:b/>
          <w:color w:val="auto"/>
          <w:kern w:val="15"/>
          <w:sz w:val="24"/>
          <w:szCs w:val="21"/>
        </w:rPr>
        <w:t>3.1.2工频电场、工频磁场类比监测</w:t>
      </w:r>
      <w:bookmarkEnd w:id="198"/>
    </w:p>
    <w:p w14:paraId="71649211">
      <w:pPr>
        <w:spacing w:line="360" w:lineRule="auto"/>
        <w:rPr>
          <w:rFonts w:hint="eastAsia" w:ascii="宋体" w:hAnsi="宋体" w:cs="Calibri"/>
          <w:b/>
          <w:color w:val="auto"/>
          <w:sz w:val="24"/>
          <w:szCs w:val="21"/>
        </w:rPr>
      </w:pPr>
      <w:r>
        <w:rPr>
          <w:rFonts w:hint="eastAsia" w:ascii="宋体" w:hAnsi="宋体" w:cs="Calibri"/>
          <w:b/>
          <w:color w:val="auto"/>
          <w:sz w:val="24"/>
          <w:szCs w:val="21"/>
        </w:rPr>
        <w:t>3.1.2.1监测因子</w:t>
      </w:r>
    </w:p>
    <w:p w14:paraId="61F3E5B9">
      <w:pPr>
        <w:spacing w:line="360" w:lineRule="auto"/>
        <w:ind w:firstLine="480" w:firstLineChars="200"/>
        <w:rPr>
          <w:rFonts w:hint="eastAsia" w:ascii="宋体" w:hAnsi="宋体" w:cs="Calibri"/>
          <w:color w:val="auto"/>
          <w:sz w:val="24"/>
          <w:szCs w:val="21"/>
        </w:rPr>
      </w:pPr>
      <w:r>
        <w:rPr>
          <w:rFonts w:hint="eastAsia" w:ascii="宋体" w:hAnsi="宋体" w:cs="Calibri"/>
          <w:color w:val="auto"/>
          <w:sz w:val="24"/>
          <w:szCs w:val="21"/>
        </w:rPr>
        <w:t>工频电场、工频磁场</w:t>
      </w:r>
    </w:p>
    <w:p w14:paraId="7CDACB30">
      <w:pPr>
        <w:spacing w:line="360" w:lineRule="auto"/>
        <w:rPr>
          <w:rFonts w:hint="eastAsia" w:ascii="宋体" w:hAnsi="宋体" w:cs="Calibri"/>
          <w:b/>
          <w:color w:val="auto"/>
          <w:sz w:val="24"/>
          <w:szCs w:val="21"/>
        </w:rPr>
      </w:pPr>
      <w:r>
        <w:rPr>
          <w:rFonts w:hint="eastAsia" w:ascii="宋体" w:hAnsi="宋体" w:cs="Calibri"/>
          <w:b/>
          <w:color w:val="auto"/>
          <w:sz w:val="24"/>
          <w:szCs w:val="21"/>
        </w:rPr>
        <w:t>3.1.2.2监测方法、监测布点</w:t>
      </w:r>
    </w:p>
    <w:p w14:paraId="46F62147">
      <w:pPr>
        <w:spacing w:line="360" w:lineRule="auto"/>
        <w:ind w:firstLine="480" w:firstLineChars="200"/>
        <w:rPr>
          <w:rFonts w:hint="eastAsia" w:ascii="宋体" w:hAnsi="宋体" w:cs="Calibri"/>
          <w:color w:val="auto"/>
          <w:sz w:val="24"/>
          <w:szCs w:val="21"/>
        </w:rPr>
      </w:pPr>
      <w:r>
        <w:rPr>
          <w:rFonts w:hint="eastAsia" w:ascii="宋体" w:hAnsi="宋体" w:cs="Calibri"/>
          <w:color w:val="auto"/>
          <w:sz w:val="24"/>
          <w:szCs w:val="21"/>
        </w:rPr>
        <w:t>监测方法：《交流输变电工程电磁环境监测办法</w:t>
      </w:r>
      <w:r>
        <w:rPr>
          <w:rFonts w:hint="eastAsia" w:ascii="宋体" w:hAnsi="宋体" w:cs="Calibri"/>
          <w:color w:val="auto"/>
          <w:sz w:val="24"/>
          <w:szCs w:val="21"/>
          <w:lang w:eastAsia="zh-CN"/>
        </w:rPr>
        <w:t>（</w:t>
      </w:r>
      <w:r>
        <w:rPr>
          <w:rFonts w:hint="eastAsia" w:ascii="宋体" w:hAnsi="宋体" w:cs="Calibri"/>
          <w:color w:val="auto"/>
          <w:sz w:val="24"/>
          <w:szCs w:val="21"/>
        </w:rPr>
        <w:t>试行</w:t>
      </w:r>
      <w:r>
        <w:rPr>
          <w:rFonts w:hint="eastAsia" w:ascii="宋体" w:hAnsi="宋体" w:cs="Calibri"/>
          <w:color w:val="auto"/>
          <w:sz w:val="24"/>
          <w:szCs w:val="21"/>
          <w:lang w:eastAsia="zh-CN"/>
        </w:rPr>
        <w:t>）</w:t>
      </w:r>
      <w:r>
        <w:rPr>
          <w:rFonts w:hint="eastAsia" w:ascii="宋体" w:hAnsi="宋体" w:cs="Calibri"/>
          <w:color w:val="auto"/>
          <w:sz w:val="24"/>
          <w:szCs w:val="21"/>
        </w:rPr>
        <w:t>》</w:t>
      </w:r>
      <w:r>
        <w:rPr>
          <w:rFonts w:hint="eastAsia" w:ascii="宋体" w:hAnsi="宋体" w:cs="Calibri"/>
          <w:color w:val="auto"/>
          <w:sz w:val="24"/>
          <w:szCs w:val="21"/>
          <w:lang w:eastAsia="zh-CN"/>
        </w:rPr>
        <w:t>(</w:t>
      </w:r>
      <w:r>
        <w:rPr>
          <w:rFonts w:hint="eastAsia" w:ascii="宋体" w:hAnsi="宋体" w:cs="Calibri"/>
          <w:color w:val="auto"/>
          <w:sz w:val="24"/>
          <w:szCs w:val="21"/>
        </w:rPr>
        <w:t>HJ681-2013)。</w:t>
      </w:r>
    </w:p>
    <w:p w14:paraId="6C6E7ED2">
      <w:pPr>
        <w:spacing w:line="360" w:lineRule="auto"/>
        <w:ind w:firstLine="480" w:firstLineChars="200"/>
        <w:rPr>
          <w:rFonts w:hint="eastAsia" w:ascii="宋体" w:hAnsi="宋体" w:cs="Calibri"/>
          <w:color w:val="auto"/>
          <w:sz w:val="24"/>
          <w:szCs w:val="21"/>
        </w:rPr>
      </w:pPr>
      <w:r>
        <w:rPr>
          <w:rFonts w:hint="eastAsia" w:ascii="宋体" w:hAnsi="宋体" w:cs="Calibri"/>
          <w:color w:val="auto"/>
          <w:sz w:val="24"/>
          <w:szCs w:val="21"/>
        </w:rPr>
        <w:t>监测布点：</w:t>
      </w:r>
      <w:r>
        <w:rPr>
          <w:rFonts w:hint="eastAsia" w:ascii="宋体" w:hAnsi="宋体" w:cs="Calibri"/>
          <w:color w:val="auto"/>
          <w:sz w:val="24"/>
          <w:szCs w:val="21"/>
          <w:lang w:val="en-US" w:eastAsia="zh-CN"/>
        </w:rPr>
        <w:t>在中广核烟墩200MW风电场配套220千伏升压站</w:t>
      </w:r>
      <w:r>
        <w:rPr>
          <w:rFonts w:hint="eastAsia" w:ascii="宋体" w:hAnsi="宋体" w:cs="Calibri"/>
          <w:color w:val="auto"/>
          <w:sz w:val="24"/>
          <w:szCs w:val="21"/>
        </w:rPr>
        <w:t>围墙外共布置</w:t>
      </w:r>
      <w:r>
        <w:rPr>
          <w:rFonts w:hint="eastAsia" w:ascii="宋体" w:hAnsi="宋体" w:cs="Calibri"/>
          <w:color w:val="auto"/>
          <w:sz w:val="24"/>
          <w:szCs w:val="21"/>
          <w:lang w:val="en-US" w:eastAsia="zh-CN"/>
        </w:rPr>
        <w:t>4</w:t>
      </w:r>
      <w:r>
        <w:rPr>
          <w:rFonts w:hint="eastAsia" w:ascii="宋体" w:hAnsi="宋体" w:cs="Calibri"/>
          <w:color w:val="auto"/>
          <w:sz w:val="24"/>
          <w:szCs w:val="21"/>
        </w:rPr>
        <w:t>个监测点。</w:t>
      </w:r>
    </w:p>
    <w:p w14:paraId="27A2F264">
      <w:pPr>
        <w:adjustRightInd w:val="0"/>
        <w:snapToGrid w:val="0"/>
        <w:spacing w:line="360" w:lineRule="auto"/>
        <w:rPr>
          <w:rFonts w:hint="eastAsia" w:ascii="宋体" w:hAnsi="宋体" w:cs="Calibri"/>
          <w:b/>
          <w:color w:val="auto"/>
          <w:sz w:val="24"/>
          <w:szCs w:val="21"/>
        </w:rPr>
      </w:pPr>
      <w:r>
        <w:rPr>
          <w:rFonts w:hint="eastAsia" w:ascii="宋体" w:hAnsi="宋体" w:cs="Calibri"/>
          <w:b/>
          <w:color w:val="auto"/>
          <w:sz w:val="24"/>
          <w:szCs w:val="21"/>
        </w:rPr>
        <w:t>3.1.2.3监测单位及监测时间</w:t>
      </w:r>
    </w:p>
    <w:p w14:paraId="43E0E48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lang w:val="en-US" w:eastAsia="zh-CN"/>
        </w:rPr>
      </w:pPr>
      <w:r>
        <w:rPr>
          <w:rFonts w:hint="eastAsia" w:ascii="宋体" w:hAnsi="宋体" w:cs="Calibri"/>
          <w:color w:val="auto"/>
          <w:sz w:val="24"/>
          <w:szCs w:val="21"/>
        </w:rPr>
        <w:t>监测单位：</w:t>
      </w:r>
      <w:r>
        <w:rPr>
          <w:rFonts w:hint="eastAsia" w:ascii="宋体" w:hAnsi="宋体" w:eastAsia="宋体" w:cs="宋体"/>
          <w:color w:val="auto"/>
          <w:sz w:val="24"/>
          <w:lang w:val="en-US" w:eastAsia="zh-CN"/>
        </w:rPr>
        <w:t>乌鲁木齐星辰汇峰环保科技</w:t>
      </w:r>
      <w:r>
        <w:rPr>
          <w:rFonts w:hint="eastAsia" w:ascii="宋体" w:hAnsi="宋体" w:eastAsia="宋体" w:cs="宋体"/>
          <w:color w:val="auto"/>
          <w:sz w:val="24"/>
        </w:rPr>
        <w:t>有限公司</w:t>
      </w:r>
    </w:p>
    <w:p w14:paraId="2E30697D">
      <w:pPr>
        <w:autoSpaceDE w:val="0"/>
        <w:autoSpaceDN w:val="0"/>
        <w:adjustRightInd w:val="0"/>
        <w:snapToGrid w:val="0"/>
        <w:spacing w:line="360" w:lineRule="auto"/>
        <w:ind w:firstLine="480" w:firstLineChars="200"/>
        <w:rPr>
          <w:rFonts w:hint="eastAsia" w:ascii="宋体" w:hAnsi="宋体" w:cs="Calibri"/>
          <w:color w:val="auto"/>
          <w:sz w:val="24"/>
          <w:szCs w:val="21"/>
        </w:rPr>
      </w:pPr>
      <w:r>
        <w:rPr>
          <w:rFonts w:hint="eastAsia" w:ascii="宋体" w:hAnsi="宋体" w:eastAsia="宋体" w:cs="宋体"/>
          <w:color w:val="auto"/>
          <w:sz w:val="24"/>
        </w:rPr>
        <w:t>监测时间：202</w:t>
      </w:r>
      <w:r>
        <w:rPr>
          <w:rFonts w:hint="eastAsia" w:ascii="宋体" w:hAnsi="宋体" w:eastAsia="宋体" w:cs="宋体"/>
          <w:color w:val="auto"/>
          <w:sz w:val="24"/>
          <w:lang w:val="en-US" w:eastAsia="zh-CN"/>
        </w:rPr>
        <w:t>2</w:t>
      </w:r>
      <w:r>
        <w:rPr>
          <w:rFonts w:hint="eastAsia" w:ascii="宋体" w:hAnsi="宋体" w:eastAsia="宋体" w:cs="宋体"/>
          <w:color w:val="auto"/>
          <w:sz w:val="24"/>
        </w:rPr>
        <w:t>年</w:t>
      </w:r>
      <w:r>
        <w:rPr>
          <w:rFonts w:hint="eastAsia" w:ascii="宋体" w:hAnsi="宋体" w:eastAsia="宋体" w:cs="宋体"/>
          <w:color w:val="auto"/>
          <w:sz w:val="24"/>
          <w:lang w:val="en-US" w:eastAsia="zh-CN"/>
        </w:rPr>
        <w:t>1</w:t>
      </w:r>
      <w:r>
        <w:rPr>
          <w:rFonts w:hint="eastAsia" w:ascii="宋体" w:hAnsi="宋体" w:eastAsia="宋体" w:cs="宋体"/>
          <w:color w:val="auto"/>
          <w:sz w:val="24"/>
        </w:rPr>
        <w:t>月</w:t>
      </w:r>
      <w:r>
        <w:rPr>
          <w:rFonts w:hint="eastAsia" w:ascii="宋体" w:hAnsi="宋体" w:eastAsia="宋体" w:cs="宋体"/>
          <w:color w:val="auto"/>
          <w:sz w:val="24"/>
          <w:lang w:val="en-US" w:eastAsia="zh-CN"/>
        </w:rPr>
        <w:t>18</w:t>
      </w:r>
      <w:r>
        <w:rPr>
          <w:rFonts w:hint="eastAsia" w:ascii="宋体" w:hAnsi="宋体" w:eastAsia="宋体" w:cs="宋体"/>
          <w:color w:val="auto"/>
          <w:sz w:val="24"/>
        </w:rPr>
        <w:t>日</w:t>
      </w:r>
      <w:r>
        <w:rPr>
          <w:rFonts w:hint="eastAsia" w:ascii="宋体" w:hAnsi="宋体" w:eastAsia="宋体" w:cs="宋体"/>
          <w:color w:val="auto"/>
          <w:sz w:val="24"/>
          <w:lang w:val="en-US" w:eastAsia="zh-CN"/>
        </w:rPr>
        <w:t>-19日</w:t>
      </w:r>
    </w:p>
    <w:p w14:paraId="09D72333">
      <w:pPr>
        <w:adjustRightInd w:val="0"/>
        <w:snapToGrid w:val="0"/>
        <w:spacing w:line="360" w:lineRule="auto"/>
        <w:rPr>
          <w:rFonts w:hint="eastAsia" w:ascii="宋体" w:hAnsi="宋体" w:cs="Calibri"/>
          <w:b/>
          <w:color w:val="auto"/>
          <w:sz w:val="24"/>
          <w:szCs w:val="21"/>
        </w:rPr>
      </w:pPr>
      <w:r>
        <w:rPr>
          <w:rFonts w:hint="eastAsia" w:ascii="宋体" w:hAnsi="宋体" w:cs="Calibri"/>
          <w:b/>
          <w:color w:val="auto"/>
          <w:sz w:val="24"/>
          <w:szCs w:val="21"/>
        </w:rPr>
        <w:t>3.1.2.4监测仪器、监测条件</w:t>
      </w:r>
    </w:p>
    <w:p w14:paraId="7DC76B10">
      <w:pPr>
        <w:autoSpaceDE w:val="0"/>
        <w:autoSpaceDN w:val="0"/>
        <w:adjustRightInd w:val="0"/>
        <w:snapToGrid w:val="0"/>
        <w:spacing w:line="360" w:lineRule="auto"/>
        <w:ind w:firstLine="480" w:firstLineChars="200"/>
        <w:rPr>
          <w:rFonts w:hint="eastAsia" w:ascii="宋体" w:hAnsi="宋体" w:cs="Calibri"/>
          <w:color w:val="auto"/>
          <w:sz w:val="24"/>
          <w:szCs w:val="21"/>
        </w:rPr>
      </w:pPr>
      <w:r>
        <w:rPr>
          <w:rFonts w:hint="eastAsia" w:ascii="宋体" w:hAnsi="宋体" w:cs="Calibri"/>
          <w:color w:val="auto"/>
          <w:sz w:val="24"/>
          <w:szCs w:val="21"/>
        </w:rPr>
        <w:t>监测仪器参数，见表3</w:t>
      </w:r>
      <w:r>
        <w:rPr>
          <w:rFonts w:hint="eastAsia" w:ascii="宋体" w:hAnsi="宋体" w:cs="Calibri"/>
          <w:color w:val="auto"/>
          <w:sz w:val="24"/>
          <w:szCs w:val="21"/>
          <w:lang w:val="en-US" w:eastAsia="zh-CN"/>
        </w:rPr>
        <w:t>.1</w:t>
      </w:r>
      <w:r>
        <w:rPr>
          <w:rFonts w:hint="eastAsia" w:ascii="宋体" w:hAnsi="宋体" w:cs="Calibri"/>
          <w:color w:val="auto"/>
          <w:sz w:val="24"/>
          <w:szCs w:val="21"/>
        </w:rPr>
        <w:t>-2。</w:t>
      </w:r>
    </w:p>
    <w:p w14:paraId="3E67F381">
      <w:pPr>
        <w:spacing w:line="240" w:lineRule="auto"/>
        <w:jc w:val="center"/>
        <w:rPr>
          <w:rFonts w:hint="eastAsia" w:ascii="宋体" w:hAnsi="宋体" w:cs="Calibri"/>
          <w:b/>
          <w:color w:val="auto"/>
          <w:sz w:val="24"/>
          <w:szCs w:val="21"/>
        </w:rPr>
      </w:pPr>
    </w:p>
    <w:p w14:paraId="6DB427DF">
      <w:pPr>
        <w:spacing w:line="240" w:lineRule="auto"/>
        <w:jc w:val="center"/>
        <w:rPr>
          <w:rFonts w:hint="eastAsia" w:ascii="宋体" w:hAnsi="宋体" w:cs="Calibri"/>
          <w:b/>
          <w:color w:val="auto"/>
          <w:sz w:val="24"/>
          <w:szCs w:val="21"/>
        </w:rPr>
      </w:pPr>
    </w:p>
    <w:p w14:paraId="18539921">
      <w:pPr>
        <w:spacing w:line="240" w:lineRule="auto"/>
        <w:jc w:val="center"/>
        <w:rPr>
          <w:rFonts w:hint="eastAsia" w:ascii="宋体" w:hAnsi="宋体" w:cs="Calibri"/>
          <w:b/>
          <w:color w:val="auto"/>
          <w:sz w:val="24"/>
          <w:szCs w:val="21"/>
        </w:rPr>
      </w:pPr>
    </w:p>
    <w:p w14:paraId="6F17A325">
      <w:pPr>
        <w:spacing w:line="240" w:lineRule="auto"/>
        <w:jc w:val="center"/>
        <w:rPr>
          <w:rFonts w:hint="eastAsia" w:ascii="宋体" w:hAnsi="宋体" w:cs="Calibri"/>
          <w:b/>
          <w:color w:val="auto"/>
          <w:sz w:val="24"/>
          <w:szCs w:val="21"/>
        </w:rPr>
      </w:pPr>
    </w:p>
    <w:p w14:paraId="01C64F42">
      <w:pPr>
        <w:spacing w:line="240" w:lineRule="auto"/>
        <w:jc w:val="center"/>
        <w:rPr>
          <w:rFonts w:ascii="宋体" w:hAnsi="宋体" w:cs="Calibri"/>
          <w:b/>
          <w:color w:val="auto"/>
          <w:szCs w:val="21"/>
        </w:rPr>
      </w:pPr>
      <w:r>
        <w:rPr>
          <w:rFonts w:hint="eastAsia" w:ascii="宋体" w:hAnsi="宋体" w:cs="Calibri"/>
          <w:b/>
          <w:color w:val="auto"/>
          <w:sz w:val="24"/>
          <w:szCs w:val="21"/>
        </w:rPr>
        <w:t>表3</w:t>
      </w:r>
      <w:r>
        <w:rPr>
          <w:rFonts w:hint="eastAsia" w:ascii="宋体" w:hAnsi="宋体" w:cs="Calibri"/>
          <w:b/>
          <w:color w:val="auto"/>
          <w:sz w:val="24"/>
          <w:szCs w:val="21"/>
          <w:lang w:val="en-US" w:eastAsia="zh-CN"/>
        </w:rPr>
        <w:t>.1</w:t>
      </w:r>
      <w:r>
        <w:rPr>
          <w:rFonts w:hint="eastAsia" w:ascii="宋体" w:hAnsi="宋体" w:cs="Calibri"/>
          <w:b/>
          <w:color w:val="auto"/>
          <w:sz w:val="24"/>
          <w:szCs w:val="21"/>
        </w:rPr>
        <w:t>-2</w:t>
      </w:r>
      <w:r>
        <w:rPr>
          <w:rFonts w:hint="eastAsia" w:ascii="宋体" w:hAnsi="宋体" w:cs="Calibri"/>
          <w:b/>
          <w:color w:val="auto"/>
          <w:sz w:val="24"/>
          <w:szCs w:val="21"/>
          <w:lang w:val="en-US" w:eastAsia="zh-CN"/>
        </w:rPr>
        <w:t xml:space="preserve">    </w:t>
      </w:r>
      <w:r>
        <w:rPr>
          <w:rFonts w:hint="eastAsia" w:ascii="宋体" w:hAnsi="宋体" w:cs="Calibri"/>
          <w:b/>
          <w:snapToGrid w:val="0"/>
          <w:color w:val="auto"/>
          <w:kern w:val="0"/>
          <w:sz w:val="24"/>
          <w:szCs w:val="21"/>
        </w:rPr>
        <w:t>监测仪器参数</w:t>
      </w:r>
      <w:r>
        <w:rPr>
          <w:rFonts w:hint="eastAsia" w:ascii="宋体" w:hAnsi="宋体" w:cs="Calibri"/>
          <w:b/>
          <w:color w:val="auto"/>
          <w:sz w:val="24"/>
          <w:szCs w:val="21"/>
        </w:rPr>
        <w:t>表</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708"/>
        <w:gridCol w:w="1876"/>
        <w:gridCol w:w="1735"/>
        <w:gridCol w:w="1663"/>
        <w:gridCol w:w="1524"/>
        <w:gridCol w:w="2158"/>
      </w:tblGrid>
      <w:tr w14:paraId="050E53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0" w:hRule="atLeast"/>
          <w:jc w:val="center"/>
        </w:trPr>
        <w:tc>
          <w:tcPr>
            <w:tcW w:w="366" w:type="pct"/>
            <w:tcBorders>
              <w:tl2br w:val="nil"/>
              <w:tr2bl w:val="nil"/>
            </w:tcBorders>
            <w:noWrap w:val="0"/>
            <w:tcMar>
              <w:top w:w="0" w:type="dxa"/>
              <w:left w:w="0" w:type="dxa"/>
              <w:bottom w:w="0" w:type="dxa"/>
              <w:right w:w="0" w:type="dxa"/>
            </w:tcMar>
            <w:vAlign w:val="center"/>
          </w:tcPr>
          <w:p w14:paraId="4A163F9F">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auto"/>
                <w:szCs w:val="21"/>
              </w:rPr>
            </w:pPr>
            <w:r>
              <w:rPr>
                <w:rFonts w:hint="eastAsia" w:ascii="宋体" w:hAnsi="宋体" w:eastAsia="宋体" w:cs="宋体"/>
                <w:b/>
                <w:color w:val="auto"/>
                <w:szCs w:val="21"/>
              </w:rPr>
              <w:t>序号</w:t>
            </w:r>
          </w:p>
        </w:tc>
        <w:tc>
          <w:tcPr>
            <w:tcW w:w="970" w:type="pct"/>
            <w:tcBorders>
              <w:tl2br w:val="nil"/>
              <w:tr2bl w:val="nil"/>
            </w:tcBorders>
            <w:noWrap w:val="0"/>
            <w:tcMar>
              <w:top w:w="0" w:type="dxa"/>
              <w:left w:w="0" w:type="dxa"/>
              <w:bottom w:w="0" w:type="dxa"/>
              <w:right w:w="0" w:type="dxa"/>
            </w:tcMar>
            <w:vAlign w:val="center"/>
          </w:tcPr>
          <w:p w14:paraId="506AEA78">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auto"/>
                <w:szCs w:val="21"/>
              </w:rPr>
            </w:pPr>
            <w:r>
              <w:rPr>
                <w:rFonts w:hint="eastAsia" w:ascii="宋体" w:hAnsi="宋体" w:eastAsia="宋体" w:cs="宋体"/>
                <w:b/>
                <w:color w:val="auto"/>
                <w:szCs w:val="21"/>
              </w:rPr>
              <w:t>监测项目</w:t>
            </w:r>
          </w:p>
        </w:tc>
        <w:tc>
          <w:tcPr>
            <w:tcW w:w="897" w:type="pct"/>
            <w:tcBorders>
              <w:tl2br w:val="nil"/>
              <w:tr2bl w:val="nil"/>
            </w:tcBorders>
            <w:noWrap w:val="0"/>
            <w:tcMar>
              <w:top w:w="0" w:type="dxa"/>
              <w:left w:w="0" w:type="dxa"/>
              <w:bottom w:w="0" w:type="dxa"/>
              <w:right w:w="0" w:type="dxa"/>
            </w:tcMar>
            <w:vAlign w:val="center"/>
          </w:tcPr>
          <w:p w14:paraId="0B800550">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auto"/>
                <w:szCs w:val="21"/>
              </w:rPr>
            </w:pPr>
            <w:r>
              <w:rPr>
                <w:rFonts w:hint="eastAsia" w:ascii="宋体" w:hAnsi="宋体" w:eastAsia="宋体" w:cs="宋体"/>
                <w:b/>
                <w:color w:val="auto"/>
                <w:szCs w:val="21"/>
              </w:rPr>
              <w:t>设备名称</w:t>
            </w:r>
          </w:p>
        </w:tc>
        <w:tc>
          <w:tcPr>
            <w:tcW w:w="860" w:type="pct"/>
            <w:tcBorders>
              <w:tl2br w:val="nil"/>
              <w:tr2bl w:val="nil"/>
            </w:tcBorders>
            <w:noWrap w:val="0"/>
            <w:tcMar>
              <w:top w:w="0" w:type="dxa"/>
              <w:left w:w="0" w:type="dxa"/>
              <w:bottom w:w="0" w:type="dxa"/>
              <w:right w:w="0" w:type="dxa"/>
            </w:tcMar>
            <w:vAlign w:val="center"/>
          </w:tcPr>
          <w:p w14:paraId="588C694E">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auto"/>
                <w:szCs w:val="21"/>
              </w:rPr>
            </w:pPr>
            <w:r>
              <w:rPr>
                <w:rFonts w:hint="eastAsia" w:ascii="宋体" w:hAnsi="宋体" w:eastAsia="宋体" w:cs="宋体"/>
                <w:b/>
                <w:color w:val="auto"/>
                <w:szCs w:val="21"/>
              </w:rPr>
              <w:t>设备编号</w:t>
            </w:r>
          </w:p>
        </w:tc>
        <w:tc>
          <w:tcPr>
            <w:tcW w:w="788" w:type="pct"/>
            <w:tcBorders>
              <w:tl2br w:val="nil"/>
              <w:tr2bl w:val="nil"/>
            </w:tcBorders>
            <w:noWrap w:val="0"/>
            <w:tcMar>
              <w:top w:w="0" w:type="dxa"/>
              <w:left w:w="0" w:type="dxa"/>
              <w:bottom w:w="0" w:type="dxa"/>
              <w:right w:w="0" w:type="dxa"/>
            </w:tcMar>
            <w:vAlign w:val="center"/>
          </w:tcPr>
          <w:p w14:paraId="6DC43389">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auto"/>
                <w:szCs w:val="21"/>
              </w:rPr>
            </w:pPr>
            <w:r>
              <w:rPr>
                <w:rFonts w:hint="eastAsia" w:ascii="宋体" w:hAnsi="宋体" w:eastAsia="宋体" w:cs="宋体"/>
                <w:b/>
                <w:color w:val="auto"/>
                <w:szCs w:val="21"/>
              </w:rPr>
              <w:t>检定/校准机构</w:t>
            </w:r>
          </w:p>
        </w:tc>
        <w:tc>
          <w:tcPr>
            <w:tcW w:w="1116" w:type="pct"/>
            <w:tcBorders>
              <w:tl2br w:val="nil"/>
              <w:tr2bl w:val="nil"/>
            </w:tcBorders>
            <w:noWrap w:val="0"/>
            <w:tcMar>
              <w:top w:w="0" w:type="dxa"/>
              <w:left w:w="0" w:type="dxa"/>
              <w:bottom w:w="0" w:type="dxa"/>
              <w:right w:w="0" w:type="dxa"/>
            </w:tcMar>
            <w:vAlign w:val="center"/>
          </w:tcPr>
          <w:p w14:paraId="045167D2">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auto"/>
                <w:szCs w:val="21"/>
              </w:rPr>
            </w:pPr>
            <w:r>
              <w:rPr>
                <w:rFonts w:hint="eastAsia" w:ascii="宋体" w:hAnsi="宋体" w:eastAsia="宋体" w:cs="宋体"/>
                <w:b/>
                <w:color w:val="auto"/>
                <w:szCs w:val="21"/>
              </w:rPr>
              <w:t>有效日期</w:t>
            </w:r>
          </w:p>
        </w:tc>
      </w:tr>
      <w:tr w14:paraId="3B693D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12" w:hRule="atLeast"/>
          <w:jc w:val="center"/>
        </w:trPr>
        <w:tc>
          <w:tcPr>
            <w:tcW w:w="366" w:type="pct"/>
            <w:vMerge w:val="restart"/>
            <w:tcBorders>
              <w:tl2br w:val="nil"/>
              <w:tr2bl w:val="nil"/>
            </w:tcBorders>
            <w:noWrap w:val="0"/>
            <w:tcMar>
              <w:top w:w="0" w:type="dxa"/>
              <w:left w:w="0" w:type="dxa"/>
              <w:bottom w:w="0" w:type="dxa"/>
              <w:right w:w="0" w:type="dxa"/>
            </w:tcMar>
            <w:vAlign w:val="center"/>
          </w:tcPr>
          <w:p w14:paraId="4443240E">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970" w:type="pct"/>
            <w:tcBorders>
              <w:tl2br w:val="nil"/>
              <w:tr2bl w:val="nil"/>
            </w:tcBorders>
            <w:noWrap w:val="0"/>
            <w:tcMar>
              <w:top w:w="0" w:type="dxa"/>
              <w:left w:w="0" w:type="dxa"/>
              <w:bottom w:w="0" w:type="dxa"/>
              <w:right w:w="0" w:type="dxa"/>
            </w:tcMar>
            <w:vAlign w:val="center"/>
          </w:tcPr>
          <w:p w14:paraId="4CC8AE3C">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Cs w:val="21"/>
              </w:rPr>
            </w:pPr>
            <w:r>
              <w:rPr>
                <w:rFonts w:hint="eastAsia" w:ascii="宋体" w:hAnsi="宋体" w:eastAsia="宋体" w:cs="宋体"/>
                <w:color w:val="auto"/>
                <w:szCs w:val="21"/>
              </w:rPr>
              <w:t>工频电场强度</w:t>
            </w:r>
          </w:p>
        </w:tc>
        <w:tc>
          <w:tcPr>
            <w:tcW w:w="897" w:type="pct"/>
            <w:vMerge w:val="restart"/>
            <w:tcBorders>
              <w:tl2br w:val="nil"/>
              <w:tr2bl w:val="nil"/>
            </w:tcBorders>
            <w:noWrap w:val="0"/>
            <w:tcMar>
              <w:top w:w="0" w:type="dxa"/>
              <w:left w:w="0" w:type="dxa"/>
              <w:bottom w:w="0" w:type="dxa"/>
              <w:right w:w="0" w:type="dxa"/>
            </w:tcMar>
            <w:vAlign w:val="center"/>
          </w:tcPr>
          <w:p w14:paraId="6DC1F5CE">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Cs w:val="21"/>
                <w:lang w:val="en-US"/>
              </w:rPr>
            </w:pPr>
            <w:r>
              <w:rPr>
                <w:rFonts w:hint="eastAsia" w:ascii="宋体" w:hAnsi="宋体" w:eastAsia="宋体" w:cs="宋体"/>
                <w:color w:val="auto"/>
                <w:szCs w:val="21"/>
                <w:lang w:val="en-US" w:eastAsia="zh-CN"/>
              </w:rPr>
              <w:t>电磁辐射分析仪</w:t>
            </w:r>
          </w:p>
        </w:tc>
        <w:tc>
          <w:tcPr>
            <w:tcW w:w="860" w:type="pct"/>
            <w:vMerge w:val="restart"/>
            <w:tcBorders>
              <w:tl2br w:val="nil"/>
              <w:tr2bl w:val="nil"/>
            </w:tcBorders>
            <w:noWrap w:val="0"/>
            <w:tcMar>
              <w:top w:w="0" w:type="dxa"/>
              <w:left w:w="0" w:type="dxa"/>
              <w:bottom w:w="0" w:type="dxa"/>
              <w:right w:w="0" w:type="dxa"/>
            </w:tcMar>
            <w:vAlign w:val="center"/>
          </w:tcPr>
          <w:p w14:paraId="17B130F5">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Cs w:val="21"/>
                <w:lang w:val="en-US"/>
              </w:rPr>
            </w:pPr>
            <w:r>
              <w:rPr>
                <w:rFonts w:hint="eastAsia" w:ascii="宋体" w:hAnsi="宋体" w:eastAsia="宋体" w:cs="宋体"/>
                <w:color w:val="auto"/>
                <w:szCs w:val="21"/>
                <w:lang w:val="en-US" w:eastAsia="zh-CN"/>
              </w:rPr>
              <w:t>XCJC-YQ-006</w:t>
            </w:r>
          </w:p>
        </w:tc>
        <w:tc>
          <w:tcPr>
            <w:tcW w:w="788" w:type="pct"/>
            <w:vMerge w:val="restart"/>
            <w:tcBorders>
              <w:tl2br w:val="nil"/>
              <w:tr2bl w:val="nil"/>
            </w:tcBorders>
            <w:noWrap w:val="0"/>
            <w:tcMar>
              <w:top w:w="0" w:type="dxa"/>
              <w:left w:w="0" w:type="dxa"/>
              <w:bottom w:w="0" w:type="dxa"/>
              <w:right w:w="0" w:type="dxa"/>
            </w:tcMar>
            <w:vAlign w:val="center"/>
          </w:tcPr>
          <w:p w14:paraId="52318181">
            <w:pPr>
              <w:keepNext w:val="0"/>
              <w:keepLines w:val="0"/>
              <w:widowControl w:val="0"/>
              <w:suppressLineNumbers w:val="0"/>
              <w:adjustRightInd w:val="0"/>
              <w:snapToGrid w:val="0"/>
              <w:spacing w:before="0" w:beforeAutospacing="0" w:after="0" w:afterAutospacing="0" w:line="240" w:lineRule="auto"/>
              <w:ind w:left="0" w:right="0" w:firstLine="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中国测试技术研究院</w:t>
            </w:r>
          </w:p>
        </w:tc>
        <w:tc>
          <w:tcPr>
            <w:tcW w:w="1116" w:type="pct"/>
            <w:vMerge w:val="restart"/>
            <w:tcBorders>
              <w:tl2br w:val="nil"/>
              <w:tr2bl w:val="nil"/>
            </w:tcBorders>
            <w:noWrap w:val="0"/>
            <w:tcMar>
              <w:top w:w="0" w:type="dxa"/>
              <w:left w:w="0" w:type="dxa"/>
              <w:bottom w:w="0" w:type="dxa"/>
              <w:right w:w="0" w:type="dxa"/>
            </w:tcMar>
            <w:vAlign w:val="center"/>
          </w:tcPr>
          <w:p w14:paraId="221F7A3F">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Cs w:val="21"/>
              </w:rPr>
            </w:pPr>
            <w:r>
              <w:rPr>
                <w:rFonts w:hint="eastAsia" w:ascii="宋体" w:hAnsi="宋体" w:eastAsia="宋体" w:cs="宋体"/>
                <w:color w:val="auto"/>
                <w:szCs w:val="21"/>
              </w:rPr>
              <w:t>20</w:t>
            </w:r>
            <w:r>
              <w:rPr>
                <w:rFonts w:hint="eastAsia" w:ascii="宋体" w:hAnsi="宋体" w:eastAsia="宋体" w:cs="宋体"/>
                <w:color w:val="auto"/>
                <w:szCs w:val="21"/>
                <w:lang w:val="en-US" w:eastAsia="zh-CN"/>
              </w:rPr>
              <w:t>21</w:t>
            </w:r>
            <w:r>
              <w:rPr>
                <w:rFonts w:hint="eastAsia" w:ascii="宋体" w:hAnsi="宋体" w:eastAsia="宋体" w:cs="宋体"/>
                <w:color w:val="auto"/>
                <w:szCs w:val="21"/>
              </w:rPr>
              <w:t>年</w:t>
            </w:r>
            <w:r>
              <w:rPr>
                <w:rFonts w:hint="eastAsia" w:ascii="宋体" w:hAnsi="宋体" w:eastAsia="宋体" w:cs="宋体"/>
                <w:color w:val="auto"/>
                <w:szCs w:val="21"/>
                <w:lang w:val="en-US" w:eastAsia="zh-CN"/>
              </w:rPr>
              <w:t>12</w:t>
            </w:r>
            <w:r>
              <w:rPr>
                <w:rFonts w:hint="eastAsia" w:ascii="宋体" w:hAnsi="宋体" w:eastAsia="宋体" w:cs="宋体"/>
                <w:color w:val="auto"/>
                <w:szCs w:val="21"/>
              </w:rPr>
              <w:t>月</w:t>
            </w:r>
            <w:r>
              <w:rPr>
                <w:rFonts w:hint="eastAsia" w:ascii="宋体" w:hAnsi="宋体" w:eastAsia="宋体" w:cs="宋体"/>
                <w:color w:val="auto"/>
                <w:szCs w:val="21"/>
                <w:lang w:val="en-US" w:eastAsia="zh-CN"/>
              </w:rPr>
              <w:t>13</w:t>
            </w:r>
            <w:r>
              <w:rPr>
                <w:rFonts w:hint="eastAsia" w:ascii="宋体" w:hAnsi="宋体" w:eastAsia="宋体" w:cs="宋体"/>
                <w:color w:val="auto"/>
                <w:szCs w:val="21"/>
              </w:rPr>
              <w:t>日</w:t>
            </w:r>
            <w:r>
              <w:rPr>
                <w:rFonts w:hint="eastAsia" w:ascii="宋体" w:hAnsi="宋体" w:eastAsia="宋体" w:cs="宋体"/>
                <w:color w:val="auto"/>
                <w:szCs w:val="21"/>
                <w:lang w:val="en-US" w:eastAsia="zh-CN"/>
              </w:rPr>
              <w:t>～</w:t>
            </w:r>
            <w:r>
              <w:rPr>
                <w:rFonts w:hint="eastAsia" w:ascii="宋体" w:hAnsi="宋体" w:eastAsia="宋体" w:cs="宋体"/>
                <w:color w:val="auto"/>
                <w:szCs w:val="21"/>
              </w:rPr>
              <w:t>20</w:t>
            </w:r>
            <w:r>
              <w:rPr>
                <w:rFonts w:hint="eastAsia" w:ascii="宋体" w:hAnsi="宋体" w:eastAsia="宋体" w:cs="宋体"/>
                <w:color w:val="auto"/>
                <w:szCs w:val="21"/>
                <w:lang w:val="en-US" w:eastAsia="zh-CN"/>
              </w:rPr>
              <w:t>22</w:t>
            </w:r>
            <w:r>
              <w:rPr>
                <w:rFonts w:hint="eastAsia" w:ascii="宋体" w:hAnsi="宋体" w:eastAsia="宋体" w:cs="宋体"/>
                <w:color w:val="auto"/>
                <w:szCs w:val="21"/>
              </w:rPr>
              <w:t>年</w:t>
            </w:r>
            <w:r>
              <w:rPr>
                <w:rFonts w:hint="eastAsia" w:ascii="宋体" w:hAnsi="宋体" w:eastAsia="宋体" w:cs="宋体"/>
                <w:color w:val="auto"/>
                <w:szCs w:val="21"/>
                <w:lang w:val="en-US" w:eastAsia="zh-CN"/>
              </w:rPr>
              <w:t>12</w:t>
            </w:r>
            <w:r>
              <w:rPr>
                <w:rFonts w:hint="eastAsia" w:ascii="宋体" w:hAnsi="宋体" w:eastAsia="宋体" w:cs="宋体"/>
                <w:color w:val="auto"/>
                <w:szCs w:val="21"/>
              </w:rPr>
              <w:t>月</w:t>
            </w:r>
            <w:r>
              <w:rPr>
                <w:rFonts w:hint="eastAsia" w:ascii="宋体" w:hAnsi="宋体" w:eastAsia="宋体" w:cs="宋体"/>
                <w:color w:val="auto"/>
                <w:szCs w:val="21"/>
                <w:lang w:val="en-US" w:eastAsia="zh-CN"/>
              </w:rPr>
              <w:t>16</w:t>
            </w:r>
            <w:r>
              <w:rPr>
                <w:rFonts w:hint="eastAsia" w:ascii="宋体" w:hAnsi="宋体" w:eastAsia="宋体" w:cs="宋体"/>
                <w:color w:val="auto"/>
                <w:szCs w:val="21"/>
              </w:rPr>
              <w:t>日</w:t>
            </w:r>
          </w:p>
        </w:tc>
      </w:tr>
      <w:tr w14:paraId="6F3B4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7" w:hRule="atLeast"/>
          <w:jc w:val="center"/>
        </w:trPr>
        <w:tc>
          <w:tcPr>
            <w:tcW w:w="366" w:type="pct"/>
            <w:vMerge w:val="continue"/>
            <w:tcBorders>
              <w:tl2br w:val="nil"/>
              <w:tr2bl w:val="nil"/>
            </w:tcBorders>
            <w:noWrap w:val="0"/>
            <w:vAlign w:val="center"/>
          </w:tcPr>
          <w:p w14:paraId="33E2FC37">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szCs w:val="21"/>
              </w:rPr>
            </w:pPr>
          </w:p>
        </w:tc>
        <w:tc>
          <w:tcPr>
            <w:tcW w:w="970" w:type="pct"/>
            <w:tcBorders>
              <w:tl2br w:val="nil"/>
              <w:tr2bl w:val="nil"/>
            </w:tcBorders>
            <w:noWrap w:val="0"/>
            <w:tcMar>
              <w:top w:w="0" w:type="dxa"/>
              <w:left w:w="0" w:type="dxa"/>
              <w:bottom w:w="0" w:type="dxa"/>
              <w:right w:w="0" w:type="dxa"/>
            </w:tcMar>
            <w:vAlign w:val="center"/>
          </w:tcPr>
          <w:p w14:paraId="702573A6">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Cs w:val="21"/>
              </w:rPr>
            </w:pPr>
            <w:r>
              <w:rPr>
                <w:rFonts w:hint="eastAsia" w:ascii="宋体" w:hAnsi="宋体" w:eastAsia="宋体" w:cs="宋体"/>
                <w:color w:val="auto"/>
                <w:szCs w:val="21"/>
              </w:rPr>
              <w:t>工频磁感应强度</w:t>
            </w:r>
          </w:p>
        </w:tc>
        <w:tc>
          <w:tcPr>
            <w:tcW w:w="897" w:type="pct"/>
            <w:vMerge w:val="continue"/>
            <w:tcBorders>
              <w:tl2br w:val="nil"/>
              <w:tr2bl w:val="nil"/>
            </w:tcBorders>
            <w:noWrap w:val="0"/>
            <w:vAlign w:val="center"/>
          </w:tcPr>
          <w:p w14:paraId="2FF9D153">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szCs w:val="21"/>
              </w:rPr>
            </w:pPr>
          </w:p>
        </w:tc>
        <w:tc>
          <w:tcPr>
            <w:tcW w:w="860" w:type="pct"/>
            <w:vMerge w:val="continue"/>
            <w:tcBorders>
              <w:tl2br w:val="nil"/>
              <w:tr2bl w:val="nil"/>
            </w:tcBorders>
            <w:noWrap w:val="0"/>
            <w:vAlign w:val="center"/>
          </w:tcPr>
          <w:p w14:paraId="39945F5C">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szCs w:val="21"/>
              </w:rPr>
            </w:pPr>
          </w:p>
        </w:tc>
        <w:tc>
          <w:tcPr>
            <w:tcW w:w="788" w:type="pct"/>
            <w:vMerge w:val="continue"/>
            <w:tcBorders>
              <w:tl2br w:val="nil"/>
              <w:tr2bl w:val="nil"/>
            </w:tcBorders>
            <w:noWrap w:val="0"/>
            <w:vAlign w:val="center"/>
          </w:tcPr>
          <w:p w14:paraId="6A16ECAD">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szCs w:val="21"/>
              </w:rPr>
            </w:pPr>
          </w:p>
        </w:tc>
        <w:tc>
          <w:tcPr>
            <w:tcW w:w="1116" w:type="pct"/>
            <w:vMerge w:val="continue"/>
            <w:tcBorders>
              <w:tl2br w:val="nil"/>
              <w:tr2bl w:val="nil"/>
            </w:tcBorders>
            <w:noWrap w:val="0"/>
            <w:vAlign w:val="center"/>
          </w:tcPr>
          <w:p w14:paraId="70D5437E">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szCs w:val="21"/>
              </w:rPr>
            </w:pPr>
          </w:p>
        </w:tc>
      </w:tr>
    </w:tbl>
    <w:p w14:paraId="0A5B2BAF">
      <w:pPr>
        <w:keepNext w:val="0"/>
        <w:keepLines w:val="0"/>
        <w:pageBreakBefore w:val="0"/>
        <w:widowControl w:val="0"/>
        <w:kinsoku/>
        <w:wordWrap/>
        <w:overflowPunct/>
        <w:topLinePunct w:val="0"/>
        <w:autoSpaceDE/>
        <w:autoSpaceDN/>
        <w:bidi w:val="0"/>
        <w:adjustRightInd/>
        <w:snapToGrid/>
        <w:spacing w:before="313" w:beforeLines="100" w:line="360" w:lineRule="auto"/>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监测条件：晴，温度</w:t>
      </w:r>
      <w:r>
        <w:rPr>
          <w:rFonts w:hint="eastAsia" w:ascii="宋体" w:hAnsi="宋体" w:eastAsia="宋体" w:cs="宋体"/>
          <w:color w:val="auto"/>
          <w:sz w:val="24"/>
          <w:lang w:val="en-US" w:eastAsia="zh-CN"/>
        </w:rPr>
        <w:t>-9</w:t>
      </w:r>
      <w:r>
        <w:rPr>
          <w:rFonts w:hint="eastAsia" w:ascii="宋体" w:hAnsi="宋体" w:eastAsia="宋体" w:cs="宋体"/>
          <w:color w:val="auto"/>
          <w:sz w:val="24"/>
        </w:rPr>
        <w:t>～</w:t>
      </w:r>
      <w:r>
        <w:rPr>
          <w:rFonts w:hint="eastAsia" w:ascii="宋体" w:hAnsi="宋体" w:eastAsia="宋体" w:cs="宋体"/>
          <w:color w:val="auto"/>
          <w:sz w:val="24"/>
          <w:lang w:val="en-US" w:eastAsia="zh-CN"/>
        </w:rPr>
        <w:t>-3</w:t>
      </w:r>
      <w:r>
        <w:rPr>
          <w:rFonts w:hint="eastAsia" w:ascii="宋体" w:hAnsi="宋体" w:eastAsia="宋体" w:cs="宋体"/>
          <w:color w:val="auto"/>
          <w:sz w:val="24"/>
        </w:rPr>
        <w:t>℃，湿度</w:t>
      </w:r>
      <w:r>
        <w:rPr>
          <w:rFonts w:hint="eastAsia" w:ascii="宋体" w:hAnsi="宋体" w:eastAsia="宋体" w:cs="宋体"/>
          <w:color w:val="auto"/>
          <w:sz w:val="24"/>
          <w:lang w:val="en-US" w:eastAsia="zh-CN"/>
        </w:rPr>
        <w:t>18</w:t>
      </w:r>
      <w:r>
        <w:rPr>
          <w:rFonts w:hint="eastAsia" w:ascii="宋体" w:hAnsi="宋体" w:cs="宋体"/>
          <w:color w:val="auto"/>
          <w:sz w:val="24"/>
          <w:lang w:val="en-US" w:eastAsia="zh-CN"/>
        </w:rPr>
        <w:t>%～</w:t>
      </w:r>
      <w:r>
        <w:rPr>
          <w:rFonts w:hint="eastAsia" w:ascii="宋体" w:hAnsi="宋体" w:eastAsia="宋体" w:cs="宋体"/>
          <w:color w:val="auto"/>
          <w:sz w:val="24"/>
        </w:rPr>
        <w:t>35%，风速</w:t>
      </w:r>
      <w:r>
        <w:rPr>
          <w:rFonts w:hint="eastAsia" w:ascii="宋体" w:hAnsi="宋体" w:eastAsia="宋体" w:cs="宋体"/>
          <w:color w:val="auto"/>
          <w:sz w:val="24"/>
          <w:lang w:val="en-US" w:eastAsia="zh-CN"/>
        </w:rPr>
        <w:t>1.2</w:t>
      </w:r>
      <w:r>
        <w:rPr>
          <w:rFonts w:hint="eastAsia" w:ascii="宋体" w:hAnsi="宋体" w:eastAsia="宋体" w:cs="宋体"/>
          <w:color w:val="auto"/>
          <w:sz w:val="24"/>
        </w:rPr>
        <w:t>m/s～2.</w:t>
      </w:r>
      <w:r>
        <w:rPr>
          <w:rFonts w:hint="eastAsia" w:ascii="宋体" w:hAnsi="宋体" w:eastAsia="宋体" w:cs="宋体"/>
          <w:color w:val="auto"/>
          <w:sz w:val="24"/>
          <w:lang w:val="en-US" w:eastAsia="zh-CN"/>
        </w:rPr>
        <w:t>2</w:t>
      </w:r>
      <w:r>
        <w:rPr>
          <w:rFonts w:hint="eastAsia" w:ascii="宋体" w:hAnsi="宋体" w:eastAsia="宋体" w:cs="宋体"/>
          <w:color w:val="auto"/>
          <w:sz w:val="24"/>
        </w:rPr>
        <w:t>m/s。</w:t>
      </w:r>
    </w:p>
    <w:p w14:paraId="72694F7C">
      <w:pPr>
        <w:spacing w:line="360" w:lineRule="auto"/>
        <w:rPr>
          <w:rFonts w:hint="eastAsia" w:ascii="宋体" w:hAnsi="宋体" w:cs="Calibri"/>
          <w:b/>
          <w:color w:val="auto"/>
          <w:sz w:val="24"/>
          <w:szCs w:val="21"/>
        </w:rPr>
      </w:pPr>
      <w:r>
        <w:rPr>
          <w:rFonts w:hint="eastAsia" w:ascii="宋体" w:hAnsi="宋体" w:cs="Calibri"/>
          <w:b/>
          <w:color w:val="auto"/>
          <w:sz w:val="24"/>
          <w:szCs w:val="21"/>
        </w:rPr>
        <w:t>3.1.2.5监测结果</w:t>
      </w:r>
    </w:p>
    <w:p w14:paraId="7BBCB881">
      <w:pPr>
        <w:spacing w:line="360" w:lineRule="auto"/>
        <w:ind w:firstLine="480" w:firstLineChars="200"/>
        <w:rPr>
          <w:rFonts w:hint="eastAsia" w:ascii="宋体" w:hAnsi="宋体" w:cs="Calibri"/>
          <w:color w:val="auto"/>
          <w:sz w:val="24"/>
          <w:szCs w:val="21"/>
        </w:rPr>
      </w:pPr>
      <w:r>
        <w:rPr>
          <w:rFonts w:hint="eastAsia" w:ascii="宋体" w:hAnsi="宋体" w:cs="Calibri"/>
          <w:color w:val="auto"/>
          <w:sz w:val="24"/>
          <w:szCs w:val="21"/>
        </w:rPr>
        <w:t>监测结果见表3</w:t>
      </w:r>
      <w:r>
        <w:rPr>
          <w:rFonts w:hint="eastAsia" w:ascii="宋体" w:hAnsi="宋体" w:cs="Calibri"/>
          <w:color w:val="auto"/>
          <w:sz w:val="24"/>
          <w:szCs w:val="21"/>
          <w:lang w:val="en-US" w:eastAsia="zh-CN"/>
        </w:rPr>
        <w:t>.1</w:t>
      </w:r>
      <w:r>
        <w:rPr>
          <w:rFonts w:hint="eastAsia" w:ascii="宋体" w:hAnsi="宋体" w:cs="Calibri"/>
          <w:color w:val="auto"/>
          <w:sz w:val="24"/>
          <w:szCs w:val="21"/>
        </w:rPr>
        <w:t>-3、表3</w:t>
      </w:r>
      <w:r>
        <w:rPr>
          <w:rFonts w:hint="eastAsia" w:ascii="宋体" w:hAnsi="宋体" w:cs="Calibri"/>
          <w:color w:val="auto"/>
          <w:sz w:val="24"/>
          <w:szCs w:val="21"/>
          <w:lang w:val="en-US" w:eastAsia="zh-CN"/>
        </w:rPr>
        <w:t>.1</w:t>
      </w:r>
      <w:r>
        <w:rPr>
          <w:rFonts w:hint="eastAsia" w:ascii="宋体" w:hAnsi="宋体" w:cs="Calibri"/>
          <w:color w:val="auto"/>
          <w:sz w:val="24"/>
          <w:szCs w:val="21"/>
        </w:rPr>
        <w:t>-4。</w:t>
      </w:r>
    </w:p>
    <w:p w14:paraId="0723627C">
      <w:pPr>
        <w:jc w:val="center"/>
        <w:rPr>
          <w:rFonts w:ascii="宋体" w:hAnsi="宋体" w:cs="Calibri"/>
          <w:b/>
          <w:bCs/>
          <w:color w:val="auto"/>
          <w:sz w:val="24"/>
          <w:szCs w:val="21"/>
        </w:rPr>
      </w:pPr>
      <w:r>
        <w:rPr>
          <w:rFonts w:hint="eastAsia" w:ascii="宋体" w:hAnsi="宋体" w:cs="Calibri"/>
          <w:b/>
          <w:color w:val="auto"/>
          <w:sz w:val="24"/>
          <w:szCs w:val="21"/>
        </w:rPr>
        <w:t>表3</w:t>
      </w:r>
      <w:r>
        <w:rPr>
          <w:rFonts w:hint="eastAsia" w:ascii="宋体" w:hAnsi="宋体" w:cs="Calibri"/>
          <w:b/>
          <w:color w:val="auto"/>
          <w:sz w:val="24"/>
          <w:szCs w:val="21"/>
          <w:lang w:val="en-US" w:eastAsia="zh-CN"/>
        </w:rPr>
        <w:t>.1</w:t>
      </w:r>
      <w:r>
        <w:rPr>
          <w:rFonts w:hint="eastAsia" w:ascii="宋体" w:hAnsi="宋体" w:cs="Calibri"/>
          <w:b/>
          <w:color w:val="auto"/>
          <w:sz w:val="24"/>
          <w:szCs w:val="21"/>
        </w:rPr>
        <w:t>-3</w:t>
      </w:r>
      <w:r>
        <w:rPr>
          <w:rFonts w:hint="eastAsia" w:ascii="宋体" w:hAnsi="宋体" w:cs="Calibri"/>
          <w:b/>
          <w:color w:val="auto"/>
          <w:sz w:val="24"/>
          <w:szCs w:val="21"/>
          <w:lang w:val="en-US" w:eastAsia="zh-CN"/>
        </w:rPr>
        <w:t xml:space="preserve">    </w:t>
      </w:r>
      <w:r>
        <w:rPr>
          <w:rFonts w:hint="eastAsia" w:ascii="宋体" w:hAnsi="宋体" w:cs="Calibri"/>
          <w:b/>
          <w:snapToGrid w:val="0"/>
          <w:color w:val="auto"/>
          <w:kern w:val="0"/>
          <w:sz w:val="24"/>
          <w:szCs w:val="21"/>
          <w:lang w:val="en-US" w:eastAsia="zh-CN"/>
        </w:rPr>
        <w:t>类比</w:t>
      </w:r>
      <w:r>
        <w:rPr>
          <w:rFonts w:hint="eastAsia" w:ascii="宋体" w:hAnsi="宋体" w:cs="Calibri"/>
          <w:b/>
          <w:bCs/>
          <w:color w:val="auto"/>
          <w:sz w:val="24"/>
          <w:szCs w:val="21"/>
        </w:rPr>
        <w:t>变电站工频电场、工频磁场测试结果</w:t>
      </w:r>
    </w:p>
    <w:tbl>
      <w:tblPr>
        <w:tblStyle w:val="32"/>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59"/>
        <w:gridCol w:w="3142"/>
        <w:gridCol w:w="2216"/>
        <w:gridCol w:w="2021"/>
        <w:gridCol w:w="1708"/>
      </w:tblGrid>
      <w:tr w14:paraId="461BB8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386" w:type="pct"/>
            <w:vMerge w:val="restart"/>
            <w:noWrap w:val="0"/>
            <w:vAlign w:val="center"/>
          </w:tcPr>
          <w:p w14:paraId="18D495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序</w:t>
            </w:r>
            <w:r>
              <w:rPr>
                <w:rFonts w:hint="eastAsia" w:ascii="宋体" w:hAnsi="宋体" w:eastAsia="宋体" w:cs="宋体"/>
                <w:color w:val="auto"/>
                <w:sz w:val="21"/>
                <w:szCs w:val="21"/>
                <w:highlight w:val="none"/>
              </w:rPr>
              <w:t>号</w:t>
            </w:r>
          </w:p>
        </w:tc>
        <w:tc>
          <w:tcPr>
            <w:tcW w:w="1595" w:type="pct"/>
            <w:vMerge w:val="restart"/>
            <w:noWrap w:val="0"/>
            <w:vAlign w:val="center"/>
          </w:tcPr>
          <w:p w14:paraId="0786D5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测点描述</w:t>
            </w:r>
          </w:p>
        </w:tc>
        <w:tc>
          <w:tcPr>
            <w:tcW w:w="2151" w:type="pct"/>
            <w:gridSpan w:val="2"/>
            <w:noWrap w:val="0"/>
            <w:vAlign w:val="center"/>
          </w:tcPr>
          <w:p w14:paraId="007557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检测数值</w:t>
            </w:r>
          </w:p>
        </w:tc>
        <w:tc>
          <w:tcPr>
            <w:tcW w:w="867" w:type="pct"/>
            <w:vMerge w:val="restart"/>
            <w:noWrap w:val="0"/>
            <w:vAlign w:val="center"/>
          </w:tcPr>
          <w:p w14:paraId="423744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备注</w:t>
            </w:r>
          </w:p>
        </w:tc>
      </w:tr>
      <w:tr w14:paraId="1CA616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386" w:type="pct"/>
            <w:vMerge w:val="continue"/>
            <w:noWrap w:val="0"/>
            <w:vAlign w:val="center"/>
          </w:tcPr>
          <w:p w14:paraId="563ED1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p>
        </w:tc>
        <w:tc>
          <w:tcPr>
            <w:tcW w:w="1595" w:type="pct"/>
            <w:vMerge w:val="continue"/>
            <w:noWrap w:val="0"/>
            <w:vAlign w:val="center"/>
          </w:tcPr>
          <w:p w14:paraId="2D0B9D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p>
        </w:tc>
        <w:tc>
          <w:tcPr>
            <w:tcW w:w="1125" w:type="pct"/>
            <w:noWrap w:val="0"/>
            <w:vAlign w:val="center"/>
          </w:tcPr>
          <w:p w14:paraId="3B829D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工频电场强度</w:t>
            </w:r>
          </w:p>
          <w:p w14:paraId="3BC10C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(V/m)</w:t>
            </w:r>
          </w:p>
        </w:tc>
        <w:tc>
          <w:tcPr>
            <w:tcW w:w="1025" w:type="pct"/>
            <w:noWrap w:val="0"/>
            <w:vAlign w:val="center"/>
          </w:tcPr>
          <w:p w14:paraId="501856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工频磁感应</w:t>
            </w:r>
          </w:p>
          <w:p w14:paraId="760F36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强度</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μT</w:t>
            </w:r>
            <w:r>
              <w:rPr>
                <w:rFonts w:hint="eastAsia" w:ascii="宋体" w:hAnsi="宋体" w:cs="宋体"/>
                <w:color w:val="auto"/>
                <w:sz w:val="21"/>
                <w:szCs w:val="21"/>
                <w:highlight w:val="none"/>
                <w:lang w:eastAsia="zh-CN"/>
              </w:rPr>
              <w:t>）</w:t>
            </w:r>
          </w:p>
        </w:tc>
        <w:tc>
          <w:tcPr>
            <w:tcW w:w="867" w:type="pct"/>
            <w:vMerge w:val="continue"/>
            <w:noWrap w:val="0"/>
            <w:vAlign w:val="center"/>
          </w:tcPr>
          <w:p w14:paraId="64BB45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p>
        </w:tc>
      </w:tr>
      <w:tr w14:paraId="5D2040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86" w:type="pct"/>
            <w:noWrap w:val="0"/>
            <w:vAlign w:val="center"/>
          </w:tcPr>
          <w:p w14:paraId="0DBFF0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595" w:type="pct"/>
            <w:noWrap w:val="0"/>
            <w:vAlign w:val="center"/>
          </w:tcPr>
          <w:p w14:paraId="0A45A0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220kV升压站东侧围墙外5m处</w:t>
            </w:r>
          </w:p>
        </w:tc>
        <w:tc>
          <w:tcPr>
            <w:tcW w:w="1125" w:type="pct"/>
            <w:noWrap w:val="0"/>
            <w:vAlign w:val="center"/>
          </w:tcPr>
          <w:p w14:paraId="654507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58.6</w:t>
            </w:r>
          </w:p>
        </w:tc>
        <w:tc>
          <w:tcPr>
            <w:tcW w:w="1025" w:type="pct"/>
            <w:noWrap w:val="0"/>
            <w:vAlign w:val="center"/>
          </w:tcPr>
          <w:p w14:paraId="397812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0.41</w:t>
            </w:r>
          </w:p>
        </w:tc>
        <w:tc>
          <w:tcPr>
            <w:tcW w:w="867" w:type="pct"/>
            <w:noWrap w:val="0"/>
            <w:vAlign w:val="center"/>
          </w:tcPr>
          <w:p w14:paraId="21C9F8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14:paraId="6A4341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86" w:type="pct"/>
            <w:noWrap w:val="0"/>
            <w:vAlign w:val="center"/>
          </w:tcPr>
          <w:p w14:paraId="63A872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595" w:type="pct"/>
            <w:noWrap w:val="0"/>
            <w:vAlign w:val="center"/>
          </w:tcPr>
          <w:p w14:paraId="6E677F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220kV升压站南侧围墙外5m处</w:t>
            </w:r>
          </w:p>
        </w:tc>
        <w:tc>
          <w:tcPr>
            <w:tcW w:w="1125" w:type="pct"/>
            <w:noWrap w:val="0"/>
            <w:vAlign w:val="center"/>
          </w:tcPr>
          <w:p w14:paraId="49B8F5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48.2</w:t>
            </w:r>
          </w:p>
        </w:tc>
        <w:tc>
          <w:tcPr>
            <w:tcW w:w="1025" w:type="pct"/>
            <w:noWrap w:val="0"/>
            <w:vAlign w:val="center"/>
          </w:tcPr>
          <w:p w14:paraId="777A77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0.012</w:t>
            </w:r>
          </w:p>
        </w:tc>
        <w:tc>
          <w:tcPr>
            <w:tcW w:w="867" w:type="pct"/>
            <w:noWrap w:val="0"/>
            <w:vAlign w:val="center"/>
          </w:tcPr>
          <w:p w14:paraId="3FAC9C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14:paraId="69C8AA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86" w:type="pct"/>
            <w:noWrap w:val="0"/>
            <w:vAlign w:val="center"/>
          </w:tcPr>
          <w:p w14:paraId="64A60C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595" w:type="pct"/>
            <w:noWrap w:val="0"/>
            <w:vAlign w:val="center"/>
          </w:tcPr>
          <w:p w14:paraId="050FEE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220kV升压站西侧围墙外5m处</w:t>
            </w:r>
          </w:p>
        </w:tc>
        <w:tc>
          <w:tcPr>
            <w:tcW w:w="1125" w:type="pct"/>
            <w:noWrap w:val="0"/>
            <w:vAlign w:val="center"/>
          </w:tcPr>
          <w:p w14:paraId="3A9EB6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37.3</w:t>
            </w:r>
          </w:p>
        </w:tc>
        <w:tc>
          <w:tcPr>
            <w:tcW w:w="1025" w:type="pct"/>
            <w:noWrap w:val="0"/>
            <w:vAlign w:val="center"/>
          </w:tcPr>
          <w:p w14:paraId="47BC9E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0.29</w:t>
            </w:r>
          </w:p>
        </w:tc>
        <w:tc>
          <w:tcPr>
            <w:tcW w:w="867" w:type="pct"/>
            <w:noWrap w:val="0"/>
            <w:vAlign w:val="center"/>
          </w:tcPr>
          <w:p w14:paraId="295746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14:paraId="6C113C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86" w:type="pct"/>
            <w:noWrap w:val="0"/>
            <w:vAlign w:val="center"/>
          </w:tcPr>
          <w:p w14:paraId="09EE82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595" w:type="pct"/>
            <w:noWrap w:val="0"/>
            <w:vAlign w:val="center"/>
          </w:tcPr>
          <w:p w14:paraId="39C55E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220kV升压站北侧围墙外5m处</w:t>
            </w:r>
          </w:p>
        </w:tc>
        <w:tc>
          <w:tcPr>
            <w:tcW w:w="1125" w:type="pct"/>
            <w:noWrap w:val="0"/>
            <w:vAlign w:val="center"/>
          </w:tcPr>
          <w:p w14:paraId="236B91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867</w:t>
            </w:r>
            <w:r>
              <w:rPr>
                <w:rFonts w:hint="eastAsia" w:ascii="宋体" w:hAnsi="宋体" w:cs="宋体"/>
                <w:color w:val="auto"/>
                <w:sz w:val="21"/>
                <w:szCs w:val="21"/>
                <w:highlight w:val="none"/>
                <w:lang w:val="en-US" w:eastAsia="zh-CN"/>
              </w:rPr>
              <w:t>.0</w:t>
            </w:r>
          </w:p>
        </w:tc>
        <w:tc>
          <w:tcPr>
            <w:tcW w:w="1025" w:type="pct"/>
            <w:noWrap w:val="0"/>
            <w:vAlign w:val="center"/>
          </w:tcPr>
          <w:p w14:paraId="70C2C1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1.74</w:t>
            </w:r>
          </w:p>
        </w:tc>
        <w:tc>
          <w:tcPr>
            <w:tcW w:w="867" w:type="pct"/>
            <w:noWrap w:val="0"/>
            <w:vAlign w:val="center"/>
          </w:tcPr>
          <w:p w14:paraId="335A3F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北侧出线影响</w:t>
            </w:r>
          </w:p>
        </w:tc>
      </w:tr>
    </w:tbl>
    <w:p w14:paraId="7F6A73B7">
      <w:pPr>
        <w:ind w:firstLine="482" w:firstLineChars="200"/>
        <w:rPr>
          <w:rFonts w:hint="eastAsia" w:ascii="宋体" w:hAnsi="宋体" w:cs="Calibri"/>
          <w:b/>
          <w:color w:val="auto"/>
          <w:sz w:val="24"/>
          <w:szCs w:val="21"/>
        </w:rPr>
      </w:pPr>
    </w:p>
    <w:p w14:paraId="43C53244">
      <w:pPr>
        <w:ind w:firstLine="482" w:firstLineChars="200"/>
        <w:jc w:val="center"/>
        <w:rPr>
          <w:rFonts w:ascii="宋体" w:hAnsi="宋体" w:cs="Calibri"/>
          <w:b/>
          <w:bCs/>
          <w:color w:val="auto"/>
          <w:sz w:val="24"/>
          <w:szCs w:val="21"/>
        </w:rPr>
      </w:pPr>
      <w:r>
        <w:rPr>
          <w:rFonts w:hint="eastAsia" w:ascii="宋体" w:hAnsi="宋体" w:cs="Calibri"/>
          <w:b/>
          <w:color w:val="auto"/>
          <w:sz w:val="24"/>
          <w:szCs w:val="21"/>
        </w:rPr>
        <w:t>表3</w:t>
      </w:r>
      <w:r>
        <w:rPr>
          <w:rFonts w:hint="eastAsia" w:ascii="宋体" w:hAnsi="宋体" w:cs="Calibri"/>
          <w:b/>
          <w:color w:val="auto"/>
          <w:sz w:val="24"/>
          <w:szCs w:val="21"/>
          <w:lang w:val="en-US" w:eastAsia="zh-CN"/>
        </w:rPr>
        <w:t>.1</w:t>
      </w:r>
      <w:r>
        <w:rPr>
          <w:rFonts w:hint="eastAsia" w:ascii="宋体" w:hAnsi="宋体" w:cs="Calibri"/>
          <w:b/>
          <w:color w:val="auto"/>
          <w:sz w:val="24"/>
          <w:szCs w:val="21"/>
        </w:rPr>
        <w:t>-4</w:t>
      </w:r>
      <w:r>
        <w:rPr>
          <w:rFonts w:hint="eastAsia" w:ascii="宋体" w:hAnsi="宋体" w:cs="Calibri"/>
          <w:b/>
          <w:color w:val="auto"/>
          <w:sz w:val="24"/>
          <w:szCs w:val="21"/>
          <w:lang w:val="en-US" w:eastAsia="zh-CN"/>
        </w:rPr>
        <w:t xml:space="preserve">    </w:t>
      </w:r>
      <w:r>
        <w:rPr>
          <w:rFonts w:hint="eastAsia" w:ascii="宋体" w:hAnsi="宋体" w:cs="Calibri"/>
          <w:b/>
          <w:snapToGrid w:val="0"/>
          <w:color w:val="auto"/>
          <w:kern w:val="0"/>
          <w:sz w:val="24"/>
          <w:szCs w:val="21"/>
          <w:lang w:val="en-US" w:eastAsia="zh-CN"/>
        </w:rPr>
        <w:t>类比</w:t>
      </w:r>
      <w:r>
        <w:rPr>
          <w:rFonts w:hint="eastAsia" w:ascii="宋体" w:hAnsi="宋体" w:cs="Calibri"/>
          <w:b/>
          <w:bCs/>
          <w:color w:val="auto"/>
          <w:sz w:val="24"/>
          <w:szCs w:val="21"/>
        </w:rPr>
        <w:t>变电站工频电场、工频磁场测试结果</w:t>
      </w:r>
      <w:r>
        <w:rPr>
          <w:rFonts w:hint="eastAsia" w:ascii="宋体" w:hAnsi="宋体" w:cs="Calibri"/>
          <w:b/>
          <w:bCs/>
          <w:color w:val="auto"/>
          <w:sz w:val="24"/>
          <w:szCs w:val="21"/>
          <w:lang w:eastAsia="zh-CN"/>
        </w:rPr>
        <w:t>（</w:t>
      </w:r>
      <w:r>
        <w:rPr>
          <w:rFonts w:hint="eastAsia" w:ascii="宋体" w:hAnsi="宋体" w:cs="Calibri"/>
          <w:b/>
          <w:bCs/>
          <w:color w:val="auto"/>
          <w:sz w:val="24"/>
          <w:szCs w:val="21"/>
        </w:rPr>
        <w:t>衰减</w:t>
      </w:r>
      <w:r>
        <w:rPr>
          <w:rFonts w:hint="eastAsia" w:ascii="宋体" w:hAnsi="宋体" w:cs="Calibri"/>
          <w:b/>
          <w:bCs/>
          <w:color w:val="auto"/>
          <w:sz w:val="24"/>
          <w:szCs w:val="21"/>
          <w:lang w:eastAsia="zh-CN"/>
        </w:rPr>
        <w:t>）</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5"/>
        <w:gridCol w:w="2914"/>
        <w:gridCol w:w="2914"/>
        <w:gridCol w:w="2917"/>
      </w:tblGrid>
      <w:tr w14:paraId="117B13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61" w:type="pct"/>
            <w:tcBorders>
              <w:tl2br w:val="nil"/>
              <w:tr2bl w:val="nil"/>
            </w:tcBorders>
            <w:noWrap w:val="0"/>
            <w:vAlign w:val="center"/>
          </w:tcPr>
          <w:p w14:paraId="63276530">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1479" w:type="pct"/>
            <w:tcBorders>
              <w:tl2br w:val="nil"/>
              <w:tr2bl w:val="nil"/>
            </w:tcBorders>
            <w:noWrap w:val="0"/>
            <w:vAlign w:val="center"/>
          </w:tcPr>
          <w:p w14:paraId="58A71D6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测点位置：距围墙距离</w:t>
            </w:r>
            <w:r>
              <w:rPr>
                <w:rFonts w:hint="eastAsia" w:ascii="宋体" w:hAnsi="宋体" w:cs="宋体"/>
                <w:b/>
                <w:color w:val="auto"/>
                <w:sz w:val="21"/>
                <w:szCs w:val="21"/>
                <w:lang w:eastAsia="zh-CN"/>
              </w:rPr>
              <w:t>（</w:t>
            </w:r>
            <w:r>
              <w:rPr>
                <w:rFonts w:hint="eastAsia" w:ascii="宋体" w:hAnsi="宋体" w:eastAsia="宋体" w:cs="宋体"/>
                <w:b/>
                <w:color w:val="auto"/>
                <w:sz w:val="21"/>
                <w:szCs w:val="21"/>
              </w:rPr>
              <w:t>m</w:t>
            </w:r>
            <w:r>
              <w:rPr>
                <w:rFonts w:hint="eastAsia" w:ascii="宋体" w:hAnsi="宋体" w:cs="宋体"/>
                <w:b/>
                <w:color w:val="auto"/>
                <w:sz w:val="21"/>
                <w:szCs w:val="21"/>
                <w:lang w:eastAsia="zh-CN"/>
              </w:rPr>
              <w:t>）</w:t>
            </w:r>
          </w:p>
        </w:tc>
        <w:tc>
          <w:tcPr>
            <w:tcW w:w="1479" w:type="pct"/>
            <w:tcBorders>
              <w:tl2br w:val="nil"/>
              <w:tr2bl w:val="nil"/>
            </w:tcBorders>
            <w:noWrap w:val="0"/>
            <w:vAlign w:val="center"/>
          </w:tcPr>
          <w:p w14:paraId="185F8C20">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220kV侧工频电场强度</w:t>
            </w:r>
            <w:r>
              <w:rPr>
                <w:rFonts w:hint="eastAsia" w:ascii="宋体" w:hAnsi="宋体" w:cs="宋体"/>
                <w:b/>
                <w:color w:val="auto"/>
                <w:sz w:val="21"/>
                <w:szCs w:val="21"/>
                <w:lang w:eastAsia="zh-CN"/>
              </w:rPr>
              <w:t>（</w:t>
            </w:r>
            <w:r>
              <w:rPr>
                <w:rFonts w:hint="eastAsia" w:ascii="宋体" w:hAnsi="宋体" w:eastAsia="宋体" w:cs="宋体"/>
                <w:b/>
                <w:color w:val="auto"/>
                <w:sz w:val="21"/>
                <w:szCs w:val="21"/>
              </w:rPr>
              <w:t>V/m</w:t>
            </w:r>
            <w:r>
              <w:rPr>
                <w:rFonts w:hint="eastAsia" w:ascii="宋体" w:hAnsi="宋体" w:cs="宋体"/>
                <w:b/>
                <w:color w:val="auto"/>
                <w:sz w:val="21"/>
                <w:szCs w:val="21"/>
                <w:lang w:eastAsia="zh-CN"/>
              </w:rPr>
              <w:t>）</w:t>
            </w:r>
          </w:p>
        </w:tc>
        <w:tc>
          <w:tcPr>
            <w:tcW w:w="1480" w:type="pct"/>
            <w:tcBorders>
              <w:tl2br w:val="nil"/>
              <w:tr2bl w:val="nil"/>
            </w:tcBorders>
            <w:noWrap w:val="0"/>
            <w:vAlign w:val="center"/>
          </w:tcPr>
          <w:p w14:paraId="0D772B2D">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220kV侧工频磁感应</w:t>
            </w:r>
          </w:p>
          <w:p w14:paraId="063A1FD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强度</w:t>
            </w:r>
            <w:r>
              <w:rPr>
                <w:rFonts w:hint="eastAsia" w:ascii="宋体" w:hAnsi="宋体" w:cs="宋体"/>
                <w:b/>
                <w:color w:val="auto"/>
                <w:sz w:val="21"/>
                <w:szCs w:val="21"/>
                <w:lang w:eastAsia="zh-CN"/>
              </w:rPr>
              <w:t>（</w:t>
            </w:r>
            <w:r>
              <w:rPr>
                <w:rFonts w:hint="eastAsia" w:ascii="宋体" w:hAnsi="宋体" w:eastAsia="宋体" w:cs="宋体"/>
                <w:b/>
                <w:color w:val="auto"/>
                <w:sz w:val="21"/>
                <w:szCs w:val="21"/>
              </w:rPr>
              <w:t>μT</w:t>
            </w:r>
            <w:r>
              <w:rPr>
                <w:rFonts w:hint="eastAsia" w:ascii="宋体" w:hAnsi="宋体" w:cs="宋体"/>
                <w:b/>
                <w:color w:val="auto"/>
                <w:sz w:val="21"/>
                <w:szCs w:val="21"/>
                <w:lang w:eastAsia="zh-CN"/>
              </w:rPr>
              <w:t>）</w:t>
            </w:r>
          </w:p>
        </w:tc>
      </w:tr>
      <w:tr w14:paraId="0951CA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61" w:type="pct"/>
            <w:tcBorders>
              <w:tl2br w:val="nil"/>
              <w:tr2bl w:val="nil"/>
            </w:tcBorders>
            <w:noWrap w:val="0"/>
            <w:vAlign w:val="center"/>
          </w:tcPr>
          <w:p w14:paraId="7DA6EFD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479" w:type="pct"/>
            <w:tcBorders>
              <w:tl2br w:val="nil"/>
              <w:tr2bl w:val="nil"/>
            </w:tcBorders>
            <w:noWrap w:val="0"/>
            <w:vAlign w:val="center"/>
          </w:tcPr>
          <w:p w14:paraId="49004A8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5m</w:t>
            </w:r>
          </w:p>
        </w:tc>
        <w:tc>
          <w:tcPr>
            <w:tcW w:w="1479" w:type="pct"/>
            <w:tcBorders>
              <w:tl2br w:val="nil"/>
              <w:tr2bl w:val="nil"/>
            </w:tcBorders>
            <w:noWrap w:val="0"/>
            <w:vAlign w:val="center"/>
          </w:tcPr>
          <w:p w14:paraId="3018500A">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58.6</w:t>
            </w:r>
          </w:p>
        </w:tc>
        <w:tc>
          <w:tcPr>
            <w:tcW w:w="1480" w:type="pct"/>
            <w:tcBorders>
              <w:tl2br w:val="nil"/>
              <w:tr2bl w:val="nil"/>
            </w:tcBorders>
            <w:noWrap w:val="0"/>
            <w:vAlign w:val="center"/>
          </w:tcPr>
          <w:p w14:paraId="3119AA7B">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0.</w:t>
            </w:r>
            <w:r>
              <w:rPr>
                <w:rFonts w:hint="eastAsia" w:ascii="宋体" w:hAnsi="宋体" w:eastAsia="宋体" w:cs="宋体"/>
                <w:color w:val="auto"/>
                <w:sz w:val="21"/>
                <w:szCs w:val="21"/>
                <w:lang w:val="en-US" w:eastAsia="zh-CN"/>
              </w:rPr>
              <w:t>41</w:t>
            </w:r>
          </w:p>
        </w:tc>
      </w:tr>
      <w:tr w14:paraId="57CAA0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61" w:type="pct"/>
            <w:tcBorders>
              <w:tl2br w:val="nil"/>
              <w:tr2bl w:val="nil"/>
            </w:tcBorders>
            <w:noWrap w:val="0"/>
            <w:vAlign w:val="center"/>
          </w:tcPr>
          <w:p w14:paraId="2CCC45BA">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479" w:type="pct"/>
            <w:tcBorders>
              <w:tl2br w:val="nil"/>
              <w:tr2bl w:val="nil"/>
            </w:tcBorders>
            <w:noWrap w:val="0"/>
            <w:vAlign w:val="center"/>
          </w:tcPr>
          <w:p w14:paraId="223A3DC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10m</w:t>
            </w:r>
          </w:p>
        </w:tc>
        <w:tc>
          <w:tcPr>
            <w:tcW w:w="1479" w:type="pct"/>
            <w:tcBorders>
              <w:tl2br w:val="nil"/>
              <w:tr2bl w:val="nil"/>
            </w:tcBorders>
            <w:noWrap w:val="0"/>
            <w:vAlign w:val="center"/>
          </w:tcPr>
          <w:p w14:paraId="2E2B905B">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45.0</w:t>
            </w:r>
          </w:p>
        </w:tc>
        <w:tc>
          <w:tcPr>
            <w:tcW w:w="1480" w:type="pct"/>
            <w:tcBorders>
              <w:tl2br w:val="nil"/>
              <w:tr2bl w:val="nil"/>
            </w:tcBorders>
            <w:noWrap w:val="0"/>
            <w:vAlign w:val="center"/>
          </w:tcPr>
          <w:p w14:paraId="6285C8BE">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0</w:t>
            </w:r>
            <w:r>
              <w:rPr>
                <w:rFonts w:hint="eastAsia" w:ascii="宋体" w:hAnsi="宋体" w:eastAsia="宋体" w:cs="宋体"/>
                <w:color w:val="auto"/>
                <w:sz w:val="21"/>
                <w:szCs w:val="21"/>
                <w:lang w:val="en-US" w:eastAsia="zh-CN"/>
              </w:rPr>
              <w:t>.35</w:t>
            </w:r>
          </w:p>
        </w:tc>
      </w:tr>
      <w:tr w14:paraId="4086F9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61" w:type="pct"/>
            <w:tcBorders>
              <w:tl2br w:val="nil"/>
              <w:tr2bl w:val="nil"/>
            </w:tcBorders>
            <w:noWrap w:val="0"/>
            <w:vAlign w:val="center"/>
          </w:tcPr>
          <w:p w14:paraId="6A56FF5D">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479" w:type="pct"/>
            <w:tcBorders>
              <w:tl2br w:val="nil"/>
              <w:tr2bl w:val="nil"/>
            </w:tcBorders>
            <w:noWrap w:val="0"/>
            <w:vAlign w:val="center"/>
          </w:tcPr>
          <w:p w14:paraId="6EA7498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15m</w:t>
            </w:r>
          </w:p>
        </w:tc>
        <w:tc>
          <w:tcPr>
            <w:tcW w:w="1479" w:type="pct"/>
            <w:tcBorders>
              <w:tl2br w:val="nil"/>
              <w:tr2bl w:val="nil"/>
            </w:tcBorders>
            <w:noWrap w:val="0"/>
            <w:vAlign w:val="center"/>
          </w:tcPr>
          <w:p w14:paraId="6C5C7E60">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37.5</w:t>
            </w:r>
          </w:p>
        </w:tc>
        <w:tc>
          <w:tcPr>
            <w:tcW w:w="1480" w:type="pct"/>
            <w:tcBorders>
              <w:tl2br w:val="nil"/>
              <w:tr2bl w:val="nil"/>
            </w:tcBorders>
            <w:noWrap w:val="0"/>
            <w:vAlign w:val="center"/>
          </w:tcPr>
          <w:p w14:paraId="37AE0E36">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0.030</w:t>
            </w:r>
          </w:p>
        </w:tc>
      </w:tr>
      <w:tr w14:paraId="4F6006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61" w:type="pct"/>
            <w:tcBorders>
              <w:tl2br w:val="nil"/>
              <w:tr2bl w:val="nil"/>
            </w:tcBorders>
            <w:noWrap w:val="0"/>
            <w:vAlign w:val="center"/>
          </w:tcPr>
          <w:p w14:paraId="127D99A8">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1479" w:type="pct"/>
            <w:tcBorders>
              <w:tl2br w:val="nil"/>
              <w:tr2bl w:val="nil"/>
            </w:tcBorders>
            <w:noWrap w:val="0"/>
            <w:vAlign w:val="center"/>
          </w:tcPr>
          <w:p w14:paraId="191D945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20m</w:t>
            </w:r>
          </w:p>
        </w:tc>
        <w:tc>
          <w:tcPr>
            <w:tcW w:w="1479" w:type="pct"/>
            <w:tcBorders>
              <w:tl2br w:val="nil"/>
              <w:tr2bl w:val="nil"/>
            </w:tcBorders>
            <w:noWrap w:val="0"/>
            <w:vAlign w:val="center"/>
          </w:tcPr>
          <w:p w14:paraId="2F6DAE20">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31.4</w:t>
            </w:r>
          </w:p>
        </w:tc>
        <w:tc>
          <w:tcPr>
            <w:tcW w:w="1480" w:type="pct"/>
            <w:tcBorders>
              <w:tl2br w:val="nil"/>
              <w:tr2bl w:val="nil"/>
            </w:tcBorders>
            <w:noWrap w:val="0"/>
            <w:vAlign w:val="center"/>
          </w:tcPr>
          <w:p w14:paraId="4AEFCE52">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0.</w:t>
            </w:r>
            <w:r>
              <w:rPr>
                <w:rFonts w:hint="eastAsia" w:ascii="宋体" w:hAnsi="宋体" w:eastAsia="宋体" w:cs="宋体"/>
                <w:color w:val="auto"/>
                <w:sz w:val="21"/>
                <w:szCs w:val="21"/>
                <w:lang w:val="en-US" w:eastAsia="zh-CN"/>
              </w:rPr>
              <w:t>022</w:t>
            </w:r>
          </w:p>
        </w:tc>
      </w:tr>
      <w:tr w14:paraId="7D0CC8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61" w:type="pct"/>
            <w:tcBorders>
              <w:tl2br w:val="nil"/>
              <w:tr2bl w:val="nil"/>
            </w:tcBorders>
            <w:noWrap w:val="0"/>
            <w:vAlign w:val="center"/>
          </w:tcPr>
          <w:p w14:paraId="45B08E8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479" w:type="pct"/>
            <w:tcBorders>
              <w:tl2br w:val="nil"/>
              <w:tr2bl w:val="nil"/>
            </w:tcBorders>
            <w:noWrap w:val="0"/>
            <w:vAlign w:val="center"/>
          </w:tcPr>
          <w:p w14:paraId="0FA49330">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25m</w:t>
            </w:r>
          </w:p>
        </w:tc>
        <w:tc>
          <w:tcPr>
            <w:tcW w:w="1479" w:type="pct"/>
            <w:tcBorders>
              <w:tl2br w:val="nil"/>
              <w:tr2bl w:val="nil"/>
            </w:tcBorders>
            <w:noWrap w:val="0"/>
            <w:vAlign w:val="center"/>
          </w:tcPr>
          <w:p w14:paraId="0606FA40">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25.5</w:t>
            </w:r>
          </w:p>
        </w:tc>
        <w:tc>
          <w:tcPr>
            <w:tcW w:w="1480" w:type="pct"/>
            <w:tcBorders>
              <w:tl2br w:val="nil"/>
              <w:tr2bl w:val="nil"/>
            </w:tcBorders>
            <w:noWrap w:val="0"/>
            <w:vAlign w:val="center"/>
          </w:tcPr>
          <w:p w14:paraId="542F25FD">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0.</w:t>
            </w:r>
            <w:r>
              <w:rPr>
                <w:rFonts w:hint="eastAsia" w:ascii="宋体" w:hAnsi="宋体" w:eastAsia="宋体" w:cs="宋体"/>
                <w:color w:val="auto"/>
                <w:sz w:val="21"/>
                <w:szCs w:val="21"/>
                <w:lang w:val="en-US" w:eastAsia="zh-CN"/>
              </w:rPr>
              <w:t>026</w:t>
            </w:r>
          </w:p>
        </w:tc>
      </w:tr>
      <w:tr w14:paraId="0D9852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61" w:type="pct"/>
            <w:tcBorders>
              <w:tl2br w:val="nil"/>
              <w:tr2bl w:val="nil"/>
            </w:tcBorders>
            <w:noWrap w:val="0"/>
            <w:vAlign w:val="center"/>
          </w:tcPr>
          <w:p w14:paraId="349CAA98">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1479" w:type="pct"/>
            <w:tcBorders>
              <w:tl2br w:val="nil"/>
              <w:tr2bl w:val="nil"/>
            </w:tcBorders>
            <w:noWrap w:val="0"/>
            <w:vAlign w:val="center"/>
          </w:tcPr>
          <w:p w14:paraId="5B8C73B6">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30m</w:t>
            </w:r>
          </w:p>
        </w:tc>
        <w:tc>
          <w:tcPr>
            <w:tcW w:w="1479" w:type="pct"/>
            <w:tcBorders>
              <w:tl2br w:val="nil"/>
              <w:tr2bl w:val="nil"/>
            </w:tcBorders>
            <w:noWrap w:val="0"/>
            <w:vAlign w:val="center"/>
          </w:tcPr>
          <w:p w14:paraId="6D5D17E8">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20.1</w:t>
            </w:r>
          </w:p>
        </w:tc>
        <w:tc>
          <w:tcPr>
            <w:tcW w:w="1480" w:type="pct"/>
            <w:tcBorders>
              <w:tl2br w:val="nil"/>
              <w:tr2bl w:val="nil"/>
            </w:tcBorders>
            <w:noWrap w:val="0"/>
            <w:vAlign w:val="center"/>
          </w:tcPr>
          <w:p w14:paraId="5ECCB1E6">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0.</w:t>
            </w:r>
            <w:r>
              <w:rPr>
                <w:rFonts w:hint="eastAsia" w:ascii="宋体" w:hAnsi="宋体" w:eastAsia="宋体" w:cs="宋体"/>
                <w:color w:val="auto"/>
                <w:sz w:val="21"/>
                <w:szCs w:val="21"/>
                <w:lang w:val="en-US" w:eastAsia="zh-CN"/>
              </w:rPr>
              <w:t>023</w:t>
            </w:r>
          </w:p>
        </w:tc>
      </w:tr>
      <w:tr w14:paraId="616DB4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61" w:type="pct"/>
            <w:tcBorders>
              <w:tl2br w:val="nil"/>
              <w:tr2bl w:val="nil"/>
            </w:tcBorders>
            <w:noWrap w:val="0"/>
            <w:vAlign w:val="center"/>
          </w:tcPr>
          <w:p w14:paraId="6C448F00">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1479" w:type="pct"/>
            <w:tcBorders>
              <w:tl2br w:val="nil"/>
              <w:tr2bl w:val="nil"/>
            </w:tcBorders>
            <w:noWrap w:val="0"/>
            <w:vAlign w:val="center"/>
          </w:tcPr>
          <w:p w14:paraId="67923AB8">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35m</w:t>
            </w:r>
          </w:p>
        </w:tc>
        <w:tc>
          <w:tcPr>
            <w:tcW w:w="1479" w:type="pct"/>
            <w:tcBorders>
              <w:tl2br w:val="nil"/>
              <w:tr2bl w:val="nil"/>
            </w:tcBorders>
            <w:noWrap w:val="0"/>
            <w:vAlign w:val="center"/>
          </w:tcPr>
          <w:p w14:paraId="428B2B46">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17.5</w:t>
            </w:r>
          </w:p>
        </w:tc>
        <w:tc>
          <w:tcPr>
            <w:tcW w:w="1480" w:type="pct"/>
            <w:tcBorders>
              <w:tl2br w:val="nil"/>
              <w:tr2bl w:val="nil"/>
            </w:tcBorders>
            <w:noWrap w:val="0"/>
            <w:vAlign w:val="center"/>
          </w:tcPr>
          <w:p w14:paraId="639B9AB6">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0.0</w:t>
            </w:r>
            <w:r>
              <w:rPr>
                <w:rFonts w:hint="eastAsia" w:ascii="宋体" w:hAnsi="宋体" w:eastAsia="宋体" w:cs="宋体"/>
                <w:color w:val="auto"/>
                <w:sz w:val="21"/>
                <w:szCs w:val="21"/>
                <w:lang w:val="en-US" w:eastAsia="zh-CN"/>
              </w:rPr>
              <w:t>14</w:t>
            </w:r>
          </w:p>
        </w:tc>
      </w:tr>
      <w:tr w14:paraId="433F81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61" w:type="pct"/>
            <w:tcBorders>
              <w:tl2br w:val="nil"/>
              <w:tr2bl w:val="nil"/>
            </w:tcBorders>
            <w:noWrap w:val="0"/>
            <w:vAlign w:val="center"/>
          </w:tcPr>
          <w:p w14:paraId="41A57F8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1479" w:type="pct"/>
            <w:tcBorders>
              <w:tl2br w:val="nil"/>
              <w:tr2bl w:val="nil"/>
            </w:tcBorders>
            <w:noWrap w:val="0"/>
            <w:vAlign w:val="center"/>
          </w:tcPr>
          <w:p w14:paraId="43C86A5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40m</w:t>
            </w:r>
          </w:p>
        </w:tc>
        <w:tc>
          <w:tcPr>
            <w:tcW w:w="1479" w:type="pct"/>
            <w:tcBorders>
              <w:tl2br w:val="nil"/>
              <w:tr2bl w:val="nil"/>
            </w:tcBorders>
            <w:noWrap w:val="0"/>
            <w:vAlign w:val="center"/>
          </w:tcPr>
          <w:p w14:paraId="76F1272F">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13.5</w:t>
            </w:r>
          </w:p>
        </w:tc>
        <w:tc>
          <w:tcPr>
            <w:tcW w:w="1480" w:type="pct"/>
            <w:tcBorders>
              <w:tl2br w:val="nil"/>
              <w:tr2bl w:val="nil"/>
            </w:tcBorders>
            <w:noWrap w:val="0"/>
            <w:vAlign w:val="center"/>
          </w:tcPr>
          <w:p w14:paraId="6556FF38">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0.0</w:t>
            </w:r>
            <w:r>
              <w:rPr>
                <w:rFonts w:hint="eastAsia" w:ascii="宋体" w:hAnsi="宋体" w:eastAsia="宋体" w:cs="宋体"/>
                <w:color w:val="auto"/>
                <w:sz w:val="21"/>
                <w:szCs w:val="21"/>
                <w:lang w:val="en-US" w:eastAsia="zh-CN"/>
              </w:rPr>
              <w:t>15</w:t>
            </w:r>
          </w:p>
        </w:tc>
      </w:tr>
      <w:tr w14:paraId="37C8DB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61" w:type="pct"/>
            <w:tcBorders>
              <w:tl2br w:val="nil"/>
              <w:tr2bl w:val="nil"/>
            </w:tcBorders>
            <w:noWrap w:val="0"/>
            <w:vAlign w:val="center"/>
          </w:tcPr>
          <w:p w14:paraId="772B7F0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1479" w:type="pct"/>
            <w:tcBorders>
              <w:tl2br w:val="nil"/>
              <w:tr2bl w:val="nil"/>
            </w:tcBorders>
            <w:noWrap w:val="0"/>
            <w:vAlign w:val="center"/>
          </w:tcPr>
          <w:p w14:paraId="7229257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45m</w:t>
            </w:r>
          </w:p>
        </w:tc>
        <w:tc>
          <w:tcPr>
            <w:tcW w:w="1479" w:type="pct"/>
            <w:tcBorders>
              <w:tl2br w:val="nil"/>
              <w:tr2bl w:val="nil"/>
            </w:tcBorders>
            <w:noWrap w:val="0"/>
            <w:vAlign w:val="center"/>
          </w:tcPr>
          <w:p w14:paraId="3BDCABFB">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7.20</w:t>
            </w:r>
          </w:p>
        </w:tc>
        <w:tc>
          <w:tcPr>
            <w:tcW w:w="1480" w:type="pct"/>
            <w:tcBorders>
              <w:tl2br w:val="nil"/>
              <w:tr2bl w:val="nil"/>
            </w:tcBorders>
            <w:noWrap w:val="0"/>
            <w:vAlign w:val="center"/>
          </w:tcPr>
          <w:p w14:paraId="44716B93">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0.</w:t>
            </w:r>
            <w:r>
              <w:rPr>
                <w:rFonts w:hint="eastAsia" w:ascii="宋体" w:hAnsi="宋体" w:eastAsia="宋体" w:cs="宋体"/>
                <w:color w:val="auto"/>
                <w:sz w:val="21"/>
                <w:szCs w:val="21"/>
                <w:lang w:val="en-US" w:eastAsia="zh-CN"/>
              </w:rPr>
              <w:t>010</w:t>
            </w:r>
          </w:p>
        </w:tc>
      </w:tr>
      <w:tr w14:paraId="7F9EA0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61" w:type="pct"/>
            <w:tcBorders>
              <w:tl2br w:val="nil"/>
              <w:tr2bl w:val="nil"/>
            </w:tcBorders>
            <w:noWrap w:val="0"/>
            <w:vAlign w:val="center"/>
          </w:tcPr>
          <w:p w14:paraId="1CC4F06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479" w:type="pct"/>
            <w:tcBorders>
              <w:tl2br w:val="nil"/>
              <w:tr2bl w:val="nil"/>
            </w:tcBorders>
            <w:noWrap w:val="0"/>
            <w:vAlign w:val="center"/>
          </w:tcPr>
          <w:p w14:paraId="4346084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50m</w:t>
            </w:r>
          </w:p>
        </w:tc>
        <w:tc>
          <w:tcPr>
            <w:tcW w:w="1479" w:type="pct"/>
            <w:tcBorders>
              <w:tl2br w:val="nil"/>
              <w:tr2bl w:val="nil"/>
            </w:tcBorders>
            <w:noWrap w:val="0"/>
            <w:vAlign w:val="center"/>
          </w:tcPr>
          <w:p w14:paraId="40EED59F">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5</w:t>
            </w:r>
            <w:r>
              <w:rPr>
                <w:rFonts w:hint="eastAsia" w:ascii="宋体" w:hAnsi="宋体" w:eastAsia="宋体" w:cs="宋体"/>
                <w:color w:val="auto"/>
                <w:sz w:val="21"/>
                <w:szCs w:val="21"/>
                <w:lang w:val="en-US" w:eastAsia="zh-CN"/>
              </w:rPr>
              <w:t>3</w:t>
            </w:r>
          </w:p>
        </w:tc>
        <w:tc>
          <w:tcPr>
            <w:tcW w:w="1480" w:type="pct"/>
            <w:tcBorders>
              <w:tl2br w:val="nil"/>
              <w:tr2bl w:val="nil"/>
            </w:tcBorders>
            <w:noWrap w:val="0"/>
            <w:vAlign w:val="center"/>
          </w:tcPr>
          <w:p w14:paraId="73AD6172">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0.0</w:t>
            </w:r>
            <w:r>
              <w:rPr>
                <w:rFonts w:hint="eastAsia" w:ascii="宋体" w:hAnsi="宋体" w:eastAsia="宋体" w:cs="宋体"/>
                <w:color w:val="auto"/>
                <w:sz w:val="21"/>
                <w:szCs w:val="21"/>
                <w:lang w:val="en-US" w:eastAsia="zh-CN"/>
              </w:rPr>
              <w:t>06</w:t>
            </w:r>
          </w:p>
        </w:tc>
      </w:tr>
    </w:tbl>
    <w:p w14:paraId="4C3045F0">
      <w:pPr>
        <w:spacing w:line="360" w:lineRule="auto"/>
        <w:ind w:firstLine="480" w:firstLineChars="200"/>
        <w:rPr>
          <w:rFonts w:hint="eastAsia" w:ascii="宋体" w:hAnsi="宋体" w:cs="Calibri"/>
          <w:color w:val="auto"/>
          <w:sz w:val="24"/>
          <w:szCs w:val="21"/>
        </w:rPr>
      </w:pPr>
    </w:p>
    <w:p w14:paraId="21EB0AE3">
      <w:pPr>
        <w:spacing w:line="360" w:lineRule="auto"/>
        <w:jc w:val="center"/>
        <w:rPr>
          <w:rFonts w:hint="eastAsia" w:ascii="宋体" w:hAnsi="宋体" w:eastAsia="宋体" w:cs="宋体"/>
          <w:color w:val="0000FF"/>
        </w:rPr>
      </w:pPr>
      <w:r>
        <w:rPr>
          <w:rFonts w:hint="eastAsia" w:ascii="宋体" w:hAnsi="宋体" w:eastAsia="宋体" w:cs="宋体"/>
          <w:color w:val="0000FF"/>
        </w:rPr>
        <w:drawing>
          <wp:inline distT="0" distB="0" distL="114300" distR="114300">
            <wp:extent cx="4572000" cy="2689860"/>
            <wp:effectExtent l="4445" t="4445" r="5080" b="10795"/>
            <wp:docPr id="18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173F47F">
      <w:pPr>
        <w:keepNext w:val="0"/>
        <w:keepLines w:val="0"/>
        <w:pageBreakBefore w:val="0"/>
        <w:widowControl w:val="0"/>
        <w:kinsoku/>
        <w:wordWrap/>
        <w:overflowPunct/>
        <w:topLinePunct w:val="0"/>
        <w:autoSpaceDE/>
        <w:autoSpaceDN/>
        <w:bidi w:val="0"/>
        <w:adjustRightInd w:val="0"/>
        <w:snapToGrid w:val="0"/>
        <w:spacing w:after="313" w:afterLines="100"/>
        <w:jc w:val="center"/>
        <w:textAlignment w:val="auto"/>
        <w:rPr>
          <w:rFonts w:hint="eastAsia" w:ascii="宋体" w:hAnsi="宋体" w:eastAsia="宋体" w:cs="宋体"/>
          <w:b/>
          <w:color w:val="auto"/>
          <w:sz w:val="24"/>
        </w:rPr>
      </w:pPr>
      <w:r>
        <w:rPr>
          <w:rFonts w:hint="eastAsia" w:ascii="宋体" w:hAnsi="宋体" w:eastAsia="宋体" w:cs="宋体"/>
          <w:b/>
          <w:color w:val="auto"/>
          <w:sz w:val="24"/>
        </w:rPr>
        <w:t>图3-1</w:t>
      </w:r>
      <w:r>
        <w:rPr>
          <w:rFonts w:hint="eastAsia" w:ascii="宋体" w:hAnsi="宋体" w:cs="宋体"/>
          <w:b/>
          <w:color w:val="auto"/>
          <w:sz w:val="24"/>
          <w:lang w:val="en-US" w:eastAsia="zh-CN"/>
        </w:rPr>
        <w:t xml:space="preserve">    </w:t>
      </w:r>
      <w:r>
        <w:rPr>
          <w:rFonts w:hint="eastAsia" w:ascii="宋体" w:hAnsi="宋体" w:eastAsia="宋体" w:cs="宋体"/>
          <w:b/>
          <w:color w:val="auto"/>
          <w:sz w:val="24"/>
        </w:rPr>
        <w:t>工频电场变化曲线示意图</w:t>
      </w:r>
    </w:p>
    <w:p w14:paraId="54166868">
      <w:pPr>
        <w:keepNext w:val="0"/>
        <w:keepLines w:val="0"/>
        <w:pageBreakBefore w:val="0"/>
        <w:widowControl w:val="0"/>
        <w:kinsoku/>
        <w:wordWrap/>
        <w:overflowPunct/>
        <w:topLinePunct w:val="0"/>
        <w:autoSpaceDE/>
        <w:autoSpaceDN/>
        <w:bidi w:val="0"/>
        <w:adjustRightInd w:val="0"/>
        <w:snapToGrid w:val="0"/>
        <w:spacing w:line="240" w:lineRule="auto"/>
        <w:ind w:firstLine="120" w:firstLineChars="50"/>
        <w:jc w:val="center"/>
        <w:textAlignment w:val="auto"/>
        <w:rPr>
          <w:rFonts w:hint="eastAsia" w:ascii="宋体" w:hAnsi="宋体" w:eastAsia="宋体" w:cs="宋体"/>
          <w:b/>
          <w:bCs/>
          <w:color w:val="auto"/>
          <w:sz w:val="24"/>
        </w:rPr>
      </w:pPr>
      <w:r>
        <w:rPr>
          <w:rFonts w:hint="eastAsia" w:ascii="宋体" w:hAnsi="宋体" w:eastAsia="宋体" w:cs="宋体"/>
          <w:b/>
          <w:bCs/>
          <w:color w:val="auto"/>
          <w:sz w:val="24"/>
        </w:rPr>
        <w:drawing>
          <wp:inline distT="0" distB="0" distL="114300" distR="114300">
            <wp:extent cx="4572000" cy="2678430"/>
            <wp:effectExtent l="4445" t="4445" r="5080" b="12700"/>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C0D6F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color w:val="auto"/>
          <w:sz w:val="24"/>
        </w:rPr>
      </w:pPr>
      <w:r>
        <w:rPr>
          <w:rFonts w:hint="eastAsia" w:ascii="宋体" w:hAnsi="宋体" w:eastAsia="宋体" w:cs="宋体"/>
          <w:b/>
          <w:color w:val="auto"/>
          <w:sz w:val="24"/>
        </w:rPr>
        <w:t>图3-2</w:t>
      </w:r>
      <w:r>
        <w:rPr>
          <w:rFonts w:hint="eastAsia" w:ascii="宋体" w:hAnsi="宋体" w:cs="宋体"/>
          <w:b/>
          <w:color w:val="auto"/>
          <w:sz w:val="24"/>
          <w:lang w:val="en-US" w:eastAsia="zh-CN"/>
        </w:rPr>
        <w:t xml:space="preserve">    </w:t>
      </w:r>
      <w:r>
        <w:rPr>
          <w:rFonts w:hint="eastAsia" w:ascii="宋体" w:hAnsi="宋体" w:eastAsia="宋体" w:cs="宋体"/>
          <w:b/>
          <w:color w:val="auto"/>
          <w:sz w:val="24"/>
        </w:rPr>
        <w:t>工频磁场变化曲线示意图</w:t>
      </w:r>
    </w:p>
    <w:p w14:paraId="15BC0D30">
      <w:pPr>
        <w:pStyle w:val="15"/>
        <w:rPr>
          <w:rFonts w:hint="eastAsia"/>
          <w:color w:val="0000FF"/>
        </w:rPr>
      </w:pPr>
    </w:p>
    <w:p w14:paraId="17E2B2A0">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根据</w:t>
      </w:r>
      <w:r>
        <w:rPr>
          <w:rFonts w:hint="eastAsia" w:ascii="宋体" w:hAnsi="宋体" w:eastAsia="宋体" w:cs="宋体"/>
          <w:color w:val="auto"/>
          <w:sz w:val="24"/>
          <w:lang w:val="en-US" w:eastAsia="zh-CN"/>
        </w:rPr>
        <w:t>中广核烟墩200MW风电场配套220千伏升压站</w:t>
      </w:r>
      <w:r>
        <w:rPr>
          <w:rFonts w:hint="eastAsia" w:ascii="宋体" w:hAnsi="宋体" w:eastAsia="宋体" w:cs="宋体"/>
          <w:color w:val="auto"/>
          <w:sz w:val="24"/>
        </w:rPr>
        <w:t>工频电场、工频磁场测试结果可以看出，</w:t>
      </w:r>
      <w:r>
        <w:rPr>
          <w:rFonts w:hint="eastAsia" w:ascii="宋体" w:hAnsi="宋体" w:eastAsia="宋体" w:cs="宋体"/>
          <w:color w:val="auto"/>
          <w:sz w:val="24"/>
          <w:lang w:val="en-US" w:eastAsia="zh-CN"/>
        </w:rPr>
        <w:t>升压</w:t>
      </w:r>
      <w:r>
        <w:rPr>
          <w:rFonts w:hint="eastAsia" w:ascii="宋体" w:hAnsi="宋体" w:eastAsia="宋体" w:cs="宋体"/>
          <w:color w:val="auto"/>
          <w:sz w:val="24"/>
        </w:rPr>
        <w:t>站围墙外5m工频电场强度为</w:t>
      </w:r>
      <w:r>
        <w:rPr>
          <w:rFonts w:hint="eastAsia" w:ascii="宋体" w:hAnsi="宋体" w:eastAsia="宋体" w:cs="宋体"/>
          <w:color w:val="auto"/>
          <w:sz w:val="24"/>
          <w:lang w:val="en-US" w:eastAsia="zh-CN"/>
        </w:rPr>
        <w:t>37.3</w:t>
      </w:r>
      <w:r>
        <w:rPr>
          <w:rFonts w:hint="eastAsia" w:ascii="宋体" w:hAnsi="宋体" w:eastAsia="宋体" w:cs="宋体"/>
          <w:color w:val="auto"/>
          <w:sz w:val="24"/>
        </w:rPr>
        <w:t>～</w:t>
      </w:r>
      <w:r>
        <w:rPr>
          <w:rFonts w:hint="eastAsia" w:ascii="宋体" w:hAnsi="宋体" w:eastAsia="宋体" w:cs="宋体"/>
          <w:color w:val="auto"/>
          <w:sz w:val="24"/>
          <w:lang w:val="en-US" w:eastAsia="zh-CN"/>
        </w:rPr>
        <w:t>867</w:t>
      </w:r>
      <w:r>
        <w:rPr>
          <w:rFonts w:hint="eastAsia" w:ascii="宋体" w:hAnsi="宋体" w:eastAsia="宋体" w:cs="宋体"/>
          <w:color w:val="auto"/>
          <w:sz w:val="24"/>
        </w:rPr>
        <w:t>V/m，工频磁感应强度为0.0</w:t>
      </w:r>
      <w:r>
        <w:rPr>
          <w:rFonts w:hint="eastAsia" w:ascii="宋体" w:hAnsi="宋体" w:eastAsia="宋体" w:cs="宋体"/>
          <w:color w:val="auto"/>
          <w:sz w:val="24"/>
          <w:lang w:val="en-US" w:eastAsia="zh-CN"/>
        </w:rPr>
        <w:t>12</w:t>
      </w:r>
      <w:r>
        <w:rPr>
          <w:rFonts w:hint="eastAsia" w:ascii="宋体" w:hAnsi="宋体" w:eastAsia="宋体" w:cs="宋体"/>
          <w:color w:val="auto"/>
          <w:sz w:val="24"/>
        </w:rPr>
        <w:t>～1.</w:t>
      </w:r>
      <w:r>
        <w:rPr>
          <w:rFonts w:hint="eastAsia" w:ascii="宋体" w:hAnsi="宋体" w:eastAsia="宋体" w:cs="宋体"/>
          <w:color w:val="auto"/>
          <w:sz w:val="24"/>
          <w:lang w:val="en-US" w:eastAsia="zh-CN"/>
        </w:rPr>
        <w:t>74</w:t>
      </w:r>
      <w:r>
        <w:rPr>
          <w:rFonts w:hint="eastAsia" w:ascii="宋体" w:hAnsi="宋体" w:eastAsia="宋体" w:cs="宋体"/>
          <w:color w:val="auto"/>
          <w:sz w:val="24"/>
        </w:rPr>
        <w:t>μT，</w:t>
      </w:r>
      <w:r>
        <w:rPr>
          <w:rFonts w:hint="eastAsia" w:ascii="宋体" w:hAnsi="宋体" w:eastAsia="宋体" w:cs="宋体"/>
          <w:color w:val="auto"/>
          <w:sz w:val="24"/>
          <w:lang w:val="en-US" w:eastAsia="zh-CN"/>
        </w:rPr>
        <w:t>中广核烟墩200MW风电场配套220千伏升压站</w:t>
      </w:r>
      <w:r>
        <w:rPr>
          <w:rFonts w:hint="eastAsia" w:ascii="宋体" w:hAnsi="宋体" w:eastAsia="宋体" w:cs="宋体"/>
          <w:color w:val="auto"/>
          <w:sz w:val="24"/>
        </w:rPr>
        <w:t>工频电场、工频磁场断面监测测试结果显示随距离增加呈现衰减趋势，变电站围墙外5m～50m，工频电场强度为</w:t>
      </w:r>
      <w:r>
        <w:rPr>
          <w:rFonts w:hint="eastAsia" w:ascii="宋体" w:hAnsi="宋体" w:eastAsia="宋体" w:cs="宋体"/>
          <w:color w:val="auto"/>
          <w:sz w:val="24"/>
          <w:lang w:val="en-US" w:eastAsia="zh-CN"/>
        </w:rPr>
        <w:t>3.53</w:t>
      </w:r>
      <w:r>
        <w:rPr>
          <w:rFonts w:hint="eastAsia" w:ascii="宋体" w:hAnsi="宋体" w:eastAsia="宋体" w:cs="宋体"/>
          <w:color w:val="auto"/>
          <w:sz w:val="24"/>
        </w:rPr>
        <w:t>～</w:t>
      </w:r>
      <w:r>
        <w:rPr>
          <w:rFonts w:hint="eastAsia" w:ascii="宋体" w:hAnsi="宋体" w:eastAsia="宋体" w:cs="宋体"/>
          <w:color w:val="auto"/>
          <w:sz w:val="24"/>
          <w:lang w:val="en-US" w:eastAsia="zh-CN"/>
        </w:rPr>
        <w:t>58.6</w:t>
      </w:r>
      <w:r>
        <w:rPr>
          <w:rFonts w:hint="eastAsia" w:ascii="宋体" w:hAnsi="宋体" w:eastAsia="宋体" w:cs="宋体"/>
          <w:color w:val="auto"/>
          <w:sz w:val="24"/>
        </w:rPr>
        <w:t>V/m，工频磁感应强度为0.</w:t>
      </w:r>
      <w:r>
        <w:rPr>
          <w:rFonts w:hint="eastAsia" w:ascii="宋体" w:hAnsi="宋体" w:eastAsia="宋体" w:cs="宋体"/>
          <w:color w:val="auto"/>
          <w:sz w:val="24"/>
          <w:lang w:val="en-US" w:eastAsia="zh-CN"/>
        </w:rPr>
        <w:t>006</w:t>
      </w:r>
      <w:r>
        <w:rPr>
          <w:rFonts w:hint="eastAsia" w:ascii="宋体" w:hAnsi="宋体" w:eastAsia="宋体" w:cs="宋体"/>
          <w:color w:val="auto"/>
          <w:sz w:val="24"/>
        </w:rPr>
        <w:t>～</w:t>
      </w:r>
      <w:r>
        <w:rPr>
          <w:rFonts w:hint="eastAsia" w:ascii="宋体" w:hAnsi="宋体" w:eastAsia="宋体" w:cs="宋体"/>
          <w:color w:val="auto"/>
          <w:sz w:val="24"/>
          <w:lang w:val="en-US" w:eastAsia="zh-CN"/>
        </w:rPr>
        <w:t>0.41</w:t>
      </w:r>
      <w:r>
        <w:rPr>
          <w:rFonts w:hint="eastAsia" w:ascii="宋体" w:hAnsi="宋体" w:eastAsia="宋体" w:cs="宋体"/>
          <w:color w:val="auto"/>
          <w:sz w:val="24"/>
        </w:rPr>
        <w:t>μT。满足《电磁环境控制限值》</w:t>
      </w:r>
      <w:r>
        <w:rPr>
          <w:rFonts w:hint="eastAsia" w:ascii="宋体" w:hAnsi="宋体" w:cs="宋体"/>
          <w:color w:val="auto"/>
          <w:sz w:val="24"/>
          <w:lang w:eastAsia="zh-CN"/>
        </w:rPr>
        <w:t>（</w:t>
      </w:r>
      <w:r>
        <w:rPr>
          <w:rFonts w:hint="eastAsia" w:ascii="宋体" w:hAnsi="宋体" w:eastAsia="宋体" w:cs="宋体"/>
          <w:color w:val="auto"/>
          <w:sz w:val="24"/>
        </w:rPr>
        <w:t>GB8702-2014</w:t>
      </w:r>
      <w:r>
        <w:rPr>
          <w:rFonts w:hint="eastAsia" w:ascii="宋体" w:hAnsi="宋体" w:cs="宋体"/>
          <w:color w:val="auto"/>
          <w:sz w:val="24"/>
          <w:lang w:eastAsia="zh-CN"/>
        </w:rPr>
        <w:t>）</w:t>
      </w:r>
      <w:r>
        <w:rPr>
          <w:rFonts w:hint="eastAsia" w:ascii="宋体" w:hAnsi="宋体" w:eastAsia="宋体" w:cs="宋体"/>
          <w:color w:val="auto"/>
          <w:sz w:val="24"/>
        </w:rPr>
        <w:t>中规定公众曝露控制限值：工频电场强度4</w:t>
      </w:r>
      <w:r>
        <w:rPr>
          <w:rFonts w:hint="eastAsia" w:ascii="宋体" w:hAnsi="宋体" w:eastAsia="宋体" w:cs="宋体"/>
          <w:color w:val="auto"/>
          <w:sz w:val="24"/>
          <w:lang w:val="en-US" w:eastAsia="zh-CN"/>
        </w:rPr>
        <w:t>k</w:t>
      </w:r>
      <w:r>
        <w:rPr>
          <w:rFonts w:hint="eastAsia" w:ascii="宋体" w:hAnsi="宋体" w:eastAsia="宋体" w:cs="宋体"/>
          <w:color w:val="auto"/>
          <w:sz w:val="24"/>
        </w:rPr>
        <w:t>V/m，工频磁感应强度100μT。</w:t>
      </w:r>
    </w:p>
    <w:p w14:paraId="5475DCBC">
      <w:pPr>
        <w:spacing w:line="360" w:lineRule="auto"/>
        <w:ind w:firstLine="480" w:firstLineChars="200"/>
        <w:rPr>
          <w:rFonts w:hint="eastAsia" w:ascii="Calibri" w:hAnsi="Calibri" w:eastAsia="宋体" w:cs="Calibri"/>
          <w:color w:val="0000FF"/>
          <w:kern w:val="2"/>
          <w:sz w:val="21"/>
          <w:szCs w:val="22"/>
          <w:lang w:val="en-US" w:eastAsia="zh-CN" w:bidi="ar-SA"/>
        </w:rPr>
      </w:pPr>
      <w:r>
        <w:rPr>
          <w:rFonts w:hint="eastAsia" w:ascii="宋体" w:hAnsi="宋体" w:eastAsia="宋体" w:cs="宋体"/>
          <w:color w:val="auto"/>
          <w:kern w:val="0"/>
          <w:sz w:val="24"/>
        </w:rPr>
        <w:t>以类比结果中可能造成的最大影响为基准，</w:t>
      </w:r>
      <w:r>
        <w:rPr>
          <w:rFonts w:hint="eastAsia" w:ascii="宋体" w:hAnsi="宋体" w:eastAsia="宋体" w:cs="宋体"/>
          <w:color w:val="auto"/>
          <w:kern w:val="0"/>
          <w:sz w:val="24"/>
          <w:lang w:val="en-US" w:eastAsia="zh-CN"/>
        </w:rPr>
        <w:t>预测可知本项目</w:t>
      </w:r>
      <w:r>
        <w:rPr>
          <w:rFonts w:hint="eastAsia" w:ascii="宋体" w:hAnsi="宋体" w:cs="宋体"/>
          <w:color w:val="auto"/>
          <w:kern w:val="0"/>
          <w:sz w:val="24"/>
          <w:lang w:eastAsia="zh-CN"/>
        </w:rPr>
        <w:t>升压站</w:t>
      </w:r>
      <w:r>
        <w:rPr>
          <w:rFonts w:hint="eastAsia" w:ascii="宋体" w:hAnsi="宋体" w:eastAsia="宋体" w:cs="宋体"/>
          <w:color w:val="auto"/>
          <w:kern w:val="0"/>
          <w:sz w:val="24"/>
        </w:rPr>
        <w:t>建成投运后，</w:t>
      </w:r>
      <w:r>
        <w:rPr>
          <w:rFonts w:hint="eastAsia" w:ascii="宋体" w:hAnsi="宋体" w:eastAsia="宋体" w:cs="宋体"/>
          <w:color w:val="auto"/>
          <w:kern w:val="0"/>
          <w:sz w:val="24"/>
          <w:lang w:val="en-US" w:eastAsia="zh-CN"/>
        </w:rPr>
        <w:t>其厂界的工频电场强度和电磁感应强度均低于</w:t>
      </w:r>
      <w:r>
        <w:rPr>
          <w:rFonts w:hint="eastAsia" w:ascii="宋体" w:hAnsi="宋体" w:eastAsia="宋体" w:cs="宋体"/>
          <w:color w:val="auto"/>
          <w:kern w:val="0"/>
          <w:sz w:val="24"/>
        </w:rPr>
        <w:t>《电磁环境控制限值》</w:t>
      </w:r>
      <w:r>
        <w:rPr>
          <w:rFonts w:hint="eastAsia" w:ascii="宋体" w:hAnsi="宋体" w:cs="宋体"/>
          <w:color w:val="auto"/>
          <w:kern w:val="0"/>
          <w:sz w:val="24"/>
          <w:lang w:eastAsia="zh-CN"/>
        </w:rPr>
        <w:t>（</w:t>
      </w:r>
      <w:r>
        <w:rPr>
          <w:rFonts w:hint="eastAsia" w:ascii="宋体" w:hAnsi="宋体" w:eastAsia="宋体" w:cs="宋体"/>
          <w:color w:val="auto"/>
          <w:kern w:val="0"/>
          <w:sz w:val="24"/>
        </w:rPr>
        <w:t>GB8702-2014</w:t>
      </w:r>
      <w:r>
        <w:rPr>
          <w:rFonts w:hint="eastAsia" w:ascii="宋体" w:hAnsi="宋体" w:cs="宋体"/>
          <w:color w:val="auto"/>
          <w:kern w:val="0"/>
          <w:sz w:val="24"/>
          <w:lang w:eastAsia="zh-CN"/>
        </w:rPr>
        <w:t>）</w:t>
      </w:r>
      <w:r>
        <w:rPr>
          <w:rFonts w:hint="eastAsia" w:ascii="宋体" w:hAnsi="宋体" w:eastAsia="宋体" w:cs="宋体"/>
          <w:color w:val="auto"/>
          <w:kern w:val="0"/>
          <w:sz w:val="24"/>
        </w:rPr>
        <w:t>中规</w:t>
      </w:r>
      <w:r>
        <w:rPr>
          <w:rFonts w:hint="eastAsia" w:ascii="宋体" w:hAnsi="宋体" w:cs="宋体"/>
          <w:color w:val="auto"/>
          <w:kern w:val="0"/>
          <w:sz w:val="24"/>
          <w:lang w:eastAsia="zh-CN"/>
        </w:rPr>
        <w:t>定的</w:t>
      </w:r>
      <w:r>
        <w:rPr>
          <w:rFonts w:hint="eastAsia" w:ascii="宋体" w:hAnsi="宋体" w:eastAsia="宋体" w:cs="宋体"/>
          <w:color w:val="auto"/>
          <w:kern w:val="0"/>
          <w:sz w:val="24"/>
        </w:rPr>
        <w:t>公众曝露控制限值：工频电场强度4</w:t>
      </w:r>
      <w:r>
        <w:rPr>
          <w:rFonts w:hint="eastAsia" w:ascii="宋体" w:hAnsi="宋体" w:eastAsia="宋体" w:cs="宋体"/>
          <w:color w:val="auto"/>
          <w:kern w:val="0"/>
          <w:sz w:val="24"/>
          <w:lang w:val="en-US" w:eastAsia="zh-CN"/>
        </w:rPr>
        <w:t>k</w:t>
      </w:r>
      <w:r>
        <w:rPr>
          <w:rFonts w:hint="eastAsia" w:ascii="宋体" w:hAnsi="宋体" w:eastAsia="宋体" w:cs="宋体"/>
          <w:color w:val="auto"/>
          <w:kern w:val="0"/>
          <w:sz w:val="24"/>
        </w:rPr>
        <w:t>V/m，工频磁感应强度100μT</w:t>
      </w:r>
      <w:r>
        <w:rPr>
          <w:rFonts w:ascii="宋体" w:hAnsi="宋体" w:cs="Calibri"/>
          <w:color w:val="auto"/>
          <w:sz w:val="24"/>
          <w:szCs w:val="21"/>
        </w:rPr>
        <w:t>。</w:t>
      </w:r>
    </w:p>
    <w:p w14:paraId="48887686">
      <w:pPr>
        <w:spacing w:line="360" w:lineRule="auto"/>
        <w:outlineLvl w:val="2"/>
        <w:rPr>
          <w:rFonts w:hint="eastAsia" w:ascii="宋体" w:hAnsi="宋体" w:cs="Calibri"/>
          <w:b/>
          <w:color w:val="auto"/>
          <w:kern w:val="15"/>
          <w:sz w:val="24"/>
          <w:szCs w:val="21"/>
        </w:rPr>
      </w:pPr>
      <w:bookmarkStart w:id="199" w:name="_Toc61882580"/>
      <w:r>
        <w:rPr>
          <w:rFonts w:hint="eastAsia" w:ascii="宋体" w:hAnsi="宋体" w:cs="Calibri"/>
          <w:b/>
          <w:color w:val="auto"/>
          <w:kern w:val="15"/>
          <w:sz w:val="24"/>
          <w:szCs w:val="21"/>
        </w:rPr>
        <w:t>3.1.3</w:t>
      </w:r>
      <w:r>
        <w:rPr>
          <w:rFonts w:hint="eastAsia" w:ascii="宋体" w:hAnsi="宋体" w:cs="Calibri"/>
          <w:b/>
          <w:color w:val="auto"/>
          <w:kern w:val="15"/>
          <w:sz w:val="24"/>
          <w:szCs w:val="21"/>
          <w:lang w:val="en-US" w:eastAsia="zh-CN"/>
        </w:rPr>
        <w:t>升压</w:t>
      </w:r>
      <w:r>
        <w:rPr>
          <w:rFonts w:hint="eastAsia" w:ascii="宋体" w:hAnsi="宋体" w:cs="Calibri"/>
          <w:b/>
          <w:color w:val="auto"/>
          <w:kern w:val="15"/>
          <w:sz w:val="24"/>
          <w:szCs w:val="21"/>
        </w:rPr>
        <w:t>站工频电场、工频磁场环境影响评价</w:t>
      </w:r>
      <w:bookmarkEnd w:id="199"/>
    </w:p>
    <w:p w14:paraId="2CD71E5B">
      <w:pPr>
        <w:spacing w:line="360" w:lineRule="auto"/>
        <w:ind w:firstLine="480" w:firstLineChars="200"/>
        <w:rPr>
          <w:rFonts w:hint="eastAsia" w:ascii="宋体" w:hAnsi="宋体" w:cs="Calibri"/>
          <w:color w:val="auto"/>
          <w:sz w:val="24"/>
          <w:szCs w:val="21"/>
        </w:rPr>
      </w:pPr>
      <w:r>
        <w:rPr>
          <w:rFonts w:hint="eastAsia" w:ascii="Calibri" w:hAnsi="Calibri" w:cs="Calibri"/>
          <w:color w:val="auto"/>
          <w:sz w:val="24"/>
          <w:szCs w:val="21"/>
        </w:rPr>
        <w:t>根据类比测量结果进行分析，类比工程工频电场强度以及工频磁感应强度低于</w:t>
      </w:r>
      <w:r>
        <w:rPr>
          <w:rFonts w:hint="eastAsia" w:ascii="宋体" w:hAnsi="宋体" w:cs="Calibri"/>
          <w:color w:val="auto"/>
          <w:sz w:val="24"/>
          <w:szCs w:val="21"/>
        </w:rPr>
        <w:t>《电磁环境控制限值》</w:t>
      </w:r>
      <w:r>
        <w:rPr>
          <w:rFonts w:hint="eastAsia" w:ascii="宋体" w:hAnsi="宋体" w:cs="Calibri"/>
          <w:color w:val="auto"/>
          <w:sz w:val="24"/>
          <w:szCs w:val="21"/>
          <w:lang w:eastAsia="zh-CN"/>
        </w:rPr>
        <w:t>（</w:t>
      </w:r>
      <w:r>
        <w:rPr>
          <w:rFonts w:hint="eastAsia" w:ascii="宋体" w:hAnsi="宋体" w:cs="Calibri"/>
          <w:color w:val="auto"/>
          <w:sz w:val="24"/>
          <w:szCs w:val="21"/>
        </w:rPr>
        <w:t>GB8702-2014</w:t>
      </w:r>
      <w:r>
        <w:rPr>
          <w:rFonts w:hint="eastAsia" w:ascii="宋体" w:hAnsi="宋体" w:cs="Calibri"/>
          <w:color w:val="auto"/>
          <w:sz w:val="24"/>
          <w:szCs w:val="21"/>
          <w:lang w:eastAsia="zh-CN"/>
        </w:rPr>
        <w:t>）</w:t>
      </w:r>
      <w:r>
        <w:rPr>
          <w:rFonts w:hint="eastAsia" w:ascii="宋体" w:hAnsi="宋体" w:cs="Calibri"/>
          <w:color w:val="auto"/>
          <w:sz w:val="24"/>
          <w:szCs w:val="21"/>
        </w:rPr>
        <w:t>中控制限值要求，类比工程与</w:t>
      </w:r>
      <w:r>
        <w:rPr>
          <w:rFonts w:hint="eastAsia" w:ascii="宋体" w:hAnsi="宋体" w:cs="Calibri"/>
          <w:color w:val="auto"/>
          <w:sz w:val="24"/>
          <w:szCs w:val="21"/>
          <w:lang w:eastAsia="zh-CN"/>
        </w:rPr>
        <w:t>本项目</w:t>
      </w:r>
      <w:r>
        <w:rPr>
          <w:rFonts w:hint="eastAsia" w:ascii="宋体" w:hAnsi="宋体" w:cs="Calibri"/>
          <w:color w:val="auto"/>
          <w:sz w:val="24"/>
          <w:szCs w:val="21"/>
        </w:rPr>
        <w:t>变电站电压等级、主变布置形式等主要参数基本一致。</w:t>
      </w:r>
      <w:r>
        <w:rPr>
          <w:rFonts w:hint="eastAsia" w:ascii="宋体" w:hAnsi="宋体" w:cs="Calibri"/>
          <w:color w:val="auto"/>
          <w:sz w:val="24"/>
          <w:szCs w:val="21"/>
          <w:lang w:val="en-US" w:eastAsia="zh-CN"/>
        </w:rPr>
        <w:t>由</w:t>
      </w:r>
      <w:r>
        <w:rPr>
          <w:rFonts w:hint="eastAsia" w:ascii="宋体" w:hAnsi="宋体" w:cs="Calibri"/>
          <w:color w:val="auto"/>
          <w:sz w:val="24"/>
          <w:szCs w:val="21"/>
        </w:rPr>
        <w:t>类比分析</w:t>
      </w:r>
      <w:r>
        <w:rPr>
          <w:rFonts w:hint="eastAsia" w:ascii="宋体" w:hAnsi="宋体" w:cs="Calibri"/>
          <w:color w:val="auto"/>
          <w:sz w:val="24"/>
          <w:szCs w:val="21"/>
          <w:lang w:val="en-US" w:eastAsia="zh-CN"/>
        </w:rPr>
        <w:t>数据</w:t>
      </w:r>
      <w:r>
        <w:rPr>
          <w:rFonts w:hint="eastAsia" w:ascii="宋体" w:hAnsi="宋体" w:cs="Calibri"/>
          <w:color w:val="auto"/>
          <w:sz w:val="24"/>
          <w:szCs w:val="21"/>
        </w:rPr>
        <w:t>可知，</w:t>
      </w:r>
      <w:r>
        <w:rPr>
          <w:rFonts w:hint="eastAsia" w:ascii="宋体" w:hAnsi="宋体" w:cs="Calibri"/>
          <w:color w:val="auto"/>
          <w:sz w:val="24"/>
          <w:szCs w:val="21"/>
          <w:lang w:eastAsia="zh-CN"/>
        </w:rPr>
        <w:t>本项目</w:t>
      </w:r>
      <w:r>
        <w:rPr>
          <w:rFonts w:hint="eastAsia" w:ascii="宋体" w:hAnsi="宋体" w:cs="Calibri"/>
          <w:color w:val="auto"/>
          <w:sz w:val="24"/>
          <w:szCs w:val="21"/>
          <w:lang w:val="en-US" w:eastAsia="zh-CN"/>
        </w:rPr>
        <w:t>升压</w:t>
      </w:r>
      <w:r>
        <w:rPr>
          <w:rFonts w:hint="eastAsia" w:ascii="宋体" w:hAnsi="宋体" w:cs="Calibri"/>
          <w:color w:val="auto"/>
          <w:sz w:val="24"/>
          <w:szCs w:val="21"/>
        </w:rPr>
        <w:t>站建成投运后，均能满足《电磁环境控制限值》</w:t>
      </w:r>
      <w:r>
        <w:rPr>
          <w:rFonts w:hint="eastAsia" w:ascii="宋体" w:hAnsi="宋体" w:cs="Calibri"/>
          <w:color w:val="auto"/>
          <w:sz w:val="24"/>
          <w:szCs w:val="21"/>
          <w:lang w:eastAsia="zh-CN"/>
        </w:rPr>
        <w:t>（</w:t>
      </w:r>
      <w:r>
        <w:rPr>
          <w:rFonts w:hint="eastAsia" w:ascii="宋体" w:hAnsi="宋体" w:cs="Calibri"/>
          <w:color w:val="auto"/>
          <w:sz w:val="24"/>
          <w:szCs w:val="21"/>
        </w:rPr>
        <w:t>GB8702-2014</w:t>
      </w:r>
      <w:r>
        <w:rPr>
          <w:rFonts w:hint="eastAsia" w:ascii="宋体" w:hAnsi="宋体" w:cs="Calibri"/>
          <w:color w:val="auto"/>
          <w:sz w:val="24"/>
          <w:szCs w:val="21"/>
          <w:lang w:eastAsia="zh-CN"/>
        </w:rPr>
        <w:t>）</w:t>
      </w:r>
      <w:r>
        <w:rPr>
          <w:rFonts w:hint="eastAsia" w:ascii="宋体" w:hAnsi="宋体" w:cs="Calibri"/>
          <w:color w:val="auto"/>
          <w:sz w:val="24"/>
          <w:szCs w:val="21"/>
        </w:rPr>
        <w:t>规</w:t>
      </w:r>
      <w:r>
        <w:rPr>
          <w:rFonts w:hint="eastAsia" w:ascii="宋体" w:hAnsi="宋体" w:cs="Calibri"/>
          <w:color w:val="auto"/>
          <w:sz w:val="24"/>
          <w:szCs w:val="21"/>
          <w:lang w:eastAsia="zh-CN"/>
        </w:rPr>
        <w:t>定的</w:t>
      </w:r>
      <w:r>
        <w:rPr>
          <w:rFonts w:hint="eastAsia" w:ascii="宋体" w:hAnsi="宋体" w:cs="Calibri"/>
          <w:color w:val="auto"/>
          <w:sz w:val="24"/>
          <w:szCs w:val="21"/>
        </w:rPr>
        <w:t>公众曝露控制限值：工频电场强度≤4000V/m，工频磁感应强度≤100μT。</w:t>
      </w:r>
    </w:p>
    <w:p w14:paraId="6EC2A6B9">
      <w:pPr>
        <w:keepNext/>
        <w:keepLines/>
        <w:widowControl w:val="0"/>
        <w:snapToGrid w:val="0"/>
        <w:spacing w:before="0" w:beforeLines="0" w:beforeAutospacing="0" w:after="0" w:afterLines="0" w:afterAutospacing="0" w:line="360" w:lineRule="auto"/>
        <w:jc w:val="both"/>
        <w:outlineLvl w:val="1"/>
        <w:rPr>
          <w:rFonts w:hint="eastAsia" w:ascii="宋体" w:hAnsi="宋体" w:eastAsia="宋体" w:cs="Calibri"/>
          <w:b/>
          <w:color w:val="auto"/>
          <w:kern w:val="2"/>
          <w:sz w:val="28"/>
          <w:szCs w:val="21"/>
          <w:lang w:val="en-US" w:eastAsia="zh-CN" w:bidi="ar-SA"/>
        </w:rPr>
      </w:pPr>
      <w:bookmarkStart w:id="200" w:name="_Toc27398"/>
      <w:bookmarkStart w:id="201" w:name="_Toc29395"/>
      <w:bookmarkStart w:id="202" w:name="_Toc29001"/>
      <w:r>
        <w:rPr>
          <w:rFonts w:hint="eastAsia" w:ascii="宋体" w:hAnsi="宋体" w:eastAsia="宋体" w:cs="Calibri"/>
          <w:b/>
          <w:color w:val="auto"/>
          <w:kern w:val="2"/>
          <w:sz w:val="28"/>
          <w:szCs w:val="21"/>
          <w:lang w:val="en-US" w:eastAsia="zh-CN" w:bidi="ar-SA"/>
        </w:rPr>
        <w:t>3.2架空线路电磁环境影响模式预测</w:t>
      </w:r>
      <w:bookmarkEnd w:id="200"/>
      <w:bookmarkEnd w:id="201"/>
      <w:bookmarkEnd w:id="202"/>
    </w:p>
    <w:p w14:paraId="37453951">
      <w:pPr>
        <w:widowControl w:val="0"/>
        <w:adjustRightInd w:val="0"/>
        <w:snapToGrid w:val="0"/>
        <w:spacing w:line="360" w:lineRule="auto"/>
        <w:jc w:val="both"/>
        <w:textAlignment w:val="baseline"/>
        <w:outlineLvl w:val="2"/>
        <w:rPr>
          <w:rFonts w:hint="eastAsia" w:ascii="宋体" w:hAnsi="宋体" w:eastAsia="宋体" w:cs="Calibri"/>
          <w:b/>
          <w:color w:val="auto"/>
          <w:kern w:val="2"/>
          <w:sz w:val="24"/>
          <w:szCs w:val="21"/>
          <w:lang w:val="en-US" w:eastAsia="zh-CN" w:bidi="ar-SA"/>
        </w:rPr>
      </w:pPr>
      <w:bookmarkStart w:id="203" w:name="_Toc3057"/>
      <w:r>
        <w:rPr>
          <w:rFonts w:hint="eastAsia" w:ascii="宋体" w:hAnsi="宋体" w:eastAsia="宋体" w:cs="Calibri"/>
          <w:b/>
          <w:color w:val="auto"/>
          <w:kern w:val="2"/>
          <w:sz w:val="24"/>
          <w:szCs w:val="21"/>
          <w:lang w:val="en-US" w:eastAsia="zh-CN" w:bidi="ar-SA"/>
        </w:rPr>
        <w:t>3.2.1</w:t>
      </w:r>
      <w:bookmarkEnd w:id="203"/>
      <w:r>
        <w:rPr>
          <w:rFonts w:hint="eastAsia" w:ascii="宋体" w:hAnsi="宋体" w:eastAsia="宋体" w:cs="Calibri"/>
          <w:b/>
          <w:color w:val="auto"/>
          <w:kern w:val="15"/>
          <w:sz w:val="24"/>
          <w:szCs w:val="21"/>
          <w:lang w:val="en-US" w:eastAsia="zh-CN" w:bidi="ar-SA"/>
        </w:rPr>
        <w:t>计算方法</w:t>
      </w:r>
    </w:p>
    <w:p w14:paraId="41C046BA">
      <w:pPr>
        <w:pageBreakBefore w:val="0"/>
        <w:widowControl w:val="0"/>
        <w:kinsoku/>
        <w:wordWrap/>
        <w:overflowPunct/>
        <w:topLinePunct w:val="0"/>
        <w:autoSpaceDE/>
        <w:autoSpaceDN/>
        <w:bidi w:val="0"/>
        <w:adjustRightInd w:val="0"/>
        <w:snapToGrid w:val="0"/>
        <w:spacing w:line="360" w:lineRule="auto"/>
        <w:ind w:left="239" w:leftChars="114" w:right="0" w:rightChars="0" w:firstLine="240" w:firstLineChars="100"/>
        <w:textAlignment w:val="auto"/>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输电线路产生的工频电场、工频磁场影响预测计算，根据《环境影响评价技术导则输变电》</w:t>
      </w:r>
      <w:r>
        <w:rPr>
          <w:rFonts w:hint="eastAsia" w:ascii="宋体" w:hAnsi="宋体" w:cs="宋体"/>
          <w:color w:val="auto"/>
          <w:sz w:val="24"/>
          <w:szCs w:val="21"/>
          <w:highlight w:val="none"/>
          <w:lang w:eastAsia="zh-CN"/>
        </w:rPr>
        <w:t>（</w:t>
      </w:r>
      <w:r>
        <w:rPr>
          <w:rFonts w:hint="eastAsia" w:ascii="宋体" w:hAnsi="宋体" w:eastAsia="宋体" w:cs="宋体"/>
          <w:color w:val="auto"/>
          <w:sz w:val="24"/>
          <w:szCs w:val="21"/>
          <w:highlight w:val="none"/>
        </w:rPr>
        <w:t>HJ24-2020</w:t>
      </w:r>
      <w:r>
        <w:rPr>
          <w:rFonts w:hint="eastAsia" w:ascii="宋体" w:hAnsi="宋体" w:cs="宋体"/>
          <w:color w:val="auto"/>
          <w:sz w:val="24"/>
          <w:szCs w:val="21"/>
          <w:highlight w:val="none"/>
          <w:lang w:eastAsia="zh-CN"/>
        </w:rPr>
        <w:t>）</w:t>
      </w:r>
      <w:r>
        <w:rPr>
          <w:rFonts w:hint="eastAsia" w:ascii="宋体" w:hAnsi="宋体" w:eastAsia="宋体" w:cs="宋体"/>
          <w:color w:val="auto"/>
          <w:sz w:val="24"/>
          <w:szCs w:val="21"/>
          <w:highlight w:val="none"/>
        </w:rPr>
        <w:t>附录C、D推荐的计算模式进行。</w:t>
      </w:r>
    </w:p>
    <w:p w14:paraId="22245ED3">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以上计算方法适用于线路无限长而且平行于地面，由于任何线路长度都是有限的，并且有弧垂，因此需要做如下假设，设建设项目线路无限长，线路经过最大弧垂点平行于地面。这样计算出来的结果将比实际值大，对于衡量线路不超标是完全适用的，并据此指引线路的设计方案将是保守和安全的。具体计算方法如下：</w:t>
      </w:r>
    </w:p>
    <w:p w14:paraId="4EC86FA9">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color w:val="auto"/>
          <w:sz w:val="24"/>
          <w:szCs w:val="21"/>
          <w:highlight w:val="none"/>
          <w:lang w:val="zh-CN"/>
        </w:rPr>
      </w:pPr>
      <w:r>
        <w:rPr>
          <w:rFonts w:hint="eastAsia" w:ascii="宋体" w:hAnsi="宋体" w:eastAsia="宋体" w:cs="宋体"/>
          <w:color w:val="auto"/>
          <w:kern w:val="0"/>
          <w:sz w:val="24"/>
          <w:szCs w:val="21"/>
          <w:highlight w:val="none"/>
        </w:rPr>
        <w:t>①工频电场强度预测</w:t>
      </w:r>
    </w:p>
    <w:p w14:paraId="1C572958">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color w:val="auto"/>
          <w:sz w:val="24"/>
          <w:szCs w:val="21"/>
          <w:highlight w:val="none"/>
          <w:lang w:val="zh-CN"/>
        </w:rPr>
      </w:pPr>
      <w:r>
        <w:rPr>
          <w:rFonts w:hint="eastAsia" w:ascii="宋体" w:hAnsi="宋体" w:eastAsia="宋体" w:cs="宋体"/>
          <w:color w:val="auto"/>
          <w:sz w:val="24"/>
          <w:szCs w:val="21"/>
          <w:highlight w:val="none"/>
          <w:lang w:val="zh-CN"/>
        </w:rPr>
        <w:t>高压输电线上的等效电荷是线电荷，由于高压输电线半径r远远小于架设高度h，所以等效电荷的位置可以认为是在输电导线的几何中心。</w:t>
      </w:r>
    </w:p>
    <w:p w14:paraId="3ABB861D">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color w:val="auto"/>
          <w:sz w:val="24"/>
          <w:szCs w:val="21"/>
          <w:highlight w:val="none"/>
          <w:lang w:val="zh-CN"/>
        </w:rPr>
      </w:pPr>
      <w:r>
        <w:rPr>
          <w:rFonts w:hint="eastAsia" w:ascii="宋体" w:hAnsi="宋体" w:eastAsia="宋体" w:cs="宋体"/>
          <w:color w:val="auto"/>
          <w:sz w:val="24"/>
          <w:szCs w:val="21"/>
          <w:highlight w:val="none"/>
          <w:lang w:val="zh-CN"/>
        </w:rPr>
        <w:t>设输电线路为无限长并且平行于地面，地面可视为良导体，利用镜像法计算输电线上的等效电荷。</w:t>
      </w:r>
    </w:p>
    <w:p w14:paraId="3B9A13D3">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1"/>
          <w:highlight w:val="none"/>
          <w:lang w:val="zh-CN"/>
        </w:rPr>
      </w:pPr>
      <w:r>
        <w:rPr>
          <w:rFonts w:hint="eastAsia" w:ascii="宋体" w:hAnsi="宋体" w:eastAsia="宋体" w:cs="宋体"/>
          <w:color w:val="auto"/>
          <w:sz w:val="24"/>
          <w:szCs w:val="21"/>
          <w:highlight w:val="none"/>
          <w:lang w:val="zh-CN"/>
        </w:rPr>
        <w:t>为了计算多导线线路中导线上的等效电荷，可写出下列矩阵方程：</w:t>
      </w:r>
    </w:p>
    <w:p w14:paraId="75B13642">
      <w:pPr>
        <w:widowControl w:val="0"/>
        <w:ind w:firstLine="2551" w:firstLineChars="1063"/>
        <w:jc w:val="both"/>
        <w:rPr>
          <w:rStyle w:val="90"/>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position w:val="-68"/>
          <w:sz w:val="24"/>
          <w:szCs w:val="24"/>
          <w:highlight w:val="none"/>
          <w:lang w:val="en-US" w:eastAsia="zh-CN" w:bidi="ar-SA"/>
        </w:rPr>
        <w:object>
          <v:shape id="_x0000_i1028" o:spt="75" type="#_x0000_t75" style="height:75.7pt;width:171.3pt;" o:ole="t" filled="f" o:preferrelative="t" stroked="f" coordsize="21600,21600">
            <v:path/>
            <v:fill on="f" focussize="0,0"/>
            <v:stroke on="f"/>
            <v:imagedata r:id="rId20" o:title=""/>
            <o:lock v:ext="edit" aspectratio="t"/>
            <w10:wrap type="none"/>
            <w10:anchorlock/>
          </v:shape>
          <o:OLEObject Type="Embed" ProgID="Equation.DSMT4" ShapeID="_x0000_i1028" DrawAspect="Content" ObjectID="_1468075728" r:id="rId19">
            <o:LockedField>false</o:LockedField>
          </o:OLEObject>
        </w:object>
      </w:r>
    </w:p>
    <w:p w14:paraId="25D1C309">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2"/>
        <w:textAlignment w:val="auto"/>
        <w:rPr>
          <w:rFonts w:hint="eastAsia" w:ascii="宋体" w:hAnsi="宋体" w:eastAsia="宋体" w:cs="宋体"/>
          <w:color w:val="auto"/>
          <w:sz w:val="24"/>
          <w:szCs w:val="21"/>
          <w:highlight w:val="none"/>
          <w:lang w:val="zh-CN"/>
        </w:rPr>
      </w:pPr>
      <w:r>
        <w:rPr>
          <w:rFonts w:hint="eastAsia" w:ascii="宋体" w:hAnsi="宋体" w:eastAsia="宋体" w:cs="宋体"/>
          <w:color w:val="auto"/>
          <w:sz w:val="24"/>
          <w:szCs w:val="21"/>
          <w:highlight w:val="none"/>
          <w:lang w:val="zh-CN"/>
        </w:rPr>
        <w:t>式中：U——各导线对地电压的单列矩阵；</w:t>
      </w:r>
    </w:p>
    <w:p w14:paraId="7E11D7B8">
      <w:pPr>
        <w:keepNext w:val="0"/>
        <w:keepLines w:val="0"/>
        <w:pageBreakBefore w:val="0"/>
        <w:widowControl w:val="0"/>
        <w:kinsoku/>
        <w:wordWrap/>
        <w:overflowPunct/>
        <w:topLinePunct w:val="0"/>
        <w:autoSpaceDE w:val="0"/>
        <w:autoSpaceDN w:val="0"/>
        <w:bidi w:val="0"/>
        <w:adjustRightInd w:val="0"/>
        <w:snapToGrid w:val="0"/>
        <w:spacing w:line="360" w:lineRule="auto"/>
        <w:ind w:firstLine="1200" w:firstLineChars="500"/>
        <w:textAlignment w:val="auto"/>
        <w:rPr>
          <w:rFonts w:hint="eastAsia" w:ascii="宋体" w:hAnsi="宋体" w:eastAsia="宋体" w:cs="宋体"/>
          <w:color w:val="auto"/>
          <w:sz w:val="24"/>
          <w:szCs w:val="21"/>
          <w:highlight w:val="none"/>
          <w:lang w:val="zh-CN"/>
        </w:rPr>
      </w:pPr>
      <w:bookmarkStart w:id="204" w:name="_Toc141414697"/>
      <w:r>
        <w:rPr>
          <w:rFonts w:hint="eastAsia" w:ascii="宋体" w:hAnsi="宋体" w:eastAsia="宋体" w:cs="宋体"/>
          <w:color w:val="auto"/>
          <w:sz w:val="24"/>
          <w:szCs w:val="21"/>
          <w:highlight w:val="none"/>
          <w:lang w:val="zh-CN"/>
        </w:rPr>
        <w:t>Q——各导线上等效电荷的单列矩阵；</w:t>
      </w:r>
      <w:bookmarkEnd w:id="204"/>
    </w:p>
    <w:p w14:paraId="4FE05A28">
      <w:pPr>
        <w:keepNext w:val="0"/>
        <w:keepLines w:val="0"/>
        <w:pageBreakBefore w:val="0"/>
        <w:widowControl w:val="0"/>
        <w:kinsoku/>
        <w:wordWrap/>
        <w:overflowPunct/>
        <w:topLinePunct w:val="0"/>
        <w:autoSpaceDE w:val="0"/>
        <w:autoSpaceDN w:val="0"/>
        <w:bidi w:val="0"/>
        <w:adjustRightInd w:val="0"/>
        <w:snapToGrid w:val="0"/>
        <w:spacing w:line="360" w:lineRule="auto"/>
        <w:ind w:firstLine="1200" w:firstLineChars="500"/>
        <w:textAlignment w:val="auto"/>
        <w:rPr>
          <w:rFonts w:hint="eastAsia" w:ascii="宋体" w:hAnsi="宋体" w:eastAsia="宋体" w:cs="宋体"/>
          <w:color w:val="auto"/>
          <w:sz w:val="24"/>
          <w:szCs w:val="21"/>
          <w:highlight w:val="none"/>
          <w:lang w:val="zh-CN"/>
        </w:rPr>
      </w:pPr>
      <w:r>
        <w:rPr>
          <w:rFonts w:hint="eastAsia" w:ascii="宋体" w:hAnsi="宋体" w:eastAsia="宋体" w:cs="宋体"/>
          <w:color w:val="auto"/>
          <w:sz w:val="24"/>
          <w:szCs w:val="21"/>
          <w:highlight w:val="none"/>
          <w:lang w:val="zh-CN"/>
        </w:rPr>
        <w:t>λ——各导线的电位系数组成的m阶方阵</w:t>
      </w:r>
      <w:r>
        <w:rPr>
          <w:rFonts w:hint="eastAsia" w:ascii="宋体" w:hAnsi="宋体" w:cs="宋体"/>
          <w:color w:val="auto"/>
          <w:sz w:val="24"/>
          <w:szCs w:val="21"/>
          <w:highlight w:val="none"/>
          <w:lang w:val="zh-CN"/>
        </w:rPr>
        <w:t>（</w:t>
      </w:r>
      <w:r>
        <w:rPr>
          <w:rFonts w:hint="eastAsia" w:ascii="宋体" w:hAnsi="宋体" w:eastAsia="宋体" w:cs="宋体"/>
          <w:color w:val="auto"/>
          <w:sz w:val="24"/>
          <w:szCs w:val="21"/>
          <w:highlight w:val="none"/>
          <w:lang w:val="zh-CN"/>
        </w:rPr>
        <w:t>m为导线数目</w:t>
      </w:r>
      <w:r>
        <w:rPr>
          <w:rFonts w:hint="eastAsia" w:ascii="宋体" w:hAnsi="宋体" w:cs="宋体"/>
          <w:color w:val="auto"/>
          <w:sz w:val="24"/>
          <w:szCs w:val="21"/>
          <w:highlight w:val="none"/>
          <w:lang w:val="zh-CN"/>
        </w:rPr>
        <w:t>）</w:t>
      </w:r>
      <w:r>
        <w:rPr>
          <w:rFonts w:hint="eastAsia" w:ascii="宋体" w:hAnsi="宋体" w:eastAsia="宋体" w:cs="宋体"/>
          <w:color w:val="auto"/>
          <w:sz w:val="24"/>
          <w:szCs w:val="21"/>
          <w:highlight w:val="none"/>
          <w:lang w:val="zh-CN"/>
        </w:rPr>
        <w:t>。</w:t>
      </w:r>
    </w:p>
    <w:p w14:paraId="53BF72C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sz w:val="24"/>
          <w:szCs w:val="21"/>
          <w:highlight w:val="none"/>
          <w:lang w:val="zh-CN"/>
        </w:rPr>
      </w:pPr>
      <w:r>
        <w:rPr>
          <w:rFonts w:hint="eastAsia" w:ascii="宋体" w:hAnsi="宋体" w:eastAsia="宋体" w:cs="宋体"/>
          <w:color w:val="auto"/>
          <w:sz w:val="24"/>
          <w:szCs w:val="21"/>
          <w:highlight w:val="none"/>
          <w:lang w:val="zh-CN"/>
        </w:rPr>
        <w:t>[U]矩阵可由输电线的电压和相位确定，从环境保护考虑以额定电压的1.05倍作为计算电压。</w:t>
      </w:r>
    </w:p>
    <w:p w14:paraId="521E9BA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sz w:val="24"/>
          <w:szCs w:val="21"/>
          <w:highlight w:val="none"/>
          <w:lang w:val="zh-CN"/>
        </w:rPr>
      </w:pPr>
      <w:r>
        <w:rPr>
          <w:rFonts w:hint="eastAsia" w:ascii="宋体" w:hAnsi="宋体" w:eastAsia="宋体" w:cs="宋体"/>
          <w:color w:val="auto"/>
          <w:sz w:val="24"/>
          <w:szCs w:val="21"/>
          <w:highlight w:val="none"/>
          <w:lang w:val="zh-CN"/>
        </w:rPr>
        <w:t>对于</w:t>
      </w:r>
      <w:r>
        <w:rPr>
          <w:rFonts w:hint="eastAsia" w:ascii="宋体" w:hAnsi="宋体" w:cs="宋体"/>
          <w:color w:val="auto"/>
          <w:sz w:val="24"/>
          <w:szCs w:val="21"/>
          <w:highlight w:val="none"/>
          <w:lang w:val="en-US" w:eastAsia="zh-CN"/>
        </w:rPr>
        <w:t>22</w:t>
      </w:r>
      <w:r>
        <w:rPr>
          <w:rFonts w:hint="eastAsia" w:ascii="宋体" w:hAnsi="宋体" w:eastAsia="宋体" w:cs="宋体"/>
          <w:color w:val="auto"/>
          <w:sz w:val="24"/>
          <w:szCs w:val="21"/>
          <w:highlight w:val="none"/>
          <w:lang w:val="zh-CN"/>
        </w:rPr>
        <w:t>0kV三相导线，各相导线对地电压为：</w:t>
      </w:r>
    </w:p>
    <w:p w14:paraId="301F2B92">
      <w:pPr>
        <w:keepNext w:val="0"/>
        <w:keepLines w:val="0"/>
        <w:pageBreakBefore w:val="0"/>
        <w:widowControl w:val="0"/>
        <w:kinsoku/>
        <w:wordWrap/>
        <w:overflowPunct/>
        <w:topLinePunct w:val="0"/>
        <w:autoSpaceDE w:val="0"/>
        <w:autoSpaceDN w:val="0"/>
        <w:bidi w:val="0"/>
        <w:adjustRightInd w:val="0"/>
        <w:snapToGrid w:val="0"/>
        <w:spacing w:line="360" w:lineRule="auto"/>
        <w:ind w:firstLine="900" w:firstLineChars="450"/>
        <w:textAlignment w:val="auto"/>
        <w:rPr>
          <w:rFonts w:hint="eastAsia" w:ascii="宋体" w:hAnsi="宋体" w:eastAsia="宋体" w:cs="宋体"/>
          <w:color w:val="0000FF"/>
          <w:szCs w:val="21"/>
          <w:highlight w:val="none"/>
          <w:lang w:val="zh-CN"/>
        </w:rPr>
      </w:pPr>
      <w:r>
        <w:rPr>
          <w:rFonts w:hint="eastAsia" w:ascii="宋体" w:hAnsi="宋体" w:eastAsia="宋体" w:cs="宋体"/>
          <w:color w:val="0000FF"/>
          <w:kern w:val="0"/>
          <w:position w:val="-14"/>
          <w:sz w:val="20"/>
          <w:szCs w:val="21"/>
          <w:highlight w:val="none"/>
          <w:lang w:val="zh-CN"/>
        </w:rPr>
        <w:object>
          <v:shape id="_x0000_i1029" o:spt="75" type="#_x0000_t75" style="height:19.9pt;width:216.05pt;" o:ole="t" filled="f" o:preferrelative="t" stroked="f" coordsize="21600,21600">
            <v:path/>
            <v:fill on="f" focussize="0,0"/>
            <v:stroke on="f"/>
            <v:imagedata r:id="rId22" o:title=""/>
            <o:lock v:ext="edit" aspectratio="t"/>
            <w10:wrap type="none"/>
            <w10:anchorlock/>
          </v:shape>
          <o:OLEObject Type="Embed" ProgID="Equation.3" ShapeID="_x0000_i1029" DrawAspect="Content" ObjectID="_1468075729" r:id="rId21">
            <o:LockedField>false</o:LockedField>
          </o:OLEObject>
        </w:object>
      </w:r>
    </w:p>
    <w:p w14:paraId="4BA31BC8">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1"/>
          <w:highlight w:val="none"/>
          <w:lang w:val="zh-CN"/>
        </w:rPr>
      </w:pPr>
      <w:r>
        <w:rPr>
          <w:rFonts w:hint="eastAsia" w:ascii="宋体" w:hAnsi="宋体" w:cs="宋体"/>
          <w:color w:val="auto"/>
          <w:sz w:val="24"/>
          <w:szCs w:val="21"/>
          <w:highlight w:val="none"/>
          <w:lang w:val="en-US" w:eastAsia="zh-CN"/>
        </w:rPr>
        <w:t>22</w:t>
      </w:r>
      <w:r>
        <w:rPr>
          <w:rFonts w:hint="eastAsia" w:ascii="宋体" w:hAnsi="宋体" w:eastAsia="宋体" w:cs="宋体"/>
          <w:color w:val="auto"/>
          <w:sz w:val="24"/>
          <w:szCs w:val="21"/>
          <w:highlight w:val="none"/>
          <w:lang w:val="zh-CN"/>
        </w:rPr>
        <w:t>0kV各相导线对地电压分量为：</w:t>
      </w:r>
    </w:p>
    <w:p w14:paraId="026C6CF9">
      <w:pPr>
        <w:keepNext w:val="0"/>
        <w:keepLines w:val="0"/>
        <w:pageBreakBefore w:val="0"/>
        <w:widowControl w:val="0"/>
        <w:kinsoku/>
        <w:wordWrap/>
        <w:overflowPunct/>
        <w:topLinePunct w:val="0"/>
        <w:autoSpaceDE w:val="0"/>
        <w:autoSpaceDN w:val="0"/>
        <w:bidi w:val="0"/>
        <w:adjustRightInd w:val="0"/>
        <w:spacing w:line="360" w:lineRule="auto"/>
        <w:ind w:firstLine="3240" w:firstLineChars="1350"/>
        <w:textAlignment w:val="auto"/>
        <w:rPr>
          <w:rFonts w:hint="eastAsia" w:ascii="宋体" w:hAnsi="宋体" w:eastAsia="宋体" w:cs="宋体"/>
          <w:color w:val="auto"/>
          <w:sz w:val="24"/>
          <w:szCs w:val="21"/>
          <w:highlight w:val="none"/>
          <w:lang w:val="zh-CN"/>
        </w:rPr>
      </w:pPr>
      <w:r>
        <w:rPr>
          <w:rFonts w:hint="eastAsia" w:ascii="宋体" w:hAnsi="宋体" w:eastAsia="宋体" w:cs="宋体"/>
          <w:color w:val="auto"/>
          <w:sz w:val="24"/>
          <w:szCs w:val="21"/>
          <w:highlight w:val="none"/>
          <w:lang w:val="zh-CN"/>
        </w:rPr>
        <w:t>U</w:t>
      </w:r>
      <w:r>
        <w:rPr>
          <w:rFonts w:hint="eastAsia" w:ascii="宋体" w:hAnsi="宋体" w:eastAsia="宋体" w:cs="宋体"/>
          <w:color w:val="auto"/>
          <w:sz w:val="24"/>
          <w:szCs w:val="21"/>
          <w:highlight w:val="none"/>
          <w:vertAlign w:val="subscript"/>
          <w:lang w:val="zh-CN"/>
        </w:rPr>
        <w:t>A</w:t>
      </w:r>
      <w:r>
        <w:rPr>
          <w:rFonts w:hint="eastAsia" w:ascii="宋体" w:hAnsi="宋体" w:eastAsia="宋体" w:cs="宋体"/>
          <w:color w:val="auto"/>
          <w:sz w:val="24"/>
          <w:szCs w:val="21"/>
          <w:highlight w:val="none"/>
          <w:lang w:val="zh-CN"/>
        </w:rPr>
        <w:t>=</w:t>
      </w:r>
      <w:r>
        <w:rPr>
          <w:rFonts w:hint="eastAsia" w:ascii="宋体" w:hAnsi="宋体" w:cs="宋体"/>
          <w:color w:val="auto"/>
          <w:sz w:val="24"/>
          <w:szCs w:val="21"/>
          <w:highlight w:val="none"/>
          <w:lang w:val="zh-CN"/>
        </w:rPr>
        <w:t>(</w:t>
      </w:r>
      <w:r>
        <w:rPr>
          <w:rFonts w:hint="eastAsia" w:ascii="宋体" w:hAnsi="宋体" w:cs="宋体"/>
          <w:color w:val="auto"/>
          <w:sz w:val="24"/>
          <w:szCs w:val="21"/>
          <w:highlight w:val="none"/>
          <w:lang w:val="en-US" w:eastAsia="zh-CN"/>
        </w:rPr>
        <w:t>133.4</w:t>
      </w:r>
      <w:r>
        <w:rPr>
          <w:rFonts w:hint="eastAsia" w:ascii="宋体" w:hAnsi="宋体" w:eastAsia="宋体" w:cs="宋体"/>
          <w:color w:val="auto"/>
          <w:sz w:val="24"/>
          <w:szCs w:val="21"/>
          <w:highlight w:val="none"/>
          <w:lang w:val="zh-CN"/>
        </w:rPr>
        <w:t>+j0</w:t>
      </w:r>
      <w:r>
        <w:rPr>
          <w:rFonts w:hint="eastAsia" w:ascii="宋体" w:hAnsi="宋体" w:cs="宋体"/>
          <w:color w:val="auto"/>
          <w:sz w:val="24"/>
          <w:szCs w:val="21"/>
          <w:highlight w:val="none"/>
          <w:lang w:val="zh-CN"/>
        </w:rPr>
        <w:t>)</w:t>
      </w:r>
      <w:r>
        <w:rPr>
          <w:rFonts w:hint="eastAsia" w:ascii="宋体" w:hAnsi="宋体" w:eastAsia="宋体" w:cs="宋体"/>
          <w:color w:val="auto"/>
          <w:sz w:val="24"/>
          <w:szCs w:val="21"/>
          <w:highlight w:val="none"/>
          <w:lang w:val="zh-CN"/>
        </w:rPr>
        <w:t>kV</w:t>
      </w:r>
    </w:p>
    <w:p w14:paraId="773B41D4">
      <w:pPr>
        <w:keepNext w:val="0"/>
        <w:keepLines w:val="0"/>
        <w:pageBreakBefore w:val="0"/>
        <w:widowControl w:val="0"/>
        <w:kinsoku/>
        <w:wordWrap/>
        <w:overflowPunct/>
        <w:topLinePunct w:val="0"/>
        <w:autoSpaceDE w:val="0"/>
        <w:autoSpaceDN w:val="0"/>
        <w:bidi w:val="0"/>
        <w:adjustRightInd w:val="0"/>
        <w:spacing w:line="360" w:lineRule="auto"/>
        <w:ind w:firstLine="3240" w:firstLineChars="1350"/>
        <w:textAlignment w:val="auto"/>
        <w:rPr>
          <w:rFonts w:hint="eastAsia" w:ascii="宋体" w:hAnsi="宋体" w:eastAsia="宋体" w:cs="宋体"/>
          <w:color w:val="auto"/>
          <w:sz w:val="24"/>
          <w:szCs w:val="21"/>
          <w:highlight w:val="none"/>
          <w:lang w:val="zh-CN"/>
        </w:rPr>
      </w:pPr>
      <w:r>
        <w:rPr>
          <w:rFonts w:hint="eastAsia" w:ascii="宋体" w:hAnsi="宋体" w:eastAsia="宋体" w:cs="宋体"/>
          <w:color w:val="auto"/>
          <w:sz w:val="24"/>
          <w:szCs w:val="21"/>
          <w:highlight w:val="none"/>
          <w:lang w:val="zh-CN"/>
        </w:rPr>
        <w:t>U</w:t>
      </w:r>
      <w:r>
        <w:rPr>
          <w:rFonts w:hint="eastAsia" w:ascii="宋体" w:hAnsi="宋体" w:eastAsia="宋体" w:cs="宋体"/>
          <w:color w:val="auto"/>
          <w:sz w:val="24"/>
          <w:szCs w:val="21"/>
          <w:highlight w:val="none"/>
          <w:vertAlign w:val="subscript"/>
          <w:lang w:val="zh-CN"/>
        </w:rPr>
        <w:t>B</w:t>
      </w:r>
      <w:r>
        <w:rPr>
          <w:rFonts w:hint="eastAsia" w:ascii="宋体" w:hAnsi="宋体" w:eastAsia="宋体" w:cs="宋体"/>
          <w:color w:val="auto"/>
          <w:sz w:val="24"/>
          <w:szCs w:val="21"/>
          <w:highlight w:val="none"/>
          <w:lang w:val="zh-CN"/>
        </w:rPr>
        <w:t>=</w:t>
      </w:r>
      <w:r>
        <w:rPr>
          <w:rFonts w:hint="eastAsia" w:ascii="宋体" w:hAnsi="宋体" w:cs="宋体"/>
          <w:color w:val="auto"/>
          <w:sz w:val="24"/>
          <w:szCs w:val="21"/>
          <w:highlight w:val="none"/>
          <w:lang w:val="zh-CN"/>
        </w:rPr>
        <w:t>(</w:t>
      </w:r>
      <w:r>
        <w:rPr>
          <w:rFonts w:hint="eastAsia" w:ascii="宋体" w:hAnsi="宋体" w:eastAsia="宋体" w:cs="宋体"/>
          <w:color w:val="auto"/>
          <w:sz w:val="24"/>
          <w:szCs w:val="21"/>
          <w:highlight w:val="none"/>
          <w:lang w:val="zh-CN"/>
        </w:rPr>
        <w:t>-66.7+j115.5</w:t>
      </w:r>
      <w:r>
        <w:rPr>
          <w:rFonts w:hint="eastAsia" w:ascii="宋体" w:hAnsi="宋体" w:cs="宋体"/>
          <w:color w:val="auto"/>
          <w:sz w:val="24"/>
          <w:szCs w:val="21"/>
          <w:highlight w:val="none"/>
          <w:lang w:val="zh-CN"/>
        </w:rPr>
        <w:t>)</w:t>
      </w:r>
      <w:r>
        <w:rPr>
          <w:rFonts w:hint="eastAsia" w:ascii="宋体" w:hAnsi="宋体" w:eastAsia="宋体" w:cs="宋体"/>
          <w:color w:val="auto"/>
          <w:sz w:val="24"/>
          <w:szCs w:val="21"/>
          <w:highlight w:val="none"/>
          <w:lang w:val="zh-CN"/>
        </w:rPr>
        <w:t>kV</w:t>
      </w:r>
    </w:p>
    <w:p w14:paraId="4D10CC90">
      <w:pPr>
        <w:keepNext w:val="0"/>
        <w:keepLines w:val="0"/>
        <w:pageBreakBefore w:val="0"/>
        <w:widowControl w:val="0"/>
        <w:kinsoku/>
        <w:wordWrap/>
        <w:overflowPunct/>
        <w:topLinePunct w:val="0"/>
        <w:autoSpaceDE w:val="0"/>
        <w:autoSpaceDN w:val="0"/>
        <w:bidi w:val="0"/>
        <w:adjustRightInd w:val="0"/>
        <w:spacing w:line="360" w:lineRule="auto"/>
        <w:ind w:firstLine="3240" w:firstLineChars="1350"/>
        <w:textAlignment w:val="auto"/>
        <w:rPr>
          <w:rFonts w:hint="eastAsia" w:ascii="宋体" w:hAnsi="宋体" w:eastAsia="宋体" w:cs="宋体"/>
          <w:color w:val="auto"/>
          <w:sz w:val="24"/>
          <w:szCs w:val="21"/>
          <w:highlight w:val="none"/>
          <w:lang w:val="zh-CN"/>
        </w:rPr>
      </w:pPr>
      <w:r>
        <w:rPr>
          <w:rFonts w:hint="eastAsia" w:ascii="宋体" w:hAnsi="宋体" w:eastAsia="宋体" w:cs="宋体"/>
          <w:color w:val="auto"/>
          <w:sz w:val="24"/>
          <w:szCs w:val="21"/>
          <w:highlight w:val="none"/>
          <w:lang w:val="zh-CN"/>
        </w:rPr>
        <w:t>U</w:t>
      </w:r>
      <w:r>
        <w:rPr>
          <w:rFonts w:hint="eastAsia" w:ascii="宋体" w:hAnsi="宋体" w:eastAsia="宋体" w:cs="宋体"/>
          <w:color w:val="auto"/>
          <w:sz w:val="24"/>
          <w:szCs w:val="21"/>
          <w:highlight w:val="none"/>
          <w:vertAlign w:val="subscript"/>
          <w:lang w:val="zh-CN"/>
        </w:rPr>
        <w:t>C</w:t>
      </w:r>
      <w:r>
        <w:rPr>
          <w:rFonts w:hint="eastAsia" w:ascii="宋体" w:hAnsi="宋体" w:eastAsia="宋体" w:cs="宋体"/>
          <w:color w:val="auto"/>
          <w:sz w:val="24"/>
          <w:szCs w:val="21"/>
          <w:highlight w:val="none"/>
          <w:lang w:val="zh-CN"/>
        </w:rPr>
        <w:t>=</w:t>
      </w:r>
      <w:r>
        <w:rPr>
          <w:rFonts w:hint="eastAsia" w:ascii="宋体" w:hAnsi="宋体" w:cs="宋体"/>
          <w:color w:val="auto"/>
          <w:sz w:val="24"/>
          <w:szCs w:val="21"/>
          <w:highlight w:val="none"/>
          <w:lang w:val="zh-CN"/>
        </w:rPr>
        <w:t>(</w:t>
      </w:r>
      <w:r>
        <w:rPr>
          <w:rFonts w:hint="eastAsia" w:ascii="宋体" w:hAnsi="宋体" w:eastAsia="宋体" w:cs="宋体"/>
          <w:color w:val="auto"/>
          <w:sz w:val="24"/>
          <w:szCs w:val="21"/>
          <w:highlight w:val="none"/>
          <w:lang w:val="zh-CN"/>
        </w:rPr>
        <w:t>-66.7-j115.5</w:t>
      </w:r>
      <w:r>
        <w:rPr>
          <w:rFonts w:hint="eastAsia" w:ascii="宋体" w:hAnsi="宋体" w:cs="宋体"/>
          <w:color w:val="auto"/>
          <w:sz w:val="24"/>
          <w:szCs w:val="21"/>
          <w:highlight w:val="none"/>
          <w:lang w:val="zh-CN"/>
        </w:rPr>
        <w:t>)</w:t>
      </w:r>
      <w:r>
        <w:rPr>
          <w:rFonts w:hint="eastAsia" w:ascii="宋体" w:hAnsi="宋体" w:eastAsia="宋体" w:cs="宋体"/>
          <w:color w:val="auto"/>
          <w:sz w:val="24"/>
          <w:szCs w:val="21"/>
          <w:highlight w:val="none"/>
          <w:lang w:val="zh-CN"/>
        </w:rPr>
        <w:t>kV</w:t>
      </w:r>
    </w:p>
    <w:p w14:paraId="613A46B7">
      <w:pPr>
        <w:widowControl w:val="0"/>
        <w:ind w:firstLine="420" w:firstLineChars="200"/>
        <w:jc w:val="center"/>
        <w:rPr>
          <w:rFonts w:hint="eastAsia" w:ascii="宋体" w:hAnsi="宋体" w:eastAsia="宋体" w:cs="宋体"/>
          <w:color w:val="auto"/>
          <w:kern w:val="2"/>
          <w:sz w:val="21"/>
          <w:szCs w:val="27"/>
          <w:highlight w:val="none"/>
          <w:lang w:val="en-US" w:eastAsia="zh-CN" w:bidi="ar-SA"/>
        </w:rPr>
      </w:pPr>
      <w:r>
        <w:rPr>
          <w:rFonts w:hint="eastAsia" w:ascii="宋体" w:hAnsi="宋体" w:eastAsia="宋体" w:cs="宋体"/>
          <w:color w:val="auto"/>
          <w:kern w:val="2"/>
          <w:sz w:val="21"/>
          <w:szCs w:val="21"/>
          <w:highlight w:val="none"/>
          <w:lang w:val="en-US" w:eastAsia="zh-CN" w:bidi="ar-SA"/>
        </w:rPr>
        <w:drawing>
          <wp:inline distT="0" distB="0" distL="114300" distR="114300">
            <wp:extent cx="2227580" cy="1924685"/>
            <wp:effectExtent l="0" t="0" r="1270" b="8890"/>
            <wp:docPr id="150" name="图片 42" descr="图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2" descr="图A1"/>
                    <pic:cNvPicPr>
                      <a:picLocks noChangeAspect="1"/>
                    </pic:cNvPicPr>
                  </pic:nvPicPr>
                  <pic:blipFill>
                    <a:blip r:embed="rId23"/>
                    <a:stretch>
                      <a:fillRect/>
                    </a:stretch>
                  </pic:blipFill>
                  <pic:spPr>
                    <a:xfrm>
                      <a:off x="0" y="0"/>
                      <a:ext cx="2227580" cy="1924685"/>
                    </a:xfrm>
                    <a:prstGeom prst="rect">
                      <a:avLst/>
                    </a:prstGeom>
                    <a:noFill/>
                    <a:ln>
                      <a:noFill/>
                    </a:ln>
                  </pic:spPr>
                </pic:pic>
              </a:graphicData>
            </a:graphic>
          </wp:inline>
        </w:drawing>
      </w:r>
    </w:p>
    <w:p w14:paraId="0633DCB7">
      <w:pPr>
        <w:widowControl w:val="0"/>
        <w:ind w:firstLine="482" w:firstLineChars="200"/>
        <w:jc w:val="center"/>
        <w:rPr>
          <w:rFonts w:hint="eastAsia" w:ascii="宋体" w:hAnsi="宋体" w:eastAsia="宋体" w:cs="宋体"/>
          <w:b/>
          <w:color w:val="auto"/>
          <w:kern w:val="2"/>
          <w:sz w:val="24"/>
          <w:szCs w:val="24"/>
          <w:highlight w:val="none"/>
          <w:lang w:val="zh-CN" w:eastAsia="zh-CN" w:bidi="ar-SA"/>
        </w:rPr>
      </w:pPr>
      <w:r>
        <w:rPr>
          <w:rFonts w:hint="eastAsia" w:ascii="宋体" w:hAnsi="宋体" w:eastAsia="宋体" w:cs="宋体"/>
          <w:b/>
          <w:color w:val="auto"/>
          <w:kern w:val="2"/>
          <w:sz w:val="24"/>
          <w:szCs w:val="24"/>
          <w:highlight w:val="none"/>
          <w:lang w:val="zh-CN" w:eastAsia="zh-CN" w:bidi="ar-SA"/>
        </w:rPr>
        <w:t>图</w:t>
      </w:r>
      <w:r>
        <w:rPr>
          <w:rFonts w:hint="eastAsia" w:ascii="宋体" w:hAnsi="宋体" w:eastAsia="宋体" w:cs="宋体"/>
          <w:b/>
          <w:color w:val="auto"/>
          <w:kern w:val="2"/>
          <w:sz w:val="24"/>
          <w:szCs w:val="24"/>
          <w:highlight w:val="none"/>
          <w:lang w:val="en-US" w:eastAsia="zh-CN" w:bidi="ar-SA"/>
        </w:rPr>
        <w:t>3</w:t>
      </w:r>
      <w:r>
        <w:rPr>
          <w:rFonts w:hint="eastAsia" w:ascii="宋体" w:hAnsi="宋体" w:eastAsia="宋体" w:cs="宋体"/>
          <w:b/>
          <w:color w:val="auto"/>
          <w:kern w:val="2"/>
          <w:sz w:val="24"/>
          <w:szCs w:val="24"/>
          <w:highlight w:val="none"/>
          <w:lang w:val="zh-CN" w:eastAsia="zh-CN" w:bidi="ar-SA"/>
        </w:rPr>
        <w:t>-</w:t>
      </w:r>
      <w:r>
        <w:rPr>
          <w:rFonts w:hint="eastAsia" w:ascii="宋体" w:hAnsi="宋体" w:eastAsia="宋体" w:cs="宋体"/>
          <w:b/>
          <w:color w:val="auto"/>
          <w:kern w:val="2"/>
          <w:sz w:val="24"/>
          <w:szCs w:val="24"/>
          <w:highlight w:val="none"/>
          <w:lang w:val="en-US" w:eastAsia="zh-CN" w:bidi="ar-SA"/>
        </w:rPr>
        <w:t>3</w:t>
      </w:r>
      <w:r>
        <w:rPr>
          <w:rFonts w:hint="eastAsia" w:ascii="宋体" w:hAnsi="宋体" w:cs="宋体"/>
          <w:b/>
          <w:color w:val="auto"/>
          <w:kern w:val="2"/>
          <w:sz w:val="24"/>
          <w:szCs w:val="24"/>
          <w:highlight w:val="none"/>
          <w:lang w:val="en-US" w:eastAsia="zh-CN" w:bidi="ar-SA"/>
        </w:rPr>
        <w:t xml:space="preserve">    </w:t>
      </w:r>
      <w:r>
        <w:rPr>
          <w:rFonts w:hint="eastAsia" w:ascii="宋体" w:hAnsi="宋体" w:eastAsia="宋体" w:cs="宋体"/>
          <w:b/>
          <w:color w:val="auto"/>
          <w:kern w:val="2"/>
          <w:sz w:val="24"/>
          <w:szCs w:val="24"/>
          <w:highlight w:val="none"/>
          <w:lang w:val="zh-CN" w:eastAsia="zh-CN" w:bidi="ar-SA"/>
        </w:rPr>
        <w:t>对地电压计算图</w:t>
      </w:r>
    </w:p>
    <w:p w14:paraId="4D77DD2F">
      <w:pPr>
        <w:widowControl w:val="0"/>
        <w:ind w:firstLine="482" w:firstLineChars="200"/>
        <w:jc w:val="center"/>
        <w:rPr>
          <w:rFonts w:hint="eastAsia" w:ascii="宋体" w:hAnsi="宋体" w:eastAsia="宋体" w:cs="宋体"/>
          <w:b/>
          <w:color w:val="auto"/>
          <w:kern w:val="2"/>
          <w:sz w:val="24"/>
          <w:szCs w:val="24"/>
          <w:highlight w:val="none"/>
          <w:lang w:val="zh-CN" w:eastAsia="zh-CN" w:bidi="ar-SA"/>
        </w:rPr>
      </w:pPr>
    </w:p>
    <w:p w14:paraId="6E44B4FD">
      <w:pPr>
        <w:keepNext w:val="0"/>
        <w:keepLines w:val="0"/>
        <w:pageBreakBefore w:val="0"/>
        <w:widowControl w:val="0"/>
        <w:kinsoku/>
        <w:wordWrap/>
        <w:overflowPunct/>
        <w:topLinePunct w:val="0"/>
        <w:autoSpaceDE w:val="0"/>
        <w:autoSpaceDN w:val="0"/>
        <w:bidi w:val="0"/>
        <w:adjustRightInd w:val="0"/>
        <w:snapToGrid/>
        <w:spacing w:line="360" w:lineRule="auto"/>
        <w:ind w:firstLine="480"/>
        <w:textAlignment w:val="auto"/>
        <w:rPr>
          <w:rFonts w:hint="eastAsia" w:ascii="宋体" w:hAnsi="宋体" w:eastAsia="宋体" w:cs="宋体"/>
          <w:color w:val="auto"/>
          <w:sz w:val="24"/>
          <w:szCs w:val="21"/>
          <w:highlight w:val="none"/>
          <w:lang w:val="zh-CN"/>
        </w:rPr>
      </w:pPr>
      <w:r>
        <w:rPr>
          <w:rFonts w:hint="eastAsia" w:ascii="宋体" w:hAnsi="宋体" w:eastAsia="宋体" w:cs="宋体"/>
          <w:color w:val="auto"/>
          <w:sz w:val="24"/>
          <w:szCs w:val="21"/>
          <w:highlight w:val="none"/>
          <w:lang w:val="zh-CN"/>
        </w:rPr>
        <w:t>[λ]矩阵由镜像原理求得。地面为电位等于零的平面，地面的感应电荷可由对应地面导线的镜像电荷代替，用i，j，…表示相互平行的实际导线，用i′，j′，…表示它们的镜像，电位系数可写为：</w:t>
      </w:r>
    </w:p>
    <w:p w14:paraId="5B5E9040">
      <w:pPr>
        <w:keepNext w:val="0"/>
        <w:keepLines w:val="0"/>
        <w:pageBreakBefore w:val="0"/>
        <w:widowControl w:val="0"/>
        <w:kinsoku/>
        <w:wordWrap/>
        <w:overflowPunct/>
        <w:topLinePunct w:val="0"/>
        <w:bidi w:val="0"/>
        <w:snapToGrid/>
        <w:spacing w:line="360" w:lineRule="auto"/>
        <w:ind w:firstLine="2916" w:firstLineChars="1215"/>
        <w:jc w:val="both"/>
        <w:textAlignment w:val="auto"/>
        <w:rPr>
          <w:rStyle w:val="90"/>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position w:val="-30"/>
          <w:sz w:val="24"/>
          <w:szCs w:val="24"/>
          <w:highlight w:val="none"/>
          <w:lang w:val="en-US" w:eastAsia="zh-CN" w:bidi="ar-SA"/>
        </w:rPr>
        <w:object>
          <v:shape id="_x0000_i1030" o:spt="75" type="#_x0000_t75" style="height:34.75pt;width:83.2pt;" o:ole="t" filled="f" o:preferrelative="t" stroked="f" coordsize="21600,21600">
            <v:path/>
            <v:fill on="f" focussize="0,0"/>
            <v:stroke on="f"/>
            <v:imagedata r:id="rId25" o:title=""/>
            <o:lock v:ext="edit" aspectratio="t"/>
            <w10:wrap type="none"/>
            <w10:anchorlock/>
          </v:shape>
          <o:OLEObject Type="Embed" ProgID="Equation.3" ShapeID="_x0000_i1030" DrawAspect="Content" ObjectID="_1468075730" r:id="rId24">
            <o:LockedField>false</o:LockedField>
          </o:OLEObject>
        </w:object>
      </w:r>
    </w:p>
    <w:p w14:paraId="46525A38">
      <w:pPr>
        <w:keepNext w:val="0"/>
        <w:keepLines w:val="0"/>
        <w:pageBreakBefore w:val="0"/>
        <w:widowControl w:val="0"/>
        <w:kinsoku/>
        <w:wordWrap/>
        <w:overflowPunct/>
        <w:topLinePunct w:val="0"/>
        <w:bidi w:val="0"/>
        <w:snapToGrid/>
        <w:spacing w:line="360" w:lineRule="auto"/>
        <w:ind w:firstLine="2916" w:firstLineChars="1215"/>
        <w:jc w:val="both"/>
        <w:textAlignment w:val="auto"/>
        <w:rPr>
          <w:rStyle w:val="90"/>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position w:val="-32"/>
          <w:sz w:val="24"/>
          <w:szCs w:val="24"/>
          <w:highlight w:val="none"/>
          <w:lang w:val="en-US" w:eastAsia="zh-CN" w:bidi="ar-SA"/>
        </w:rPr>
        <w:object>
          <v:shape id="_x0000_i1031" o:spt="75" type="#_x0000_t75" style="height:37.25pt;width:79.45pt;" o:ole="t" filled="f" o:preferrelative="t" stroked="f" coordsize="21600,21600">
            <v:path/>
            <v:fill on="f" focussize="0,0"/>
            <v:stroke on="f"/>
            <v:imagedata r:id="rId27" o:title=""/>
            <o:lock v:ext="edit" aspectratio="t"/>
            <w10:wrap type="none"/>
            <w10:anchorlock/>
          </v:shape>
          <o:OLEObject Type="Embed" ProgID="Equation.3" ShapeID="_x0000_i1031" DrawAspect="Content" ObjectID="_1468075731" r:id="rId26">
            <o:LockedField>false</o:LockedField>
          </o:OLEObject>
        </w:object>
      </w:r>
    </w:p>
    <w:p w14:paraId="0AD00973">
      <w:pPr>
        <w:keepNext w:val="0"/>
        <w:keepLines w:val="0"/>
        <w:pageBreakBefore w:val="0"/>
        <w:widowControl w:val="0"/>
        <w:kinsoku/>
        <w:wordWrap/>
        <w:overflowPunct/>
        <w:topLinePunct w:val="0"/>
        <w:bidi w:val="0"/>
        <w:snapToGrid/>
        <w:spacing w:line="360" w:lineRule="auto"/>
        <w:ind w:firstLine="2916" w:firstLineChars="1215"/>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position w:val="-14"/>
          <w:sz w:val="24"/>
          <w:szCs w:val="24"/>
          <w:highlight w:val="none"/>
          <w:lang w:val="en-US" w:eastAsia="zh-CN" w:bidi="ar-SA"/>
        </w:rPr>
        <w:object>
          <v:shape id="_x0000_i1032" o:spt="75" type="#_x0000_t75" style="height:19.85pt;width:42.2pt;" o:ole="t" filled="f" o:preferrelative="t" stroked="f" coordsize="21600,21600">
            <v:path/>
            <v:fill on="f" focussize="0,0"/>
            <v:stroke on="f"/>
            <v:imagedata r:id="rId29" o:title=""/>
            <o:lock v:ext="edit" aspectratio="t"/>
            <w10:wrap type="none"/>
            <w10:anchorlock/>
          </v:shape>
          <o:OLEObject Type="Embed" ProgID="Equation.3" ShapeID="_x0000_i1032" DrawAspect="Content" ObjectID="_1468075732" r:id="rId28">
            <o:LockedField>false</o:LockedField>
          </o:OLEObject>
        </w:object>
      </w:r>
    </w:p>
    <w:p w14:paraId="7A830F34">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zh-CN" w:eastAsia="zh-CN" w:bidi="ar-SA"/>
        </w:rPr>
        <w:t>式中：</w:t>
      </w:r>
      <w:r>
        <w:rPr>
          <w:rFonts w:hint="eastAsia" w:ascii="宋体" w:hAnsi="宋体" w:eastAsia="宋体" w:cs="宋体"/>
          <w:i/>
          <w:color w:val="auto"/>
          <w:kern w:val="2"/>
          <w:sz w:val="24"/>
          <w:szCs w:val="24"/>
          <w:highlight w:val="none"/>
          <w:lang w:val="zh-CN" w:eastAsia="zh-CN" w:bidi="ar-SA"/>
        </w:rPr>
        <w:t>ε</w:t>
      </w:r>
      <w:r>
        <w:rPr>
          <w:rFonts w:hint="eastAsia" w:ascii="宋体" w:hAnsi="宋体" w:eastAsia="宋体" w:cs="宋体"/>
          <w:i/>
          <w:color w:val="auto"/>
          <w:kern w:val="2"/>
          <w:sz w:val="24"/>
          <w:szCs w:val="24"/>
          <w:highlight w:val="none"/>
          <w:vertAlign w:val="subscript"/>
          <w:lang w:val="zh-CN" w:eastAsia="zh-CN" w:bidi="ar-SA"/>
        </w:rPr>
        <w:t>0</w:t>
      </w:r>
      <w:r>
        <w:rPr>
          <w:rFonts w:hint="eastAsia" w:ascii="宋体" w:hAnsi="宋体" w:eastAsia="宋体" w:cs="宋体"/>
          <w:color w:val="auto"/>
          <w:kern w:val="2"/>
          <w:sz w:val="24"/>
          <w:szCs w:val="24"/>
          <w:highlight w:val="none"/>
          <w:lang w:val="zh-CN" w:eastAsia="zh-CN" w:bidi="ar-SA"/>
        </w:rPr>
        <w:t>——真空介电常数，</w:t>
      </w:r>
      <w:r>
        <w:rPr>
          <w:rFonts w:hint="eastAsia" w:ascii="宋体" w:hAnsi="宋体" w:eastAsia="宋体" w:cs="宋体"/>
          <w:color w:val="auto"/>
          <w:kern w:val="2"/>
          <w:position w:val="-24"/>
          <w:sz w:val="24"/>
          <w:szCs w:val="24"/>
          <w:highlight w:val="none"/>
          <w:lang w:val="en-US" w:eastAsia="zh-CN" w:bidi="ar-SA"/>
        </w:rPr>
        <w:object>
          <v:shape id="_x0000_i1033" o:spt="75" type="#_x0000_t75" style="height:27.3pt;width:89.35pt;" o:ole="t" filled="f" o:preferrelative="t" stroked="f" coordsize="21600,21600">
            <v:path/>
            <v:fill on="f" focussize="0,0"/>
            <v:stroke on="f"/>
            <v:imagedata r:id="rId31" o:title=""/>
            <o:lock v:ext="edit" aspectratio="t"/>
            <w10:wrap type="none"/>
            <w10:anchorlock/>
          </v:shape>
          <o:OLEObject Type="Embed" ProgID="Equation.3" ShapeID="_x0000_i1033" DrawAspect="Content" ObjectID="_1468075733" r:id="rId30">
            <o:LockedField>false</o:LockedField>
          </o:OLEObject>
        </w:object>
      </w:r>
      <w:r>
        <w:rPr>
          <w:rFonts w:hint="eastAsia" w:ascii="宋体" w:hAnsi="宋体" w:eastAsia="宋体" w:cs="宋体"/>
          <w:color w:val="auto"/>
          <w:kern w:val="2"/>
          <w:sz w:val="24"/>
          <w:szCs w:val="24"/>
          <w:highlight w:val="none"/>
          <w:lang w:val="en-US" w:eastAsia="zh-CN" w:bidi="ar-SA"/>
        </w:rPr>
        <w:t>；</w:t>
      </w:r>
    </w:p>
    <w:p w14:paraId="156730BD">
      <w:pPr>
        <w:keepNext w:val="0"/>
        <w:keepLines w:val="0"/>
        <w:pageBreakBefore w:val="0"/>
        <w:widowControl w:val="0"/>
        <w:kinsoku/>
        <w:wordWrap/>
        <w:overflowPunct/>
        <w:topLinePunct w:val="0"/>
        <w:bidi w:val="0"/>
        <w:snapToGrid/>
        <w:spacing w:line="360" w:lineRule="auto"/>
        <w:ind w:firstLine="1178" w:firstLineChars="491"/>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i/>
          <w:color w:val="auto"/>
          <w:kern w:val="2"/>
          <w:sz w:val="24"/>
          <w:szCs w:val="24"/>
          <w:highlight w:val="none"/>
          <w:lang w:val="en-US" w:eastAsia="zh-CN" w:bidi="ar-SA"/>
        </w:rPr>
        <w:t>R</w:t>
      </w:r>
      <w:r>
        <w:rPr>
          <w:rFonts w:hint="eastAsia" w:ascii="宋体" w:hAnsi="宋体" w:eastAsia="宋体" w:cs="宋体"/>
          <w:i/>
          <w:color w:val="auto"/>
          <w:kern w:val="2"/>
          <w:sz w:val="24"/>
          <w:szCs w:val="24"/>
          <w:highlight w:val="none"/>
          <w:vertAlign w:val="subscript"/>
          <w:lang w:val="en-US" w:eastAsia="zh-CN" w:bidi="ar-SA"/>
        </w:rPr>
        <w:t>i</w:t>
      </w:r>
      <w:r>
        <w:rPr>
          <w:rFonts w:hint="eastAsia" w:ascii="宋体" w:hAnsi="宋体" w:eastAsia="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zh-CN" w:eastAsia="zh-CN" w:bidi="ar-SA"/>
        </w:rPr>
        <w:t>输电导线半径，对于分裂导线可用等效单根导线半径代入</w:t>
      </w:r>
      <w:r>
        <w:rPr>
          <w:rFonts w:hint="eastAsia" w:ascii="宋体" w:hAnsi="宋体" w:eastAsia="宋体" w:cs="宋体"/>
          <w:color w:val="auto"/>
          <w:kern w:val="2"/>
          <w:sz w:val="24"/>
          <w:szCs w:val="24"/>
          <w:highlight w:val="none"/>
          <w:lang w:val="en-US" w:eastAsia="zh-CN" w:bidi="ar-SA"/>
        </w:rPr>
        <w:t>，</w:t>
      </w:r>
      <w:r>
        <w:rPr>
          <w:rFonts w:hint="eastAsia" w:ascii="宋体" w:hAnsi="宋体" w:eastAsia="宋体" w:cs="宋体"/>
          <w:i/>
          <w:color w:val="auto"/>
          <w:kern w:val="2"/>
          <w:sz w:val="24"/>
          <w:szCs w:val="24"/>
          <w:highlight w:val="none"/>
          <w:lang w:val="en-US" w:eastAsia="zh-CN" w:bidi="ar-SA"/>
        </w:rPr>
        <w:t>R</w:t>
      </w:r>
      <w:r>
        <w:rPr>
          <w:rFonts w:hint="eastAsia" w:ascii="宋体" w:hAnsi="宋体" w:eastAsia="宋体" w:cs="宋体"/>
          <w:i/>
          <w:color w:val="auto"/>
          <w:kern w:val="2"/>
          <w:sz w:val="24"/>
          <w:szCs w:val="24"/>
          <w:highlight w:val="none"/>
          <w:vertAlign w:val="subscript"/>
          <w:lang w:val="en-US" w:eastAsia="zh-CN" w:bidi="ar-SA"/>
        </w:rPr>
        <w:t>i</w:t>
      </w:r>
      <w:r>
        <w:rPr>
          <w:rFonts w:hint="eastAsia" w:ascii="宋体" w:hAnsi="宋体" w:eastAsia="宋体" w:cs="宋体"/>
          <w:color w:val="auto"/>
          <w:kern w:val="2"/>
          <w:sz w:val="24"/>
          <w:szCs w:val="24"/>
          <w:highlight w:val="none"/>
          <w:lang w:val="en-US" w:eastAsia="zh-CN" w:bidi="ar-SA"/>
        </w:rPr>
        <w:t>的计</w:t>
      </w:r>
      <w:r>
        <w:rPr>
          <w:rFonts w:hint="eastAsia" w:ascii="宋体" w:hAnsi="宋体" w:eastAsia="宋体" w:cs="宋体"/>
          <w:color w:val="auto"/>
          <w:kern w:val="2"/>
          <w:sz w:val="24"/>
          <w:szCs w:val="24"/>
          <w:highlight w:val="none"/>
          <w:lang w:val="zh-CN" w:eastAsia="zh-CN" w:bidi="ar-SA"/>
        </w:rPr>
        <w:t>算式为：</w:t>
      </w:r>
    </w:p>
    <w:p w14:paraId="51ECAA08">
      <w:pPr>
        <w:keepNext w:val="0"/>
        <w:keepLines w:val="0"/>
        <w:pageBreakBefore w:val="0"/>
        <w:widowControl w:val="0"/>
        <w:kinsoku/>
        <w:wordWrap/>
        <w:overflowPunct/>
        <w:topLinePunct w:val="0"/>
        <w:bidi w:val="0"/>
        <w:snapToGrid/>
        <w:spacing w:line="360" w:lineRule="auto"/>
        <w:ind w:firstLine="2916" w:firstLineChars="1215"/>
        <w:jc w:val="both"/>
        <w:textAlignment w:val="auto"/>
        <w:rPr>
          <w:rFonts w:hint="eastAsia" w:ascii="宋体" w:hAnsi="宋体" w:eastAsia="宋体" w:cs="宋体"/>
          <w:color w:val="auto"/>
          <w:kern w:val="2"/>
          <w:sz w:val="24"/>
          <w:szCs w:val="24"/>
          <w:highlight w:val="none"/>
          <w:lang w:val="en-US" w:eastAsia="zh-CN" w:bidi="ar-SA"/>
        </w:rPr>
      </w:pPr>
      <w:bookmarkStart w:id="205" w:name="_Toc141414698"/>
      <w:r>
        <w:rPr>
          <w:rFonts w:hint="eastAsia" w:ascii="宋体" w:hAnsi="宋体" w:eastAsia="宋体" w:cs="宋体"/>
          <w:color w:val="auto"/>
          <w:kern w:val="2"/>
          <w:position w:val="-26"/>
          <w:sz w:val="24"/>
          <w:szCs w:val="24"/>
          <w:highlight w:val="none"/>
          <w:lang w:val="en-US" w:eastAsia="zh-CN" w:bidi="ar-SA"/>
        </w:rPr>
        <w:object>
          <v:shape id="_x0000_i1034" o:spt="75" type="#_x0000_t75" style="height:34.75pt;width:62.05pt;" o:ole="t" filled="f" o:preferrelative="t" stroked="f" coordsize="21600,21600">
            <v:path/>
            <v:fill on="f" focussize="0,0"/>
            <v:stroke on="f"/>
            <v:imagedata r:id="rId33" o:title=""/>
            <o:lock v:ext="edit" aspectratio="t"/>
            <w10:wrap type="none"/>
            <w10:anchorlock/>
          </v:shape>
          <o:OLEObject Type="Embed" ProgID="Equation.3" ShapeID="_x0000_i1034" DrawAspect="Content" ObjectID="_1468075734" r:id="rId32">
            <o:LockedField>false</o:LockedField>
          </o:OLEObject>
        </w:object>
      </w:r>
      <w:bookmarkEnd w:id="205"/>
    </w:p>
    <w:p w14:paraId="5BF6A99F">
      <w:pPr>
        <w:pStyle w:val="62"/>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rPr>
        <w:t>式中：</w:t>
      </w:r>
      <w:r>
        <w:rPr>
          <w:rFonts w:hint="eastAsia" w:ascii="宋体" w:hAnsi="宋体" w:eastAsia="宋体" w:cs="宋体"/>
          <w:i/>
          <w:color w:val="auto"/>
          <w:szCs w:val="24"/>
          <w:highlight w:val="none"/>
        </w:rPr>
        <w:t>R</w:t>
      </w:r>
      <w:r>
        <w:rPr>
          <w:rFonts w:hint="eastAsia" w:ascii="宋体" w:hAnsi="宋体" w:eastAsia="宋体" w:cs="宋体"/>
          <w:color w:val="auto"/>
          <w:szCs w:val="24"/>
          <w:highlight w:val="none"/>
        </w:rPr>
        <w:t>——分裂导线半径，m；</w:t>
      </w:r>
    </w:p>
    <w:p w14:paraId="386871D2">
      <w:pPr>
        <w:keepNext w:val="0"/>
        <w:keepLines w:val="0"/>
        <w:pageBreakBefore w:val="0"/>
        <w:widowControl w:val="0"/>
        <w:kinsoku/>
        <w:wordWrap/>
        <w:overflowPunct/>
        <w:topLinePunct w:val="0"/>
        <w:bidi w:val="0"/>
        <w:snapToGrid/>
        <w:spacing w:line="360" w:lineRule="auto"/>
        <w:ind w:firstLine="1200" w:firstLineChars="5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i/>
          <w:color w:val="auto"/>
          <w:kern w:val="2"/>
          <w:sz w:val="24"/>
          <w:szCs w:val="24"/>
          <w:highlight w:val="none"/>
          <w:lang w:val="en-US" w:eastAsia="zh-CN" w:bidi="ar-SA"/>
        </w:rPr>
        <w:t>n</w:t>
      </w:r>
      <w:r>
        <w:rPr>
          <w:rFonts w:hint="eastAsia" w:ascii="宋体" w:hAnsi="宋体" w:eastAsia="宋体" w:cs="宋体"/>
          <w:color w:val="auto"/>
          <w:kern w:val="2"/>
          <w:sz w:val="24"/>
          <w:szCs w:val="24"/>
          <w:highlight w:val="none"/>
          <w:lang w:val="en-US" w:eastAsia="zh-CN" w:bidi="ar-SA"/>
        </w:rPr>
        <w:t>——次导线根数；</w:t>
      </w:r>
    </w:p>
    <w:p w14:paraId="74BF124A">
      <w:pPr>
        <w:keepNext w:val="0"/>
        <w:keepLines w:val="0"/>
        <w:pageBreakBefore w:val="0"/>
        <w:widowControl w:val="0"/>
        <w:kinsoku/>
        <w:wordWrap/>
        <w:overflowPunct/>
        <w:topLinePunct w:val="0"/>
        <w:bidi w:val="0"/>
        <w:snapToGrid/>
        <w:spacing w:line="360" w:lineRule="auto"/>
        <w:ind w:firstLine="1200" w:firstLineChars="5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i/>
          <w:color w:val="auto"/>
          <w:kern w:val="2"/>
          <w:sz w:val="24"/>
          <w:szCs w:val="24"/>
          <w:highlight w:val="none"/>
          <w:lang w:val="en-US" w:eastAsia="zh-CN" w:bidi="ar-SA"/>
        </w:rPr>
        <w:t>r</w:t>
      </w:r>
      <w:r>
        <w:rPr>
          <w:rFonts w:hint="eastAsia" w:ascii="宋体" w:hAnsi="宋体" w:eastAsia="宋体" w:cs="宋体"/>
          <w:color w:val="auto"/>
          <w:kern w:val="2"/>
          <w:sz w:val="24"/>
          <w:szCs w:val="24"/>
          <w:highlight w:val="none"/>
          <w:lang w:val="en-US" w:eastAsia="zh-CN" w:bidi="ar-SA"/>
        </w:rPr>
        <w:t>——次导线半径，m。</w:t>
      </w:r>
    </w:p>
    <w:p w14:paraId="783B11AB">
      <w:pPr>
        <w:keepNext w:val="0"/>
        <w:keepLines w:val="0"/>
        <w:pageBreakBefore w:val="0"/>
        <w:widowControl w:val="0"/>
        <w:kinsoku/>
        <w:wordWrap/>
        <w:overflowPunct/>
        <w:topLinePunct w:val="0"/>
        <w:autoSpaceDE w:val="0"/>
        <w:autoSpaceDN w:val="0"/>
        <w:bidi w:val="0"/>
        <w:adjustRightInd w:val="0"/>
        <w:snapToGrid/>
        <w:spacing w:line="360" w:lineRule="auto"/>
        <w:ind w:firstLine="480"/>
        <w:textAlignment w:val="auto"/>
        <w:rPr>
          <w:rFonts w:hint="eastAsia" w:ascii="宋体" w:hAnsi="宋体" w:eastAsia="宋体" w:cs="宋体"/>
          <w:color w:val="auto"/>
          <w:sz w:val="24"/>
          <w:szCs w:val="21"/>
          <w:highlight w:val="none"/>
          <w:lang w:val="zh-CN"/>
        </w:rPr>
      </w:pPr>
      <w:r>
        <w:rPr>
          <w:rFonts w:hint="eastAsia" w:ascii="宋体" w:hAnsi="宋体" w:eastAsia="宋体" w:cs="宋体"/>
          <w:color w:val="auto"/>
          <w:sz w:val="24"/>
          <w:szCs w:val="21"/>
          <w:highlight w:val="none"/>
          <w:lang w:val="zh-CN"/>
        </w:rPr>
        <w:t>由[U]矩阵和[λ]矩阵，利用等效电荷矩阵方程即可解出[Q]矩阵。空间任意一点的电场强度可根据叠加原理计算得出，在</w:t>
      </w:r>
      <w:r>
        <w:rPr>
          <w:rFonts w:hint="eastAsia" w:ascii="宋体" w:hAnsi="宋体" w:cs="宋体"/>
          <w:color w:val="auto"/>
          <w:sz w:val="24"/>
          <w:szCs w:val="21"/>
          <w:highlight w:val="none"/>
          <w:lang w:val="zh-CN"/>
        </w:rPr>
        <w:t>（</w:t>
      </w:r>
      <w:r>
        <w:rPr>
          <w:rFonts w:hint="eastAsia" w:ascii="宋体" w:hAnsi="宋体" w:eastAsia="宋体" w:cs="宋体"/>
          <w:color w:val="auto"/>
          <w:sz w:val="24"/>
          <w:szCs w:val="21"/>
          <w:highlight w:val="none"/>
          <w:lang w:val="zh-CN"/>
        </w:rPr>
        <w:t>x，y</w:t>
      </w:r>
      <w:r>
        <w:rPr>
          <w:rFonts w:hint="eastAsia" w:ascii="宋体" w:hAnsi="宋体" w:cs="宋体"/>
          <w:color w:val="auto"/>
          <w:sz w:val="24"/>
          <w:szCs w:val="21"/>
          <w:highlight w:val="none"/>
          <w:lang w:val="zh-CN"/>
        </w:rPr>
        <w:t>）</w:t>
      </w:r>
      <w:r>
        <w:rPr>
          <w:rFonts w:hint="eastAsia" w:ascii="宋体" w:hAnsi="宋体" w:eastAsia="宋体" w:cs="宋体"/>
          <w:color w:val="auto"/>
          <w:sz w:val="24"/>
          <w:szCs w:val="21"/>
          <w:highlight w:val="none"/>
          <w:lang w:val="zh-CN"/>
        </w:rPr>
        <w:t>点的电场强度分量</w:t>
      </w:r>
      <w:r>
        <w:rPr>
          <w:rFonts w:hint="eastAsia" w:ascii="宋体" w:hAnsi="宋体" w:eastAsia="宋体" w:cs="宋体"/>
          <w:i/>
          <w:color w:val="auto"/>
          <w:sz w:val="24"/>
          <w:szCs w:val="21"/>
          <w:highlight w:val="none"/>
          <w:lang w:val="zh-CN"/>
        </w:rPr>
        <w:t>Ex</w:t>
      </w:r>
      <w:r>
        <w:rPr>
          <w:rFonts w:hint="eastAsia" w:ascii="宋体" w:hAnsi="宋体" w:eastAsia="宋体" w:cs="宋体"/>
          <w:color w:val="auto"/>
          <w:sz w:val="24"/>
          <w:szCs w:val="21"/>
          <w:highlight w:val="none"/>
          <w:lang w:val="zh-CN"/>
        </w:rPr>
        <w:t>和</w:t>
      </w:r>
      <w:r>
        <w:rPr>
          <w:rFonts w:hint="eastAsia" w:ascii="宋体" w:hAnsi="宋体" w:eastAsia="宋体" w:cs="宋体"/>
          <w:i/>
          <w:color w:val="auto"/>
          <w:sz w:val="24"/>
          <w:szCs w:val="21"/>
          <w:highlight w:val="none"/>
          <w:lang w:val="zh-CN"/>
        </w:rPr>
        <w:t>Ey</w:t>
      </w:r>
      <w:r>
        <w:rPr>
          <w:rFonts w:hint="eastAsia" w:ascii="宋体" w:hAnsi="宋体" w:eastAsia="宋体" w:cs="宋体"/>
          <w:color w:val="auto"/>
          <w:sz w:val="24"/>
          <w:szCs w:val="21"/>
          <w:highlight w:val="none"/>
          <w:lang w:val="zh-CN"/>
        </w:rPr>
        <w:t>可表示为：</w:t>
      </w:r>
    </w:p>
    <w:p w14:paraId="04BFF0BF">
      <w:pPr>
        <w:pStyle w:val="62"/>
        <w:rPr>
          <w:rFonts w:hint="eastAsia" w:ascii="宋体" w:hAnsi="宋体" w:eastAsia="宋体" w:cs="宋体"/>
          <w:color w:val="auto"/>
          <w:szCs w:val="24"/>
          <w:highlight w:val="none"/>
        </w:rPr>
      </w:pPr>
      <w:r>
        <w:rPr>
          <w:rFonts w:hint="eastAsia" w:ascii="宋体" w:hAnsi="宋体" w:eastAsia="宋体" w:cs="宋体"/>
          <w:color w:val="auto"/>
          <w:szCs w:val="24"/>
          <w:highlight w:val="none"/>
        </w:rPr>
        <w:drawing>
          <wp:inline distT="0" distB="0" distL="114300" distR="114300">
            <wp:extent cx="2130425" cy="1932305"/>
            <wp:effectExtent l="0" t="0" r="3175" b="1270"/>
            <wp:docPr id="151" name="图片 48"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8" descr="001"/>
                    <pic:cNvPicPr>
                      <a:picLocks noChangeAspect="1"/>
                    </pic:cNvPicPr>
                  </pic:nvPicPr>
                  <pic:blipFill>
                    <a:blip r:embed="rId34"/>
                    <a:stretch>
                      <a:fillRect/>
                    </a:stretch>
                  </pic:blipFill>
                  <pic:spPr>
                    <a:xfrm>
                      <a:off x="0" y="0"/>
                      <a:ext cx="2130425" cy="1932305"/>
                    </a:xfrm>
                    <a:prstGeom prst="rect">
                      <a:avLst/>
                    </a:prstGeom>
                    <a:noFill/>
                    <a:ln>
                      <a:noFill/>
                    </a:ln>
                  </pic:spPr>
                </pic:pic>
              </a:graphicData>
            </a:graphic>
          </wp:inline>
        </w:drawing>
      </w:r>
      <w:r>
        <w:rPr>
          <w:rFonts w:hint="eastAsia" w:ascii="宋体" w:hAnsi="宋体" w:eastAsia="宋体" w:cs="宋体"/>
          <w:color w:val="auto"/>
          <w:szCs w:val="24"/>
          <w:highlight w:val="none"/>
        </w:rPr>
        <w:drawing>
          <wp:inline distT="0" distB="0" distL="114300" distR="114300">
            <wp:extent cx="2074545" cy="1884045"/>
            <wp:effectExtent l="0" t="0" r="1905" b="1905"/>
            <wp:docPr id="149" name="图片 4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9" descr="02"/>
                    <pic:cNvPicPr>
                      <a:picLocks noChangeAspect="1"/>
                    </pic:cNvPicPr>
                  </pic:nvPicPr>
                  <pic:blipFill>
                    <a:blip r:embed="rId35"/>
                    <a:stretch>
                      <a:fillRect/>
                    </a:stretch>
                  </pic:blipFill>
                  <pic:spPr>
                    <a:xfrm>
                      <a:off x="0" y="0"/>
                      <a:ext cx="2074545" cy="1884045"/>
                    </a:xfrm>
                    <a:prstGeom prst="rect">
                      <a:avLst/>
                    </a:prstGeom>
                    <a:noFill/>
                    <a:ln>
                      <a:noFill/>
                    </a:ln>
                  </pic:spPr>
                </pic:pic>
              </a:graphicData>
            </a:graphic>
          </wp:inline>
        </w:drawing>
      </w:r>
    </w:p>
    <w:p w14:paraId="6AD43E5A">
      <w:pPr>
        <w:pStyle w:val="62"/>
        <w:spacing w:before="156" w:beforeLines="50"/>
        <w:ind w:firstLine="843" w:firstLineChars="350"/>
        <w:rPr>
          <w:rFonts w:hint="eastAsia" w:ascii="宋体" w:hAnsi="宋体" w:eastAsia="宋体" w:cs="宋体"/>
          <w:color w:val="auto"/>
          <w:szCs w:val="24"/>
          <w:highlight w:val="none"/>
        </w:rPr>
      </w:pPr>
      <w:r>
        <w:rPr>
          <w:rFonts w:hint="eastAsia" w:ascii="宋体" w:hAnsi="宋体" w:eastAsia="宋体" w:cs="宋体"/>
          <w:b/>
          <w:color w:val="auto"/>
          <w:szCs w:val="24"/>
          <w:highlight w:val="none"/>
        </w:rPr>
        <w:t>图</w:t>
      </w:r>
      <w:r>
        <w:rPr>
          <w:rFonts w:hint="eastAsia" w:ascii="宋体" w:hAnsi="宋体" w:eastAsia="宋体" w:cs="宋体"/>
          <w:b/>
          <w:color w:val="auto"/>
          <w:szCs w:val="24"/>
          <w:highlight w:val="none"/>
          <w:lang w:val="en-US" w:eastAsia="zh-CN"/>
        </w:rPr>
        <w:t>3</w:t>
      </w:r>
      <w:r>
        <w:rPr>
          <w:rFonts w:hint="eastAsia" w:ascii="宋体" w:hAnsi="宋体" w:eastAsia="宋体" w:cs="宋体"/>
          <w:b/>
          <w:color w:val="auto"/>
          <w:szCs w:val="24"/>
          <w:highlight w:val="none"/>
        </w:rPr>
        <w:t>-</w:t>
      </w:r>
      <w:r>
        <w:rPr>
          <w:rFonts w:hint="eastAsia" w:eastAsia="宋体" w:cs="宋体"/>
          <w:b/>
          <w:color w:val="auto"/>
          <w:szCs w:val="24"/>
          <w:highlight w:val="none"/>
          <w:lang w:val="en-US" w:eastAsia="zh-CN"/>
        </w:rPr>
        <w:t xml:space="preserve">4    </w:t>
      </w:r>
      <w:r>
        <w:rPr>
          <w:rFonts w:hint="eastAsia" w:ascii="宋体" w:hAnsi="宋体" w:eastAsia="宋体" w:cs="宋体"/>
          <w:b/>
          <w:color w:val="auto"/>
          <w:szCs w:val="24"/>
          <w:highlight w:val="none"/>
        </w:rPr>
        <w:t>电位系数计算图</w:t>
      </w:r>
      <w:r>
        <w:rPr>
          <w:rFonts w:hint="eastAsia" w:eastAsia="宋体" w:cs="宋体"/>
          <w:b/>
          <w:color w:val="auto"/>
          <w:szCs w:val="24"/>
          <w:highlight w:val="none"/>
          <w:lang w:val="en-US" w:eastAsia="zh-CN"/>
        </w:rPr>
        <w:t xml:space="preserve">    </w:t>
      </w:r>
      <w:r>
        <w:rPr>
          <w:rFonts w:hint="eastAsia" w:ascii="宋体" w:hAnsi="宋体" w:eastAsia="宋体" w:cs="宋体"/>
          <w:b/>
          <w:color w:val="auto"/>
          <w:szCs w:val="24"/>
          <w:highlight w:val="none"/>
        </w:rPr>
        <w:t>图</w:t>
      </w:r>
      <w:r>
        <w:rPr>
          <w:rFonts w:hint="eastAsia" w:ascii="宋体" w:hAnsi="宋体" w:eastAsia="宋体" w:cs="宋体"/>
          <w:b/>
          <w:color w:val="auto"/>
          <w:szCs w:val="24"/>
          <w:highlight w:val="none"/>
          <w:lang w:val="en-US" w:eastAsia="zh-CN"/>
        </w:rPr>
        <w:t>3</w:t>
      </w:r>
      <w:r>
        <w:rPr>
          <w:rFonts w:hint="eastAsia" w:ascii="宋体" w:hAnsi="宋体" w:eastAsia="宋体" w:cs="宋体"/>
          <w:b/>
          <w:color w:val="auto"/>
          <w:szCs w:val="24"/>
          <w:highlight w:val="none"/>
        </w:rPr>
        <w:t>-</w:t>
      </w:r>
      <w:r>
        <w:rPr>
          <w:rFonts w:hint="eastAsia" w:eastAsia="宋体" w:cs="宋体"/>
          <w:b/>
          <w:color w:val="auto"/>
          <w:szCs w:val="24"/>
          <w:highlight w:val="none"/>
          <w:lang w:val="en-US" w:eastAsia="zh-CN"/>
        </w:rPr>
        <w:t xml:space="preserve">5    </w:t>
      </w:r>
      <w:r>
        <w:rPr>
          <w:rFonts w:hint="eastAsia" w:ascii="宋体" w:hAnsi="宋体" w:eastAsia="宋体" w:cs="宋体"/>
          <w:b/>
          <w:color w:val="auto"/>
          <w:szCs w:val="24"/>
          <w:highlight w:val="none"/>
        </w:rPr>
        <w:t>等效半径计算图</w:t>
      </w:r>
    </w:p>
    <w:p w14:paraId="611C2E5A">
      <w:pPr>
        <w:pStyle w:val="62"/>
        <w:rPr>
          <w:rFonts w:hint="eastAsia" w:ascii="宋体" w:hAnsi="宋体" w:eastAsia="宋体" w:cs="宋体"/>
          <w:color w:val="auto"/>
          <w:szCs w:val="24"/>
          <w:highlight w:val="none"/>
        </w:rPr>
      </w:pPr>
    </w:p>
    <w:p w14:paraId="60123FDD">
      <w:pPr>
        <w:widowControl w:val="0"/>
        <w:ind w:firstLine="2916" w:firstLineChars="1215"/>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position w:val="-38"/>
          <w:sz w:val="24"/>
          <w:szCs w:val="24"/>
          <w:highlight w:val="none"/>
          <w:lang w:val="en-US" w:eastAsia="zh-CN" w:bidi="ar-SA"/>
        </w:rPr>
        <w:object>
          <v:shape id="_x0000_i1035" o:spt="75" type="#_x0000_t75" style="height:42.2pt;width:162.65pt;" o:ole="t" filled="f" o:preferrelative="t" stroked="f" coordsize="21600,21600">
            <v:path/>
            <v:fill on="f" focussize="0,0"/>
            <v:stroke on="f"/>
            <v:imagedata r:id="rId37" o:title=""/>
            <o:lock v:ext="edit" aspectratio="t"/>
            <w10:wrap type="none"/>
            <w10:anchorlock/>
          </v:shape>
          <o:OLEObject Type="Embed" ProgID="Equation.3" ShapeID="_x0000_i1035" DrawAspect="Content" ObjectID="_1468075735" r:id="rId36">
            <o:LockedField>false</o:LockedField>
          </o:OLEObject>
        </w:object>
      </w:r>
    </w:p>
    <w:p w14:paraId="63F2E838">
      <w:pPr>
        <w:widowControl w:val="0"/>
        <w:ind w:firstLine="2916" w:firstLineChars="1215"/>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position w:val="-30"/>
          <w:sz w:val="24"/>
          <w:szCs w:val="24"/>
          <w:highlight w:val="none"/>
          <w:lang w:val="en-US" w:eastAsia="zh-CN" w:bidi="ar-SA"/>
        </w:rPr>
        <w:object>
          <v:shape id="_x0000_i1036" o:spt="75" type="#_x0000_t75" style="height:37.3pt;width:170pt;" o:ole="t" filled="f" o:preferrelative="t" stroked="f" coordsize="21600,21600">
            <v:path/>
            <v:fill on="f" focussize="0,0"/>
            <v:stroke on="f"/>
            <v:imagedata r:id="rId39" o:title=""/>
            <o:lock v:ext="edit" aspectratio="t"/>
            <w10:wrap type="none"/>
            <w10:anchorlock/>
          </v:shape>
          <o:OLEObject Type="Embed" ProgID="Equation.3" ShapeID="_x0000_i1036" DrawAspect="Content" ObjectID="_1468075736" r:id="rId38">
            <o:LockedField>false</o:LockedField>
          </o:OLEObject>
        </w:object>
      </w:r>
    </w:p>
    <w:p w14:paraId="685CB5B7">
      <w:pPr>
        <w:autoSpaceDE w:val="0"/>
        <w:autoSpaceDN w:val="0"/>
        <w:adjustRightInd w:val="0"/>
        <w:spacing w:line="480" w:lineRule="exact"/>
        <w:ind w:firstLine="480"/>
        <w:rPr>
          <w:rFonts w:hint="eastAsia" w:ascii="宋体" w:hAnsi="宋体" w:eastAsia="宋体" w:cs="宋体"/>
          <w:color w:val="auto"/>
          <w:sz w:val="24"/>
          <w:szCs w:val="21"/>
          <w:highlight w:val="none"/>
          <w:lang w:val="zh-CN"/>
        </w:rPr>
      </w:pPr>
      <w:r>
        <w:rPr>
          <w:rFonts w:hint="eastAsia" w:ascii="宋体" w:hAnsi="宋体" w:eastAsia="宋体" w:cs="宋体"/>
          <w:color w:val="auto"/>
          <w:sz w:val="24"/>
          <w:szCs w:val="21"/>
          <w:highlight w:val="none"/>
        </w:rPr>
        <w:t>式中</w:t>
      </w:r>
      <w:r>
        <w:rPr>
          <w:rFonts w:hint="eastAsia" w:ascii="宋体" w:hAnsi="宋体" w:eastAsia="宋体" w:cs="宋体"/>
          <w:color w:val="auto"/>
          <w:sz w:val="24"/>
          <w:szCs w:val="21"/>
          <w:highlight w:val="none"/>
          <w:lang w:val="zh-CN"/>
        </w:rPr>
        <w:t>：</w:t>
      </w:r>
      <w:r>
        <w:rPr>
          <w:rFonts w:hint="eastAsia" w:ascii="宋体" w:hAnsi="宋体" w:eastAsia="宋体" w:cs="宋体"/>
          <w:i/>
          <w:color w:val="auto"/>
          <w:sz w:val="24"/>
          <w:szCs w:val="21"/>
          <w:highlight w:val="none"/>
          <w:lang w:val="zh-CN"/>
        </w:rPr>
        <w:t>x</w:t>
      </w:r>
      <w:r>
        <w:rPr>
          <w:rFonts w:hint="eastAsia" w:ascii="宋体" w:hAnsi="宋体" w:eastAsia="宋体" w:cs="宋体"/>
          <w:i/>
          <w:color w:val="auto"/>
          <w:sz w:val="24"/>
          <w:szCs w:val="21"/>
          <w:highlight w:val="none"/>
          <w:vertAlign w:val="subscript"/>
          <w:lang w:val="zh-CN"/>
        </w:rPr>
        <w:t>i</w:t>
      </w:r>
      <w:r>
        <w:rPr>
          <w:rFonts w:hint="eastAsia" w:ascii="宋体" w:hAnsi="宋体" w:eastAsia="宋体" w:cs="宋体"/>
          <w:color w:val="auto"/>
          <w:sz w:val="24"/>
          <w:szCs w:val="21"/>
          <w:highlight w:val="none"/>
          <w:lang w:val="zh-CN"/>
        </w:rPr>
        <w:t>，</w:t>
      </w:r>
      <w:r>
        <w:rPr>
          <w:rFonts w:hint="eastAsia" w:ascii="宋体" w:hAnsi="宋体" w:eastAsia="宋体" w:cs="宋体"/>
          <w:i/>
          <w:color w:val="auto"/>
          <w:sz w:val="24"/>
          <w:szCs w:val="21"/>
          <w:highlight w:val="none"/>
          <w:lang w:val="zh-CN"/>
        </w:rPr>
        <w:t>y</w:t>
      </w:r>
      <w:r>
        <w:rPr>
          <w:rFonts w:hint="eastAsia" w:ascii="宋体" w:hAnsi="宋体" w:eastAsia="宋体" w:cs="宋体"/>
          <w:i/>
          <w:color w:val="auto"/>
          <w:sz w:val="24"/>
          <w:szCs w:val="21"/>
          <w:highlight w:val="none"/>
          <w:vertAlign w:val="subscript"/>
          <w:lang w:val="zh-CN"/>
        </w:rPr>
        <w:t>i</w:t>
      </w:r>
      <w:r>
        <w:rPr>
          <w:rFonts w:hint="eastAsia" w:ascii="宋体" w:hAnsi="宋体" w:eastAsia="宋体" w:cs="宋体"/>
          <w:color w:val="auto"/>
          <w:sz w:val="24"/>
          <w:szCs w:val="21"/>
          <w:highlight w:val="none"/>
          <w:lang w:val="zh-CN"/>
        </w:rPr>
        <w:t>——导线i的坐标</w:t>
      </w:r>
      <w:r>
        <w:rPr>
          <w:rFonts w:hint="eastAsia" w:ascii="宋体" w:hAnsi="宋体" w:cs="宋体"/>
          <w:color w:val="auto"/>
          <w:sz w:val="24"/>
          <w:szCs w:val="21"/>
          <w:highlight w:val="none"/>
          <w:lang w:val="zh-CN"/>
        </w:rPr>
        <w:t>（</w:t>
      </w:r>
      <w:r>
        <w:rPr>
          <w:rFonts w:hint="eastAsia" w:ascii="宋体" w:hAnsi="宋体" w:eastAsia="宋体" w:cs="宋体"/>
          <w:color w:val="auto"/>
          <w:sz w:val="24"/>
          <w:szCs w:val="21"/>
          <w:highlight w:val="none"/>
          <w:lang w:val="zh-CN"/>
        </w:rPr>
        <w:t>i=1、2、…m</w:t>
      </w:r>
      <w:r>
        <w:rPr>
          <w:rFonts w:hint="eastAsia" w:ascii="宋体" w:hAnsi="宋体" w:cs="宋体"/>
          <w:color w:val="auto"/>
          <w:sz w:val="24"/>
          <w:szCs w:val="21"/>
          <w:highlight w:val="none"/>
          <w:lang w:val="zh-CN"/>
        </w:rPr>
        <w:t>）</w:t>
      </w:r>
      <w:r>
        <w:rPr>
          <w:rFonts w:hint="eastAsia" w:ascii="宋体" w:hAnsi="宋体" w:eastAsia="宋体" w:cs="宋体"/>
          <w:color w:val="auto"/>
          <w:sz w:val="24"/>
          <w:szCs w:val="21"/>
          <w:highlight w:val="none"/>
          <w:lang w:val="zh-CN"/>
        </w:rPr>
        <w:t>；</w:t>
      </w:r>
    </w:p>
    <w:p w14:paraId="0A4C286E">
      <w:pPr>
        <w:autoSpaceDE w:val="0"/>
        <w:autoSpaceDN w:val="0"/>
        <w:adjustRightInd w:val="0"/>
        <w:spacing w:line="480" w:lineRule="exact"/>
        <w:ind w:firstLine="1200" w:firstLineChars="500"/>
        <w:rPr>
          <w:rFonts w:hint="eastAsia" w:ascii="宋体" w:hAnsi="宋体" w:eastAsia="宋体" w:cs="宋体"/>
          <w:color w:val="auto"/>
          <w:sz w:val="24"/>
          <w:szCs w:val="21"/>
          <w:highlight w:val="none"/>
          <w:lang w:val="zh-CN"/>
        </w:rPr>
      </w:pPr>
      <w:r>
        <w:rPr>
          <w:rFonts w:hint="eastAsia" w:ascii="宋体" w:hAnsi="宋体" w:eastAsia="宋体" w:cs="宋体"/>
          <w:i/>
          <w:color w:val="auto"/>
          <w:sz w:val="24"/>
          <w:szCs w:val="21"/>
          <w:highlight w:val="none"/>
          <w:lang w:val="zh-CN"/>
        </w:rPr>
        <w:t>m</w:t>
      </w:r>
      <w:r>
        <w:rPr>
          <w:rFonts w:hint="eastAsia" w:ascii="宋体" w:hAnsi="宋体" w:eastAsia="宋体" w:cs="宋体"/>
          <w:color w:val="auto"/>
          <w:sz w:val="24"/>
          <w:szCs w:val="21"/>
          <w:highlight w:val="none"/>
          <w:lang w:val="zh-CN"/>
        </w:rPr>
        <w:t>——导线数目；</w:t>
      </w:r>
    </w:p>
    <w:p w14:paraId="3D678B3B">
      <w:pPr>
        <w:autoSpaceDE w:val="0"/>
        <w:autoSpaceDN w:val="0"/>
        <w:adjustRightInd w:val="0"/>
        <w:spacing w:line="480" w:lineRule="exact"/>
        <w:ind w:firstLine="1200" w:firstLineChars="500"/>
        <w:rPr>
          <w:rFonts w:hint="eastAsia" w:ascii="宋体" w:hAnsi="宋体" w:eastAsia="宋体" w:cs="宋体"/>
          <w:color w:val="auto"/>
          <w:sz w:val="24"/>
          <w:szCs w:val="21"/>
          <w:highlight w:val="none"/>
          <w:lang w:val="zh-CN"/>
        </w:rPr>
      </w:pPr>
      <w:r>
        <w:rPr>
          <w:rFonts w:hint="eastAsia" w:ascii="宋体" w:hAnsi="宋体" w:eastAsia="宋体" w:cs="宋体"/>
          <w:i/>
          <w:color w:val="auto"/>
          <w:sz w:val="24"/>
          <w:szCs w:val="21"/>
          <w:highlight w:val="none"/>
          <w:lang w:val="zh-CN"/>
        </w:rPr>
        <w:t>L</w:t>
      </w:r>
      <w:r>
        <w:rPr>
          <w:rFonts w:hint="eastAsia" w:ascii="宋体" w:hAnsi="宋体" w:eastAsia="宋体" w:cs="宋体"/>
          <w:i/>
          <w:color w:val="auto"/>
          <w:sz w:val="24"/>
          <w:szCs w:val="21"/>
          <w:highlight w:val="none"/>
          <w:vertAlign w:val="subscript"/>
          <w:lang w:val="zh-CN"/>
        </w:rPr>
        <w:t>i</w:t>
      </w:r>
      <w:r>
        <w:rPr>
          <w:rFonts w:hint="eastAsia" w:ascii="宋体" w:hAnsi="宋体" w:eastAsia="宋体" w:cs="宋体"/>
          <w:i/>
          <w:color w:val="auto"/>
          <w:sz w:val="24"/>
          <w:szCs w:val="21"/>
          <w:highlight w:val="none"/>
          <w:lang w:val="zh-CN"/>
        </w:rPr>
        <w:t>，L</w:t>
      </w:r>
      <w:r>
        <w:rPr>
          <w:rFonts w:hint="eastAsia" w:ascii="宋体" w:hAnsi="宋体" w:eastAsia="宋体" w:cs="宋体"/>
          <w:i/>
          <w:color w:val="auto"/>
          <w:sz w:val="24"/>
          <w:szCs w:val="21"/>
          <w:highlight w:val="none"/>
          <w:vertAlign w:val="subscript"/>
          <w:lang w:val="zh-CN"/>
        </w:rPr>
        <w:t>'i</w:t>
      </w:r>
      <w:r>
        <w:rPr>
          <w:rFonts w:hint="eastAsia" w:ascii="宋体" w:hAnsi="宋体" w:eastAsia="宋体" w:cs="宋体"/>
          <w:color w:val="auto"/>
          <w:sz w:val="24"/>
          <w:szCs w:val="21"/>
          <w:highlight w:val="none"/>
          <w:lang w:val="zh-CN"/>
        </w:rPr>
        <w:t>——分别为导线i及其镜像至计算点的距离，m。</w:t>
      </w:r>
    </w:p>
    <w:p w14:paraId="26225A42">
      <w:pPr>
        <w:autoSpaceDE w:val="0"/>
        <w:autoSpaceDN w:val="0"/>
        <w:adjustRightInd w:val="0"/>
        <w:spacing w:line="480" w:lineRule="exact"/>
        <w:ind w:firstLine="480"/>
        <w:rPr>
          <w:rFonts w:hint="eastAsia" w:ascii="宋体" w:hAnsi="宋体" w:eastAsia="宋体" w:cs="宋体"/>
          <w:color w:val="auto"/>
          <w:sz w:val="24"/>
          <w:szCs w:val="21"/>
          <w:highlight w:val="none"/>
          <w:lang w:val="zh-CN"/>
        </w:rPr>
      </w:pPr>
      <w:r>
        <w:rPr>
          <w:rFonts w:hint="eastAsia" w:ascii="宋体" w:hAnsi="宋体" w:eastAsia="宋体" w:cs="宋体"/>
          <w:color w:val="auto"/>
          <w:sz w:val="24"/>
          <w:szCs w:val="21"/>
          <w:highlight w:val="none"/>
          <w:lang w:val="zh-CN"/>
        </w:rPr>
        <w:t>对于三相交流线路，可根据求得的电荷计算空间任一点电场强度的水平和垂直分量为：</w:t>
      </w:r>
    </w:p>
    <w:p w14:paraId="4ED33891">
      <w:pPr>
        <w:widowControl w:val="0"/>
        <w:ind w:firstLine="2916" w:firstLineChars="1215"/>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position w:val="-28"/>
          <w:sz w:val="24"/>
          <w:szCs w:val="24"/>
          <w:highlight w:val="none"/>
          <w:lang w:val="en-US" w:eastAsia="zh-CN" w:bidi="ar-SA"/>
        </w:rPr>
        <w:object>
          <v:shape id="_x0000_i1037" o:spt="75" type="#_x0000_t75" style="height:34.75pt;width:114.25pt;" o:ole="t" filled="f" o:preferrelative="t" stroked="f" coordsize="21600,21600">
            <v:path/>
            <v:fill on="f" focussize="0,0"/>
            <v:stroke on="f"/>
            <v:imagedata r:id="rId41" o:title=""/>
            <o:lock v:ext="edit" aspectratio="t"/>
            <w10:wrap type="none"/>
            <w10:anchorlock/>
          </v:shape>
          <o:OLEObject Type="Embed" ProgID="Equation.3" ShapeID="_x0000_i1037" DrawAspect="Content" ObjectID="_1468075737" r:id="rId40">
            <o:LockedField>false</o:LockedField>
          </o:OLEObject>
        </w:object>
      </w:r>
    </w:p>
    <w:p w14:paraId="6A05AD7C">
      <w:pPr>
        <w:widowControl w:val="0"/>
        <w:ind w:firstLine="3312" w:firstLineChars="138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w:t>
      </w:r>
      <w:r>
        <w:rPr>
          <w:rFonts w:hint="eastAsia" w:ascii="宋体" w:hAnsi="宋体" w:eastAsia="宋体" w:cs="宋体"/>
          <w:color w:val="auto"/>
          <w:kern w:val="2"/>
          <w:position w:val="-12"/>
          <w:sz w:val="24"/>
          <w:szCs w:val="24"/>
          <w:highlight w:val="none"/>
          <w:lang w:val="en-US" w:eastAsia="zh-CN" w:bidi="ar-SA"/>
        </w:rPr>
        <w:object>
          <v:shape id="_x0000_i1038" o:spt="75" type="#_x0000_t75" style="height:17.4pt;width:50.9pt;" o:ole="t" filled="f" o:preferrelative="t" stroked="f" coordsize="21600,21600">
            <v:path/>
            <v:fill on="f" focussize="0,0"/>
            <v:stroke on="f"/>
            <v:imagedata r:id="rId43" o:title=""/>
            <o:lock v:ext="edit" aspectratio="t"/>
            <w10:wrap type="none"/>
            <w10:anchorlock/>
          </v:shape>
          <o:OLEObject Type="Embed" ProgID="Equation.3" ShapeID="_x0000_i1038" DrawAspect="Content" ObjectID="_1468075738" r:id="rId42">
            <o:LockedField>false</o:LockedField>
          </o:OLEObject>
        </w:object>
      </w:r>
    </w:p>
    <w:p w14:paraId="73A611E6">
      <w:pPr>
        <w:widowControl w:val="0"/>
        <w:ind w:firstLine="2916" w:firstLineChars="1215"/>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position w:val="-28"/>
          <w:sz w:val="24"/>
          <w:szCs w:val="24"/>
          <w:highlight w:val="none"/>
          <w:lang w:val="en-US" w:eastAsia="zh-CN" w:bidi="ar-SA"/>
        </w:rPr>
        <w:object>
          <v:shape id="_x0000_i1039" o:spt="75" type="#_x0000_t75" style="height:34.75pt;width:114.25pt;" o:ole="t" filled="f" o:preferrelative="t" stroked="f" coordsize="21600,21600">
            <v:path/>
            <v:fill on="f" focussize="0,0"/>
            <v:stroke on="f"/>
            <v:imagedata r:id="rId45" o:title=""/>
            <o:lock v:ext="edit" aspectratio="t"/>
            <w10:wrap type="none"/>
            <w10:anchorlock/>
          </v:shape>
          <o:OLEObject Type="Embed" ProgID="Equation.3" ShapeID="_x0000_i1039" DrawAspect="Content" ObjectID="_1468075739" r:id="rId44">
            <o:LockedField>false</o:LockedField>
          </o:OLEObject>
        </w:object>
      </w:r>
    </w:p>
    <w:p w14:paraId="66703C1B">
      <w:pPr>
        <w:widowControl w:val="0"/>
        <w:ind w:firstLine="3312" w:firstLineChars="138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w:t>
      </w:r>
      <w:r>
        <w:rPr>
          <w:rFonts w:hint="eastAsia" w:ascii="宋体" w:hAnsi="宋体" w:eastAsia="宋体" w:cs="宋体"/>
          <w:color w:val="auto"/>
          <w:kern w:val="2"/>
          <w:position w:val="-14"/>
          <w:sz w:val="24"/>
          <w:szCs w:val="24"/>
          <w:highlight w:val="none"/>
          <w:lang w:val="en-US" w:eastAsia="zh-CN" w:bidi="ar-SA"/>
        </w:rPr>
        <w:object>
          <v:shape id="_x0000_i1040" o:spt="75" type="#_x0000_t75" style="height:19.85pt;width:52.15pt;" o:ole="t" filled="f" o:preferrelative="t" stroked="f" coordsize="21600,21600">
            <v:path/>
            <v:fill on="f" focussize="0,0"/>
            <v:stroke on="f"/>
            <v:imagedata r:id="rId47" o:title=""/>
            <o:lock v:ext="edit" aspectratio="t"/>
            <w10:wrap type="none"/>
            <w10:anchorlock/>
          </v:shape>
          <o:OLEObject Type="Embed" ProgID="Equation.3" ShapeID="_x0000_i1040" DrawAspect="Content" ObjectID="_1468075740" r:id="rId46">
            <o:LockedField>false</o:LockedField>
          </o:OLEObject>
        </w:object>
      </w:r>
    </w:p>
    <w:p w14:paraId="6482AB9A">
      <w:pPr>
        <w:widowControl w:val="0"/>
        <w:spacing w:before="156" w:beforeLines="50"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zh-CN" w:eastAsia="zh-CN" w:bidi="ar-SA"/>
        </w:rPr>
        <w:t>式中：</w:t>
      </w:r>
      <w:r>
        <w:rPr>
          <w:rFonts w:hint="eastAsia" w:ascii="宋体" w:hAnsi="宋体" w:eastAsia="宋体" w:cs="宋体"/>
          <w:color w:val="auto"/>
          <w:kern w:val="2"/>
          <w:position w:val="-12"/>
          <w:sz w:val="24"/>
          <w:szCs w:val="24"/>
          <w:highlight w:val="none"/>
          <w:lang w:val="en-US" w:eastAsia="zh-CN" w:bidi="ar-SA"/>
        </w:rPr>
        <w:object>
          <v:shape id="_x0000_i1041" o:spt="75" type="#_x0000_t75" style="height:17.4pt;width:19.85pt;" o:ole="t" filled="f" o:preferrelative="t" stroked="f" coordsize="21600,21600">
            <v:path/>
            <v:fill on="f" focussize="0,0"/>
            <v:stroke on="f"/>
            <v:imagedata r:id="rId49" o:title=""/>
            <o:lock v:ext="edit" aspectratio="t"/>
            <w10:wrap type="none"/>
            <w10:anchorlock/>
          </v:shape>
          <o:OLEObject Type="Embed" ProgID="Equation.3" ShapeID="_x0000_i1041" DrawAspect="Content" ObjectID="_1468075741" r:id="rId48">
            <o:LockedField>false</o:LockedField>
          </o:OLEObject>
        </w:object>
      </w:r>
      <w:r>
        <w:rPr>
          <w:rFonts w:hint="eastAsia" w:ascii="宋体" w:hAnsi="宋体" w:eastAsia="宋体" w:cs="宋体"/>
          <w:color w:val="auto"/>
          <w:kern w:val="2"/>
          <w:sz w:val="24"/>
          <w:szCs w:val="24"/>
          <w:highlight w:val="none"/>
          <w:vertAlign w:val="subscript"/>
          <w:lang w:val="en-US" w:eastAsia="zh-CN" w:bidi="ar-SA"/>
        </w:rPr>
        <w:t>————</w:t>
      </w:r>
      <w:r>
        <w:rPr>
          <w:rFonts w:hint="eastAsia" w:ascii="宋体" w:hAnsi="宋体" w:eastAsia="宋体" w:cs="宋体"/>
          <w:color w:val="auto"/>
          <w:kern w:val="2"/>
          <w:sz w:val="24"/>
          <w:szCs w:val="24"/>
          <w:highlight w:val="none"/>
          <w:lang w:val="zh-CN" w:eastAsia="zh-CN" w:bidi="ar-SA"/>
        </w:rPr>
        <w:t>由各导线的实部电荷在该点产生场强的水平分量；</w:t>
      </w:r>
    </w:p>
    <w:p w14:paraId="2DDE25CF">
      <w:pPr>
        <w:widowControl w:val="0"/>
        <w:spacing w:line="360" w:lineRule="auto"/>
        <w:ind w:firstLine="1178" w:firstLineChars="491"/>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position w:val="-12"/>
          <w:sz w:val="24"/>
          <w:szCs w:val="24"/>
          <w:highlight w:val="none"/>
          <w:lang w:val="en-US" w:eastAsia="zh-CN" w:bidi="ar-SA"/>
        </w:rPr>
        <w:object>
          <v:shape id="_x0000_i1042" o:spt="75" type="#_x0000_t75" style="height:17.4pt;width:19.85pt;" o:ole="t" filled="f" o:preferrelative="t" stroked="f" coordsize="21600,21600">
            <v:path/>
            <v:fill on="f" focussize="0,0"/>
            <v:stroke on="f"/>
            <v:imagedata r:id="rId51" o:title=""/>
            <o:lock v:ext="edit" aspectratio="t"/>
            <w10:wrap type="none"/>
            <w10:anchorlock/>
          </v:shape>
          <o:OLEObject Type="Embed" ProgID="Equation.3" ShapeID="_x0000_i1042" DrawAspect="Content" ObjectID="_1468075742" r:id="rId50">
            <o:LockedField>false</o:LockedField>
          </o:OLEObject>
        </w:object>
      </w:r>
      <w:r>
        <w:rPr>
          <w:rFonts w:hint="eastAsia" w:ascii="宋体" w:hAnsi="宋体" w:eastAsia="宋体" w:cs="宋体"/>
          <w:color w:val="auto"/>
          <w:kern w:val="2"/>
          <w:sz w:val="24"/>
          <w:szCs w:val="24"/>
          <w:highlight w:val="none"/>
          <w:vertAlign w:val="subscript"/>
          <w:lang w:val="en-US" w:eastAsia="zh-CN" w:bidi="ar-SA"/>
        </w:rPr>
        <w:t>————</w:t>
      </w:r>
      <w:r>
        <w:rPr>
          <w:rFonts w:hint="eastAsia" w:ascii="宋体" w:hAnsi="宋体" w:eastAsia="宋体" w:cs="宋体"/>
          <w:color w:val="auto"/>
          <w:kern w:val="2"/>
          <w:sz w:val="24"/>
          <w:szCs w:val="24"/>
          <w:highlight w:val="none"/>
          <w:lang w:val="zh-CN" w:eastAsia="zh-CN" w:bidi="ar-SA"/>
        </w:rPr>
        <w:t>由各导线的虚部电荷在该点产生场强的水平分量；</w:t>
      </w:r>
    </w:p>
    <w:p w14:paraId="2109CCBC">
      <w:pPr>
        <w:widowControl w:val="0"/>
        <w:spacing w:line="360" w:lineRule="auto"/>
        <w:ind w:firstLine="1178" w:firstLineChars="491"/>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position w:val="-14"/>
          <w:sz w:val="24"/>
          <w:szCs w:val="24"/>
          <w:highlight w:val="none"/>
          <w:lang w:val="en-US" w:eastAsia="zh-CN" w:bidi="ar-SA"/>
        </w:rPr>
        <w:object>
          <v:shape id="_x0000_i1043" o:spt="75" type="#_x0000_t75" style="height:19.85pt;width:19.85pt;" o:ole="t" filled="f" o:preferrelative="t" stroked="f" coordsize="21600,21600">
            <v:path/>
            <v:fill on="f" focussize="0,0"/>
            <v:stroke on="f"/>
            <v:imagedata r:id="rId53" o:title=""/>
            <o:lock v:ext="edit" aspectratio="t"/>
            <w10:wrap type="none"/>
            <w10:anchorlock/>
          </v:shape>
          <o:OLEObject Type="Embed" ProgID="Equation.3" ShapeID="_x0000_i1043" DrawAspect="Content" ObjectID="_1468075743" r:id="rId52">
            <o:LockedField>false</o:LockedField>
          </o:OLEObject>
        </w:object>
      </w:r>
      <w:r>
        <w:rPr>
          <w:rFonts w:hint="eastAsia" w:ascii="宋体" w:hAnsi="宋体" w:eastAsia="宋体" w:cs="宋体"/>
          <w:color w:val="auto"/>
          <w:kern w:val="2"/>
          <w:sz w:val="24"/>
          <w:szCs w:val="24"/>
          <w:highlight w:val="none"/>
          <w:vertAlign w:val="subscript"/>
          <w:lang w:val="en-US" w:eastAsia="zh-CN" w:bidi="ar-SA"/>
        </w:rPr>
        <w:t>————</w:t>
      </w:r>
      <w:r>
        <w:rPr>
          <w:rFonts w:hint="eastAsia" w:ascii="宋体" w:hAnsi="宋体" w:eastAsia="宋体" w:cs="宋体"/>
          <w:color w:val="auto"/>
          <w:kern w:val="2"/>
          <w:sz w:val="24"/>
          <w:szCs w:val="24"/>
          <w:highlight w:val="none"/>
          <w:lang w:val="zh-CN" w:eastAsia="zh-CN" w:bidi="ar-SA"/>
        </w:rPr>
        <w:t>由各导线的实部电荷在该点产生场强的垂直分量；</w:t>
      </w:r>
    </w:p>
    <w:p w14:paraId="34D0AA90">
      <w:pPr>
        <w:widowControl w:val="0"/>
        <w:spacing w:line="360" w:lineRule="auto"/>
        <w:ind w:firstLine="1178" w:firstLineChars="491"/>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position w:val="-14"/>
          <w:sz w:val="24"/>
          <w:szCs w:val="24"/>
          <w:highlight w:val="none"/>
          <w:lang w:val="en-US" w:eastAsia="zh-CN" w:bidi="ar-SA"/>
        </w:rPr>
        <w:object>
          <v:shape id="_x0000_i1044" o:spt="75" type="#_x0000_t75" style="height:19.85pt;width:19.85pt;" o:ole="t" filled="f" o:preferrelative="t" stroked="f" coordsize="21600,21600">
            <v:path/>
            <v:fill on="f" focussize="0,0"/>
            <v:stroke on="f"/>
            <v:imagedata r:id="rId55" o:title=""/>
            <o:lock v:ext="edit" aspectratio="t"/>
            <w10:wrap type="none"/>
            <w10:anchorlock/>
          </v:shape>
          <o:OLEObject Type="Embed" ProgID="Equation.3" ShapeID="_x0000_i1044" DrawAspect="Content" ObjectID="_1468075744" r:id="rId54">
            <o:LockedField>false</o:LockedField>
          </o:OLEObject>
        </w:object>
      </w:r>
      <w:r>
        <w:rPr>
          <w:rFonts w:hint="eastAsia" w:ascii="宋体" w:hAnsi="宋体" w:eastAsia="宋体" w:cs="宋体"/>
          <w:color w:val="auto"/>
          <w:kern w:val="2"/>
          <w:sz w:val="24"/>
          <w:szCs w:val="24"/>
          <w:highlight w:val="none"/>
          <w:vertAlign w:val="subscript"/>
          <w:lang w:val="en-US" w:eastAsia="zh-CN" w:bidi="ar-SA"/>
        </w:rPr>
        <w:t>————</w:t>
      </w:r>
      <w:r>
        <w:rPr>
          <w:rFonts w:hint="eastAsia" w:ascii="宋体" w:hAnsi="宋体" w:eastAsia="宋体" w:cs="宋体"/>
          <w:color w:val="auto"/>
          <w:kern w:val="2"/>
          <w:sz w:val="24"/>
          <w:szCs w:val="24"/>
          <w:highlight w:val="none"/>
          <w:lang w:val="zh-CN" w:eastAsia="zh-CN" w:bidi="ar-SA"/>
        </w:rPr>
        <w:t>由各导线的虚部电荷在该点产生场强的垂直分量。</w:t>
      </w:r>
    </w:p>
    <w:p w14:paraId="21EE9BF8">
      <w:pPr>
        <w:widowControl w:val="0"/>
        <w:spacing w:line="360" w:lineRule="auto"/>
        <w:ind w:firstLine="698" w:firstLineChars="291"/>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该点的合成的电场强度则为：</w:t>
      </w:r>
    </w:p>
    <w:p w14:paraId="4F6D0DB4">
      <w:pPr>
        <w:widowControl w:val="0"/>
        <w:ind w:firstLine="2916" w:firstLineChars="1215"/>
        <w:jc w:val="both"/>
        <w:rPr>
          <w:rStyle w:val="90"/>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position w:val="-12"/>
          <w:sz w:val="24"/>
          <w:szCs w:val="24"/>
          <w:highlight w:val="none"/>
          <w:lang w:val="en-US" w:eastAsia="zh-CN" w:bidi="ar-SA"/>
        </w:rPr>
        <w:object>
          <v:shape id="_x0000_i1045" o:spt="75" type="#_x0000_t75" style="height:22.35pt;width:91.85pt;" o:ole="t" filled="f" o:preferrelative="t" stroked="f" coordsize="21600,21600">
            <v:path/>
            <v:fill on="f" focussize="0,0"/>
            <v:stroke on="f"/>
            <v:imagedata r:id="rId57" o:title=""/>
            <o:lock v:ext="edit" aspectratio="t"/>
            <w10:wrap type="none"/>
            <w10:anchorlock/>
          </v:shape>
          <o:OLEObject Type="Embed" ProgID="Equation.3" ShapeID="_x0000_i1045" DrawAspect="Content" ObjectID="_1468075745" r:id="rId56">
            <o:LockedField>false</o:LockedField>
          </o:OLEObject>
        </w:object>
      </w:r>
      <w:r>
        <w:rPr>
          <w:rStyle w:val="90"/>
          <w:rFonts w:hint="eastAsia" w:ascii="宋体" w:hAnsi="宋体" w:eastAsia="宋体" w:cs="宋体"/>
          <w:color w:val="auto"/>
          <w:kern w:val="2"/>
          <w:szCs w:val="24"/>
          <w:highlight w:val="none"/>
          <w:lang w:val="en-US" w:eastAsia="zh-CN" w:bidi="ar-SA"/>
        </w:rPr>
        <w:t>+</w:t>
      </w:r>
      <w:r>
        <w:rPr>
          <w:rFonts w:hint="eastAsia" w:ascii="宋体" w:hAnsi="宋体" w:eastAsia="宋体" w:cs="宋体"/>
          <w:color w:val="auto"/>
          <w:kern w:val="2"/>
          <w:position w:val="-14"/>
          <w:sz w:val="24"/>
          <w:szCs w:val="24"/>
          <w:highlight w:val="none"/>
          <w:lang w:val="en-US" w:eastAsia="zh-CN" w:bidi="ar-SA"/>
        </w:rPr>
        <w:object>
          <v:shape id="_x0000_i1046" o:spt="75" type="#_x0000_t75" style="height:22.35pt;width:67pt;" o:ole="t" filled="f" o:preferrelative="t" stroked="f" coordsize="21600,21600">
            <v:path/>
            <v:fill on="f" focussize="0,0"/>
            <v:stroke on="f"/>
            <v:imagedata r:id="rId59" o:title=""/>
            <o:lock v:ext="edit" aspectratio="t"/>
            <w10:wrap type="none"/>
            <w10:anchorlock/>
          </v:shape>
          <o:OLEObject Type="Embed" ProgID="Equation.3" ShapeID="_x0000_i1046" DrawAspect="Content" ObjectID="_1468075746" r:id="rId58">
            <o:LockedField>false</o:LockedField>
          </o:OLEObject>
        </w:object>
      </w:r>
    </w:p>
    <w:p w14:paraId="6E5A4539">
      <w:pPr>
        <w:widowControl w:val="0"/>
        <w:ind w:firstLine="3151" w:firstLineChars="1313"/>
        <w:jc w:val="both"/>
        <w:rPr>
          <w:rStyle w:val="90"/>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position w:val="-14"/>
          <w:sz w:val="24"/>
          <w:szCs w:val="24"/>
          <w:highlight w:val="none"/>
          <w:lang w:val="en-US" w:eastAsia="zh-CN" w:bidi="ar-SA"/>
        </w:rPr>
        <w:object>
          <v:shape id="_x0000_i1047" o:spt="75" type="#_x0000_t75" style="height:22.35pt;width:49.65pt;" o:ole="t" filled="f" o:preferrelative="t" stroked="f" coordsize="21600,21600">
            <v:path/>
            <v:fill on="f" focussize="0,0"/>
            <v:stroke on="f"/>
            <v:imagedata r:id="rId61" o:title=""/>
            <o:lock v:ext="edit" aspectratio="t"/>
            <w10:wrap type="none"/>
            <w10:anchorlock/>
          </v:shape>
          <o:OLEObject Type="Embed" ProgID="Equation.3" ShapeID="_x0000_i1047" DrawAspect="Content" ObjectID="_1468075747" r:id="rId60">
            <o:LockedField>false</o:LockedField>
          </o:OLEObject>
        </w:object>
      </w:r>
      <w:r>
        <w:rPr>
          <w:rStyle w:val="90"/>
          <w:rFonts w:hint="eastAsia" w:ascii="宋体" w:hAnsi="宋体" w:eastAsia="宋体" w:cs="宋体"/>
          <w:color w:val="auto"/>
          <w:kern w:val="2"/>
          <w:szCs w:val="24"/>
          <w:highlight w:val="none"/>
          <w:lang w:val="en-US" w:eastAsia="zh-CN" w:bidi="ar-SA"/>
        </w:rPr>
        <w:tab/>
      </w:r>
    </w:p>
    <w:p w14:paraId="1D6360DC">
      <w:pPr>
        <w:widowControl w:val="0"/>
        <w:ind w:firstLine="698" w:firstLineChars="291"/>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式中：</w:t>
      </w:r>
    </w:p>
    <w:p w14:paraId="4BD449FD">
      <w:pPr>
        <w:widowControl w:val="0"/>
        <w:ind w:firstLine="2916" w:firstLineChars="1215"/>
        <w:jc w:val="both"/>
        <w:rPr>
          <w:rStyle w:val="90"/>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position w:val="-14"/>
          <w:sz w:val="24"/>
          <w:szCs w:val="24"/>
          <w:highlight w:val="none"/>
          <w:lang w:val="en-US" w:eastAsia="zh-CN" w:bidi="ar-SA"/>
        </w:rPr>
        <w:object>
          <v:shape id="_x0000_i1048" o:spt="75" type="#_x0000_t75" style="height:22.35pt;width:83.2pt;" o:ole="t" filled="f" o:preferrelative="t" stroked="f" coordsize="21600,21600">
            <v:path/>
            <v:fill on="f" focussize="0,0"/>
            <v:stroke on="f"/>
            <v:imagedata r:id="rId63" o:title=""/>
            <o:lock v:ext="edit" aspectratio="t"/>
            <w10:wrap type="none"/>
            <w10:anchorlock/>
          </v:shape>
          <o:OLEObject Type="Embed" ProgID="Equation.3" ShapeID="_x0000_i1048" DrawAspect="Content" ObjectID="_1468075748" r:id="rId62">
            <o:LockedField>false</o:LockedField>
          </o:OLEObject>
        </w:object>
      </w:r>
    </w:p>
    <w:p w14:paraId="5E5BFF9D">
      <w:pPr>
        <w:autoSpaceDE w:val="0"/>
        <w:autoSpaceDN w:val="0"/>
        <w:adjustRightInd w:val="0"/>
        <w:spacing w:line="480" w:lineRule="exact"/>
        <w:ind w:firstLine="2880" w:firstLineChars="1200"/>
        <w:rPr>
          <w:rFonts w:hint="eastAsia" w:ascii="宋体" w:hAnsi="宋体" w:eastAsia="宋体" w:cs="宋体"/>
          <w:color w:val="auto"/>
          <w:sz w:val="24"/>
          <w:szCs w:val="21"/>
          <w:highlight w:val="none"/>
          <w:lang w:eastAsia="zh-CN"/>
        </w:rPr>
      </w:pPr>
      <w:r>
        <w:rPr>
          <w:rFonts w:hint="eastAsia" w:ascii="宋体" w:hAnsi="宋体" w:eastAsia="宋体" w:cs="宋体"/>
          <w:color w:val="auto"/>
          <w:position w:val="-16"/>
          <w:sz w:val="24"/>
          <w:szCs w:val="21"/>
          <w:highlight w:val="none"/>
        </w:rPr>
        <w:object>
          <v:shape id="_x0000_i1049" o:spt="75" type="#_x0000_t75" style="height:22.35pt;width:83.15pt;" o:ole="t" filled="f" o:preferrelative="t" stroked="f" coordsize="21600,21600">
            <v:path/>
            <v:fill on="f" focussize="0,0"/>
            <v:stroke on="f"/>
            <v:imagedata r:id="rId65" o:title=""/>
            <o:lock v:ext="edit" aspectratio="t"/>
            <w10:wrap type="none"/>
            <w10:anchorlock/>
          </v:shape>
          <o:OLEObject Type="Embed" ProgID="Equation.3" ShapeID="_x0000_i1049" DrawAspect="Content" ObjectID="_1468075749" r:id="rId64">
            <o:LockedField>false</o:LockedField>
          </o:OLEObject>
        </w:object>
      </w:r>
    </w:p>
    <w:p w14:paraId="04F856DC">
      <w:pPr>
        <w:keepNext w:val="0"/>
        <w:keepLines w:val="0"/>
        <w:pageBreakBefore w:val="0"/>
        <w:widowControl w:val="0"/>
        <w:kinsoku/>
        <w:wordWrap/>
        <w:overflowPunct/>
        <w:topLinePunct w:val="0"/>
        <w:autoSpaceDE w:val="0"/>
        <w:autoSpaceDN w:val="0"/>
        <w:bidi w:val="0"/>
        <w:adjustRightInd w:val="0"/>
        <w:snapToGrid/>
        <w:spacing w:before="156" w:beforeLines="50" w:line="360" w:lineRule="auto"/>
        <w:ind w:firstLine="482"/>
        <w:textAlignment w:val="auto"/>
        <w:rPr>
          <w:rFonts w:hint="eastAsia" w:ascii="宋体" w:hAnsi="宋体" w:eastAsia="宋体" w:cs="宋体"/>
          <w:color w:val="auto"/>
          <w:sz w:val="24"/>
          <w:szCs w:val="21"/>
          <w:highlight w:val="none"/>
          <w:lang w:val="zh-CN"/>
        </w:rPr>
      </w:pPr>
      <w:r>
        <w:rPr>
          <w:rFonts w:hint="eastAsia" w:ascii="宋体" w:hAnsi="宋体" w:eastAsia="宋体" w:cs="宋体"/>
          <w:color w:val="auto"/>
          <w:kern w:val="0"/>
          <w:sz w:val="24"/>
          <w:szCs w:val="21"/>
          <w:highlight w:val="none"/>
        </w:rPr>
        <w:t>②工频磁感应强度预测</w:t>
      </w:r>
    </w:p>
    <w:p w14:paraId="071D547B">
      <w:pPr>
        <w:keepNext w:val="0"/>
        <w:keepLines w:val="0"/>
        <w:pageBreakBefore w:val="0"/>
        <w:widowControl w:val="0"/>
        <w:kinsoku/>
        <w:wordWrap/>
        <w:overflowPunct/>
        <w:topLinePunct w:val="0"/>
        <w:autoSpaceDE w:val="0"/>
        <w:autoSpaceDN w:val="0"/>
        <w:bidi w:val="0"/>
        <w:adjustRightInd w:val="0"/>
        <w:snapToGrid/>
        <w:spacing w:line="360" w:lineRule="auto"/>
        <w:ind w:firstLine="480"/>
        <w:textAlignment w:val="auto"/>
        <w:rPr>
          <w:rFonts w:hint="eastAsia" w:ascii="宋体" w:hAnsi="宋体" w:eastAsia="宋体" w:cs="宋体"/>
          <w:color w:val="auto"/>
          <w:sz w:val="24"/>
          <w:szCs w:val="21"/>
          <w:highlight w:val="none"/>
          <w:lang w:val="zh-CN"/>
        </w:rPr>
      </w:pPr>
      <w:r>
        <w:rPr>
          <w:rFonts w:hint="eastAsia" w:ascii="宋体" w:hAnsi="宋体" w:eastAsia="宋体" w:cs="宋体"/>
          <w:color w:val="auto"/>
          <w:sz w:val="24"/>
          <w:szCs w:val="21"/>
          <w:highlight w:val="none"/>
          <w:lang w:val="zh-CN"/>
        </w:rPr>
        <w:t>由于工频情况下电磁性能具有准静态特性，线路的磁场仅由电流产生。应用安培定律，将计算结果按矢量叠加，可得出导线周围的磁场强度。</w:t>
      </w:r>
    </w:p>
    <w:p w14:paraId="02E0BFB0">
      <w:pPr>
        <w:keepNext w:val="0"/>
        <w:keepLines w:val="0"/>
        <w:pageBreakBefore w:val="0"/>
        <w:widowControl w:val="0"/>
        <w:kinsoku/>
        <w:wordWrap/>
        <w:overflowPunct/>
        <w:topLinePunct w:val="0"/>
        <w:autoSpaceDE w:val="0"/>
        <w:autoSpaceDN w:val="0"/>
        <w:bidi w:val="0"/>
        <w:adjustRightInd w:val="0"/>
        <w:snapToGrid/>
        <w:spacing w:line="360" w:lineRule="auto"/>
        <w:ind w:firstLine="480"/>
        <w:textAlignment w:val="auto"/>
        <w:rPr>
          <w:rFonts w:hint="eastAsia" w:ascii="宋体" w:hAnsi="宋体" w:eastAsia="宋体" w:cs="宋体"/>
          <w:color w:val="auto"/>
          <w:sz w:val="24"/>
          <w:szCs w:val="21"/>
          <w:highlight w:val="none"/>
          <w:lang w:val="zh-CN"/>
        </w:rPr>
      </w:pPr>
      <w:r>
        <w:rPr>
          <w:rFonts w:hint="eastAsia" w:ascii="宋体" w:hAnsi="宋体" w:eastAsia="宋体" w:cs="宋体"/>
          <w:color w:val="auto"/>
          <w:sz w:val="24"/>
          <w:szCs w:val="21"/>
          <w:highlight w:val="none"/>
          <w:lang w:val="zh-CN"/>
        </w:rPr>
        <w:t>和电场强度计算不同的是关于镜像导线的考虑，与导线所处高度相比这些镜像导线位于地下很深的距离</w:t>
      </w:r>
      <w:r>
        <w:rPr>
          <w:rFonts w:hint="eastAsia" w:ascii="宋体" w:hAnsi="宋体" w:eastAsia="宋体" w:cs="宋体"/>
          <w:i/>
          <w:color w:val="auto"/>
          <w:sz w:val="24"/>
          <w:szCs w:val="21"/>
          <w:highlight w:val="none"/>
          <w:lang w:val="zh-CN"/>
        </w:rPr>
        <w:t>d</w:t>
      </w:r>
      <w:r>
        <w:rPr>
          <w:rFonts w:hint="eastAsia" w:ascii="宋体" w:hAnsi="宋体" w:eastAsia="宋体" w:cs="宋体"/>
          <w:color w:val="auto"/>
          <w:sz w:val="24"/>
          <w:szCs w:val="21"/>
          <w:highlight w:val="none"/>
          <w:lang w:val="zh-CN"/>
        </w:rPr>
        <w:t>：</w:t>
      </w:r>
    </w:p>
    <w:p w14:paraId="793E7EE3">
      <w:pPr>
        <w:widowControl w:val="0"/>
        <w:ind w:firstLine="2880" w:firstLineChars="1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position w:val="-30"/>
          <w:sz w:val="24"/>
          <w:szCs w:val="24"/>
          <w:highlight w:val="none"/>
          <w:lang w:val="en-US" w:eastAsia="zh-CN" w:bidi="ar-SA"/>
        </w:rPr>
        <w:object>
          <v:shape id="_x0000_i1050" o:spt="75" type="#_x0000_t75" style="height:37.25pt;width:59.6pt;" o:ole="t" filled="f" o:preferrelative="t" stroked="f" coordsize="21600,21600">
            <v:path/>
            <v:fill on="f" focussize="0,0"/>
            <v:stroke on="f"/>
            <v:imagedata r:id="rId67" o:title=""/>
            <o:lock v:ext="edit" aspectratio="t"/>
            <w10:wrap type="none"/>
            <w10:anchorlock/>
          </v:shape>
          <o:OLEObject Type="Embed" ProgID="Equation.3" ShapeID="_x0000_i1050" DrawAspect="Content" ObjectID="_1468075750" r:id="rId66">
            <o:LockedField>false</o:LockedField>
          </o:OLEObject>
        </w:object>
      </w:r>
      <w:r>
        <w:rPr>
          <w:rFonts w:hint="eastAsia" w:ascii="宋体" w:hAnsi="宋体" w:eastAsia="宋体" w:cs="宋体"/>
          <w:color w:val="auto"/>
          <w:kern w:val="2"/>
          <w:sz w:val="24"/>
          <w:szCs w:val="24"/>
          <w:highlight w:val="none"/>
          <w:lang w:val="en-US" w:eastAsia="zh-CN" w:bidi="ar-SA"/>
        </w:rPr>
        <w:t>(m)</w:t>
      </w:r>
    </w:p>
    <w:p w14:paraId="0EA770C2">
      <w:pPr>
        <w:widowControl w:val="0"/>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zh-CN" w:eastAsia="zh-CN" w:bidi="ar-SA"/>
        </w:rPr>
        <w:t>式中：</w:t>
      </w:r>
      <w:r>
        <w:rPr>
          <w:rFonts w:hint="eastAsia" w:ascii="宋体" w:hAnsi="宋体" w:eastAsia="宋体" w:cs="宋体"/>
          <w:i/>
          <w:color w:val="auto"/>
          <w:kern w:val="2"/>
          <w:sz w:val="24"/>
          <w:szCs w:val="24"/>
          <w:highlight w:val="none"/>
          <w:lang w:val="en-US" w:eastAsia="zh-CN" w:bidi="ar-SA"/>
        </w:rPr>
        <w:t>ρ</w:t>
      </w:r>
      <w:r>
        <w:rPr>
          <w:rFonts w:hint="eastAsia" w:ascii="宋体" w:hAnsi="宋体" w:eastAsia="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zh-CN" w:eastAsia="zh-CN" w:bidi="ar-SA"/>
        </w:rPr>
        <w:t>大地电阻率</w:t>
      </w:r>
      <w:r>
        <w:rPr>
          <w:rFonts w:hint="eastAsia" w:ascii="宋体" w:hAnsi="宋体" w:eastAsia="宋体" w:cs="宋体"/>
          <w:color w:val="auto"/>
          <w:kern w:val="2"/>
          <w:sz w:val="24"/>
          <w:szCs w:val="24"/>
          <w:highlight w:val="none"/>
          <w:lang w:val="en-US" w:eastAsia="zh-CN" w:bidi="ar-SA"/>
        </w:rPr>
        <w:t>，</w:t>
      </w:r>
      <w:r>
        <w:rPr>
          <w:rFonts w:hint="eastAsia" w:ascii="宋体" w:hAnsi="宋体" w:eastAsia="宋体" w:cs="宋体"/>
          <w:color w:val="auto"/>
          <w:kern w:val="2"/>
          <w:position w:val="-6"/>
          <w:sz w:val="24"/>
          <w:szCs w:val="24"/>
          <w:highlight w:val="none"/>
          <w:lang w:val="en-US" w:eastAsia="zh-CN" w:bidi="ar-SA"/>
        </w:rPr>
        <w:object>
          <v:shape id="_x0000_i1051" o:spt="75" type="#_x0000_t75" style="height:14.9pt;width:29.8pt;" o:ole="t" filled="f" o:preferrelative="t" stroked="f" coordsize="21600,21600">
            <v:path/>
            <v:fill on="f" focussize="0,0"/>
            <v:stroke on="f"/>
            <v:imagedata r:id="rId69" o:title=""/>
            <o:lock v:ext="edit" aspectratio="t"/>
            <w10:wrap type="none"/>
            <w10:anchorlock/>
          </v:shape>
          <o:OLEObject Type="Embed" ProgID="Equation.3" ShapeID="_x0000_i1051" DrawAspect="Content" ObjectID="_1468075751" r:id="rId68">
            <o:LockedField>false</o:LockedField>
          </o:OLEObject>
        </w:object>
      </w:r>
      <w:r>
        <w:rPr>
          <w:rFonts w:hint="eastAsia" w:ascii="宋体" w:hAnsi="宋体" w:eastAsia="宋体" w:cs="宋体"/>
          <w:color w:val="auto"/>
          <w:kern w:val="2"/>
          <w:sz w:val="24"/>
          <w:szCs w:val="24"/>
          <w:highlight w:val="none"/>
          <w:lang w:val="en-US" w:eastAsia="zh-CN" w:bidi="ar-SA"/>
        </w:rPr>
        <w:t>；</w:t>
      </w:r>
    </w:p>
    <w:p w14:paraId="2296510D">
      <w:pPr>
        <w:widowControl w:val="0"/>
        <w:spacing w:line="360" w:lineRule="auto"/>
        <w:ind w:firstLine="1178" w:firstLineChars="491"/>
        <w:jc w:val="both"/>
        <w:rPr>
          <w:rStyle w:val="90"/>
          <w:rFonts w:hint="eastAsia" w:ascii="宋体" w:hAnsi="宋体" w:eastAsia="宋体" w:cs="宋体"/>
          <w:color w:val="auto"/>
          <w:kern w:val="2"/>
          <w:sz w:val="21"/>
          <w:szCs w:val="24"/>
          <w:highlight w:val="none"/>
          <w:lang w:val="en-US" w:eastAsia="zh-CN" w:bidi="ar-SA"/>
        </w:rPr>
      </w:pPr>
      <w:r>
        <w:rPr>
          <w:rFonts w:hint="eastAsia" w:ascii="宋体" w:hAnsi="宋体" w:eastAsia="宋体" w:cs="宋体"/>
          <w:i/>
          <w:color w:val="auto"/>
          <w:kern w:val="2"/>
          <w:sz w:val="24"/>
          <w:szCs w:val="24"/>
          <w:highlight w:val="none"/>
          <w:lang w:val="en-US" w:eastAsia="zh-CN" w:bidi="ar-SA"/>
        </w:rPr>
        <w:t>f</w:t>
      </w:r>
      <w:r>
        <w:rPr>
          <w:rStyle w:val="90"/>
          <w:rFonts w:hint="eastAsia" w:ascii="宋体" w:hAnsi="宋体" w:eastAsia="宋体" w:cs="宋体"/>
          <w:color w:val="auto"/>
          <w:kern w:val="2"/>
          <w:szCs w:val="24"/>
          <w:highlight w:val="none"/>
          <w:lang w:val="en-US" w:eastAsia="zh-CN" w:bidi="ar-SA"/>
        </w:rPr>
        <w:t>——</w:t>
      </w:r>
      <w:r>
        <w:rPr>
          <w:rFonts w:hint="eastAsia" w:ascii="宋体" w:hAnsi="宋体" w:eastAsia="宋体" w:cs="宋体"/>
          <w:color w:val="auto"/>
          <w:kern w:val="2"/>
          <w:sz w:val="24"/>
          <w:szCs w:val="24"/>
          <w:highlight w:val="none"/>
          <w:lang w:val="zh-CN" w:eastAsia="zh-CN" w:bidi="ar-SA"/>
        </w:rPr>
        <w:t>频率，</w:t>
      </w:r>
      <w:r>
        <w:rPr>
          <w:rStyle w:val="90"/>
          <w:rFonts w:hint="eastAsia" w:ascii="宋体" w:hAnsi="宋体" w:eastAsia="宋体" w:cs="宋体"/>
          <w:color w:val="auto"/>
          <w:kern w:val="2"/>
          <w:szCs w:val="24"/>
          <w:highlight w:val="none"/>
          <w:lang w:val="en-US" w:eastAsia="zh-CN" w:bidi="ar-SA"/>
        </w:rPr>
        <w:t>Hz。</w:t>
      </w:r>
    </w:p>
    <w:p w14:paraId="4B60FAA5">
      <w:pPr>
        <w:autoSpaceDE w:val="0"/>
        <w:autoSpaceDN w:val="0"/>
        <w:adjustRightInd w:val="0"/>
        <w:spacing w:line="360" w:lineRule="auto"/>
        <w:ind w:firstLine="480"/>
        <w:rPr>
          <w:rFonts w:hint="eastAsia" w:ascii="宋体" w:hAnsi="宋体" w:eastAsia="宋体" w:cs="宋体"/>
          <w:color w:val="auto"/>
          <w:sz w:val="24"/>
          <w:szCs w:val="21"/>
          <w:highlight w:val="none"/>
          <w:lang w:val="zh-CN"/>
        </w:rPr>
      </w:pPr>
      <w:r>
        <w:rPr>
          <w:rFonts w:hint="eastAsia" w:ascii="宋体" w:hAnsi="宋体" w:eastAsia="宋体" w:cs="宋体"/>
          <w:color w:val="auto"/>
          <w:sz w:val="24"/>
          <w:szCs w:val="21"/>
          <w:highlight w:val="none"/>
          <w:lang w:val="zh-CN"/>
        </w:rPr>
        <w:t>在很多情况下，只考虑处于空间的实际导线，忽略它的镜像进行计算，其结果已足够符合实际。如图3-4，考虑导线</w:t>
      </w:r>
      <w:r>
        <w:rPr>
          <w:rFonts w:hint="eastAsia" w:ascii="宋体" w:hAnsi="宋体" w:eastAsia="宋体" w:cs="宋体"/>
          <w:i/>
          <w:color w:val="auto"/>
          <w:sz w:val="24"/>
          <w:szCs w:val="21"/>
          <w:highlight w:val="none"/>
          <w:lang w:val="zh-CN"/>
        </w:rPr>
        <w:t>i</w:t>
      </w:r>
      <w:r>
        <w:rPr>
          <w:rFonts w:hint="eastAsia" w:ascii="宋体" w:hAnsi="宋体" w:eastAsia="宋体" w:cs="宋体"/>
          <w:color w:val="auto"/>
          <w:sz w:val="24"/>
          <w:szCs w:val="21"/>
          <w:highlight w:val="none"/>
          <w:lang w:val="zh-CN"/>
        </w:rPr>
        <w:t>的镜像时，可计算在A点其产生的磁场强度：</w:t>
      </w:r>
    </w:p>
    <w:p w14:paraId="34D276E0">
      <w:pPr>
        <w:widowControl w:val="0"/>
        <w:ind w:firstLine="2880" w:firstLineChars="1200"/>
        <w:jc w:val="both"/>
        <w:rPr>
          <w:rStyle w:val="90"/>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w:t>
      </w:r>
      <w:r>
        <w:rPr>
          <w:rFonts w:hint="eastAsia" w:ascii="宋体" w:hAnsi="宋体" w:eastAsia="宋体" w:cs="宋体"/>
          <w:color w:val="auto"/>
          <w:kern w:val="2"/>
          <w:position w:val="-30"/>
          <w:sz w:val="24"/>
          <w:szCs w:val="24"/>
          <w:highlight w:val="none"/>
          <w:lang w:val="en-US" w:eastAsia="zh-CN" w:bidi="ar-SA"/>
        </w:rPr>
        <w:object>
          <v:shape id="_x0000_i1052" o:spt="75" type="#_x0000_t75" style="height:34.75pt;width:62.05pt;" o:ole="t" filled="f" o:preferrelative="t" stroked="f" coordsize="21600,21600">
            <v:path/>
            <v:fill on="f" focussize="0,0"/>
            <v:stroke on="f"/>
            <v:imagedata r:id="rId71" o:title=""/>
            <o:lock v:ext="edit" aspectratio="t"/>
            <w10:wrap type="none"/>
            <w10:anchorlock/>
          </v:shape>
          <o:OLEObject Type="Embed" ProgID="Equation.3" ShapeID="_x0000_i1052" DrawAspect="Content" ObjectID="_1468075752" r:id="rId70">
            <o:LockedField>false</o:LockedField>
          </o:OLEObject>
        </w:object>
      </w:r>
      <w:r>
        <w:rPr>
          <w:rFonts w:hint="eastAsia" w:ascii="宋体" w:hAnsi="宋体" w:eastAsia="宋体" w:cs="宋体"/>
          <w:color w:val="auto"/>
          <w:kern w:val="2"/>
          <w:sz w:val="24"/>
          <w:szCs w:val="24"/>
          <w:highlight w:val="none"/>
          <w:lang w:val="en-US" w:eastAsia="zh-CN" w:bidi="ar-SA"/>
        </w:rPr>
        <w:t>(A/m)</w:t>
      </w:r>
    </w:p>
    <w:p w14:paraId="37917169">
      <w:pPr>
        <w:autoSpaceDE w:val="0"/>
        <w:autoSpaceDN w:val="0"/>
        <w:adjustRightInd w:val="0"/>
        <w:spacing w:line="480" w:lineRule="exact"/>
        <w:ind w:firstLine="480"/>
        <w:rPr>
          <w:rFonts w:hint="eastAsia" w:ascii="宋体" w:hAnsi="宋体" w:eastAsia="宋体" w:cs="宋体"/>
          <w:color w:val="auto"/>
          <w:sz w:val="24"/>
          <w:szCs w:val="21"/>
          <w:highlight w:val="none"/>
          <w:lang w:val="zh-CN"/>
        </w:rPr>
      </w:pPr>
      <w:r>
        <w:rPr>
          <w:rFonts w:hint="eastAsia" w:ascii="宋体" w:hAnsi="宋体" w:eastAsia="宋体" w:cs="宋体"/>
          <w:color w:val="auto"/>
          <w:sz w:val="24"/>
          <w:szCs w:val="21"/>
          <w:highlight w:val="none"/>
          <w:lang w:val="zh-CN"/>
        </w:rPr>
        <w:t>式中：</w:t>
      </w:r>
      <w:r>
        <w:rPr>
          <w:rFonts w:hint="eastAsia" w:ascii="宋体" w:hAnsi="宋体" w:eastAsia="宋体" w:cs="宋体"/>
          <w:i/>
          <w:color w:val="auto"/>
          <w:sz w:val="24"/>
          <w:szCs w:val="21"/>
          <w:highlight w:val="none"/>
          <w:lang w:val="zh-CN"/>
        </w:rPr>
        <w:t>I</w:t>
      </w:r>
      <w:r>
        <w:rPr>
          <w:rFonts w:hint="eastAsia" w:ascii="宋体" w:hAnsi="宋体" w:eastAsia="宋体" w:cs="宋体"/>
          <w:color w:val="auto"/>
          <w:sz w:val="24"/>
          <w:szCs w:val="21"/>
          <w:highlight w:val="none"/>
          <w:lang w:val="zh-CN"/>
        </w:rPr>
        <w:t>——导线i中的电流值，A；</w:t>
      </w:r>
    </w:p>
    <w:p w14:paraId="47D9B5FD">
      <w:pPr>
        <w:autoSpaceDE w:val="0"/>
        <w:autoSpaceDN w:val="0"/>
        <w:adjustRightInd w:val="0"/>
        <w:spacing w:line="480" w:lineRule="exact"/>
        <w:ind w:firstLine="1200" w:firstLineChars="500"/>
        <w:rPr>
          <w:rFonts w:hint="eastAsia" w:ascii="宋体" w:hAnsi="宋体" w:eastAsia="宋体" w:cs="宋体"/>
          <w:color w:val="auto"/>
          <w:sz w:val="24"/>
          <w:szCs w:val="21"/>
          <w:highlight w:val="none"/>
          <w:lang w:val="zh-CN"/>
        </w:rPr>
      </w:pPr>
      <w:r>
        <w:rPr>
          <w:rFonts w:hint="eastAsia" w:ascii="宋体" w:hAnsi="宋体" w:eastAsia="宋体" w:cs="宋体"/>
          <w:i/>
          <w:color w:val="auto"/>
          <w:sz w:val="24"/>
          <w:szCs w:val="21"/>
          <w:highlight w:val="none"/>
          <w:lang w:val="zh-CN"/>
        </w:rPr>
        <w:t>h</w:t>
      </w:r>
      <w:r>
        <w:rPr>
          <w:rFonts w:hint="eastAsia" w:ascii="宋体" w:hAnsi="宋体" w:eastAsia="宋体" w:cs="宋体"/>
          <w:color w:val="auto"/>
          <w:sz w:val="24"/>
          <w:szCs w:val="21"/>
          <w:highlight w:val="none"/>
          <w:lang w:val="zh-CN"/>
        </w:rPr>
        <w:t>——导线与预测点的高差，m；</w:t>
      </w:r>
    </w:p>
    <w:p w14:paraId="559A56B2">
      <w:pPr>
        <w:autoSpaceDE w:val="0"/>
        <w:autoSpaceDN w:val="0"/>
        <w:adjustRightInd w:val="0"/>
        <w:spacing w:line="480" w:lineRule="exact"/>
        <w:ind w:firstLine="1200" w:firstLineChars="500"/>
        <w:rPr>
          <w:rFonts w:hint="eastAsia" w:ascii="宋体" w:hAnsi="宋体" w:eastAsia="宋体" w:cs="宋体"/>
          <w:color w:val="auto"/>
          <w:sz w:val="24"/>
          <w:szCs w:val="21"/>
          <w:highlight w:val="none"/>
          <w:lang w:val="zh-CN"/>
        </w:rPr>
      </w:pPr>
      <w:r>
        <w:rPr>
          <w:rFonts w:hint="eastAsia" w:ascii="宋体" w:hAnsi="宋体" w:eastAsia="宋体" w:cs="宋体"/>
          <w:i/>
          <w:color w:val="auto"/>
          <w:sz w:val="24"/>
          <w:szCs w:val="21"/>
          <w:highlight w:val="none"/>
          <w:lang w:val="zh-CN"/>
        </w:rPr>
        <w:t>L</w:t>
      </w:r>
      <w:r>
        <w:rPr>
          <w:rFonts w:hint="eastAsia" w:ascii="宋体" w:hAnsi="宋体" w:eastAsia="宋体" w:cs="宋体"/>
          <w:color w:val="auto"/>
          <w:sz w:val="24"/>
          <w:szCs w:val="21"/>
          <w:highlight w:val="none"/>
          <w:lang w:val="zh-CN"/>
        </w:rPr>
        <w:t>——导线与预测点水平距离，m。</w:t>
      </w:r>
    </w:p>
    <w:p w14:paraId="4EED18CD">
      <w:pPr>
        <w:autoSpaceDE w:val="0"/>
        <w:autoSpaceDN w:val="0"/>
        <w:adjustRightInd w:val="0"/>
        <w:spacing w:line="480" w:lineRule="exact"/>
        <w:ind w:firstLine="480"/>
        <w:rPr>
          <w:rFonts w:hint="eastAsia" w:ascii="宋体" w:hAnsi="宋体" w:eastAsia="宋体" w:cs="宋体"/>
          <w:color w:val="auto"/>
          <w:sz w:val="24"/>
          <w:szCs w:val="21"/>
          <w:highlight w:val="none"/>
          <w:lang w:val="zh-CN"/>
        </w:rPr>
      </w:pPr>
      <w:r>
        <w:rPr>
          <w:rFonts w:hint="eastAsia" w:ascii="宋体" w:hAnsi="宋体" w:eastAsia="宋体" w:cs="宋体"/>
          <w:color w:val="auto"/>
          <w:sz w:val="24"/>
          <w:szCs w:val="21"/>
          <w:highlight w:val="none"/>
          <w:lang w:val="zh-CN"/>
        </w:rPr>
        <w:t>对于三相线路，由相位不同形成的磁场强度水平和垂直分量都应分别考虑电流间的相角，按相位矢量来合成。合成的旋转矢量在空间的轨迹是一个椭圆。</w:t>
      </w:r>
    </w:p>
    <w:p w14:paraId="21475A6A">
      <w:pPr>
        <w:widowControl w:val="0"/>
        <w:ind w:firstLine="480" w:firstLineChars="20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drawing>
          <wp:inline distT="0" distB="0" distL="114300" distR="114300">
            <wp:extent cx="2730500" cy="2115185"/>
            <wp:effectExtent l="0" t="0" r="3175" b="8890"/>
            <wp:docPr id="154" name="图片 69"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69" descr="05"/>
                    <pic:cNvPicPr>
                      <a:picLocks noChangeAspect="1"/>
                    </pic:cNvPicPr>
                  </pic:nvPicPr>
                  <pic:blipFill>
                    <a:blip r:embed="rId72"/>
                    <a:stretch>
                      <a:fillRect/>
                    </a:stretch>
                  </pic:blipFill>
                  <pic:spPr>
                    <a:xfrm>
                      <a:off x="0" y="0"/>
                      <a:ext cx="2730500" cy="2115185"/>
                    </a:xfrm>
                    <a:prstGeom prst="rect">
                      <a:avLst/>
                    </a:prstGeom>
                    <a:noFill/>
                    <a:ln>
                      <a:noFill/>
                    </a:ln>
                  </pic:spPr>
                </pic:pic>
              </a:graphicData>
            </a:graphic>
          </wp:inline>
        </w:drawing>
      </w:r>
    </w:p>
    <w:p w14:paraId="62A8A4A8">
      <w:pPr>
        <w:snapToGrid w:val="0"/>
        <w:spacing w:line="360" w:lineRule="auto"/>
        <w:ind w:firstLine="3614" w:firstLineChars="1500"/>
        <w:rPr>
          <w:rFonts w:hint="eastAsia" w:ascii="宋体" w:hAnsi="宋体" w:cs="Calibri"/>
          <w:color w:val="auto"/>
          <w:sz w:val="24"/>
          <w:szCs w:val="24"/>
        </w:rPr>
      </w:pPr>
      <w:bookmarkStart w:id="206" w:name="_Toc185260014"/>
      <w:r>
        <w:rPr>
          <w:rFonts w:hint="eastAsia" w:ascii="宋体" w:hAnsi="宋体" w:eastAsia="宋体" w:cs="宋体"/>
          <w:b/>
          <w:color w:val="auto"/>
          <w:sz w:val="24"/>
          <w:szCs w:val="24"/>
          <w:highlight w:val="none"/>
        </w:rPr>
        <w:t>图</w:t>
      </w:r>
      <w:r>
        <w:rPr>
          <w:rFonts w:hint="eastAsia" w:ascii="宋体" w:hAnsi="宋体" w:eastAsia="宋体" w:cs="宋体"/>
          <w:b/>
          <w:color w:val="auto"/>
          <w:sz w:val="24"/>
          <w:szCs w:val="24"/>
          <w:highlight w:val="none"/>
          <w:lang w:val="en-US" w:eastAsia="zh-CN"/>
        </w:rPr>
        <w:t>3</w:t>
      </w:r>
      <w:r>
        <w:rPr>
          <w:rFonts w:hint="eastAsia" w:ascii="宋体" w:hAnsi="宋体" w:eastAsia="宋体" w:cs="宋体"/>
          <w:b/>
          <w:color w:val="auto"/>
          <w:sz w:val="24"/>
          <w:szCs w:val="24"/>
          <w:highlight w:val="none"/>
        </w:rPr>
        <w:t>-</w:t>
      </w:r>
      <w:r>
        <w:rPr>
          <w:rFonts w:hint="eastAsia" w:ascii="宋体" w:hAnsi="宋体" w:cs="宋体"/>
          <w:b/>
          <w:color w:val="auto"/>
          <w:sz w:val="24"/>
          <w:szCs w:val="24"/>
          <w:highlight w:val="none"/>
          <w:lang w:val="en-US" w:eastAsia="zh-CN"/>
        </w:rPr>
        <w:t>6</w:t>
      </w:r>
      <w:r>
        <w:rPr>
          <w:rFonts w:hint="eastAsia" w:ascii="宋体" w:hAnsi="宋体" w:eastAsia="宋体" w:cs="宋体"/>
          <w:b/>
          <w:color w:val="auto"/>
          <w:sz w:val="24"/>
          <w:szCs w:val="24"/>
          <w:highlight w:val="none"/>
        </w:rPr>
        <w:t>磁场向量图</w:t>
      </w:r>
      <w:bookmarkEnd w:id="206"/>
    </w:p>
    <w:p w14:paraId="7A14768B">
      <w:pPr>
        <w:snapToGrid w:val="0"/>
        <w:spacing w:line="360" w:lineRule="auto"/>
        <w:outlineLvl w:val="2"/>
        <w:rPr>
          <w:rFonts w:hint="eastAsia" w:ascii="宋体" w:hAnsi="宋体" w:cs="Calibri"/>
          <w:b/>
          <w:color w:val="auto"/>
          <w:kern w:val="15"/>
          <w:sz w:val="24"/>
          <w:szCs w:val="21"/>
        </w:rPr>
      </w:pPr>
      <w:bookmarkStart w:id="207" w:name="_Toc22779"/>
      <w:r>
        <w:rPr>
          <w:rFonts w:hint="eastAsia" w:ascii="宋体" w:hAnsi="宋体" w:cs="Calibri"/>
          <w:b/>
          <w:color w:val="auto"/>
          <w:kern w:val="15"/>
          <w:sz w:val="24"/>
          <w:szCs w:val="21"/>
        </w:rPr>
        <w:t>3.</w:t>
      </w:r>
      <w:r>
        <w:rPr>
          <w:rFonts w:hint="eastAsia" w:ascii="宋体" w:hAnsi="宋体" w:cs="Calibri"/>
          <w:b/>
          <w:color w:val="auto"/>
          <w:kern w:val="15"/>
          <w:sz w:val="24"/>
          <w:szCs w:val="21"/>
          <w:lang w:val="en-US" w:eastAsia="zh-CN"/>
        </w:rPr>
        <w:t>2</w:t>
      </w:r>
      <w:r>
        <w:rPr>
          <w:rFonts w:hint="eastAsia" w:ascii="宋体" w:hAnsi="宋体" w:cs="Calibri"/>
          <w:b/>
          <w:color w:val="auto"/>
          <w:kern w:val="15"/>
          <w:sz w:val="24"/>
          <w:szCs w:val="21"/>
        </w:rPr>
        <w:t>.2计算所需参数</w:t>
      </w:r>
      <w:bookmarkEnd w:id="207"/>
    </w:p>
    <w:p w14:paraId="36384C37">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ascii="宋体" w:hAnsi="宋体" w:eastAsia="宋体" w:cs="Calibri"/>
          <w:b/>
          <w:color w:val="auto"/>
          <w:sz w:val="24"/>
          <w:szCs w:val="21"/>
          <w:highlight w:val="none"/>
        </w:rPr>
      </w:pPr>
      <w:r>
        <w:rPr>
          <w:rFonts w:hint="eastAsia" w:ascii="宋体" w:hAnsi="宋体" w:eastAsia="宋体" w:cs="Calibri"/>
          <w:color w:val="auto"/>
          <w:sz w:val="24"/>
          <w:szCs w:val="21"/>
          <w:highlight w:val="none"/>
          <w:lang w:val="en-US" w:eastAsia="zh-CN"/>
        </w:rPr>
        <w:t>本项目</w:t>
      </w:r>
      <w:r>
        <w:rPr>
          <w:rFonts w:hint="eastAsia" w:ascii="宋体" w:hAnsi="宋体" w:cs="Calibri"/>
          <w:color w:val="auto"/>
          <w:sz w:val="24"/>
          <w:szCs w:val="21"/>
          <w:highlight w:val="none"/>
          <w:lang w:val="en-US" w:eastAsia="zh-CN"/>
        </w:rPr>
        <w:t>输电线路采用</w:t>
      </w:r>
      <w:r>
        <w:rPr>
          <w:rFonts w:hint="eastAsia" w:ascii="宋体" w:hAnsi="宋体" w:eastAsia="宋体" w:cs="Calibri"/>
          <w:color w:val="auto"/>
          <w:sz w:val="24"/>
          <w:szCs w:val="21"/>
          <w:highlight w:val="none"/>
          <w:lang w:val="en-US" w:eastAsia="zh-CN"/>
        </w:rPr>
        <w:t>单回路架</w:t>
      </w:r>
      <w:r>
        <w:rPr>
          <w:rFonts w:hint="eastAsia" w:ascii="宋体" w:hAnsi="宋体" w:eastAsia="宋体" w:cs="Calibri"/>
          <w:color w:val="auto"/>
          <w:sz w:val="24"/>
          <w:szCs w:val="24"/>
          <w:highlight w:val="none"/>
          <w:lang w:val="en-US" w:eastAsia="zh-CN"/>
        </w:rPr>
        <w:t>空出线，</w:t>
      </w:r>
      <w:r>
        <w:rPr>
          <w:rFonts w:hint="eastAsia" w:ascii="宋体" w:hAnsi="宋体" w:cs="Calibri"/>
          <w:color w:val="auto"/>
          <w:sz w:val="24"/>
          <w:szCs w:val="24"/>
          <w:highlight w:val="none"/>
          <w:lang w:val="en-US" w:eastAsia="zh-CN"/>
        </w:rPr>
        <w:t>接入大唐鄯善东220kV升压站终端塔采用同塔双回架设</w:t>
      </w:r>
      <w:r>
        <w:rPr>
          <w:rFonts w:hint="eastAsia" w:ascii="宋体" w:hAnsi="宋体" w:eastAsia="宋体" w:cs="Calibri"/>
          <w:color w:val="auto"/>
          <w:sz w:val="24"/>
          <w:szCs w:val="24"/>
          <w:highlight w:val="none"/>
          <w:lang w:val="en-US" w:eastAsia="zh-CN"/>
        </w:rPr>
        <w:t>，综合比较各种塔型的参数，本次评价选择导线相间距最大的不利塔型进行理论计算，塔型为：单回路塔型：</w:t>
      </w:r>
      <w:r>
        <w:rPr>
          <w:rFonts w:hint="eastAsia" w:ascii="宋体" w:hAnsi="宋体" w:cs="Times New Roman"/>
          <w:color w:val="auto"/>
          <w:sz w:val="24"/>
          <w:szCs w:val="24"/>
          <w:highlight w:val="none"/>
          <w:lang w:val="en-US" w:eastAsia="zh-CN"/>
        </w:rPr>
        <w:t>220-J3</w:t>
      </w:r>
      <w:r>
        <w:rPr>
          <w:rFonts w:hint="eastAsia" w:ascii="宋体" w:hAnsi="宋体" w:eastAsia="宋体" w:cs="Calibri"/>
          <w:color w:val="auto"/>
          <w:sz w:val="24"/>
          <w:szCs w:val="24"/>
          <w:highlight w:val="none"/>
          <w:lang w:val="en-US" w:eastAsia="zh-CN"/>
        </w:rPr>
        <w:t>；双回</w:t>
      </w:r>
      <w:r>
        <w:rPr>
          <w:rFonts w:hint="eastAsia" w:ascii="宋体" w:hAnsi="宋体" w:cs="Calibri"/>
          <w:color w:val="auto"/>
          <w:sz w:val="24"/>
          <w:szCs w:val="24"/>
          <w:highlight w:val="none"/>
          <w:lang w:val="en-US" w:eastAsia="zh-CN"/>
        </w:rPr>
        <w:t>路</w:t>
      </w:r>
      <w:r>
        <w:rPr>
          <w:rFonts w:hint="eastAsia" w:ascii="宋体" w:hAnsi="宋体" w:eastAsia="宋体" w:cs="Calibri"/>
          <w:color w:val="auto"/>
          <w:sz w:val="24"/>
          <w:szCs w:val="24"/>
          <w:highlight w:val="none"/>
          <w:lang w:val="en-US" w:eastAsia="zh-CN"/>
        </w:rPr>
        <w:t>塔</w:t>
      </w:r>
      <w:r>
        <w:rPr>
          <w:rFonts w:hint="eastAsia" w:ascii="宋体" w:hAnsi="宋体" w:cs="Calibri"/>
          <w:color w:val="auto"/>
          <w:sz w:val="24"/>
          <w:szCs w:val="24"/>
          <w:highlight w:val="none"/>
          <w:lang w:val="en-US" w:eastAsia="zh-CN"/>
        </w:rPr>
        <w:t>型</w:t>
      </w:r>
      <w:r>
        <w:rPr>
          <w:rFonts w:hint="eastAsia" w:ascii="宋体" w:hAnsi="宋体" w:eastAsia="宋体" w:cs="Calibri"/>
          <w:color w:val="auto"/>
          <w:sz w:val="24"/>
          <w:szCs w:val="24"/>
          <w:highlight w:val="none"/>
          <w:lang w:val="en-US" w:eastAsia="zh-CN"/>
        </w:rPr>
        <w:t>：</w:t>
      </w:r>
      <w:r>
        <w:rPr>
          <w:rFonts w:hint="eastAsia" w:ascii="宋体" w:hAnsi="宋体" w:cs="Times New Roman"/>
          <w:color w:val="auto"/>
          <w:sz w:val="24"/>
          <w:szCs w:val="24"/>
          <w:highlight w:val="none"/>
          <w:lang w:val="en-US" w:eastAsia="zh-CN"/>
        </w:rPr>
        <w:t>220-DJ</w:t>
      </w:r>
      <w:r>
        <w:rPr>
          <w:rFonts w:hint="eastAsia" w:ascii="宋体" w:hAnsi="宋体" w:eastAsia="宋体" w:cs="Calibri"/>
          <w:color w:val="auto"/>
          <w:sz w:val="24"/>
          <w:szCs w:val="24"/>
          <w:highlight w:val="none"/>
          <w:lang w:val="en-US" w:eastAsia="zh-CN"/>
        </w:rPr>
        <w:t>。计</w:t>
      </w:r>
      <w:r>
        <w:rPr>
          <w:rFonts w:hint="eastAsia" w:ascii="宋体" w:hAnsi="宋体" w:eastAsia="宋体" w:cs="Calibri"/>
          <w:color w:val="auto"/>
          <w:sz w:val="24"/>
          <w:szCs w:val="21"/>
          <w:highlight w:val="none"/>
          <w:lang w:val="en-US" w:eastAsia="zh-CN"/>
        </w:rPr>
        <w:t>算参数详见表3.2-1。</w:t>
      </w:r>
      <w:bookmarkStart w:id="208" w:name="_Toc61882585"/>
      <w:bookmarkStart w:id="209" w:name="_Toc38780088"/>
      <w:bookmarkStart w:id="210" w:name="_Toc490170075"/>
    </w:p>
    <w:p w14:paraId="346188B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82" w:firstLineChars="200"/>
        <w:jc w:val="center"/>
        <w:textAlignment w:val="auto"/>
        <w:outlineLvl w:val="9"/>
        <w:rPr>
          <w:rFonts w:ascii="宋体" w:hAnsi="宋体" w:eastAsia="宋体" w:cs="Calibri"/>
          <w:b/>
          <w:color w:val="auto"/>
          <w:sz w:val="24"/>
          <w:szCs w:val="21"/>
          <w:highlight w:val="none"/>
        </w:rPr>
      </w:pPr>
      <w:r>
        <w:rPr>
          <w:rFonts w:ascii="宋体" w:hAnsi="宋体" w:eastAsia="宋体" w:cs="Calibri"/>
          <w:b/>
          <w:color w:val="auto"/>
          <w:sz w:val="24"/>
          <w:szCs w:val="21"/>
          <w:highlight w:val="none"/>
        </w:rPr>
        <w:t>表</w:t>
      </w:r>
      <w:r>
        <w:rPr>
          <w:rFonts w:hint="eastAsia" w:ascii="宋体" w:hAnsi="宋体" w:eastAsia="宋体" w:cs="Calibri"/>
          <w:b/>
          <w:color w:val="auto"/>
          <w:sz w:val="24"/>
          <w:szCs w:val="21"/>
          <w:highlight w:val="none"/>
        </w:rPr>
        <w:t>3</w:t>
      </w:r>
      <w:r>
        <w:rPr>
          <w:rFonts w:hint="eastAsia" w:ascii="宋体" w:hAnsi="宋体" w:eastAsia="宋体" w:cs="Calibri"/>
          <w:b/>
          <w:color w:val="auto"/>
          <w:sz w:val="24"/>
          <w:szCs w:val="21"/>
          <w:highlight w:val="none"/>
          <w:lang w:val="en-US" w:eastAsia="zh-CN"/>
        </w:rPr>
        <w:t>.2-1</w:t>
      </w:r>
      <w:r>
        <w:rPr>
          <w:rFonts w:hint="eastAsia" w:ascii="宋体" w:hAnsi="宋体" w:cs="Calibri"/>
          <w:b/>
          <w:color w:val="auto"/>
          <w:sz w:val="24"/>
          <w:szCs w:val="21"/>
          <w:highlight w:val="none"/>
          <w:lang w:val="en-US" w:eastAsia="zh-CN"/>
        </w:rPr>
        <w:t xml:space="preserve">    </w:t>
      </w:r>
      <w:r>
        <w:rPr>
          <w:rFonts w:hint="eastAsia" w:ascii="宋体" w:hAnsi="宋体" w:eastAsia="宋体" w:cs="Calibri"/>
          <w:b/>
          <w:color w:val="auto"/>
          <w:sz w:val="24"/>
          <w:szCs w:val="21"/>
          <w:highlight w:val="none"/>
          <w:lang w:eastAsia="zh-CN"/>
        </w:rPr>
        <w:t>本项目</w:t>
      </w:r>
      <w:r>
        <w:rPr>
          <w:rFonts w:hint="eastAsia" w:ascii="宋体" w:hAnsi="宋体" w:eastAsia="宋体" w:cs="Calibri"/>
          <w:b/>
          <w:color w:val="auto"/>
          <w:sz w:val="24"/>
          <w:szCs w:val="21"/>
          <w:highlight w:val="none"/>
          <w:lang w:val="en-US" w:eastAsia="zh-CN"/>
        </w:rPr>
        <w:t>22</w:t>
      </w:r>
      <w:r>
        <w:rPr>
          <w:rFonts w:hint="eastAsia" w:ascii="宋体" w:hAnsi="宋体" w:eastAsia="宋体" w:cs="Calibri"/>
          <w:b/>
          <w:color w:val="auto"/>
          <w:sz w:val="24"/>
          <w:szCs w:val="21"/>
          <w:highlight w:val="none"/>
        </w:rPr>
        <w:t>0</w:t>
      </w:r>
      <w:r>
        <w:rPr>
          <w:rFonts w:ascii="宋体" w:hAnsi="宋体" w:eastAsia="宋体" w:cs="Calibri"/>
          <w:b/>
          <w:color w:val="auto"/>
          <w:sz w:val="24"/>
          <w:szCs w:val="21"/>
          <w:highlight w:val="none"/>
        </w:rPr>
        <w:t>kV</w:t>
      </w:r>
      <w:r>
        <w:rPr>
          <w:rFonts w:hint="eastAsia" w:ascii="宋体" w:hAnsi="宋体" w:eastAsia="宋体" w:cs="Calibri"/>
          <w:b/>
          <w:color w:val="auto"/>
          <w:sz w:val="24"/>
          <w:szCs w:val="21"/>
          <w:highlight w:val="none"/>
        </w:rPr>
        <w:t>线路段</w:t>
      </w:r>
      <w:r>
        <w:rPr>
          <w:rFonts w:ascii="宋体" w:hAnsi="宋体" w:eastAsia="宋体" w:cs="Calibri"/>
          <w:b/>
          <w:color w:val="auto"/>
          <w:sz w:val="24"/>
          <w:szCs w:val="21"/>
          <w:highlight w:val="none"/>
        </w:rPr>
        <w:t>计算参数</w:t>
      </w:r>
    </w:p>
    <w:tbl>
      <w:tblPr>
        <w:tblStyle w:val="32"/>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82"/>
        <w:gridCol w:w="3652"/>
        <w:gridCol w:w="4318"/>
      </w:tblGrid>
      <w:tr w14:paraId="349A3D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55" w:type="pct"/>
            <w:tcBorders>
              <w:tl2br w:val="nil"/>
              <w:tr2bl w:val="nil"/>
            </w:tcBorders>
            <w:noWrap w:val="0"/>
            <w:vAlign w:val="center"/>
          </w:tcPr>
          <w:p w14:paraId="3AA3F7F8">
            <w:pPr>
              <w:keepNext w:val="0"/>
              <w:keepLines w:val="0"/>
              <w:widowControl/>
              <w:suppressLineNumbers w:val="0"/>
              <w:spacing w:before="0" w:beforeAutospacing="0" w:after="0" w:afterAutospacing="0" w:line="0" w:lineRule="atLeast"/>
              <w:ind w:left="0" w:right="0"/>
              <w:jc w:val="center"/>
              <w:rPr>
                <w:rFonts w:hint="default" w:ascii="宋体" w:hAnsi="宋体" w:eastAsia="宋体" w:cs="Times New Roman"/>
                <w:color w:val="auto"/>
                <w:kern w:val="0"/>
                <w:szCs w:val="24"/>
                <w:highlight w:val="none"/>
              </w:rPr>
            </w:pPr>
            <w:r>
              <w:rPr>
                <w:rFonts w:hint="eastAsia" w:ascii="宋体" w:hAnsi="宋体" w:eastAsia="宋体" w:cs="Times New Roman"/>
                <w:color w:val="auto"/>
                <w:kern w:val="0"/>
                <w:szCs w:val="24"/>
                <w:highlight w:val="none"/>
              </w:rPr>
              <w:t>线路</w:t>
            </w:r>
          </w:p>
        </w:tc>
        <w:tc>
          <w:tcPr>
            <w:tcW w:w="4044" w:type="pct"/>
            <w:gridSpan w:val="2"/>
            <w:tcBorders>
              <w:tl2br w:val="nil"/>
              <w:tr2bl w:val="nil"/>
            </w:tcBorders>
            <w:noWrap w:val="0"/>
            <w:vAlign w:val="center"/>
          </w:tcPr>
          <w:p w14:paraId="34AE11C6">
            <w:pPr>
              <w:keepNext w:val="0"/>
              <w:keepLines w:val="0"/>
              <w:widowControl/>
              <w:suppressLineNumbers w:val="0"/>
              <w:spacing w:before="0" w:beforeAutospacing="0" w:after="0" w:afterAutospacing="0" w:line="0" w:lineRule="atLeast"/>
              <w:ind w:left="0" w:right="0"/>
              <w:jc w:val="center"/>
              <w:rPr>
                <w:rFonts w:hint="default" w:ascii="宋体" w:hAnsi="宋体" w:eastAsia="宋体" w:cs="Times New Roman"/>
                <w:color w:val="0000FF"/>
                <w:kern w:val="0"/>
                <w:szCs w:val="24"/>
                <w:highlight w:val="none"/>
              </w:rPr>
            </w:pPr>
            <w:r>
              <w:rPr>
                <w:rFonts w:hint="eastAsia" w:ascii="宋体" w:hAnsi="宋体" w:eastAsia="宋体" w:cs="Times New Roman"/>
                <w:color w:val="auto"/>
                <w:kern w:val="0"/>
                <w:szCs w:val="24"/>
                <w:highlight w:val="none"/>
              </w:rPr>
              <w:t>220</w:t>
            </w:r>
            <w:r>
              <w:rPr>
                <w:rFonts w:hint="eastAsia" w:ascii="宋体" w:hAnsi="宋体" w:eastAsia="宋体" w:cs="Times New Roman"/>
                <w:color w:val="auto"/>
                <w:kern w:val="0"/>
                <w:szCs w:val="24"/>
                <w:highlight w:val="none"/>
                <w:lang w:eastAsia="zh-CN"/>
              </w:rPr>
              <w:t>kV</w:t>
            </w:r>
            <w:r>
              <w:rPr>
                <w:rFonts w:hint="eastAsia" w:ascii="宋体" w:hAnsi="宋体" w:eastAsia="宋体" w:cs="Times New Roman"/>
                <w:color w:val="auto"/>
                <w:kern w:val="0"/>
                <w:szCs w:val="24"/>
                <w:highlight w:val="none"/>
              </w:rPr>
              <w:t>单</w:t>
            </w:r>
            <w:r>
              <w:rPr>
                <w:rFonts w:hint="eastAsia" w:ascii="宋体" w:hAnsi="宋体" w:eastAsia="宋体" w:cs="Times New Roman"/>
                <w:color w:val="auto"/>
                <w:kern w:val="0"/>
                <w:szCs w:val="24"/>
                <w:highlight w:val="none"/>
                <w:lang w:val="en-US" w:eastAsia="zh-CN"/>
              </w:rPr>
              <w:t>双</w:t>
            </w:r>
            <w:r>
              <w:rPr>
                <w:rFonts w:hint="eastAsia" w:ascii="宋体" w:hAnsi="宋体" w:eastAsia="宋体" w:cs="Times New Roman"/>
                <w:color w:val="auto"/>
                <w:kern w:val="0"/>
                <w:szCs w:val="24"/>
                <w:highlight w:val="none"/>
              </w:rPr>
              <w:t>回线路</w:t>
            </w:r>
          </w:p>
        </w:tc>
      </w:tr>
      <w:tr w14:paraId="0ECD2D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5" w:type="pct"/>
            <w:tcBorders>
              <w:tl2br w:val="nil"/>
              <w:tr2bl w:val="nil"/>
            </w:tcBorders>
            <w:noWrap w:val="0"/>
            <w:vAlign w:val="center"/>
          </w:tcPr>
          <w:p w14:paraId="5012EAD2">
            <w:pPr>
              <w:keepNext w:val="0"/>
              <w:keepLines w:val="0"/>
              <w:widowControl/>
              <w:suppressLineNumbers w:val="0"/>
              <w:spacing w:before="0" w:beforeAutospacing="0" w:after="0" w:afterAutospacing="0" w:line="0" w:lineRule="atLeast"/>
              <w:ind w:left="0" w:right="0"/>
              <w:jc w:val="center"/>
              <w:rPr>
                <w:rFonts w:hint="default" w:ascii="宋体" w:hAnsi="宋体" w:eastAsia="宋体" w:cs="Times New Roman"/>
                <w:color w:val="auto"/>
                <w:kern w:val="0"/>
                <w:szCs w:val="24"/>
                <w:highlight w:val="none"/>
              </w:rPr>
            </w:pPr>
            <w:r>
              <w:rPr>
                <w:rFonts w:hint="eastAsia" w:ascii="宋体" w:hAnsi="宋体" w:eastAsia="宋体" w:cs="Times New Roman"/>
                <w:color w:val="auto"/>
                <w:kern w:val="0"/>
                <w:szCs w:val="24"/>
                <w:highlight w:val="none"/>
              </w:rPr>
              <w:t>采用塔型</w:t>
            </w:r>
          </w:p>
        </w:tc>
        <w:tc>
          <w:tcPr>
            <w:tcW w:w="4044" w:type="pct"/>
            <w:gridSpan w:val="2"/>
            <w:tcBorders>
              <w:tl2br w:val="nil"/>
              <w:tr2bl w:val="nil"/>
            </w:tcBorders>
            <w:noWrap w:val="0"/>
            <w:vAlign w:val="center"/>
          </w:tcPr>
          <w:p w14:paraId="10E93B5A">
            <w:pPr>
              <w:keepNext w:val="0"/>
              <w:keepLines w:val="0"/>
              <w:widowControl/>
              <w:suppressLineNumbers w:val="0"/>
              <w:spacing w:before="0" w:beforeAutospacing="0" w:after="0" w:afterAutospacing="0" w:line="0" w:lineRule="atLeast"/>
              <w:ind w:left="0" w:right="0"/>
              <w:jc w:val="center"/>
              <w:rPr>
                <w:rFonts w:hint="default" w:ascii="宋体" w:hAnsi="宋体" w:eastAsia="宋体" w:cs="Times New Roman"/>
                <w:color w:val="auto"/>
                <w:szCs w:val="24"/>
                <w:highlight w:val="none"/>
                <w:lang w:val="en-US" w:eastAsia="zh-CN"/>
              </w:rPr>
            </w:pPr>
            <w:r>
              <w:rPr>
                <w:rFonts w:hint="eastAsia" w:ascii="宋体" w:hAnsi="宋体" w:eastAsia="宋体" w:cs="Times New Roman"/>
                <w:color w:val="auto"/>
                <w:szCs w:val="24"/>
                <w:highlight w:val="none"/>
                <w:lang w:val="en-US" w:eastAsia="zh-CN"/>
              </w:rPr>
              <w:t>单回路塔型：</w:t>
            </w:r>
            <w:r>
              <w:rPr>
                <w:rFonts w:hint="eastAsia" w:ascii="宋体" w:hAnsi="宋体" w:cs="Times New Roman"/>
                <w:color w:val="auto"/>
                <w:szCs w:val="24"/>
                <w:highlight w:val="none"/>
                <w:lang w:val="en-US" w:eastAsia="zh-CN"/>
              </w:rPr>
              <w:t>220-J3</w:t>
            </w:r>
            <w:r>
              <w:rPr>
                <w:rFonts w:hint="eastAsia" w:ascii="宋体" w:hAnsi="宋体" w:eastAsia="宋体" w:cs="Times New Roman"/>
                <w:color w:val="auto"/>
                <w:szCs w:val="24"/>
                <w:highlight w:val="none"/>
                <w:lang w:val="en-US" w:eastAsia="zh-CN"/>
              </w:rPr>
              <w:t>、双回路塔型：</w:t>
            </w:r>
            <w:r>
              <w:rPr>
                <w:rFonts w:hint="eastAsia" w:ascii="宋体" w:hAnsi="宋体" w:cs="Times New Roman"/>
                <w:color w:val="auto"/>
                <w:szCs w:val="24"/>
                <w:highlight w:val="none"/>
                <w:lang w:val="en-US" w:eastAsia="zh-CN"/>
              </w:rPr>
              <w:t>220-DJ</w:t>
            </w:r>
          </w:p>
        </w:tc>
      </w:tr>
      <w:tr w14:paraId="047543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5" w:type="pct"/>
            <w:tcBorders>
              <w:tl2br w:val="nil"/>
              <w:tr2bl w:val="nil"/>
            </w:tcBorders>
            <w:noWrap w:val="0"/>
            <w:vAlign w:val="center"/>
          </w:tcPr>
          <w:p w14:paraId="73E7C151">
            <w:pPr>
              <w:keepNext w:val="0"/>
              <w:keepLines w:val="0"/>
              <w:widowControl/>
              <w:suppressLineNumbers w:val="0"/>
              <w:spacing w:before="0" w:beforeAutospacing="0" w:after="0" w:afterAutospacing="0" w:line="0" w:lineRule="atLeast"/>
              <w:ind w:left="0" w:right="0"/>
              <w:jc w:val="center"/>
              <w:rPr>
                <w:rFonts w:hint="default" w:ascii="宋体" w:hAnsi="宋体" w:eastAsia="宋体" w:cs="Times New Roman"/>
                <w:color w:val="auto"/>
                <w:kern w:val="0"/>
                <w:szCs w:val="24"/>
                <w:highlight w:val="none"/>
              </w:rPr>
            </w:pPr>
            <w:r>
              <w:rPr>
                <w:rFonts w:hint="eastAsia" w:ascii="宋体" w:hAnsi="宋体" w:eastAsia="宋体" w:cs="Times New Roman"/>
                <w:color w:val="auto"/>
                <w:kern w:val="0"/>
                <w:szCs w:val="24"/>
                <w:highlight w:val="none"/>
              </w:rPr>
              <w:t>相序排列方式</w:t>
            </w:r>
          </w:p>
        </w:tc>
        <w:tc>
          <w:tcPr>
            <w:tcW w:w="4044" w:type="pct"/>
            <w:gridSpan w:val="2"/>
            <w:tcBorders>
              <w:tl2br w:val="nil"/>
              <w:tr2bl w:val="nil"/>
            </w:tcBorders>
            <w:noWrap w:val="0"/>
            <w:vAlign w:val="center"/>
          </w:tcPr>
          <w:p w14:paraId="01C5D825">
            <w:pPr>
              <w:keepNext w:val="0"/>
              <w:keepLines w:val="0"/>
              <w:widowControl/>
              <w:suppressLineNumbers w:val="0"/>
              <w:spacing w:before="0" w:beforeAutospacing="0" w:after="0" w:afterAutospacing="0" w:line="0" w:lineRule="atLeast"/>
              <w:ind w:left="0" w:right="0"/>
              <w:jc w:val="center"/>
              <w:rPr>
                <w:rFonts w:hint="default" w:ascii="宋体" w:hAnsi="宋体" w:eastAsia="宋体" w:cs="Times New Roman"/>
                <w:color w:val="auto"/>
                <w:szCs w:val="24"/>
                <w:highlight w:val="none"/>
              </w:rPr>
            </w:pPr>
            <w:r>
              <w:rPr>
                <w:rFonts w:hint="eastAsia" w:ascii="宋体" w:hAnsi="宋体" w:eastAsia="宋体" w:cs="Times New Roman"/>
                <w:color w:val="auto"/>
                <w:kern w:val="0"/>
                <w:szCs w:val="21"/>
                <w:highlight w:val="none"/>
                <w:lang w:eastAsia="zh-CN"/>
              </w:rPr>
              <w:t>单回路采用</w:t>
            </w:r>
            <w:r>
              <w:rPr>
                <w:rFonts w:hint="eastAsia" w:ascii="宋体" w:hAnsi="宋体" w:eastAsia="宋体" w:cs="Times New Roman"/>
                <w:color w:val="auto"/>
                <w:kern w:val="0"/>
                <w:szCs w:val="21"/>
                <w:highlight w:val="none"/>
                <w:lang w:val="en-US" w:eastAsia="zh-CN"/>
              </w:rPr>
              <w:t>三角</w:t>
            </w:r>
            <w:r>
              <w:rPr>
                <w:rFonts w:hint="eastAsia" w:ascii="宋体" w:hAnsi="宋体" w:eastAsia="宋体" w:cs="Times New Roman"/>
                <w:color w:val="auto"/>
                <w:kern w:val="0"/>
                <w:szCs w:val="21"/>
                <w:highlight w:val="none"/>
              </w:rPr>
              <w:t>排列</w:t>
            </w:r>
            <w:r>
              <w:rPr>
                <w:rFonts w:hint="eastAsia" w:ascii="宋体" w:hAnsi="宋体" w:eastAsia="宋体" w:cs="Times New Roman"/>
                <w:color w:val="auto"/>
                <w:szCs w:val="21"/>
                <w:highlight w:val="none"/>
                <w:lang w:eastAsia="zh-CN"/>
              </w:rPr>
              <w:t>、双回路采用</w:t>
            </w:r>
            <w:r>
              <w:rPr>
                <w:rFonts w:hint="eastAsia" w:ascii="宋体" w:hAnsi="宋体" w:eastAsia="宋体" w:cs="Times New Roman"/>
                <w:color w:val="auto"/>
                <w:szCs w:val="21"/>
                <w:highlight w:val="none"/>
              </w:rPr>
              <w:t>正相序</w:t>
            </w:r>
            <w:r>
              <w:rPr>
                <w:rFonts w:hint="eastAsia" w:ascii="宋体" w:hAnsi="宋体" w:eastAsia="宋体" w:cs="Times New Roman"/>
                <w:color w:val="auto"/>
                <w:szCs w:val="21"/>
                <w:highlight w:val="none"/>
                <w:lang w:eastAsia="zh-CN"/>
              </w:rPr>
              <w:t>排列</w:t>
            </w:r>
          </w:p>
        </w:tc>
      </w:tr>
      <w:tr w14:paraId="6E8803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5" w:type="pct"/>
            <w:tcBorders>
              <w:tl2br w:val="nil"/>
              <w:tr2bl w:val="nil"/>
            </w:tcBorders>
            <w:noWrap w:val="0"/>
            <w:vAlign w:val="center"/>
          </w:tcPr>
          <w:p w14:paraId="274511A3">
            <w:pPr>
              <w:keepNext w:val="0"/>
              <w:keepLines w:val="0"/>
              <w:widowControl/>
              <w:suppressLineNumbers w:val="0"/>
              <w:spacing w:before="0" w:beforeAutospacing="0" w:after="0" w:afterAutospacing="0" w:line="0" w:lineRule="atLeast"/>
              <w:ind w:left="0" w:right="0"/>
              <w:jc w:val="center"/>
              <w:rPr>
                <w:rFonts w:hint="default" w:ascii="宋体" w:hAnsi="宋体" w:eastAsia="宋体" w:cs="Times New Roman"/>
                <w:color w:val="auto"/>
                <w:kern w:val="0"/>
                <w:szCs w:val="24"/>
                <w:highlight w:val="none"/>
              </w:rPr>
            </w:pPr>
            <w:r>
              <w:rPr>
                <w:rFonts w:hint="eastAsia" w:ascii="宋体" w:hAnsi="宋体" w:eastAsia="宋体" w:cs="Times New Roman"/>
                <w:color w:val="auto"/>
                <w:kern w:val="0"/>
                <w:szCs w:val="24"/>
                <w:highlight w:val="none"/>
              </w:rPr>
              <w:t>导线型号</w:t>
            </w:r>
          </w:p>
        </w:tc>
        <w:tc>
          <w:tcPr>
            <w:tcW w:w="4044" w:type="pct"/>
            <w:gridSpan w:val="2"/>
            <w:tcBorders>
              <w:tl2br w:val="nil"/>
              <w:tr2bl w:val="nil"/>
            </w:tcBorders>
            <w:noWrap w:val="0"/>
            <w:vAlign w:val="center"/>
          </w:tcPr>
          <w:p w14:paraId="23077666">
            <w:pPr>
              <w:keepNext w:val="0"/>
              <w:keepLines w:val="0"/>
              <w:widowControl/>
              <w:suppressLineNumbers w:val="0"/>
              <w:spacing w:before="0" w:beforeAutospacing="0" w:after="0" w:afterAutospacing="0" w:line="0" w:lineRule="atLeast"/>
              <w:ind w:left="0" w:right="0"/>
              <w:jc w:val="center"/>
              <w:rPr>
                <w:rFonts w:hint="default" w:ascii="宋体" w:hAnsi="宋体" w:eastAsia="宋体" w:cs="Times New Roman"/>
                <w:color w:val="0000FF"/>
                <w:kern w:val="0"/>
                <w:szCs w:val="24"/>
                <w:highlight w:val="none"/>
              </w:rPr>
            </w:pPr>
            <w:r>
              <w:rPr>
                <w:rFonts w:hint="eastAsia" w:ascii="宋体" w:hAnsi="宋体" w:eastAsia="宋体" w:cs="宋体"/>
                <w:color w:val="auto"/>
                <w:sz w:val="21"/>
                <w:szCs w:val="21"/>
                <w:highlight w:val="none"/>
                <w:lang w:val="en-US" w:eastAsia="zh-CN"/>
              </w:rPr>
              <w:t>2×JL</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/G1A-</w:t>
            </w:r>
            <w:r>
              <w:rPr>
                <w:rFonts w:hint="eastAsia" w:ascii="宋体" w:hAnsi="宋体" w:cs="宋体"/>
                <w:color w:val="auto"/>
                <w:sz w:val="21"/>
                <w:szCs w:val="21"/>
                <w:highlight w:val="none"/>
                <w:lang w:val="en-US" w:eastAsia="zh-CN"/>
              </w:rPr>
              <w:t>63</w:t>
            </w:r>
            <w:r>
              <w:rPr>
                <w:rFonts w:hint="eastAsia" w:ascii="宋体" w:hAnsi="宋体" w:eastAsia="宋体" w:cs="宋体"/>
                <w:color w:val="auto"/>
                <w:sz w:val="21"/>
                <w:szCs w:val="21"/>
                <w:highlight w:val="none"/>
                <w:lang w:val="en-US" w:eastAsia="zh-CN"/>
              </w:rPr>
              <w:t>0/</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5</w:t>
            </w:r>
          </w:p>
        </w:tc>
      </w:tr>
      <w:tr w14:paraId="0DEA7A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5" w:type="pct"/>
            <w:tcBorders>
              <w:tl2br w:val="nil"/>
              <w:tr2bl w:val="nil"/>
            </w:tcBorders>
            <w:noWrap w:val="0"/>
            <w:vAlign w:val="center"/>
          </w:tcPr>
          <w:p w14:paraId="0BC7C590">
            <w:pPr>
              <w:keepNext w:val="0"/>
              <w:keepLines w:val="0"/>
              <w:widowControl/>
              <w:suppressLineNumbers w:val="0"/>
              <w:spacing w:before="0" w:beforeAutospacing="0" w:after="0" w:afterAutospacing="0" w:line="0" w:lineRule="atLeast"/>
              <w:ind w:left="0" w:right="0"/>
              <w:jc w:val="center"/>
              <w:rPr>
                <w:rFonts w:hint="default" w:ascii="宋体" w:hAnsi="宋体" w:eastAsia="宋体" w:cs="Times New Roman"/>
                <w:color w:val="auto"/>
                <w:kern w:val="0"/>
                <w:szCs w:val="24"/>
                <w:highlight w:val="none"/>
              </w:rPr>
            </w:pPr>
            <w:r>
              <w:rPr>
                <w:rFonts w:hint="eastAsia" w:ascii="宋体" w:hAnsi="宋体" w:eastAsia="宋体" w:cs="Times New Roman"/>
                <w:color w:val="auto"/>
                <w:kern w:val="0"/>
                <w:szCs w:val="24"/>
                <w:highlight w:val="none"/>
              </w:rPr>
              <w:t>分裂方式</w:t>
            </w:r>
          </w:p>
        </w:tc>
        <w:tc>
          <w:tcPr>
            <w:tcW w:w="4044" w:type="pct"/>
            <w:gridSpan w:val="2"/>
            <w:tcBorders>
              <w:tl2br w:val="nil"/>
              <w:tr2bl w:val="nil"/>
            </w:tcBorders>
            <w:noWrap w:val="0"/>
            <w:vAlign w:val="center"/>
          </w:tcPr>
          <w:p w14:paraId="7B200014">
            <w:pPr>
              <w:keepNext w:val="0"/>
              <w:keepLines w:val="0"/>
              <w:suppressLineNumbers w:val="0"/>
              <w:spacing w:before="0" w:beforeAutospacing="0" w:after="0" w:afterAutospacing="0" w:line="240" w:lineRule="exact"/>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szCs w:val="21"/>
                <w:highlight w:val="none"/>
              </w:rPr>
              <w:t>双分裂</w:t>
            </w:r>
          </w:p>
        </w:tc>
      </w:tr>
      <w:tr w14:paraId="43DA8C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5" w:type="pct"/>
            <w:tcBorders>
              <w:tl2br w:val="nil"/>
              <w:tr2bl w:val="nil"/>
            </w:tcBorders>
            <w:noWrap w:val="0"/>
            <w:vAlign w:val="center"/>
          </w:tcPr>
          <w:p w14:paraId="0AAB2EF9">
            <w:pPr>
              <w:keepNext w:val="0"/>
              <w:keepLines w:val="0"/>
              <w:widowControl/>
              <w:suppressLineNumbers w:val="0"/>
              <w:spacing w:before="0" w:beforeAutospacing="0" w:after="0" w:afterAutospacing="0" w:line="0" w:lineRule="atLeast"/>
              <w:ind w:left="0" w:right="0"/>
              <w:jc w:val="center"/>
              <w:rPr>
                <w:rFonts w:hint="default" w:ascii="宋体" w:hAnsi="宋体" w:eastAsia="宋体" w:cs="Times New Roman"/>
                <w:color w:val="auto"/>
                <w:kern w:val="0"/>
                <w:szCs w:val="24"/>
                <w:highlight w:val="none"/>
              </w:rPr>
            </w:pPr>
            <w:r>
              <w:rPr>
                <w:rFonts w:hint="eastAsia" w:ascii="宋体" w:hAnsi="宋体" w:eastAsia="宋体" w:cs="Times New Roman"/>
                <w:color w:val="auto"/>
                <w:szCs w:val="24"/>
                <w:highlight w:val="none"/>
              </w:rPr>
              <w:t>分裂数</w:t>
            </w:r>
          </w:p>
        </w:tc>
        <w:tc>
          <w:tcPr>
            <w:tcW w:w="4044" w:type="pct"/>
            <w:gridSpan w:val="2"/>
            <w:tcBorders>
              <w:tl2br w:val="nil"/>
              <w:tr2bl w:val="nil"/>
            </w:tcBorders>
            <w:noWrap w:val="0"/>
            <w:vAlign w:val="center"/>
          </w:tcPr>
          <w:p w14:paraId="16D3219D">
            <w:pPr>
              <w:keepNext w:val="0"/>
              <w:keepLines w:val="0"/>
              <w:suppressLineNumbers w:val="0"/>
              <w:spacing w:before="0" w:beforeAutospacing="0" w:after="0" w:afterAutospacing="0" w:line="240" w:lineRule="exact"/>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2</w:t>
            </w:r>
          </w:p>
        </w:tc>
      </w:tr>
      <w:tr w14:paraId="533F9F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5" w:type="pct"/>
            <w:tcBorders>
              <w:tl2br w:val="nil"/>
              <w:tr2bl w:val="nil"/>
            </w:tcBorders>
            <w:noWrap w:val="0"/>
            <w:vAlign w:val="center"/>
          </w:tcPr>
          <w:p w14:paraId="24699F69">
            <w:pPr>
              <w:keepNext w:val="0"/>
              <w:keepLines w:val="0"/>
              <w:widowControl/>
              <w:suppressLineNumbers w:val="0"/>
              <w:spacing w:before="0" w:beforeAutospacing="0" w:after="0" w:afterAutospacing="0" w:line="0" w:lineRule="atLeast"/>
              <w:ind w:left="0" w:right="0"/>
              <w:jc w:val="center"/>
              <w:rPr>
                <w:rFonts w:hint="default" w:ascii="宋体" w:hAnsi="宋体" w:eastAsia="宋体" w:cs="Times New Roman"/>
                <w:color w:val="auto"/>
                <w:szCs w:val="24"/>
                <w:highlight w:val="none"/>
              </w:rPr>
            </w:pPr>
            <w:r>
              <w:rPr>
                <w:rFonts w:hint="eastAsia" w:ascii="宋体" w:hAnsi="宋体" w:eastAsia="宋体" w:cs="Times New Roman"/>
                <w:color w:val="auto"/>
                <w:szCs w:val="24"/>
                <w:highlight w:val="none"/>
              </w:rPr>
              <w:t>分裂导线间距</w:t>
            </w:r>
          </w:p>
        </w:tc>
        <w:tc>
          <w:tcPr>
            <w:tcW w:w="4044" w:type="pct"/>
            <w:gridSpan w:val="2"/>
            <w:tcBorders>
              <w:tl2br w:val="nil"/>
              <w:tr2bl w:val="nil"/>
            </w:tcBorders>
            <w:noWrap w:val="0"/>
            <w:vAlign w:val="center"/>
          </w:tcPr>
          <w:p w14:paraId="7495CE3B">
            <w:pPr>
              <w:keepNext w:val="0"/>
              <w:keepLines w:val="0"/>
              <w:suppressLineNumbers w:val="0"/>
              <w:spacing w:before="0" w:beforeAutospacing="0" w:after="0" w:afterAutospacing="0" w:line="240" w:lineRule="exact"/>
              <w:ind w:left="0" w:right="0"/>
              <w:jc w:val="center"/>
              <w:rPr>
                <w:rFonts w:hint="default" w:ascii="宋体" w:hAnsi="宋体" w:eastAsia="宋体" w:cs="Times New Roman"/>
                <w:color w:val="0000FF"/>
                <w:kern w:val="0"/>
                <w:szCs w:val="21"/>
                <w:highlight w:val="none"/>
              </w:rPr>
            </w:pPr>
            <w:r>
              <w:rPr>
                <w:rFonts w:hint="eastAsia" w:ascii="宋体" w:hAnsi="宋体" w:cs="Times New Roman"/>
                <w:bCs/>
                <w:color w:val="auto"/>
                <w:szCs w:val="21"/>
                <w:highlight w:val="none"/>
                <w:lang w:val="en-US" w:eastAsia="zh-CN"/>
              </w:rPr>
              <w:t>5</w:t>
            </w:r>
            <w:r>
              <w:rPr>
                <w:rFonts w:hint="eastAsia" w:ascii="宋体" w:hAnsi="宋体" w:eastAsia="宋体" w:cs="Times New Roman"/>
                <w:bCs/>
                <w:color w:val="auto"/>
                <w:szCs w:val="21"/>
                <w:highlight w:val="none"/>
              </w:rPr>
              <w:t>00mm</w:t>
            </w:r>
          </w:p>
        </w:tc>
      </w:tr>
      <w:tr w14:paraId="75C75A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5" w:type="pct"/>
            <w:tcBorders>
              <w:tl2br w:val="nil"/>
              <w:tr2bl w:val="nil"/>
            </w:tcBorders>
            <w:noWrap w:val="0"/>
            <w:vAlign w:val="center"/>
          </w:tcPr>
          <w:p w14:paraId="1DE94047">
            <w:pPr>
              <w:keepNext w:val="0"/>
              <w:keepLines w:val="0"/>
              <w:widowControl/>
              <w:suppressLineNumbers w:val="0"/>
              <w:spacing w:before="0" w:beforeAutospacing="0" w:after="0" w:afterAutospacing="0" w:line="0" w:lineRule="atLeast"/>
              <w:ind w:left="0" w:right="0"/>
              <w:jc w:val="center"/>
              <w:rPr>
                <w:rFonts w:hint="default" w:ascii="宋体" w:hAnsi="宋体" w:eastAsia="宋体" w:cs="Times New Roman"/>
                <w:color w:val="auto"/>
                <w:kern w:val="0"/>
                <w:szCs w:val="24"/>
                <w:highlight w:val="none"/>
              </w:rPr>
            </w:pPr>
            <w:r>
              <w:rPr>
                <w:rFonts w:hint="eastAsia" w:ascii="宋体" w:hAnsi="宋体" w:eastAsia="宋体" w:cs="Times New Roman"/>
                <w:color w:val="auto"/>
                <w:kern w:val="0"/>
                <w:szCs w:val="24"/>
                <w:highlight w:val="none"/>
              </w:rPr>
              <w:t>导线外径</w:t>
            </w:r>
          </w:p>
        </w:tc>
        <w:tc>
          <w:tcPr>
            <w:tcW w:w="4044" w:type="pct"/>
            <w:gridSpan w:val="2"/>
            <w:tcBorders>
              <w:tl2br w:val="nil"/>
              <w:tr2bl w:val="nil"/>
            </w:tcBorders>
            <w:noWrap w:val="0"/>
            <w:vAlign w:val="center"/>
          </w:tcPr>
          <w:p w14:paraId="04E37EBE">
            <w:pPr>
              <w:keepNext w:val="0"/>
              <w:keepLines w:val="0"/>
              <w:suppressLineNumbers w:val="0"/>
              <w:spacing w:before="0" w:beforeAutospacing="0" w:after="0" w:afterAutospacing="0" w:line="240" w:lineRule="exact"/>
              <w:ind w:left="0" w:right="0"/>
              <w:jc w:val="center"/>
              <w:rPr>
                <w:rFonts w:hint="default" w:ascii="宋体" w:hAnsi="宋体" w:eastAsia="宋体" w:cs="Times New Roman"/>
                <w:bCs/>
                <w:color w:val="auto"/>
                <w:szCs w:val="21"/>
                <w:highlight w:val="none"/>
              </w:rPr>
            </w:pPr>
            <w:r>
              <w:rPr>
                <w:rFonts w:hint="eastAsia" w:ascii="宋体" w:hAnsi="宋体" w:eastAsia="宋体" w:cs="Times New Roman"/>
                <w:color w:val="auto"/>
                <w:szCs w:val="21"/>
                <w:highlight w:val="none"/>
                <w:lang w:val="en-US" w:eastAsia="zh-CN"/>
              </w:rPr>
              <w:t>33.</w:t>
            </w:r>
            <w:r>
              <w:rPr>
                <w:rFonts w:hint="eastAsia" w:ascii="宋体" w:hAnsi="宋体" w:cs="Times New Roman"/>
                <w:color w:val="auto"/>
                <w:szCs w:val="21"/>
                <w:highlight w:val="none"/>
                <w:lang w:val="en-US" w:eastAsia="zh-CN"/>
              </w:rPr>
              <w:t>8</w:t>
            </w:r>
            <w:r>
              <w:rPr>
                <w:rFonts w:hint="eastAsia" w:ascii="宋体" w:hAnsi="宋体" w:eastAsia="宋体" w:cs="Times New Roman"/>
                <w:color w:val="auto"/>
                <w:szCs w:val="21"/>
                <w:highlight w:val="none"/>
                <w:lang w:val="en-US" w:eastAsia="zh-CN"/>
              </w:rPr>
              <w:t>mm</w:t>
            </w:r>
          </w:p>
        </w:tc>
      </w:tr>
      <w:tr w14:paraId="5A74EA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5" w:type="pct"/>
            <w:tcBorders>
              <w:tl2br w:val="nil"/>
              <w:tr2bl w:val="nil"/>
            </w:tcBorders>
            <w:noWrap w:val="0"/>
            <w:vAlign w:val="center"/>
          </w:tcPr>
          <w:p w14:paraId="31296707">
            <w:pPr>
              <w:keepNext w:val="0"/>
              <w:keepLines w:val="0"/>
              <w:widowControl/>
              <w:suppressLineNumbers w:val="0"/>
              <w:spacing w:before="0" w:beforeAutospacing="0" w:after="0" w:afterAutospacing="0" w:line="240" w:lineRule="exact"/>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bCs/>
                <w:color w:val="auto"/>
                <w:szCs w:val="21"/>
                <w:highlight w:val="none"/>
              </w:rPr>
              <w:t>地线</w:t>
            </w:r>
            <w:r>
              <w:rPr>
                <w:rFonts w:hint="eastAsia" w:ascii="宋体" w:hAnsi="宋体" w:eastAsia="宋体" w:cs="Times New Roman"/>
                <w:color w:val="auto"/>
                <w:kern w:val="0"/>
                <w:szCs w:val="21"/>
                <w:highlight w:val="none"/>
              </w:rPr>
              <w:t>外径</w:t>
            </w:r>
          </w:p>
        </w:tc>
        <w:tc>
          <w:tcPr>
            <w:tcW w:w="4044" w:type="pct"/>
            <w:gridSpan w:val="2"/>
            <w:tcBorders>
              <w:tl2br w:val="nil"/>
              <w:tr2bl w:val="nil"/>
            </w:tcBorders>
            <w:noWrap w:val="0"/>
            <w:vAlign w:val="center"/>
          </w:tcPr>
          <w:p w14:paraId="2FABDCC9">
            <w:pPr>
              <w:keepNext w:val="0"/>
              <w:keepLines w:val="0"/>
              <w:suppressLineNumbers w:val="0"/>
              <w:spacing w:before="0" w:beforeAutospacing="0" w:after="0" w:afterAutospacing="0" w:line="240" w:lineRule="exact"/>
              <w:ind w:left="0" w:right="0"/>
              <w:jc w:val="center"/>
              <w:rPr>
                <w:rFonts w:hint="default" w:ascii="宋体" w:hAnsi="宋体" w:eastAsia="宋体" w:cs="Times New Roman"/>
                <w:color w:val="auto"/>
                <w:szCs w:val="21"/>
                <w:highlight w:val="none"/>
              </w:rPr>
            </w:pPr>
            <w:r>
              <w:rPr>
                <w:rFonts w:hint="eastAsia" w:ascii="宋体" w:hAnsi="宋体" w:cs="宋体"/>
                <w:color w:val="auto"/>
                <w:kern w:val="0"/>
                <w:szCs w:val="21"/>
                <w:highlight w:val="none"/>
                <w:lang w:val="en-US" w:eastAsia="zh-CN"/>
              </w:rPr>
              <w:t>14.15</w:t>
            </w:r>
            <w:r>
              <w:rPr>
                <w:rFonts w:hint="eastAsia" w:ascii="宋体" w:hAnsi="宋体" w:eastAsia="宋体" w:cs="宋体"/>
                <w:color w:val="auto"/>
                <w:kern w:val="0"/>
                <w:szCs w:val="21"/>
                <w:highlight w:val="none"/>
                <w:lang w:val="en-US" w:eastAsia="zh-CN"/>
              </w:rPr>
              <w:t>mm</w:t>
            </w:r>
          </w:p>
        </w:tc>
      </w:tr>
      <w:tr w14:paraId="0E30A7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55" w:type="pct"/>
            <w:tcBorders>
              <w:tl2br w:val="nil"/>
              <w:tr2bl w:val="nil"/>
            </w:tcBorders>
            <w:noWrap w:val="0"/>
            <w:vAlign w:val="center"/>
          </w:tcPr>
          <w:p w14:paraId="565C2B7B">
            <w:pPr>
              <w:keepNext w:val="0"/>
              <w:keepLines w:val="0"/>
              <w:widowControl/>
              <w:suppressLineNumbers w:val="0"/>
              <w:spacing w:before="0" w:beforeAutospacing="0" w:after="0" w:afterAutospacing="0" w:line="240" w:lineRule="exact"/>
              <w:ind w:left="0" w:right="0"/>
              <w:jc w:val="center"/>
              <w:rPr>
                <w:rFonts w:hint="default" w:ascii="宋体" w:hAnsi="宋体" w:eastAsia="宋体" w:cs="Times New Roman"/>
                <w:bCs/>
                <w:color w:val="auto"/>
                <w:szCs w:val="21"/>
                <w:highlight w:val="none"/>
              </w:rPr>
            </w:pPr>
            <w:r>
              <w:rPr>
                <w:rFonts w:hint="eastAsia" w:ascii="宋体" w:hAnsi="宋体" w:eastAsia="宋体" w:cs="Times New Roman"/>
                <w:bCs/>
                <w:color w:val="auto"/>
                <w:szCs w:val="21"/>
                <w:highlight w:val="none"/>
              </w:rPr>
              <w:t>输送功率</w:t>
            </w:r>
            <w:r>
              <w:rPr>
                <w:rFonts w:hint="eastAsia" w:ascii="宋体" w:hAnsi="宋体" w:cs="Times New Roman"/>
                <w:bCs/>
                <w:color w:val="auto"/>
                <w:szCs w:val="21"/>
                <w:highlight w:val="none"/>
                <w:lang w:eastAsia="zh-CN"/>
              </w:rPr>
              <w:t>（</w:t>
            </w:r>
            <w:r>
              <w:rPr>
                <w:rFonts w:hint="eastAsia" w:ascii="宋体" w:hAnsi="宋体" w:eastAsia="宋体" w:cs="Times New Roman"/>
                <w:color w:val="auto"/>
                <w:szCs w:val="21"/>
                <w:highlight w:val="none"/>
              </w:rPr>
              <w:t>MVA</w:t>
            </w:r>
            <w:r>
              <w:rPr>
                <w:rFonts w:hint="eastAsia" w:ascii="宋体" w:hAnsi="宋体" w:cs="Times New Roman"/>
                <w:color w:val="auto"/>
                <w:szCs w:val="21"/>
                <w:highlight w:val="none"/>
                <w:lang w:eastAsia="zh-CN"/>
              </w:rPr>
              <w:t>）</w:t>
            </w:r>
          </w:p>
        </w:tc>
        <w:tc>
          <w:tcPr>
            <w:tcW w:w="4044" w:type="pct"/>
            <w:gridSpan w:val="2"/>
            <w:tcBorders>
              <w:tl2br w:val="nil"/>
              <w:tr2bl w:val="nil"/>
            </w:tcBorders>
            <w:noWrap w:val="0"/>
            <w:vAlign w:val="center"/>
          </w:tcPr>
          <w:p w14:paraId="0FB2EF0B">
            <w:pPr>
              <w:keepNext w:val="0"/>
              <w:keepLines w:val="0"/>
              <w:suppressLineNumbers w:val="0"/>
              <w:spacing w:before="0" w:beforeAutospacing="0" w:after="0" w:afterAutospacing="0" w:line="240" w:lineRule="exact"/>
              <w:ind w:left="0" w:right="0"/>
              <w:jc w:val="center"/>
              <w:rPr>
                <w:rFonts w:hint="default" w:ascii="宋体" w:hAnsi="宋体" w:eastAsia="宋体" w:cs="宋体"/>
                <w:color w:val="0000FF"/>
                <w:kern w:val="0"/>
                <w:szCs w:val="21"/>
                <w:highlight w:val="none"/>
                <w:lang w:val="en-US" w:eastAsia="zh-CN"/>
              </w:rPr>
            </w:pPr>
            <w:r>
              <w:rPr>
                <w:rFonts w:hint="eastAsia" w:ascii="宋体" w:hAnsi="宋体" w:cs="宋体"/>
                <w:color w:val="auto"/>
                <w:kern w:val="0"/>
                <w:szCs w:val="21"/>
                <w:highlight w:val="none"/>
                <w:lang w:val="en-US" w:eastAsia="zh-CN"/>
              </w:rPr>
              <w:t>733</w:t>
            </w:r>
          </w:p>
        </w:tc>
      </w:tr>
      <w:tr w14:paraId="605028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5" w:type="pct"/>
            <w:tcBorders>
              <w:tl2br w:val="nil"/>
              <w:tr2bl w:val="nil"/>
            </w:tcBorders>
            <w:noWrap w:val="0"/>
            <w:vAlign w:val="center"/>
          </w:tcPr>
          <w:p w14:paraId="7DF89A27">
            <w:pPr>
              <w:keepNext w:val="0"/>
              <w:keepLines w:val="0"/>
              <w:widowControl/>
              <w:suppressLineNumbers w:val="0"/>
              <w:spacing w:before="0" w:beforeAutospacing="0" w:after="0" w:afterAutospacing="0" w:line="240" w:lineRule="exact"/>
              <w:ind w:left="0" w:right="0"/>
              <w:jc w:val="center"/>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预测电压</w:t>
            </w:r>
            <w:r>
              <w:rPr>
                <w:rFonts w:hint="eastAsia" w:ascii="宋体" w:hAnsi="宋体" w:cs="Times New Roman"/>
                <w:bCs/>
                <w:color w:val="auto"/>
                <w:szCs w:val="21"/>
                <w:highlight w:val="none"/>
                <w:lang w:val="en-US" w:eastAsia="zh-CN"/>
              </w:rPr>
              <w:t>（</w:t>
            </w:r>
            <w:r>
              <w:rPr>
                <w:rFonts w:hint="eastAsia" w:ascii="宋体" w:hAnsi="宋体" w:eastAsia="宋体" w:cs="宋体"/>
                <w:color w:val="auto"/>
                <w:kern w:val="0"/>
                <w:szCs w:val="21"/>
                <w:highlight w:val="none"/>
                <w:lang w:val="en-US" w:eastAsia="zh-CN"/>
              </w:rPr>
              <w:t>kV</w:t>
            </w:r>
            <w:r>
              <w:rPr>
                <w:rFonts w:hint="eastAsia" w:ascii="宋体" w:hAnsi="宋体" w:cs="宋体"/>
                <w:color w:val="auto"/>
                <w:kern w:val="0"/>
                <w:szCs w:val="21"/>
                <w:highlight w:val="none"/>
                <w:lang w:val="en-US" w:eastAsia="zh-CN"/>
              </w:rPr>
              <w:t>）</w:t>
            </w:r>
          </w:p>
        </w:tc>
        <w:tc>
          <w:tcPr>
            <w:tcW w:w="4044" w:type="pct"/>
            <w:gridSpan w:val="2"/>
            <w:tcBorders>
              <w:tl2br w:val="nil"/>
              <w:tr2bl w:val="nil"/>
            </w:tcBorders>
            <w:noWrap w:val="0"/>
            <w:vAlign w:val="center"/>
          </w:tcPr>
          <w:p w14:paraId="2A38FF4E">
            <w:pPr>
              <w:keepNext w:val="0"/>
              <w:keepLines w:val="0"/>
              <w:suppressLineNumbers w:val="0"/>
              <w:spacing w:before="0" w:beforeAutospacing="0" w:after="0" w:afterAutospacing="0" w:line="240" w:lineRule="exact"/>
              <w:ind w:left="0" w:right="0"/>
              <w:jc w:val="center"/>
              <w:rPr>
                <w:rFonts w:hint="default" w:ascii="宋体" w:hAnsi="宋体" w:eastAsia="宋体" w:cs="宋体"/>
                <w:color w:val="0000FF"/>
                <w:kern w:val="0"/>
                <w:szCs w:val="21"/>
                <w:highlight w:val="none"/>
                <w:lang w:val="en-US" w:eastAsia="zh-CN"/>
              </w:rPr>
            </w:pPr>
            <w:r>
              <w:rPr>
                <w:rFonts w:hint="eastAsia" w:ascii="宋体" w:hAnsi="宋体" w:cs="宋体"/>
                <w:color w:val="auto"/>
                <w:kern w:val="0"/>
                <w:szCs w:val="21"/>
                <w:highlight w:val="none"/>
                <w:lang w:val="en-US" w:eastAsia="zh-CN"/>
              </w:rPr>
              <w:t>231</w:t>
            </w:r>
          </w:p>
        </w:tc>
      </w:tr>
      <w:tr w14:paraId="494A79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5" w:type="pct"/>
            <w:tcBorders>
              <w:tl2br w:val="nil"/>
              <w:tr2bl w:val="nil"/>
            </w:tcBorders>
            <w:noWrap w:val="0"/>
            <w:vAlign w:val="center"/>
          </w:tcPr>
          <w:p w14:paraId="73EA7365">
            <w:pPr>
              <w:keepNext w:val="0"/>
              <w:keepLines w:val="0"/>
              <w:widowControl/>
              <w:suppressLineNumbers w:val="0"/>
              <w:spacing w:before="0" w:beforeAutospacing="0" w:after="0" w:afterAutospacing="0" w:line="0" w:lineRule="atLeast"/>
              <w:ind w:left="0" w:right="0"/>
              <w:jc w:val="center"/>
              <w:rPr>
                <w:rFonts w:hint="eastAsia" w:ascii="宋体" w:hAnsi="宋体" w:eastAsia="宋体" w:cs="Times New Roman"/>
                <w:color w:val="auto"/>
                <w:kern w:val="0"/>
                <w:sz w:val="21"/>
                <w:szCs w:val="24"/>
                <w:highlight w:val="none"/>
                <w:lang w:val="en-US" w:eastAsia="zh-CN" w:bidi="ar-SA"/>
              </w:rPr>
            </w:pPr>
            <w:r>
              <w:rPr>
                <w:rFonts w:hint="eastAsia" w:ascii="宋体" w:hAnsi="宋体" w:eastAsia="宋体" w:cs="Times New Roman"/>
                <w:color w:val="auto"/>
                <w:kern w:val="0"/>
                <w:szCs w:val="24"/>
                <w:highlight w:val="none"/>
              </w:rPr>
              <w:t>相序</w:t>
            </w:r>
          </w:p>
        </w:tc>
        <w:tc>
          <w:tcPr>
            <w:tcW w:w="1853" w:type="pct"/>
            <w:tcBorders>
              <w:tl2br w:val="nil"/>
              <w:tr2bl w:val="nil"/>
            </w:tcBorders>
            <w:noWrap w:val="0"/>
            <w:vAlign w:val="center"/>
          </w:tcPr>
          <w:p w14:paraId="0AD9457D">
            <w:pPr>
              <w:keepNext w:val="0"/>
              <w:keepLines w:val="0"/>
              <w:widowControl/>
              <w:suppressLineNumbers w:val="0"/>
              <w:spacing w:before="0" w:beforeAutospacing="0" w:after="0" w:afterAutospacing="0" w:line="0" w:lineRule="atLeast"/>
              <w:ind w:left="0" w:right="0"/>
              <w:jc w:val="center"/>
              <w:rPr>
                <w:rFonts w:hint="eastAsia" w:ascii="宋体" w:hAnsi="宋体" w:eastAsia="宋体" w:cs="Times New Roman"/>
                <w:color w:val="auto"/>
                <w:kern w:val="0"/>
                <w:sz w:val="21"/>
                <w:szCs w:val="24"/>
                <w:highlight w:val="none"/>
                <w:lang w:val="en-US" w:eastAsia="zh-CN" w:bidi="ar-SA"/>
              </w:rPr>
            </w:pPr>
            <w:r>
              <w:rPr>
                <w:rFonts w:hint="eastAsia" w:ascii="宋体" w:hAnsi="宋体" w:eastAsia="宋体" w:cs="Times New Roman"/>
                <w:color w:val="auto"/>
                <w:kern w:val="0"/>
                <w:szCs w:val="21"/>
                <w:highlight w:val="none"/>
                <w:lang w:eastAsia="zh-CN"/>
              </w:rPr>
              <w:t>单回：</w:t>
            </w:r>
            <w:r>
              <w:rPr>
                <w:rFonts w:hint="eastAsia" w:ascii="宋体" w:hAnsi="宋体" w:eastAsia="宋体" w:cs="Times New Roman"/>
                <w:color w:val="auto"/>
                <w:kern w:val="0"/>
                <w:szCs w:val="21"/>
                <w:highlight w:val="none"/>
              </w:rPr>
              <w:t>A-B-C</w:t>
            </w:r>
            <w:r>
              <w:rPr>
                <w:rFonts w:hint="eastAsia" w:ascii="宋体" w:hAnsi="宋体" w:cs="Times New Roman"/>
                <w:color w:val="auto"/>
                <w:kern w:val="0"/>
                <w:szCs w:val="21"/>
                <w:highlight w:val="none"/>
                <w:lang w:eastAsia="zh-CN"/>
              </w:rPr>
              <w:t>（</w:t>
            </w:r>
            <w:r>
              <w:rPr>
                <w:rFonts w:hint="eastAsia" w:ascii="宋体" w:hAnsi="宋体" w:eastAsia="宋体" w:cs="Times New Roman"/>
                <w:color w:val="auto"/>
                <w:kern w:val="0"/>
                <w:szCs w:val="21"/>
                <w:highlight w:val="none"/>
              </w:rPr>
              <w:t>左</w:t>
            </w:r>
            <w:r>
              <w:rPr>
                <w:rFonts w:hint="eastAsia" w:ascii="宋体" w:hAnsi="宋体" w:eastAsia="宋体" w:cs="Times New Roman"/>
                <w:color w:val="auto"/>
                <w:kern w:val="0"/>
                <w:szCs w:val="21"/>
                <w:highlight w:val="none"/>
                <w:lang w:val="en-US" w:eastAsia="zh-CN"/>
              </w:rPr>
              <w:t>上</w:t>
            </w:r>
            <w:r>
              <w:rPr>
                <w:rFonts w:hint="eastAsia" w:ascii="宋体" w:hAnsi="宋体" w:eastAsia="宋体" w:cs="Times New Roman"/>
                <w:color w:val="auto"/>
                <w:kern w:val="0"/>
                <w:szCs w:val="21"/>
                <w:highlight w:val="none"/>
              </w:rPr>
              <w:t>右</w:t>
            </w:r>
            <w:r>
              <w:rPr>
                <w:rFonts w:hint="eastAsia" w:ascii="宋体" w:hAnsi="宋体" w:cs="Times New Roman"/>
                <w:color w:val="auto"/>
                <w:kern w:val="0"/>
                <w:szCs w:val="21"/>
                <w:highlight w:val="none"/>
                <w:lang w:eastAsia="zh-CN"/>
              </w:rPr>
              <w:t>）</w:t>
            </w:r>
          </w:p>
        </w:tc>
        <w:tc>
          <w:tcPr>
            <w:tcW w:w="2191" w:type="pct"/>
            <w:tcBorders>
              <w:tl2br w:val="nil"/>
              <w:tr2bl w:val="nil"/>
            </w:tcBorders>
            <w:noWrap w:val="0"/>
            <w:vAlign w:val="center"/>
          </w:tcPr>
          <w:p w14:paraId="7D31CBE6">
            <w:pPr>
              <w:keepNext w:val="0"/>
              <w:keepLines w:val="0"/>
              <w:widowControl/>
              <w:suppressLineNumbers w:val="0"/>
              <w:spacing w:before="0" w:beforeAutospacing="0" w:after="0" w:afterAutospacing="0" w:line="0" w:lineRule="atLeast"/>
              <w:ind w:left="0" w:right="0"/>
              <w:jc w:val="center"/>
              <w:rPr>
                <w:rFonts w:hint="eastAsia" w:ascii="宋体" w:hAnsi="宋体" w:eastAsia="宋体" w:cs="Times New Roman"/>
                <w:color w:val="0000FF"/>
                <w:kern w:val="0"/>
                <w:sz w:val="21"/>
                <w:szCs w:val="21"/>
                <w:highlight w:val="yellow"/>
                <w:lang w:val="en-US" w:eastAsia="zh-CN" w:bidi="ar-SA"/>
              </w:rPr>
            </w:pPr>
            <w:r>
              <w:rPr>
                <w:rFonts w:hint="eastAsia" w:ascii="宋体" w:hAnsi="宋体" w:eastAsia="宋体" w:cs="Times New Roman"/>
                <w:color w:val="auto"/>
                <w:kern w:val="0"/>
                <w:szCs w:val="21"/>
                <w:highlight w:val="none"/>
              </w:rPr>
              <w:t>双回</w:t>
            </w:r>
            <w:r>
              <w:rPr>
                <w:rFonts w:hint="eastAsia" w:ascii="宋体" w:hAnsi="宋体" w:eastAsia="宋体" w:cs="Times New Roman"/>
                <w:color w:val="auto"/>
                <w:kern w:val="0"/>
                <w:szCs w:val="21"/>
                <w:highlight w:val="none"/>
                <w:lang w:eastAsia="zh-CN"/>
              </w:rPr>
              <w:t>：</w:t>
            </w:r>
            <w:r>
              <w:rPr>
                <w:rFonts w:hint="eastAsia" w:ascii="宋体" w:hAnsi="宋体" w:eastAsia="宋体" w:cs="Times New Roman"/>
                <w:color w:val="auto"/>
                <w:kern w:val="0"/>
                <w:szCs w:val="21"/>
                <w:highlight w:val="none"/>
              </w:rPr>
              <w:t>正相序</w:t>
            </w:r>
            <w:r>
              <w:rPr>
                <w:rFonts w:hint="eastAsia" w:ascii="宋体" w:hAnsi="宋体" w:eastAsia="宋体" w:cs="Times New Roman"/>
                <w:color w:val="auto"/>
                <w:kern w:val="0"/>
                <w:szCs w:val="21"/>
                <w:highlight w:val="none"/>
                <w:lang w:val="en-US" w:eastAsia="zh-CN"/>
              </w:rPr>
              <w:t>C</w:t>
            </w:r>
            <w:r>
              <w:rPr>
                <w:rFonts w:hint="eastAsia" w:ascii="宋体" w:hAnsi="宋体" w:eastAsia="宋体" w:cs="Times New Roman"/>
                <w:color w:val="auto"/>
                <w:kern w:val="0"/>
                <w:szCs w:val="21"/>
                <w:highlight w:val="none"/>
              </w:rPr>
              <w:t>-B-</w:t>
            </w:r>
            <w:r>
              <w:rPr>
                <w:rFonts w:hint="eastAsia" w:ascii="宋体" w:hAnsi="宋体" w:eastAsia="宋体" w:cs="Times New Roman"/>
                <w:color w:val="auto"/>
                <w:kern w:val="0"/>
                <w:szCs w:val="21"/>
                <w:highlight w:val="none"/>
                <w:lang w:val="en-US" w:eastAsia="zh-CN"/>
              </w:rPr>
              <w:t>A</w:t>
            </w:r>
            <w:r>
              <w:rPr>
                <w:rFonts w:hint="eastAsia" w:ascii="宋体" w:hAnsi="宋体" w:cs="Times New Roman"/>
                <w:color w:val="auto"/>
                <w:kern w:val="0"/>
                <w:szCs w:val="21"/>
                <w:highlight w:val="none"/>
                <w:lang w:val="en-US" w:eastAsia="zh-CN"/>
              </w:rPr>
              <w:t>（</w:t>
            </w:r>
            <w:r>
              <w:rPr>
                <w:rFonts w:hint="eastAsia" w:ascii="宋体" w:hAnsi="宋体" w:eastAsia="宋体" w:cs="Times New Roman"/>
                <w:color w:val="auto"/>
                <w:kern w:val="0"/>
                <w:szCs w:val="21"/>
                <w:highlight w:val="none"/>
              </w:rPr>
              <w:t>上中下</w:t>
            </w:r>
            <w:r>
              <w:rPr>
                <w:rFonts w:hint="eastAsia" w:ascii="宋体" w:hAnsi="宋体" w:cs="Times New Roman"/>
                <w:color w:val="auto"/>
                <w:kern w:val="0"/>
                <w:szCs w:val="21"/>
                <w:highlight w:val="none"/>
                <w:lang w:eastAsia="zh-CN"/>
              </w:rPr>
              <w:t>）</w:t>
            </w:r>
          </w:p>
        </w:tc>
      </w:tr>
      <w:tr w14:paraId="0EF3A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955" w:type="pct"/>
            <w:tcBorders>
              <w:tl2br w:val="nil"/>
              <w:tr2bl w:val="nil"/>
            </w:tcBorders>
            <w:noWrap w:val="0"/>
            <w:vAlign w:val="center"/>
          </w:tcPr>
          <w:p w14:paraId="254F29BA">
            <w:pPr>
              <w:keepNext w:val="0"/>
              <w:keepLines w:val="0"/>
              <w:widowControl/>
              <w:suppressLineNumbers w:val="0"/>
              <w:spacing w:before="0" w:beforeAutospacing="0" w:after="0" w:afterAutospacing="0" w:line="0" w:lineRule="atLeast"/>
              <w:ind w:left="0" w:right="0"/>
              <w:jc w:val="center"/>
              <w:rPr>
                <w:rFonts w:hint="default" w:ascii="宋体" w:hAnsi="宋体" w:eastAsia="宋体" w:cs="Times New Roman"/>
                <w:color w:val="auto"/>
                <w:kern w:val="0"/>
                <w:szCs w:val="24"/>
                <w:highlight w:val="none"/>
              </w:rPr>
            </w:pPr>
            <w:r>
              <w:rPr>
                <w:rFonts w:hint="eastAsia" w:ascii="宋体" w:hAnsi="宋体" w:eastAsia="宋体" w:cs="Times New Roman"/>
                <w:color w:val="auto"/>
                <w:kern w:val="0"/>
                <w:szCs w:val="24"/>
                <w:highlight w:val="none"/>
              </w:rPr>
              <w:t>导线垂直间距</w:t>
            </w:r>
          </w:p>
        </w:tc>
        <w:tc>
          <w:tcPr>
            <w:tcW w:w="1853" w:type="pct"/>
            <w:tcBorders>
              <w:tl2br w:val="nil"/>
              <w:tr2bl w:val="nil"/>
            </w:tcBorders>
            <w:noWrap w:val="0"/>
            <w:vAlign w:val="center"/>
          </w:tcPr>
          <w:p w14:paraId="6672EF7A">
            <w:pPr>
              <w:keepNext w:val="0"/>
              <w:keepLines w:val="0"/>
              <w:suppressLineNumbers w:val="0"/>
              <w:spacing w:before="0" w:beforeAutospacing="0" w:after="0" w:afterAutospacing="0" w:line="240" w:lineRule="exact"/>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A相-B相：</w:t>
            </w:r>
            <w:r>
              <w:rPr>
                <w:rFonts w:hint="eastAsia" w:ascii="宋体" w:hAnsi="宋体" w:cs="Times New Roman"/>
                <w:color w:val="auto"/>
                <w:kern w:val="0"/>
                <w:szCs w:val="21"/>
                <w:highlight w:val="none"/>
                <w:lang w:val="en-US" w:eastAsia="zh-CN"/>
              </w:rPr>
              <w:t>5.5</w:t>
            </w:r>
            <w:r>
              <w:rPr>
                <w:rFonts w:hint="eastAsia" w:ascii="宋体" w:hAnsi="宋体" w:eastAsia="宋体" w:cs="Times New Roman"/>
                <w:color w:val="auto"/>
                <w:kern w:val="0"/>
                <w:szCs w:val="21"/>
                <w:highlight w:val="none"/>
              </w:rPr>
              <w:t>m</w:t>
            </w:r>
          </w:p>
          <w:p w14:paraId="058B2861">
            <w:pPr>
              <w:keepNext w:val="0"/>
              <w:keepLines w:val="0"/>
              <w:suppressLineNumbers w:val="0"/>
              <w:spacing w:before="0" w:beforeAutospacing="0" w:after="0" w:afterAutospacing="0" w:line="240" w:lineRule="exact"/>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C相-B相：</w:t>
            </w:r>
            <w:r>
              <w:rPr>
                <w:rFonts w:hint="eastAsia" w:ascii="宋体" w:hAnsi="宋体" w:cs="Times New Roman"/>
                <w:color w:val="auto"/>
                <w:kern w:val="0"/>
                <w:szCs w:val="21"/>
                <w:highlight w:val="none"/>
                <w:lang w:val="en-US" w:eastAsia="zh-CN"/>
              </w:rPr>
              <w:t>5.5</w:t>
            </w:r>
            <w:r>
              <w:rPr>
                <w:rFonts w:hint="eastAsia" w:ascii="宋体" w:hAnsi="宋体" w:eastAsia="宋体" w:cs="Times New Roman"/>
                <w:color w:val="auto"/>
                <w:kern w:val="0"/>
                <w:szCs w:val="21"/>
                <w:highlight w:val="none"/>
              </w:rPr>
              <w:t>m</w:t>
            </w:r>
          </w:p>
          <w:p w14:paraId="3376C52D">
            <w:pPr>
              <w:keepNext w:val="0"/>
              <w:keepLines w:val="0"/>
              <w:suppressLineNumbers w:val="0"/>
              <w:spacing w:before="0" w:beforeAutospacing="0" w:after="0" w:afterAutospacing="0" w:line="0" w:lineRule="atLeast"/>
              <w:ind w:left="0" w:right="0"/>
              <w:jc w:val="center"/>
              <w:rPr>
                <w:rFonts w:hint="default" w:ascii="宋体" w:hAnsi="宋体" w:eastAsia="宋体" w:cs="Times New Roman"/>
                <w:color w:val="auto"/>
                <w:kern w:val="0"/>
                <w:szCs w:val="24"/>
                <w:highlight w:val="none"/>
              </w:rPr>
            </w:pPr>
            <w:r>
              <w:rPr>
                <w:rFonts w:hint="eastAsia" w:ascii="宋体" w:hAnsi="宋体" w:eastAsia="宋体" w:cs="Times New Roman"/>
                <w:color w:val="auto"/>
                <w:kern w:val="0"/>
                <w:szCs w:val="21"/>
                <w:highlight w:val="none"/>
              </w:rPr>
              <w:t>A相-C相：0</w:t>
            </w:r>
            <w:r>
              <w:rPr>
                <w:rFonts w:hint="eastAsia" w:ascii="宋体" w:hAnsi="宋体" w:cs="Times New Roman"/>
                <w:color w:val="auto"/>
                <w:kern w:val="0"/>
                <w:szCs w:val="21"/>
                <w:highlight w:val="none"/>
                <w:lang w:val="en-US" w:eastAsia="zh-CN"/>
              </w:rPr>
              <w:t>.0</w:t>
            </w:r>
            <w:r>
              <w:rPr>
                <w:rFonts w:hint="eastAsia" w:ascii="宋体" w:hAnsi="宋体" w:eastAsia="宋体" w:cs="Times New Roman"/>
                <w:color w:val="auto"/>
                <w:kern w:val="0"/>
                <w:szCs w:val="21"/>
                <w:highlight w:val="none"/>
              </w:rPr>
              <w:t>m</w:t>
            </w:r>
          </w:p>
        </w:tc>
        <w:tc>
          <w:tcPr>
            <w:tcW w:w="2191" w:type="pct"/>
            <w:tcBorders>
              <w:tl2br w:val="nil"/>
              <w:tr2bl w:val="nil"/>
            </w:tcBorders>
            <w:noWrap w:val="0"/>
            <w:vAlign w:val="center"/>
          </w:tcPr>
          <w:p w14:paraId="548F0B17">
            <w:pPr>
              <w:keepNext w:val="0"/>
              <w:keepLines w:val="0"/>
              <w:suppressLineNumbers w:val="0"/>
              <w:spacing w:before="0" w:beforeAutospacing="0" w:after="0" w:afterAutospacing="0" w:line="0" w:lineRule="atLeast"/>
              <w:ind w:left="0" w:right="0"/>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A相-B相</w:t>
            </w:r>
            <w:r>
              <w:rPr>
                <w:rFonts w:hint="eastAsia" w:ascii="宋体" w:hAnsi="宋体" w:cs="Times New Roman"/>
                <w:color w:val="auto"/>
                <w:kern w:val="0"/>
                <w:szCs w:val="21"/>
                <w:highlight w:val="none"/>
                <w:lang w:eastAsia="zh-CN"/>
              </w:rPr>
              <w:t>（</w:t>
            </w:r>
            <w:r>
              <w:rPr>
                <w:rFonts w:hint="eastAsia" w:ascii="宋体" w:hAnsi="宋体" w:eastAsia="宋体" w:cs="Times New Roman"/>
                <w:color w:val="auto"/>
                <w:kern w:val="0"/>
                <w:szCs w:val="21"/>
                <w:highlight w:val="none"/>
                <w:lang w:val="en-US" w:eastAsia="zh-CN"/>
              </w:rPr>
              <w:t>a相-b相</w:t>
            </w:r>
            <w:r>
              <w:rPr>
                <w:rFonts w:hint="eastAsia" w:ascii="宋体" w:hAnsi="宋体" w:cs="Times New Roman"/>
                <w:color w:val="auto"/>
                <w:kern w:val="0"/>
                <w:szCs w:val="21"/>
                <w:highlight w:val="none"/>
                <w:lang w:val="en-US" w:eastAsia="zh-CN"/>
              </w:rPr>
              <w:t>）</w:t>
            </w:r>
            <w:r>
              <w:rPr>
                <w:rFonts w:hint="eastAsia"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lang w:val="en-US" w:eastAsia="zh-CN"/>
              </w:rPr>
              <w:t>6.</w:t>
            </w:r>
            <w:r>
              <w:rPr>
                <w:rFonts w:hint="eastAsia" w:ascii="宋体" w:hAnsi="宋体" w:cs="Times New Roman"/>
                <w:color w:val="auto"/>
                <w:kern w:val="0"/>
                <w:szCs w:val="21"/>
                <w:highlight w:val="none"/>
                <w:lang w:val="en-US" w:eastAsia="zh-CN"/>
              </w:rPr>
              <w:t>0</w:t>
            </w:r>
            <w:r>
              <w:rPr>
                <w:rFonts w:hint="eastAsia" w:ascii="宋体" w:hAnsi="宋体" w:eastAsia="宋体" w:cs="Times New Roman"/>
                <w:color w:val="auto"/>
                <w:kern w:val="0"/>
                <w:szCs w:val="21"/>
                <w:highlight w:val="none"/>
              </w:rPr>
              <w:t>m</w:t>
            </w:r>
          </w:p>
          <w:p w14:paraId="440436E9">
            <w:pPr>
              <w:keepNext w:val="0"/>
              <w:keepLines w:val="0"/>
              <w:suppressLineNumbers w:val="0"/>
              <w:spacing w:before="0" w:beforeAutospacing="0" w:after="0" w:afterAutospacing="0" w:line="0" w:lineRule="atLeast"/>
              <w:ind w:left="0" w:right="0"/>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C相-B相</w:t>
            </w:r>
            <w:r>
              <w:rPr>
                <w:rFonts w:hint="eastAsia" w:ascii="宋体" w:hAnsi="宋体" w:cs="Times New Roman"/>
                <w:color w:val="auto"/>
                <w:kern w:val="0"/>
                <w:szCs w:val="21"/>
                <w:highlight w:val="none"/>
                <w:lang w:eastAsia="zh-CN"/>
              </w:rPr>
              <w:t>（</w:t>
            </w:r>
            <w:r>
              <w:rPr>
                <w:rFonts w:hint="eastAsia" w:ascii="宋体" w:hAnsi="宋体" w:eastAsia="宋体" w:cs="Times New Roman"/>
                <w:color w:val="auto"/>
                <w:kern w:val="0"/>
                <w:szCs w:val="21"/>
                <w:highlight w:val="none"/>
                <w:lang w:val="en-US" w:eastAsia="zh-CN"/>
              </w:rPr>
              <w:t>c相-b相</w:t>
            </w:r>
            <w:r>
              <w:rPr>
                <w:rFonts w:hint="eastAsia" w:ascii="宋体" w:hAnsi="宋体" w:cs="Times New Roman"/>
                <w:color w:val="auto"/>
                <w:kern w:val="0"/>
                <w:szCs w:val="21"/>
                <w:highlight w:val="none"/>
                <w:lang w:val="en-US" w:eastAsia="zh-CN"/>
              </w:rPr>
              <w:t>）</w:t>
            </w:r>
            <w:r>
              <w:rPr>
                <w:rFonts w:hint="eastAsia" w:ascii="宋体" w:hAnsi="宋体" w:eastAsia="宋体" w:cs="Times New Roman"/>
                <w:color w:val="auto"/>
                <w:kern w:val="0"/>
                <w:szCs w:val="21"/>
                <w:highlight w:val="none"/>
              </w:rPr>
              <w:t>：</w:t>
            </w:r>
            <w:r>
              <w:rPr>
                <w:rFonts w:hint="eastAsia" w:ascii="宋体" w:hAnsi="宋体" w:cs="Times New Roman"/>
                <w:color w:val="auto"/>
                <w:kern w:val="0"/>
                <w:szCs w:val="21"/>
                <w:highlight w:val="none"/>
                <w:lang w:val="en-US" w:eastAsia="zh-CN"/>
              </w:rPr>
              <w:t>6.5</w:t>
            </w:r>
            <w:r>
              <w:rPr>
                <w:rFonts w:hint="eastAsia" w:ascii="宋体" w:hAnsi="宋体" w:eastAsia="宋体" w:cs="Times New Roman"/>
                <w:color w:val="auto"/>
                <w:kern w:val="0"/>
                <w:szCs w:val="21"/>
                <w:highlight w:val="none"/>
              </w:rPr>
              <w:t>m</w:t>
            </w:r>
          </w:p>
          <w:p w14:paraId="58635CBE">
            <w:pPr>
              <w:keepNext w:val="0"/>
              <w:keepLines w:val="0"/>
              <w:suppressLineNumbers w:val="0"/>
              <w:spacing w:before="0" w:beforeAutospacing="0" w:after="0" w:afterAutospacing="0" w:line="0" w:lineRule="atLeast"/>
              <w:ind w:left="0" w:right="0"/>
              <w:jc w:val="center"/>
              <w:rPr>
                <w:rFonts w:hint="eastAsia" w:ascii="宋体" w:hAnsi="宋体" w:eastAsia="宋体" w:cs="Times New Roman"/>
                <w:color w:val="0000FF"/>
                <w:kern w:val="0"/>
                <w:szCs w:val="21"/>
                <w:highlight w:val="none"/>
              </w:rPr>
            </w:pPr>
            <w:r>
              <w:rPr>
                <w:rFonts w:hint="eastAsia" w:ascii="宋体" w:hAnsi="宋体" w:eastAsia="宋体" w:cs="Times New Roman"/>
                <w:color w:val="auto"/>
                <w:kern w:val="0"/>
                <w:szCs w:val="21"/>
                <w:highlight w:val="none"/>
              </w:rPr>
              <w:t>A相-C相</w:t>
            </w:r>
            <w:r>
              <w:rPr>
                <w:rFonts w:hint="eastAsia" w:ascii="宋体" w:hAnsi="宋体" w:cs="Times New Roman"/>
                <w:color w:val="auto"/>
                <w:kern w:val="0"/>
                <w:szCs w:val="21"/>
                <w:highlight w:val="none"/>
                <w:lang w:eastAsia="zh-CN"/>
              </w:rPr>
              <w:t>（</w:t>
            </w:r>
            <w:r>
              <w:rPr>
                <w:rFonts w:hint="eastAsia" w:ascii="宋体" w:hAnsi="宋体" w:eastAsia="宋体" w:cs="Times New Roman"/>
                <w:color w:val="auto"/>
                <w:kern w:val="0"/>
                <w:szCs w:val="21"/>
                <w:highlight w:val="none"/>
                <w:lang w:val="en-US" w:eastAsia="zh-CN"/>
              </w:rPr>
              <w:t>a相-c相</w:t>
            </w:r>
            <w:r>
              <w:rPr>
                <w:rFonts w:hint="eastAsia" w:ascii="宋体" w:hAnsi="宋体" w:cs="Times New Roman"/>
                <w:color w:val="auto"/>
                <w:kern w:val="0"/>
                <w:szCs w:val="21"/>
                <w:highlight w:val="none"/>
                <w:lang w:val="en-US" w:eastAsia="zh-CN"/>
              </w:rPr>
              <w:t>）</w:t>
            </w:r>
            <w:r>
              <w:rPr>
                <w:rFonts w:hint="eastAsia"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lang w:val="en-US" w:eastAsia="zh-CN"/>
              </w:rPr>
              <w:t>1</w:t>
            </w:r>
            <w:r>
              <w:rPr>
                <w:rFonts w:hint="eastAsia" w:ascii="宋体" w:hAnsi="宋体" w:cs="Times New Roman"/>
                <w:color w:val="auto"/>
                <w:kern w:val="0"/>
                <w:szCs w:val="21"/>
                <w:highlight w:val="none"/>
                <w:lang w:val="en-US" w:eastAsia="zh-CN"/>
              </w:rPr>
              <w:t>2.5</w:t>
            </w:r>
            <w:r>
              <w:rPr>
                <w:rFonts w:hint="eastAsia" w:ascii="宋体" w:hAnsi="宋体" w:eastAsia="宋体" w:cs="Times New Roman"/>
                <w:color w:val="auto"/>
                <w:kern w:val="0"/>
                <w:szCs w:val="21"/>
                <w:highlight w:val="none"/>
              </w:rPr>
              <w:t>m</w:t>
            </w:r>
          </w:p>
        </w:tc>
      </w:tr>
      <w:tr w14:paraId="080838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5" w:type="pct"/>
            <w:tcBorders>
              <w:tl2br w:val="nil"/>
              <w:tr2bl w:val="nil"/>
            </w:tcBorders>
            <w:noWrap w:val="0"/>
            <w:vAlign w:val="center"/>
          </w:tcPr>
          <w:p w14:paraId="0CC64DAA">
            <w:pPr>
              <w:keepNext w:val="0"/>
              <w:keepLines w:val="0"/>
              <w:widowControl/>
              <w:suppressLineNumbers w:val="0"/>
              <w:spacing w:before="0" w:beforeAutospacing="0" w:after="0" w:afterAutospacing="0" w:line="0" w:lineRule="atLeast"/>
              <w:ind w:left="0" w:right="0"/>
              <w:jc w:val="center"/>
              <w:rPr>
                <w:rFonts w:hint="default" w:ascii="宋体" w:hAnsi="宋体" w:eastAsia="宋体" w:cs="Times New Roman"/>
                <w:color w:val="auto"/>
                <w:kern w:val="0"/>
                <w:szCs w:val="24"/>
                <w:highlight w:val="none"/>
              </w:rPr>
            </w:pPr>
            <w:r>
              <w:rPr>
                <w:rFonts w:hint="eastAsia" w:ascii="宋体" w:hAnsi="宋体" w:eastAsia="宋体" w:cs="Times New Roman"/>
                <w:color w:val="auto"/>
                <w:kern w:val="0"/>
                <w:szCs w:val="24"/>
                <w:highlight w:val="none"/>
              </w:rPr>
              <w:t>导线水平间距</w:t>
            </w:r>
          </w:p>
        </w:tc>
        <w:tc>
          <w:tcPr>
            <w:tcW w:w="1853" w:type="pct"/>
            <w:tcBorders>
              <w:tl2br w:val="nil"/>
              <w:tr2bl w:val="nil"/>
            </w:tcBorders>
            <w:noWrap w:val="0"/>
            <w:vAlign w:val="center"/>
          </w:tcPr>
          <w:p w14:paraId="3B0700EC">
            <w:pPr>
              <w:keepNext w:val="0"/>
              <w:keepLines w:val="0"/>
              <w:suppressLineNumbers w:val="0"/>
              <w:spacing w:before="0" w:beforeAutospacing="0" w:after="0" w:afterAutospacing="0" w:line="240" w:lineRule="exact"/>
              <w:ind w:left="0" w:right="0"/>
              <w:jc w:val="center"/>
              <w:rPr>
                <w:rFonts w:hint="default" w:ascii="宋体" w:hAnsi="宋体" w:eastAsia="宋体" w:cs="Calibri"/>
                <w:color w:val="auto"/>
                <w:kern w:val="0"/>
                <w:szCs w:val="21"/>
              </w:rPr>
            </w:pPr>
            <w:r>
              <w:rPr>
                <w:rFonts w:hint="eastAsia" w:ascii="宋体" w:hAnsi="宋体" w:eastAsia="宋体" w:cs="Times New Roman"/>
                <w:color w:val="auto"/>
                <w:kern w:val="0"/>
                <w:szCs w:val="21"/>
                <w:highlight w:val="none"/>
                <w:lang w:eastAsia="zh-CN"/>
              </w:rPr>
              <w:t>单回：</w:t>
            </w:r>
            <w:r>
              <w:rPr>
                <w:rFonts w:hint="eastAsia" w:ascii="宋体" w:hAnsi="宋体" w:eastAsia="宋体" w:cs="Calibri"/>
                <w:color w:val="auto"/>
                <w:kern w:val="0"/>
                <w:szCs w:val="21"/>
              </w:rPr>
              <w:t>A相-B相：</w:t>
            </w:r>
            <w:r>
              <w:rPr>
                <w:rFonts w:hint="eastAsia" w:ascii="宋体" w:hAnsi="宋体" w:cs="Calibri"/>
                <w:color w:val="auto"/>
                <w:kern w:val="0"/>
                <w:szCs w:val="21"/>
                <w:lang w:val="en-US" w:eastAsia="zh-CN"/>
              </w:rPr>
              <w:t>6.5</w:t>
            </w:r>
            <w:r>
              <w:rPr>
                <w:rFonts w:hint="eastAsia" w:ascii="宋体" w:hAnsi="宋体" w:eastAsia="宋体" w:cs="Calibri"/>
                <w:color w:val="auto"/>
                <w:kern w:val="0"/>
                <w:szCs w:val="21"/>
              </w:rPr>
              <w:t>m</w:t>
            </w:r>
          </w:p>
          <w:p w14:paraId="7736FABB">
            <w:pPr>
              <w:keepNext w:val="0"/>
              <w:keepLines w:val="0"/>
              <w:suppressLineNumbers w:val="0"/>
              <w:spacing w:before="0" w:beforeAutospacing="0" w:after="0" w:afterAutospacing="0" w:line="240" w:lineRule="exact"/>
              <w:ind w:left="0" w:right="0"/>
              <w:jc w:val="center"/>
              <w:rPr>
                <w:rFonts w:hint="eastAsia" w:ascii="宋体" w:hAnsi="宋体" w:eastAsia="宋体" w:cs="Calibri"/>
                <w:color w:val="auto"/>
                <w:kern w:val="0"/>
                <w:szCs w:val="21"/>
              </w:rPr>
            </w:pPr>
            <w:r>
              <w:rPr>
                <w:rFonts w:hint="eastAsia" w:ascii="宋体" w:hAnsi="宋体" w:eastAsia="宋体" w:cs="Calibri"/>
                <w:color w:val="auto"/>
                <w:kern w:val="0"/>
                <w:szCs w:val="21"/>
              </w:rPr>
              <w:t>C相-B相：</w:t>
            </w:r>
            <w:r>
              <w:rPr>
                <w:rFonts w:hint="eastAsia" w:ascii="宋体" w:hAnsi="宋体" w:cs="Calibri"/>
                <w:color w:val="auto"/>
                <w:kern w:val="0"/>
                <w:szCs w:val="21"/>
                <w:lang w:val="en-US" w:eastAsia="zh-CN"/>
              </w:rPr>
              <w:t>6.0</w:t>
            </w:r>
            <w:r>
              <w:rPr>
                <w:rFonts w:hint="eastAsia" w:ascii="宋体" w:hAnsi="宋体" w:eastAsia="宋体" w:cs="Calibri"/>
                <w:color w:val="auto"/>
                <w:kern w:val="0"/>
                <w:szCs w:val="21"/>
              </w:rPr>
              <w:t>m</w:t>
            </w:r>
          </w:p>
          <w:p w14:paraId="197A41C8">
            <w:pPr>
              <w:keepNext w:val="0"/>
              <w:keepLines w:val="0"/>
              <w:suppressLineNumbers w:val="0"/>
              <w:spacing w:before="0" w:beforeAutospacing="0" w:after="0" w:afterAutospacing="0" w:line="0" w:lineRule="atLeast"/>
              <w:ind w:left="0" w:right="0"/>
              <w:jc w:val="center"/>
              <w:rPr>
                <w:rFonts w:hint="default" w:ascii="宋体" w:hAnsi="宋体" w:eastAsia="宋体" w:cs="Times New Roman"/>
                <w:color w:val="auto"/>
                <w:kern w:val="0"/>
                <w:szCs w:val="24"/>
                <w:highlight w:val="none"/>
              </w:rPr>
            </w:pPr>
            <w:r>
              <w:rPr>
                <w:rFonts w:hint="eastAsia" w:ascii="宋体" w:hAnsi="宋体" w:eastAsia="宋体" w:cs="Calibri"/>
                <w:color w:val="auto"/>
                <w:kern w:val="0"/>
                <w:szCs w:val="21"/>
              </w:rPr>
              <w:t>A相-C相：</w:t>
            </w:r>
            <w:r>
              <w:rPr>
                <w:rFonts w:hint="eastAsia" w:ascii="宋体" w:hAnsi="宋体" w:cs="Calibri"/>
                <w:color w:val="auto"/>
                <w:kern w:val="0"/>
                <w:szCs w:val="21"/>
                <w:lang w:val="en-US" w:eastAsia="zh-CN"/>
              </w:rPr>
              <w:t>12.5</w:t>
            </w:r>
            <w:r>
              <w:rPr>
                <w:rFonts w:hint="eastAsia" w:ascii="宋体" w:hAnsi="宋体" w:eastAsia="宋体" w:cs="Calibri"/>
                <w:color w:val="auto"/>
                <w:kern w:val="0"/>
                <w:szCs w:val="21"/>
              </w:rPr>
              <w:t>m</w:t>
            </w:r>
          </w:p>
        </w:tc>
        <w:tc>
          <w:tcPr>
            <w:tcW w:w="2191" w:type="pct"/>
            <w:tcBorders>
              <w:tl2br w:val="nil"/>
              <w:tr2bl w:val="nil"/>
            </w:tcBorders>
            <w:noWrap w:val="0"/>
            <w:vAlign w:val="center"/>
          </w:tcPr>
          <w:p w14:paraId="00984842">
            <w:pPr>
              <w:keepNext w:val="0"/>
              <w:keepLines w:val="0"/>
              <w:suppressLineNumbers w:val="0"/>
              <w:spacing w:before="0" w:beforeAutospacing="0" w:after="0" w:afterAutospacing="0" w:line="0" w:lineRule="atLeast"/>
              <w:ind w:left="0" w:right="0"/>
              <w:jc w:val="both"/>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双回：以杆塔中心投影点为原点：</w:t>
            </w:r>
          </w:p>
          <w:p w14:paraId="456EC4CD">
            <w:pPr>
              <w:keepNext w:val="0"/>
              <w:keepLines w:val="0"/>
              <w:suppressLineNumbers w:val="0"/>
              <w:spacing w:before="0" w:beforeAutospacing="0" w:after="0" w:afterAutospacing="0" w:line="0" w:lineRule="atLeast"/>
              <w:ind w:left="0" w:right="0"/>
              <w:jc w:val="both"/>
              <w:rPr>
                <w:rFonts w:hint="eastAsia" w:ascii="宋体" w:hAnsi="宋体" w:eastAsia="宋体" w:cs="Times New Roman"/>
                <w:color w:val="auto"/>
                <w:kern w:val="0"/>
                <w:szCs w:val="21"/>
                <w:highlight w:val="none"/>
                <w:lang w:eastAsia="zh-CN"/>
              </w:rPr>
            </w:pPr>
            <w:r>
              <w:rPr>
                <w:rFonts w:hint="eastAsia" w:ascii="宋体" w:hAnsi="宋体" w:eastAsia="宋体" w:cs="Times New Roman"/>
                <w:color w:val="auto"/>
                <w:kern w:val="0"/>
                <w:szCs w:val="21"/>
                <w:highlight w:val="none"/>
              </w:rPr>
              <w:t>A相-B相：</w:t>
            </w:r>
            <w:r>
              <w:rPr>
                <w:rFonts w:hint="eastAsia" w:ascii="宋体" w:hAnsi="宋体" w:eastAsia="宋体" w:cs="Times New Roman"/>
                <w:color w:val="auto"/>
                <w:kern w:val="0"/>
                <w:szCs w:val="21"/>
                <w:highlight w:val="none"/>
                <w:lang w:val="en-US" w:eastAsia="zh-CN"/>
              </w:rPr>
              <w:t>1.</w:t>
            </w:r>
            <w:r>
              <w:rPr>
                <w:rFonts w:hint="eastAsia" w:ascii="宋体" w:hAnsi="宋体" w:cs="Times New Roman"/>
                <w:color w:val="auto"/>
                <w:kern w:val="0"/>
                <w:szCs w:val="21"/>
                <w:highlight w:val="none"/>
                <w:lang w:val="en-US" w:eastAsia="zh-CN"/>
              </w:rPr>
              <w:t>0</w:t>
            </w:r>
            <w:r>
              <w:rPr>
                <w:rFonts w:hint="eastAsia" w:ascii="宋体" w:hAnsi="宋体" w:eastAsia="宋体" w:cs="Times New Roman"/>
                <w:color w:val="auto"/>
                <w:kern w:val="0"/>
                <w:szCs w:val="21"/>
                <w:highlight w:val="none"/>
                <w:lang w:val="en-US" w:eastAsia="zh-CN"/>
              </w:rPr>
              <w:t>m</w:t>
            </w:r>
            <w:r>
              <w:rPr>
                <w:rFonts w:hint="eastAsia" w:ascii="宋体" w:hAnsi="宋体" w:eastAsia="宋体" w:cs="Times New Roman"/>
                <w:color w:val="auto"/>
                <w:kern w:val="0"/>
                <w:szCs w:val="21"/>
                <w:highlight w:val="none"/>
                <w:lang w:eastAsia="zh-CN"/>
              </w:rPr>
              <w:t>，</w:t>
            </w:r>
            <w:r>
              <w:rPr>
                <w:rFonts w:hint="eastAsia" w:ascii="宋体" w:hAnsi="宋体" w:eastAsia="宋体" w:cs="Times New Roman"/>
                <w:color w:val="auto"/>
                <w:kern w:val="0"/>
                <w:szCs w:val="21"/>
                <w:highlight w:val="none"/>
                <w:lang w:val="en-US" w:eastAsia="zh-CN"/>
              </w:rPr>
              <w:t>a</w:t>
            </w:r>
            <w:r>
              <w:rPr>
                <w:rFonts w:hint="eastAsia" w:ascii="宋体" w:hAnsi="宋体" w:eastAsia="宋体" w:cs="Times New Roman"/>
                <w:color w:val="auto"/>
                <w:kern w:val="0"/>
                <w:szCs w:val="21"/>
                <w:highlight w:val="none"/>
              </w:rPr>
              <w:t>相-</w:t>
            </w:r>
            <w:r>
              <w:rPr>
                <w:rFonts w:hint="eastAsia" w:ascii="宋体" w:hAnsi="宋体" w:eastAsia="宋体" w:cs="Times New Roman"/>
                <w:color w:val="auto"/>
                <w:kern w:val="0"/>
                <w:szCs w:val="21"/>
                <w:highlight w:val="none"/>
                <w:lang w:val="en-US" w:eastAsia="zh-CN"/>
              </w:rPr>
              <w:t>b</w:t>
            </w:r>
            <w:r>
              <w:rPr>
                <w:rFonts w:hint="eastAsia" w:ascii="宋体" w:hAnsi="宋体" w:eastAsia="宋体" w:cs="Times New Roman"/>
                <w:color w:val="auto"/>
                <w:kern w:val="0"/>
                <w:szCs w:val="21"/>
                <w:highlight w:val="none"/>
              </w:rPr>
              <w:t>相：</w:t>
            </w:r>
            <w:r>
              <w:rPr>
                <w:rFonts w:hint="eastAsia" w:ascii="宋体" w:hAnsi="宋体" w:eastAsia="宋体" w:cs="Times New Roman"/>
                <w:color w:val="auto"/>
                <w:kern w:val="0"/>
                <w:szCs w:val="21"/>
                <w:highlight w:val="none"/>
                <w:lang w:val="en-US" w:eastAsia="zh-CN"/>
              </w:rPr>
              <w:t>1.</w:t>
            </w:r>
            <w:r>
              <w:rPr>
                <w:rFonts w:hint="eastAsia" w:ascii="宋体" w:hAnsi="宋体" w:cs="Times New Roman"/>
                <w:color w:val="auto"/>
                <w:kern w:val="0"/>
                <w:szCs w:val="21"/>
                <w:highlight w:val="none"/>
                <w:lang w:val="en-US" w:eastAsia="zh-CN"/>
              </w:rPr>
              <w:t>0</w:t>
            </w:r>
            <w:r>
              <w:rPr>
                <w:rFonts w:hint="eastAsia" w:ascii="宋体" w:hAnsi="宋体" w:eastAsia="宋体" w:cs="Times New Roman"/>
                <w:color w:val="auto"/>
                <w:kern w:val="0"/>
                <w:szCs w:val="21"/>
                <w:highlight w:val="none"/>
                <w:lang w:val="en-US" w:eastAsia="zh-CN"/>
              </w:rPr>
              <w:t>m</w:t>
            </w:r>
          </w:p>
          <w:p w14:paraId="4E664591">
            <w:pPr>
              <w:keepNext w:val="0"/>
              <w:keepLines w:val="0"/>
              <w:suppressLineNumbers w:val="0"/>
              <w:spacing w:before="0" w:beforeAutospacing="0" w:after="0" w:afterAutospacing="0" w:line="240" w:lineRule="exact"/>
              <w:ind w:left="0" w:right="0"/>
              <w:jc w:val="both"/>
              <w:rPr>
                <w:rFonts w:hint="eastAsia" w:ascii="宋体" w:hAnsi="宋体" w:eastAsia="宋体" w:cs="Times New Roman"/>
                <w:color w:val="auto"/>
                <w:kern w:val="0"/>
                <w:szCs w:val="21"/>
                <w:highlight w:val="none"/>
                <w:lang w:eastAsia="zh-CN"/>
              </w:rPr>
            </w:pPr>
            <w:r>
              <w:rPr>
                <w:rFonts w:hint="eastAsia" w:ascii="宋体" w:hAnsi="宋体" w:eastAsia="宋体" w:cs="Times New Roman"/>
                <w:color w:val="auto"/>
                <w:kern w:val="0"/>
                <w:szCs w:val="21"/>
                <w:highlight w:val="none"/>
              </w:rPr>
              <w:t>B相-C相：</w:t>
            </w:r>
            <w:r>
              <w:rPr>
                <w:rFonts w:hint="eastAsia" w:ascii="宋体" w:hAnsi="宋体" w:eastAsia="宋体" w:cs="Times New Roman"/>
                <w:color w:val="auto"/>
                <w:kern w:val="0"/>
                <w:szCs w:val="21"/>
                <w:highlight w:val="none"/>
                <w:lang w:val="en-US" w:eastAsia="zh-CN"/>
              </w:rPr>
              <w:t>1.</w:t>
            </w:r>
            <w:r>
              <w:rPr>
                <w:rFonts w:hint="eastAsia" w:ascii="宋体" w:hAnsi="宋体" w:cs="Times New Roman"/>
                <w:color w:val="auto"/>
                <w:kern w:val="0"/>
                <w:szCs w:val="21"/>
                <w:highlight w:val="none"/>
                <w:lang w:val="en-US" w:eastAsia="zh-CN"/>
              </w:rPr>
              <w:t>4</w:t>
            </w:r>
            <w:r>
              <w:rPr>
                <w:rFonts w:hint="eastAsia" w:ascii="宋体" w:hAnsi="宋体" w:eastAsia="宋体" w:cs="Times New Roman"/>
                <w:color w:val="auto"/>
                <w:kern w:val="0"/>
                <w:szCs w:val="21"/>
                <w:highlight w:val="none"/>
                <w:lang w:val="en-US" w:eastAsia="zh-CN"/>
              </w:rPr>
              <w:t>m</w:t>
            </w:r>
            <w:r>
              <w:rPr>
                <w:rFonts w:hint="eastAsia" w:ascii="宋体" w:hAnsi="宋体" w:eastAsia="宋体" w:cs="Times New Roman"/>
                <w:color w:val="auto"/>
                <w:kern w:val="0"/>
                <w:szCs w:val="21"/>
                <w:highlight w:val="none"/>
                <w:lang w:eastAsia="zh-CN"/>
              </w:rPr>
              <w:t>，</w:t>
            </w:r>
            <w:r>
              <w:rPr>
                <w:rFonts w:hint="eastAsia" w:ascii="宋体" w:hAnsi="宋体" w:eastAsia="宋体" w:cs="Times New Roman"/>
                <w:color w:val="auto"/>
                <w:kern w:val="0"/>
                <w:szCs w:val="21"/>
                <w:highlight w:val="none"/>
                <w:lang w:val="en-US" w:eastAsia="zh-CN"/>
              </w:rPr>
              <w:t>b</w:t>
            </w:r>
            <w:r>
              <w:rPr>
                <w:rFonts w:hint="eastAsia" w:ascii="宋体" w:hAnsi="宋体" w:eastAsia="宋体" w:cs="Times New Roman"/>
                <w:color w:val="auto"/>
                <w:kern w:val="0"/>
                <w:szCs w:val="21"/>
                <w:highlight w:val="none"/>
              </w:rPr>
              <w:t>相-</w:t>
            </w:r>
            <w:r>
              <w:rPr>
                <w:rFonts w:hint="eastAsia" w:ascii="宋体" w:hAnsi="宋体" w:eastAsia="宋体" w:cs="Times New Roman"/>
                <w:color w:val="auto"/>
                <w:kern w:val="0"/>
                <w:szCs w:val="21"/>
                <w:highlight w:val="none"/>
                <w:lang w:val="en-US" w:eastAsia="zh-CN"/>
              </w:rPr>
              <w:t>c</w:t>
            </w:r>
            <w:r>
              <w:rPr>
                <w:rFonts w:hint="eastAsia" w:ascii="宋体" w:hAnsi="宋体" w:eastAsia="宋体" w:cs="Times New Roman"/>
                <w:color w:val="auto"/>
                <w:kern w:val="0"/>
                <w:szCs w:val="21"/>
                <w:highlight w:val="none"/>
              </w:rPr>
              <w:t>相：</w:t>
            </w:r>
            <w:r>
              <w:rPr>
                <w:rFonts w:hint="eastAsia" w:ascii="宋体" w:hAnsi="宋体" w:eastAsia="宋体" w:cs="Times New Roman"/>
                <w:color w:val="auto"/>
                <w:kern w:val="0"/>
                <w:szCs w:val="21"/>
                <w:highlight w:val="none"/>
                <w:lang w:val="en-US" w:eastAsia="zh-CN"/>
              </w:rPr>
              <w:t>1.</w:t>
            </w:r>
            <w:r>
              <w:rPr>
                <w:rFonts w:hint="eastAsia" w:ascii="宋体" w:hAnsi="宋体" w:cs="Times New Roman"/>
                <w:color w:val="auto"/>
                <w:kern w:val="0"/>
                <w:szCs w:val="21"/>
                <w:highlight w:val="none"/>
                <w:lang w:val="en-US" w:eastAsia="zh-CN"/>
              </w:rPr>
              <w:t>2</w:t>
            </w:r>
            <w:r>
              <w:rPr>
                <w:rFonts w:hint="eastAsia" w:ascii="宋体" w:hAnsi="宋体" w:eastAsia="宋体" w:cs="Times New Roman"/>
                <w:color w:val="auto"/>
                <w:kern w:val="0"/>
                <w:szCs w:val="21"/>
                <w:highlight w:val="none"/>
                <w:lang w:val="en-US" w:eastAsia="zh-CN"/>
              </w:rPr>
              <w:t>m</w:t>
            </w:r>
          </w:p>
          <w:p w14:paraId="74E9917F">
            <w:pPr>
              <w:keepNext w:val="0"/>
              <w:keepLines w:val="0"/>
              <w:suppressLineNumbers w:val="0"/>
              <w:spacing w:before="0" w:beforeAutospacing="0" w:after="0" w:afterAutospacing="0" w:line="0" w:lineRule="atLeast"/>
              <w:ind w:left="0" w:right="0"/>
              <w:jc w:val="both"/>
              <w:rPr>
                <w:rFonts w:hint="eastAsia" w:ascii="宋体" w:hAnsi="宋体" w:eastAsia="宋体" w:cs="Times New Roman"/>
                <w:color w:val="auto"/>
                <w:kern w:val="0"/>
                <w:szCs w:val="24"/>
                <w:highlight w:val="none"/>
                <w:lang w:eastAsia="zh-CN"/>
              </w:rPr>
            </w:pPr>
            <w:r>
              <w:rPr>
                <w:rFonts w:hint="eastAsia" w:ascii="宋体" w:hAnsi="宋体" w:eastAsia="宋体" w:cs="Times New Roman"/>
                <w:color w:val="auto"/>
                <w:kern w:val="0"/>
                <w:szCs w:val="21"/>
                <w:highlight w:val="none"/>
              </w:rPr>
              <w:t>A相-C相：</w:t>
            </w:r>
            <w:r>
              <w:rPr>
                <w:rFonts w:hint="eastAsia" w:ascii="宋体" w:hAnsi="宋体" w:eastAsia="宋体" w:cs="Times New Roman"/>
                <w:color w:val="auto"/>
                <w:kern w:val="0"/>
                <w:szCs w:val="21"/>
                <w:highlight w:val="none"/>
                <w:lang w:val="en-US" w:eastAsia="zh-CN"/>
              </w:rPr>
              <w:t>0.</w:t>
            </w:r>
            <w:r>
              <w:rPr>
                <w:rFonts w:hint="eastAsia" w:ascii="宋体" w:hAnsi="宋体" w:cs="Times New Roman"/>
                <w:color w:val="auto"/>
                <w:kern w:val="0"/>
                <w:szCs w:val="21"/>
                <w:highlight w:val="none"/>
                <w:lang w:val="en-US" w:eastAsia="zh-CN"/>
              </w:rPr>
              <w:t>4</w:t>
            </w:r>
            <w:r>
              <w:rPr>
                <w:rFonts w:hint="eastAsia" w:ascii="宋体" w:hAnsi="宋体" w:eastAsia="宋体" w:cs="Times New Roman"/>
                <w:color w:val="auto"/>
                <w:kern w:val="0"/>
                <w:szCs w:val="21"/>
                <w:highlight w:val="none"/>
                <w:lang w:val="en-US" w:eastAsia="zh-CN"/>
              </w:rPr>
              <w:t>m</w:t>
            </w:r>
            <w:r>
              <w:rPr>
                <w:rFonts w:hint="eastAsia" w:ascii="宋体" w:hAnsi="宋体" w:eastAsia="宋体" w:cs="Times New Roman"/>
                <w:color w:val="auto"/>
                <w:kern w:val="0"/>
                <w:szCs w:val="21"/>
                <w:highlight w:val="none"/>
                <w:lang w:eastAsia="zh-CN"/>
              </w:rPr>
              <w:t>，</w:t>
            </w:r>
            <w:r>
              <w:rPr>
                <w:rFonts w:hint="eastAsia" w:ascii="宋体" w:hAnsi="宋体" w:eastAsia="宋体" w:cs="Times New Roman"/>
                <w:color w:val="auto"/>
                <w:kern w:val="0"/>
                <w:szCs w:val="21"/>
                <w:highlight w:val="none"/>
                <w:lang w:val="en-US" w:eastAsia="zh-CN"/>
              </w:rPr>
              <w:t>a</w:t>
            </w:r>
            <w:r>
              <w:rPr>
                <w:rFonts w:hint="eastAsia" w:ascii="宋体" w:hAnsi="宋体" w:eastAsia="宋体" w:cs="Times New Roman"/>
                <w:color w:val="auto"/>
                <w:kern w:val="0"/>
                <w:szCs w:val="21"/>
                <w:highlight w:val="none"/>
              </w:rPr>
              <w:t>相-</w:t>
            </w:r>
            <w:r>
              <w:rPr>
                <w:rFonts w:hint="eastAsia" w:ascii="宋体" w:hAnsi="宋体" w:eastAsia="宋体" w:cs="Times New Roman"/>
                <w:color w:val="auto"/>
                <w:kern w:val="0"/>
                <w:szCs w:val="21"/>
                <w:highlight w:val="none"/>
                <w:lang w:val="en-US" w:eastAsia="zh-CN"/>
              </w:rPr>
              <w:t>c</w:t>
            </w:r>
            <w:r>
              <w:rPr>
                <w:rFonts w:hint="eastAsia" w:ascii="宋体" w:hAnsi="宋体" w:eastAsia="宋体" w:cs="Times New Roman"/>
                <w:color w:val="auto"/>
                <w:kern w:val="0"/>
                <w:szCs w:val="21"/>
                <w:highlight w:val="none"/>
              </w:rPr>
              <w:t>相：</w:t>
            </w:r>
            <w:r>
              <w:rPr>
                <w:rFonts w:hint="eastAsia" w:ascii="宋体" w:hAnsi="宋体" w:eastAsia="宋体" w:cs="Times New Roman"/>
                <w:color w:val="auto"/>
                <w:kern w:val="0"/>
                <w:szCs w:val="21"/>
                <w:highlight w:val="none"/>
                <w:lang w:val="en-US" w:eastAsia="zh-CN"/>
              </w:rPr>
              <w:t>0.</w:t>
            </w:r>
            <w:r>
              <w:rPr>
                <w:rFonts w:hint="eastAsia" w:ascii="宋体" w:hAnsi="宋体" w:cs="Times New Roman"/>
                <w:color w:val="auto"/>
                <w:kern w:val="0"/>
                <w:szCs w:val="21"/>
                <w:highlight w:val="none"/>
                <w:lang w:val="en-US" w:eastAsia="zh-CN"/>
              </w:rPr>
              <w:t>2</w:t>
            </w:r>
            <w:r>
              <w:rPr>
                <w:rFonts w:hint="eastAsia" w:ascii="宋体" w:hAnsi="宋体" w:eastAsia="宋体" w:cs="Times New Roman"/>
                <w:color w:val="auto"/>
                <w:kern w:val="0"/>
                <w:szCs w:val="21"/>
                <w:highlight w:val="none"/>
                <w:lang w:val="en-US" w:eastAsia="zh-CN"/>
              </w:rPr>
              <w:t>m</w:t>
            </w:r>
          </w:p>
        </w:tc>
      </w:tr>
      <w:tr w14:paraId="2FC590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5" w:type="pct"/>
            <w:tcBorders>
              <w:tl2br w:val="nil"/>
              <w:tr2bl w:val="nil"/>
            </w:tcBorders>
            <w:noWrap w:val="0"/>
            <w:vAlign w:val="center"/>
          </w:tcPr>
          <w:p w14:paraId="08D7F088">
            <w:pPr>
              <w:keepNext w:val="0"/>
              <w:keepLines w:val="0"/>
              <w:widowControl/>
              <w:suppressLineNumbers w:val="0"/>
              <w:spacing w:before="0" w:beforeAutospacing="0" w:after="0" w:afterAutospacing="0" w:line="0" w:lineRule="atLeast"/>
              <w:ind w:left="0" w:right="0"/>
              <w:jc w:val="center"/>
              <w:rPr>
                <w:rFonts w:hint="default" w:ascii="宋体" w:hAnsi="宋体" w:eastAsia="宋体" w:cs="Times New Roman"/>
                <w:color w:val="auto"/>
                <w:kern w:val="0"/>
                <w:szCs w:val="24"/>
                <w:highlight w:val="none"/>
              </w:rPr>
            </w:pPr>
            <w:r>
              <w:rPr>
                <w:rFonts w:hint="eastAsia" w:ascii="宋体" w:hAnsi="宋体" w:eastAsia="宋体" w:cs="Times New Roman"/>
                <w:color w:val="auto"/>
                <w:kern w:val="0"/>
                <w:szCs w:val="24"/>
                <w:highlight w:val="none"/>
              </w:rPr>
              <w:t>导线</w:t>
            </w:r>
            <w:r>
              <w:rPr>
                <w:rFonts w:hint="eastAsia" w:ascii="宋体" w:hAnsi="宋体" w:cs="Times New Roman"/>
                <w:color w:val="auto"/>
                <w:kern w:val="0"/>
                <w:szCs w:val="24"/>
                <w:highlight w:val="none"/>
                <w:lang w:eastAsia="zh-CN"/>
              </w:rPr>
              <w:t>－</w:t>
            </w:r>
            <w:r>
              <w:rPr>
                <w:rFonts w:hint="eastAsia" w:ascii="宋体" w:hAnsi="宋体" w:eastAsia="宋体" w:cs="Times New Roman"/>
                <w:color w:val="auto"/>
                <w:kern w:val="0"/>
                <w:szCs w:val="24"/>
                <w:highlight w:val="none"/>
              </w:rPr>
              <w:t>地线垂直间距</w:t>
            </w:r>
          </w:p>
        </w:tc>
        <w:tc>
          <w:tcPr>
            <w:tcW w:w="1853" w:type="pct"/>
            <w:tcBorders>
              <w:tl2br w:val="nil"/>
              <w:tr2bl w:val="nil"/>
            </w:tcBorders>
            <w:noWrap w:val="0"/>
            <w:vAlign w:val="center"/>
          </w:tcPr>
          <w:p w14:paraId="6F5BCEF6">
            <w:pPr>
              <w:keepNext w:val="0"/>
              <w:keepLines w:val="0"/>
              <w:suppressLineNumbers w:val="0"/>
              <w:spacing w:before="0" w:beforeAutospacing="0" w:after="0" w:afterAutospacing="0" w:line="0" w:lineRule="atLeast"/>
              <w:ind w:left="0" w:right="0"/>
              <w:jc w:val="center"/>
              <w:rPr>
                <w:rFonts w:hint="eastAsia" w:ascii="宋体" w:hAnsi="宋体" w:eastAsia="宋体" w:cs="Times New Roman"/>
                <w:color w:val="0000FF"/>
                <w:kern w:val="0"/>
                <w:szCs w:val="24"/>
                <w:highlight w:val="none"/>
                <w:lang w:eastAsia="zh-CN"/>
              </w:rPr>
            </w:pPr>
            <w:r>
              <w:rPr>
                <w:rFonts w:hint="eastAsia" w:ascii="宋体" w:hAnsi="宋体" w:eastAsia="宋体" w:cs="Times New Roman"/>
                <w:color w:val="auto"/>
                <w:kern w:val="0"/>
                <w:szCs w:val="21"/>
                <w:highlight w:val="none"/>
                <w:lang w:eastAsia="zh-CN"/>
              </w:rPr>
              <w:t>单回：</w:t>
            </w:r>
            <w:r>
              <w:rPr>
                <w:rFonts w:hint="eastAsia" w:ascii="宋体" w:hAnsi="宋体" w:cs="Times New Roman"/>
                <w:color w:val="auto"/>
                <w:kern w:val="0"/>
                <w:szCs w:val="21"/>
                <w:highlight w:val="none"/>
                <w:lang w:val="en-US" w:eastAsia="zh-CN"/>
              </w:rPr>
              <w:t>4.5</w:t>
            </w:r>
            <w:r>
              <w:rPr>
                <w:rFonts w:hint="eastAsia" w:ascii="宋体" w:hAnsi="宋体" w:eastAsia="宋体" w:cs="Times New Roman"/>
                <w:color w:val="auto"/>
                <w:kern w:val="0"/>
                <w:szCs w:val="21"/>
                <w:highlight w:val="none"/>
              </w:rPr>
              <w:t>m</w:t>
            </w:r>
            <w:r>
              <w:rPr>
                <w:rFonts w:hint="eastAsia" w:ascii="宋体" w:hAnsi="宋体" w:cs="Times New Roman"/>
                <w:color w:val="auto"/>
                <w:kern w:val="0"/>
                <w:szCs w:val="21"/>
                <w:highlight w:val="none"/>
                <w:lang w:eastAsia="zh-CN"/>
              </w:rPr>
              <w:t>（</w:t>
            </w:r>
            <w:r>
              <w:rPr>
                <w:rFonts w:hint="eastAsia" w:ascii="宋体" w:hAnsi="宋体" w:eastAsia="宋体" w:cs="Times New Roman"/>
                <w:color w:val="auto"/>
                <w:kern w:val="0"/>
                <w:szCs w:val="21"/>
                <w:highlight w:val="none"/>
              </w:rPr>
              <w:t>相对B三相</w:t>
            </w:r>
            <w:r>
              <w:rPr>
                <w:rFonts w:hint="eastAsia" w:ascii="宋体" w:hAnsi="宋体" w:cs="Times New Roman"/>
                <w:color w:val="auto"/>
                <w:kern w:val="0"/>
                <w:szCs w:val="21"/>
                <w:highlight w:val="none"/>
                <w:lang w:eastAsia="zh-CN"/>
              </w:rPr>
              <w:t>）</w:t>
            </w:r>
            <w:r>
              <w:rPr>
                <w:rFonts w:hint="eastAsia" w:ascii="宋体" w:hAnsi="宋体" w:eastAsia="宋体" w:cs="Times New Roman"/>
                <w:color w:val="auto"/>
                <w:kern w:val="0"/>
                <w:szCs w:val="21"/>
                <w:highlight w:val="none"/>
                <w:lang w:val="en-US" w:eastAsia="zh-CN"/>
              </w:rPr>
              <w:t>相对最近导线，不考虑绝缘子串高度。</w:t>
            </w:r>
          </w:p>
        </w:tc>
        <w:tc>
          <w:tcPr>
            <w:tcW w:w="2191" w:type="pct"/>
            <w:tcBorders>
              <w:tl2br w:val="nil"/>
              <w:tr2bl w:val="nil"/>
            </w:tcBorders>
            <w:noWrap w:val="0"/>
            <w:vAlign w:val="center"/>
          </w:tcPr>
          <w:p w14:paraId="29BFF564">
            <w:pPr>
              <w:keepNext w:val="0"/>
              <w:keepLines w:val="0"/>
              <w:suppressLineNumbers w:val="0"/>
              <w:spacing w:before="0" w:beforeAutospacing="0" w:after="0" w:afterAutospacing="0" w:line="0" w:lineRule="atLeast"/>
              <w:ind w:left="0" w:right="0"/>
              <w:jc w:val="center"/>
              <w:rPr>
                <w:rFonts w:hint="default" w:ascii="宋体" w:hAnsi="宋体" w:eastAsia="宋体" w:cs="Times New Roman"/>
                <w:color w:val="0000FF"/>
                <w:kern w:val="0"/>
                <w:szCs w:val="21"/>
                <w:highlight w:val="none"/>
                <w:lang w:val="en-US" w:eastAsia="zh-CN"/>
              </w:rPr>
            </w:pPr>
            <w:r>
              <w:rPr>
                <w:rFonts w:hint="eastAsia" w:ascii="宋体" w:hAnsi="宋体" w:cs="Times New Roman"/>
                <w:color w:val="auto"/>
                <w:kern w:val="0"/>
                <w:szCs w:val="21"/>
                <w:highlight w:val="none"/>
                <w:lang w:val="en-US" w:eastAsia="zh-CN"/>
              </w:rPr>
              <w:t>4.5</w:t>
            </w:r>
            <w:r>
              <w:rPr>
                <w:rFonts w:hint="default" w:ascii="宋体" w:hAnsi="宋体" w:eastAsia="宋体" w:cs="Times New Roman"/>
                <w:color w:val="auto"/>
                <w:kern w:val="0"/>
                <w:szCs w:val="21"/>
                <w:highlight w:val="none"/>
                <w:lang w:val="en-US" w:eastAsia="zh-CN"/>
              </w:rPr>
              <w:t>m</w:t>
            </w:r>
            <w:r>
              <w:rPr>
                <w:rFonts w:hint="eastAsia" w:ascii="宋体" w:hAnsi="宋体" w:cs="Times New Roman"/>
                <w:color w:val="auto"/>
                <w:kern w:val="0"/>
                <w:szCs w:val="21"/>
                <w:highlight w:val="none"/>
                <w:lang w:val="en-US" w:eastAsia="zh-CN"/>
              </w:rPr>
              <w:t>（</w:t>
            </w:r>
            <w:r>
              <w:rPr>
                <w:rFonts w:hint="default" w:ascii="宋体" w:hAnsi="宋体" w:eastAsia="宋体" w:cs="Times New Roman"/>
                <w:color w:val="auto"/>
                <w:kern w:val="0"/>
                <w:szCs w:val="21"/>
                <w:highlight w:val="none"/>
                <w:lang w:val="en-US" w:eastAsia="zh-CN"/>
              </w:rPr>
              <w:t>相对C相</w:t>
            </w:r>
            <w:r>
              <w:rPr>
                <w:rFonts w:hint="eastAsia" w:ascii="宋体" w:hAnsi="宋体" w:cs="Times New Roman"/>
                <w:color w:val="auto"/>
                <w:kern w:val="0"/>
                <w:szCs w:val="21"/>
                <w:highlight w:val="none"/>
                <w:lang w:val="en-US" w:eastAsia="zh-CN"/>
              </w:rPr>
              <w:t>）</w:t>
            </w:r>
            <w:r>
              <w:rPr>
                <w:rFonts w:hint="default" w:ascii="宋体" w:hAnsi="宋体" w:eastAsia="宋体" w:cs="Times New Roman"/>
                <w:color w:val="auto"/>
                <w:kern w:val="0"/>
                <w:szCs w:val="21"/>
                <w:highlight w:val="none"/>
                <w:lang w:val="en-US" w:eastAsia="zh-CN"/>
              </w:rPr>
              <w:t>，相对最近导线，</w:t>
            </w:r>
            <w:r>
              <w:rPr>
                <w:rFonts w:hint="eastAsia" w:ascii="宋体" w:hAnsi="宋体" w:cs="Times New Roman"/>
                <w:color w:val="auto"/>
                <w:kern w:val="0"/>
                <w:szCs w:val="21"/>
                <w:highlight w:val="none"/>
                <w:lang w:val="en-US" w:eastAsia="zh-CN"/>
              </w:rPr>
              <w:t>不</w:t>
            </w:r>
            <w:r>
              <w:rPr>
                <w:rFonts w:hint="default" w:ascii="宋体" w:hAnsi="宋体" w:eastAsia="宋体" w:cs="Times New Roman"/>
                <w:color w:val="auto"/>
                <w:kern w:val="0"/>
                <w:szCs w:val="21"/>
                <w:highlight w:val="none"/>
                <w:lang w:val="en-US" w:eastAsia="zh-CN"/>
              </w:rPr>
              <w:t>考虑绝缘子串高度。</w:t>
            </w:r>
          </w:p>
        </w:tc>
      </w:tr>
      <w:tr w14:paraId="1F6B44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5" w:type="pct"/>
            <w:tcBorders>
              <w:tl2br w:val="nil"/>
              <w:tr2bl w:val="nil"/>
            </w:tcBorders>
            <w:noWrap w:val="0"/>
            <w:vAlign w:val="center"/>
          </w:tcPr>
          <w:p w14:paraId="49509FA4">
            <w:pPr>
              <w:keepNext w:val="0"/>
              <w:keepLines w:val="0"/>
              <w:widowControl/>
              <w:suppressLineNumbers w:val="0"/>
              <w:spacing w:before="0" w:beforeAutospacing="0" w:after="0" w:afterAutospacing="0" w:line="0" w:lineRule="atLeast"/>
              <w:ind w:left="0" w:right="0"/>
              <w:jc w:val="center"/>
              <w:rPr>
                <w:rFonts w:hint="default" w:ascii="宋体" w:hAnsi="宋体" w:eastAsia="宋体" w:cs="Times New Roman"/>
                <w:color w:val="auto"/>
                <w:kern w:val="0"/>
                <w:szCs w:val="24"/>
                <w:highlight w:val="none"/>
              </w:rPr>
            </w:pPr>
            <w:r>
              <w:rPr>
                <w:rFonts w:hint="eastAsia" w:ascii="宋体" w:hAnsi="宋体" w:eastAsia="宋体" w:cs="Times New Roman"/>
                <w:color w:val="auto"/>
                <w:kern w:val="0"/>
                <w:szCs w:val="24"/>
                <w:highlight w:val="none"/>
              </w:rPr>
              <w:t>绝缘子串长度</w:t>
            </w:r>
          </w:p>
        </w:tc>
        <w:tc>
          <w:tcPr>
            <w:tcW w:w="1853" w:type="pct"/>
            <w:tcBorders>
              <w:tl2br w:val="nil"/>
              <w:tr2bl w:val="nil"/>
            </w:tcBorders>
            <w:noWrap w:val="0"/>
            <w:vAlign w:val="center"/>
          </w:tcPr>
          <w:p w14:paraId="723A3FD0">
            <w:pPr>
              <w:keepNext w:val="0"/>
              <w:keepLines w:val="0"/>
              <w:suppressLineNumbers w:val="0"/>
              <w:spacing w:before="0" w:beforeAutospacing="0" w:after="0" w:afterAutospacing="0" w:line="0" w:lineRule="atLeast"/>
              <w:ind w:left="0" w:right="0"/>
              <w:jc w:val="center"/>
              <w:rPr>
                <w:rFonts w:hint="default" w:ascii="宋体" w:hAnsi="宋体" w:eastAsia="宋体" w:cs="Times New Roman"/>
                <w:color w:val="auto"/>
                <w:kern w:val="0"/>
                <w:szCs w:val="24"/>
                <w:highlight w:val="none"/>
                <w:lang w:val="en-US"/>
              </w:rPr>
            </w:pPr>
            <w:r>
              <w:rPr>
                <w:rFonts w:hint="eastAsia" w:ascii="宋体" w:hAnsi="宋体" w:cs="Times New Roman"/>
                <w:color w:val="auto"/>
                <w:kern w:val="0"/>
                <w:szCs w:val="24"/>
                <w:highlight w:val="none"/>
                <w:lang w:val="en-US" w:eastAsia="zh-CN"/>
              </w:rPr>
              <w:t>耐张塔不考虑绝缘子串高度</w:t>
            </w:r>
          </w:p>
        </w:tc>
        <w:tc>
          <w:tcPr>
            <w:tcW w:w="2191" w:type="pct"/>
            <w:tcBorders>
              <w:tl2br w:val="nil"/>
              <w:tr2bl w:val="nil"/>
            </w:tcBorders>
            <w:noWrap w:val="0"/>
            <w:vAlign w:val="center"/>
          </w:tcPr>
          <w:p w14:paraId="04499D81">
            <w:pPr>
              <w:keepNext w:val="0"/>
              <w:keepLines w:val="0"/>
              <w:suppressLineNumbers w:val="0"/>
              <w:spacing w:before="0" w:beforeAutospacing="0" w:after="0" w:afterAutospacing="0" w:line="0" w:lineRule="atLeast"/>
              <w:ind w:left="0" w:right="0"/>
              <w:jc w:val="center"/>
              <w:rPr>
                <w:rFonts w:hint="default" w:ascii="宋体" w:hAnsi="宋体" w:eastAsia="宋体" w:cs="Times New Roman"/>
                <w:color w:val="auto"/>
                <w:kern w:val="0"/>
                <w:szCs w:val="24"/>
                <w:highlight w:val="none"/>
                <w:lang w:val="en-US"/>
              </w:rPr>
            </w:pPr>
            <w:r>
              <w:rPr>
                <w:rFonts w:hint="eastAsia" w:ascii="宋体" w:hAnsi="宋体" w:cs="Times New Roman"/>
                <w:color w:val="auto"/>
                <w:kern w:val="0"/>
                <w:szCs w:val="24"/>
                <w:highlight w:val="none"/>
                <w:lang w:val="en-US" w:eastAsia="zh-CN"/>
              </w:rPr>
              <w:t>耐张塔不考虑绝缘子串高度</w:t>
            </w:r>
          </w:p>
        </w:tc>
      </w:tr>
      <w:tr w14:paraId="005EEA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5" w:type="pct"/>
            <w:tcBorders>
              <w:tl2br w:val="nil"/>
              <w:tr2bl w:val="nil"/>
            </w:tcBorders>
            <w:noWrap w:val="0"/>
            <w:vAlign w:val="center"/>
          </w:tcPr>
          <w:p w14:paraId="11EA444A">
            <w:pPr>
              <w:keepNext w:val="0"/>
              <w:keepLines w:val="0"/>
              <w:widowControl/>
              <w:suppressLineNumbers w:val="0"/>
              <w:spacing w:before="0" w:beforeAutospacing="0" w:after="0" w:afterAutospacing="0" w:line="0" w:lineRule="atLeast"/>
              <w:ind w:left="0" w:right="0"/>
              <w:jc w:val="center"/>
              <w:rPr>
                <w:rFonts w:hint="eastAsia" w:ascii="宋体" w:hAnsi="宋体" w:eastAsia="宋体" w:cs="Times New Roman"/>
                <w:color w:val="auto"/>
                <w:kern w:val="0"/>
                <w:szCs w:val="24"/>
                <w:highlight w:val="none"/>
              </w:rPr>
            </w:pPr>
            <w:r>
              <w:rPr>
                <w:rFonts w:hint="eastAsia" w:ascii="宋体" w:hAnsi="宋体" w:eastAsia="宋体" w:cs="Times New Roman"/>
                <w:color w:val="auto"/>
                <w:kern w:val="0"/>
                <w:szCs w:val="21"/>
                <w:highlight w:val="none"/>
              </w:rPr>
              <w:t>计算原点</w:t>
            </w:r>
          </w:p>
        </w:tc>
        <w:tc>
          <w:tcPr>
            <w:tcW w:w="4044" w:type="pct"/>
            <w:gridSpan w:val="2"/>
            <w:tcBorders>
              <w:tl2br w:val="nil"/>
              <w:tr2bl w:val="nil"/>
            </w:tcBorders>
            <w:noWrap w:val="0"/>
            <w:vAlign w:val="center"/>
          </w:tcPr>
          <w:p w14:paraId="20529671">
            <w:pPr>
              <w:keepNext w:val="0"/>
              <w:keepLines w:val="0"/>
              <w:suppressLineNumbers w:val="0"/>
              <w:spacing w:before="0" w:beforeAutospacing="0" w:after="0" w:afterAutospacing="0" w:line="0" w:lineRule="atLeast"/>
              <w:ind w:left="0" w:right="0"/>
              <w:jc w:val="center"/>
              <w:rPr>
                <w:rFonts w:hint="eastAsia" w:ascii="宋体" w:hAnsi="宋体" w:eastAsia="宋体" w:cs="Times New Roman"/>
                <w:color w:val="0000FF"/>
                <w:kern w:val="0"/>
                <w:szCs w:val="24"/>
                <w:highlight w:val="none"/>
              </w:rPr>
            </w:pPr>
            <w:r>
              <w:rPr>
                <w:rFonts w:hint="default"/>
                <w:color w:val="auto"/>
                <w:sz w:val="21"/>
              </w:rPr>
              <mc:AlternateContent>
                <mc:Choice Requires="wps">
                  <w:drawing>
                    <wp:anchor distT="0" distB="0" distL="114300" distR="114300" simplePos="0" relativeHeight="251677696" behindDoc="0" locked="0" layoutInCell="1" allowOverlap="1">
                      <wp:simplePos x="0" y="0"/>
                      <wp:positionH relativeFrom="column">
                        <wp:posOffset>2833370</wp:posOffset>
                      </wp:positionH>
                      <wp:positionV relativeFrom="paragraph">
                        <wp:posOffset>172720</wp:posOffset>
                      </wp:positionV>
                      <wp:extent cx="483870" cy="186690"/>
                      <wp:effectExtent l="0" t="0" r="0" b="0"/>
                      <wp:wrapNone/>
                      <wp:docPr id="18" name="文本框 18"/>
                      <wp:cNvGraphicFramePr/>
                      <a:graphic xmlns:a="http://schemas.openxmlformats.org/drawingml/2006/main">
                        <a:graphicData uri="http://schemas.microsoft.com/office/word/2010/wordprocessingShape">
                          <wps:wsp>
                            <wps:cNvSpPr txBox="1"/>
                            <wps:spPr>
                              <a:xfrm>
                                <a:off x="4949190" y="6095365"/>
                                <a:ext cx="483870" cy="186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5FED9A">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eastAsia="宋体"/>
                                      <w:b/>
                                      <w:bCs/>
                                      <w:color w:val="0000FF"/>
                                      <w:sz w:val="18"/>
                                      <w:szCs w:val="18"/>
                                      <w:lang w:val="en-US" w:eastAsia="zh-CN"/>
                                    </w:rPr>
                                  </w:pPr>
                                  <w:r>
                                    <w:rPr>
                                      <w:rFonts w:hint="eastAsia"/>
                                      <w:b/>
                                      <w:bCs/>
                                      <w:color w:val="0000FF"/>
                                      <w:sz w:val="18"/>
                                      <w:szCs w:val="18"/>
                                      <w:lang w:val="en-US" w:eastAsia="zh-CN"/>
                                    </w:rPr>
                                    <w:t>8100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1pt;margin-top:13.6pt;height:14.7pt;width:38.1pt;z-index:251677696;mso-width-relative:page;mso-height-relative:page;" filled="f" stroked="f" coordsize="21600,21600" o:gfxdata="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R6rJx2gAAAAkBAAAPAAAAAAAAAAEA&#10;IAAAACIAAABkcnMvZG93bnJldi54bWxQSwECFAAUAAAACACHTuJAwq30TkYCAABzBAAADgAAAAAA&#10;AAABACAAAAApAQAAZHJzL2Uyb0RvYy54bWxQSwUGAAAAAAYABgBZAQAA4QUAAAAA&#10;">
                      <v:fill on="f" focussize="0,0"/>
                      <v:stroke on="f" weight="0.5pt"/>
                      <v:imagedata o:title=""/>
                      <o:lock v:ext="edit" aspectratio="f"/>
                      <v:textbox>
                        <w:txbxContent>
                          <w:p w14:paraId="285FED9A">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eastAsia="宋体"/>
                                <w:b/>
                                <w:bCs/>
                                <w:color w:val="0000FF"/>
                                <w:sz w:val="18"/>
                                <w:szCs w:val="18"/>
                                <w:lang w:val="en-US" w:eastAsia="zh-CN"/>
                              </w:rPr>
                            </w:pPr>
                            <w:r>
                              <w:rPr>
                                <w:rFonts w:hint="eastAsia"/>
                                <w:b/>
                                <w:bCs/>
                                <w:color w:val="0000FF"/>
                                <w:sz w:val="18"/>
                                <w:szCs w:val="18"/>
                                <w:lang w:val="en-US" w:eastAsia="zh-CN"/>
                              </w:rPr>
                              <w:t>8100</w:t>
                            </w:r>
                          </w:p>
                        </w:txbxContent>
                      </v:textbox>
                    </v:shape>
                  </w:pict>
                </mc:Fallback>
              </mc:AlternateContent>
            </w:r>
            <w:r>
              <w:rPr>
                <w:rFonts w:hint="eastAsia" w:ascii="宋体" w:hAnsi="宋体" w:eastAsia="宋体" w:cs="Times New Roman"/>
                <w:color w:val="auto"/>
                <w:szCs w:val="24"/>
                <w:highlight w:val="none"/>
              </w:rPr>
              <w:t>线路走廊截面与线路中心在地面投影的交点</w:t>
            </w:r>
          </w:p>
        </w:tc>
      </w:tr>
      <w:tr w14:paraId="52A56D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2" w:hRule="atLeast"/>
          <w:jc w:val="center"/>
        </w:trPr>
        <w:tc>
          <w:tcPr>
            <w:tcW w:w="955" w:type="pct"/>
            <w:tcBorders>
              <w:tl2br w:val="nil"/>
              <w:tr2bl w:val="nil"/>
            </w:tcBorders>
            <w:noWrap w:val="0"/>
            <w:vAlign w:val="center"/>
          </w:tcPr>
          <w:p w14:paraId="1473052F">
            <w:pPr>
              <w:keepNext w:val="0"/>
              <w:keepLines w:val="0"/>
              <w:widowControl/>
              <w:suppressLineNumbers w:val="0"/>
              <w:spacing w:before="0" w:beforeAutospacing="0" w:after="0" w:afterAutospacing="0" w:line="0" w:lineRule="atLeast"/>
              <w:ind w:left="0" w:right="0"/>
              <w:jc w:val="center"/>
              <w:rPr>
                <w:rFonts w:hint="eastAsia" w:ascii="宋体" w:hAnsi="宋体" w:eastAsia="宋体" w:cs="Times New Roman"/>
                <w:color w:val="0000FF"/>
                <w:kern w:val="0"/>
                <w:szCs w:val="21"/>
                <w:highlight w:val="yellow"/>
              </w:rPr>
            </w:pPr>
          </w:p>
        </w:tc>
        <w:tc>
          <w:tcPr>
            <w:tcW w:w="1853" w:type="pct"/>
            <w:tcBorders>
              <w:tl2br w:val="nil"/>
              <w:tr2bl w:val="nil"/>
            </w:tcBorders>
            <w:noWrap w:val="0"/>
            <w:vAlign w:val="center"/>
          </w:tcPr>
          <w:p w14:paraId="085188E2">
            <w:pPr>
              <w:keepNext w:val="0"/>
              <w:keepLines w:val="0"/>
              <w:suppressLineNumbers w:val="0"/>
              <w:spacing w:before="0" w:beforeAutospacing="0" w:after="0" w:afterAutospacing="0" w:line="0" w:lineRule="atLeast"/>
              <w:ind w:left="0" w:right="0"/>
              <w:jc w:val="both"/>
              <w:rPr>
                <w:rFonts w:hint="eastAsia" w:ascii="宋体" w:hAnsi="宋体" w:eastAsia="宋体" w:cs="Times New Roman"/>
                <w:color w:val="0000FF"/>
                <w:szCs w:val="24"/>
                <w:highlight w:val="yellow"/>
              </w:rPr>
            </w:pPr>
            <w:r>
              <w:rPr>
                <w:rFonts w:hint="default"/>
                <w:sz w:val="21"/>
              </w:rPr>
              <mc:AlternateContent>
                <mc:Choice Requires="wps">
                  <w:drawing>
                    <wp:anchor distT="0" distB="0" distL="114300" distR="114300" simplePos="0" relativeHeight="251685888" behindDoc="0" locked="0" layoutInCell="1" allowOverlap="1">
                      <wp:simplePos x="0" y="0"/>
                      <wp:positionH relativeFrom="column">
                        <wp:posOffset>-69850</wp:posOffset>
                      </wp:positionH>
                      <wp:positionV relativeFrom="paragraph">
                        <wp:posOffset>1000125</wp:posOffset>
                      </wp:positionV>
                      <wp:extent cx="483870" cy="186690"/>
                      <wp:effectExtent l="148590" t="0" r="0" b="0"/>
                      <wp:wrapNone/>
                      <wp:docPr id="43" name="文本框 43"/>
                      <wp:cNvGraphicFramePr/>
                      <a:graphic xmlns:a="http://schemas.openxmlformats.org/drawingml/2006/main">
                        <a:graphicData uri="http://schemas.microsoft.com/office/word/2010/wordprocessingShape">
                          <wps:wsp>
                            <wps:cNvSpPr txBox="1"/>
                            <wps:spPr>
                              <a:xfrm rot="16200000">
                                <a:off x="0" y="0"/>
                                <a:ext cx="483870" cy="186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6771B0">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eastAsia="宋体"/>
                                      <w:b/>
                                      <w:bCs/>
                                      <w:color w:val="0000FF"/>
                                      <w:sz w:val="18"/>
                                      <w:szCs w:val="18"/>
                                      <w:lang w:val="en-US" w:eastAsia="zh-CN"/>
                                    </w:rPr>
                                  </w:pPr>
                                  <w:r>
                                    <w:rPr>
                                      <w:rFonts w:hint="eastAsia"/>
                                      <w:b/>
                                      <w:bCs/>
                                      <w:color w:val="0000FF"/>
                                      <w:sz w:val="18"/>
                                      <w:szCs w:val="18"/>
                                      <w:lang w:val="en-US" w:eastAsia="zh-CN"/>
                                    </w:rPr>
                                    <w:t>5500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pt;margin-top:78.75pt;height:14.7pt;width:38.1pt;rotation:-5898240f;z-index:251685888;mso-width-relative:page;mso-height-relative:page;" filled="f" stroked="f" coordsize="21600,21600" o:gfxdata="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oF3BtkAAAAKAQAADwAAAAAAAAABACAA&#10;AAAiAAAAZHJzL2Rvd25yZXYueG1sUEsBAhQAFAAAAAgAh07iQE0ZOxJFAgAAdgQAAA4AAAAAAAAA&#10;AQAgAAAAKAEAAGRycy9lMm9Eb2MueG1sUEsFBgAAAAAGAAYAWQEAAN8FAAAAAA==&#10;">
                      <v:fill on="f" focussize="0,0"/>
                      <v:stroke on="f" weight="0.5pt"/>
                      <v:imagedata o:title=""/>
                      <o:lock v:ext="edit" aspectratio="f"/>
                      <v:textbox>
                        <w:txbxContent>
                          <w:p w14:paraId="796771B0">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eastAsia="宋体"/>
                                <w:b/>
                                <w:bCs/>
                                <w:color w:val="0000FF"/>
                                <w:sz w:val="18"/>
                                <w:szCs w:val="18"/>
                                <w:lang w:val="en-US" w:eastAsia="zh-CN"/>
                              </w:rPr>
                            </w:pPr>
                            <w:r>
                              <w:rPr>
                                <w:rFonts w:hint="eastAsia"/>
                                <w:b/>
                                <w:bCs/>
                                <w:color w:val="0000FF"/>
                                <w:sz w:val="18"/>
                                <w:szCs w:val="18"/>
                                <w:lang w:val="en-US" w:eastAsia="zh-CN"/>
                              </w:rPr>
                              <w:t>5500</w:t>
                            </w:r>
                          </w:p>
                        </w:txbxContent>
                      </v:textbox>
                    </v:shape>
                  </w:pict>
                </mc:Fallback>
              </mc:AlternateContent>
            </w:r>
            <w:r>
              <w:rPr>
                <w:rFonts w:hint="default"/>
                <w:sz w:val="21"/>
              </w:rPr>
              <mc:AlternateContent>
                <mc:Choice Requires="wps">
                  <w:drawing>
                    <wp:anchor distT="0" distB="0" distL="114300" distR="114300" simplePos="0" relativeHeight="251686912" behindDoc="0" locked="0" layoutInCell="1" allowOverlap="1">
                      <wp:simplePos x="0" y="0"/>
                      <wp:positionH relativeFrom="column">
                        <wp:posOffset>-64135</wp:posOffset>
                      </wp:positionH>
                      <wp:positionV relativeFrom="paragraph">
                        <wp:posOffset>492760</wp:posOffset>
                      </wp:positionV>
                      <wp:extent cx="483870" cy="186690"/>
                      <wp:effectExtent l="148590" t="0" r="0" b="0"/>
                      <wp:wrapNone/>
                      <wp:docPr id="44" name="文本框 44"/>
                      <wp:cNvGraphicFramePr/>
                      <a:graphic xmlns:a="http://schemas.openxmlformats.org/drawingml/2006/main">
                        <a:graphicData uri="http://schemas.microsoft.com/office/word/2010/wordprocessingShape">
                          <wps:wsp>
                            <wps:cNvSpPr txBox="1"/>
                            <wps:spPr>
                              <a:xfrm rot="16200000">
                                <a:off x="0" y="0"/>
                                <a:ext cx="483870" cy="186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A9D299">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eastAsia="宋体"/>
                                      <w:b/>
                                      <w:bCs/>
                                      <w:color w:val="0000FF"/>
                                      <w:sz w:val="18"/>
                                      <w:szCs w:val="18"/>
                                      <w:lang w:val="en-US" w:eastAsia="zh-CN"/>
                                    </w:rPr>
                                  </w:pPr>
                                  <w:r>
                                    <w:rPr>
                                      <w:rFonts w:hint="eastAsia"/>
                                      <w:b/>
                                      <w:bCs/>
                                      <w:color w:val="0000FF"/>
                                      <w:sz w:val="18"/>
                                      <w:szCs w:val="18"/>
                                      <w:lang w:val="en-US" w:eastAsia="zh-CN"/>
                                    </w:rPr>
                                    <w:t>4500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5pt;margin-top:38.8pt;height:14.7pt;width:38.1pt;rotation:-5898240f;z-index:251686912;mso-width-relative:page;mso-height-relative:page;" filled="f" stroked="f" coordsize="21600,21600" o:gfxdata="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2mQ7fXAAAACQEAAA8AAAAAAAAAAQAgAAAA&#10;IgAAAGRycy9kb3ducmV2LnhtbFBLAQIUABQAAAAIAIdO4kAWjtaHRQIAAHYEAAAOAAAAAAAAAAEA&#10;IAAAACYBAABkcnMvZTJvRG9jLnhtbFBLBQYAAAAABgAGAFkBAADdBQAAAAA=&#10;">
                      <v:fill on="f" focussize="0,0"/>
                      <v:stroke on="f" weight="0.5pt"/>
                      <v:imagedata o:title=""/>
                      <o:lock v:ext="edit" aspectratio="f"/>
                      <v:textbox>
                        <w:txbxContent>
                          <w:p w14:paraId="4BA9D299">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eastAsia="宋体"/>
                                <w:b/>
                                <w:bCs/>
                                <w:color w:val="0000FF"/>
                                <w:sz w:val="18"/>
                                <w:szCs w:val="18"/>
                                <w:lang w:val="en-US" w:eastAsia="zh-CN"/>
                              </w:rPr>
                            </w:pPr>
                            <w:r>
                              <w:rPr>
                                <w:rFonts w:hint="eastAsia"/>
                                <w:b/>
                                <w:bCs/>
                                <w:color w:val="0000FF"/>
                                <w:sz w:val="18"/>
                                <w:szCs w:val="18"/>
                                <w:lang w:val="en-US" w:eastAsia="zh-CN"/>
                              </w:rPr>
                              <w:t>4500</w:t>
                            </w:r>
                          </w:p>
                        </w:txbxContent>
                      </v:textbox>
                    </v:shape>
                  </w:pict>
                </mc:Fallback>
              </mc:AlternateContent>
            </w:r>
            <w:r>
              <w:rPr>
                <w:rFonts w:hint="default"/>
                <w:sz w:val="21"/>
              </w:rPr>
              <mc:AlternateContent>
                <mc:Choice Requires="wpg">
                  <w:drawing>
                    <wp:anchor distT="0" distB="0" distL="114300" distR="114300" simplePos="0" relativeHeight="251673600" behindDoc="0" locked="0" layoutInCell="1" allowOverlap="1">
                      <wp:simplePos x="0" y="0"/>
                      <wp:positionH relativeFrom="column">
                        <wp:posOffset>266065</wp:posOffset>
                      </wp:positionH>
                      <wp:positionV relativeFrom="paragraph">
                        <wp:posOffset>334010</wp:posOffset>
                      </wp:positionV>
                      <wp:extent cx="485140" cy="358775"/>
                      <wp:effectExtent l="0" t="0" r="0" b="0"/>
                      <wp:wrapNone/>
                      <wp:docPr id="42" name="组合 42"/>
                      <wp:cNvGraphicFramePr/>
                      <a:graphic xmlns:a="http://schemas.openxmlformats.org/drawingml/2006/main">
                        <a:graphicData uri="http://schemas.microsoft.com/office/word/2010/wordprocessingGroup">
                          <wpg:wgp>
                            <wpg:cNvGrpSpPr/>
                            <wpg:grpSpPr>
                              <a:xfrm>
                                <a:off x="0" y="0"/>
                                <a:ext cx="485140" cy="358775"/>
                                <a:chOff x="3984" y="1294369"/>
                                <a:chExt cx="764" cy="565"/>
                              </a:xfrm>
                            </wpg:grpSpPr>
                            <wps:wsp>
                              <wps:cNvPr id="248" name="文本框 248"/>
                              <wps:cNvSpPr txBox="1"/>
                              <wps:spPr>
                                <a:xfrm>
                                  <a:off x="3984" y="1294514"/>
                                  <a:ext cx="764" cy="421"/>
                                </a:xfrm>
                                <a:prstGeom prst="rect">
                                  <a:avLst/>
                                </a:prstGeom>
                                <a:noFill/>
                                <a:ln>
                                  <a:noFill/>
                                </a:ln>
                                <a:effectLst/>
                              </wps:spPr>
                              <wps:txbx>
                                <w:txbxContent>
                                  <w:p w14:paraId="309C9B75">
                                    <w:pPr>
                                      <w:spacing w:line="240" w:lineRule="exact"/>
                                      <w:rPr>
                                        <w:rFonts w:hint="eastAsia" w:ascii="宋体" w:hAnsi="宋体" w:eastAsia="宋体" w:cs="Calibri"/>
                                        <w:b/>
                                        <w:color w:val="FF0000"/>
                                        <w:szCs w:val="21"/>
                                        <w:lang w:val="en-US" w:eastAsia="zh-CN"/>
                                      </w:rPr>
                                    </w:pPr>
                                    <w:r>
                                      <w:rPr>
                                        <w:rFonts w:hint="eastAsia" w:ascii="宋体" w:hAnsi="宋体" w:eastAsia="宋体" w:cs="Calibri"/>
                                        <w:b/>
                                        <w:color w:val="FF0000"/>
                                        <w:szCs w:val="21"/>
                                        <w:lang w:val="en-US" w:eastAsia="zh-CN"/>
                                      </w:rPr>
                                      <w:t>地线</w:t>
                                    </w:r>
                                  </w:p>
                                </w:txbxContent>
                              </wps:txbx>
                              <wps:bodyPr upright="1"/>
                            </wps:wsp>
                            <wps:wsp>
                              <wps:cNvPr id="223" name="直接连接符 223"/>
                              <wps:cNvCnPr/>
                              <wps:spPr>
                                <a:xfrm>
                                  <a:off x="4349" y="1294369"/>
                                  <a:ext cx="1" cy="159"/>
                                </a:xfrm>
                                <a:prstGeom prst="line">
                                  <a:avLst/>
                                </a:prstGeom>
                                <a:ln w="9525" cap="flat" cmpd="sng">
                                  <a:solidFill>
                                    <a:srgbClr val="FF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20.95pt;margin-top:26.3pt;height:28.25pt;width:38.2pt;z-index:251673600;mso-width-relative:page;mso-height-relative:page;" coordorigin="3984,1294369" coordsize="764,565" o:gfxdata="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8RpdMdkAAAAJAQAADwAAAAAAAAABACAAAAAiAAAAZHJzL2Rvd25yZXYueG1sUEsBAhQAFAAA&#10;AAgAh07iQCJ9PxbSAgAAsQYAAA4AAAAAAAAAAQAgAAAAKAEAAGRycy9lMm9Eb2MueG1sUEsFBgAA&#10;AAAGAAYAWQEAAGwGAAAAAA==&#10;">
                      <o:lock v:ext="edit" aspectratio="f"/>
                      <v:shape id="_x0000_s1026" o:spid="_x0000_s1026" o:spt="202" type="#_x0000_t202" style="position:absolute;left:3984;top:1294514;height:421;width:764;" filled="f" stroked="f" coordsize="21600,21600" o:gfxdata="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k3zNe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309C9B75">
                              <w:pPr>
                                <w:spacing w:line="240" w:lineRule="exact"/>
                                <w:rPr>
                                  <w:rFonts w:hint="eastAsia" w:ascii="宋体" w:hAnsi="宋体" w:eastAsia="宋体" w:cs="Calibri"/>
                                  <w:b/>
                                  <w:color w:val="FF0000"/>
                                  <w:szCs w:val="21"/>
                                  <w:lang w:val="en-US" w:eastAsia="zh-CN"/>
                                </w:rPr>
                              </w:pPr>
                              <w:r>
                                <w:rPr>
                                  <w:rFonts w:hint="eastAsia" w:ascii="宋体" w:hAnsi="宋体" w:eastAsia="宋体" w:cs="Calibri"/>
                                  <w:b/>
                                  <w:color w:val="FF0000"/>
                                  <w:szCs w:val="21"/>
                                  <w:lang w:val="en-US" w:eastAsia="zh-CN"/>
                                </w:rPr>
                                <w:t>地线</w:t>
                              </w:r>
                            </w:p>
                          </w:txbxContent>
                        </v:textbox>
                      </v:shape>
                      <v:line id="_x0000_s1026" o:spid="_x0000_s1026" o:spt="20" style="position:absolute;left:4349;top:1294369;height:159;width:1;" filled="f" stroked="t" coordsize="21600,21600" o:gfxdata="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Ckbr4A&#10;AADcAAAADwAAAAAAAAABACAAAAAiAAAAZHJzL2Rvd25yZXYueG1sUEsBAhQAFAAAAAgAh07iQDMv&#10;BZ47AAAAOQAAABAAAAAAAAAAAQAgAAAADQEAAGRycy9zaGFwZXhtbC54bWxQSwUGAAAAAAYABgBb&#10;AQAAtwMAAAAA&#10;">
                        <v:fill on="f" focussize="0,0"/>
                        <v:stroke color="#FF0000" joinstyle="round"/>
                        <v:imagedata o:title=""/>
                        <o:lock v:ext="edit" aspectratio="f"/>
                      </v:line>
                    </v:group>
                  </w:pict>
                </mc:Fallback>
              </mc:AlternateContent>
            </w:r>
            <w:r>
              <w:rPr>
                <w:rFonts w:hint="default"/>
                <w:sz w:val="21"/>
              </w:rPr>
              <mc:AlternateContent>
                <mc:Choice Requires="wpg">
                  <w:drawing>
                    <wp:anchor distT="0" distB="0" distL="114300" distR="114300" simplePos="0" relativeHeight="251672576" behindDoc="0" locked="0" layoutInCell="1" allowOverlap="1">
                      <wp:simplePos x="0" y="0"/>
                      <wp:positionH relativeFrom="column">
                        <wp:posOffset>1374140</wp:posOffset>
                      </wp:positionH>
                      <wp:positionV relativeFrom="paragraph">
                        <wp:posOffset>392430</wp:posOffset>
                      </wp:positionV>
                      <wp:extent cx="485140" cy="372110"/>
                      <wp:effectExtent l="0" t="0" r="0" b="0"/>
                      <wp:wrapNone/>
                      <wp:docPr id="36" name="组合 36"/>
                      <wp:cNvGraphicFramePr/>
                      <a:graphic xmlns:a="http://schemas.openxmlformats.org/drawingml/2006/main">
                        <a:graphicData uri="http://schemas.microsoft.com/office/word/2010/wordprocessingGroup">
                          <wpg:wgp>
                            <wpg:cNvGrpSpPr/>
                            <wpg:grpSpPr>
                              <a:xfrm>
                                <a:off x="0" y="0"/>
                                <a:ext cx="485140" cy="372110"/>
                                <a:chOff x="5699" y="1294359"/>
                                <a:chExt cx="764" cy="586"/>
                              </a:xfrm>
                            </wpg:grpSpPr>
                            <wps:wsp>
                              <wps:cNvPr id="178" name="文本框 178"/>
                              <wps:cNvSpPr txBox="1"/>
                              <wps:spPr>
                                <a:xfrm>
                                  <a:off x="5699" y="1294459"/>
                                  <a:ext cx="764" cy="486"/>
                                </a:xfrm>
                                <a:prstGeom prst="rect">
                                  <a:avLst/>
                                </a:prstGeom>
                                <a:noFill/>
                                <a:ln>
                                  <a:noFill/>
                                </a:ln>
                                <a:effectLst/>
                              </wps:spPr>
                              <wps:txbx>
                                <w:txbxContent>
                                  <w:p w14:paraId="4E2453DE">
                                    <w:pPr>
                                      <w:spacing w:line="240" w:lineRule="exact"/>
                                      <w:rPr>
                                        <w:rFonts w:hint="eastAsia" w:ascii="宋体" w:hAnsi="宋体" w:eastAsia="宋体" w:cs="Calibri"/>
                                        <w:b/>
                                        <w:color w:val="FF0000"/>
                                        <w:szCs w:val="21"/>
                                        <w:lang w:val="en-US" w:eastAsia="zh-CN"/>
                                      </w:rPr>
                                    </w:pPr>
                                    <w:r>
                                      <w:rPr>
                                        <w:rFonts w:hint="eastAsia" w:ascii="宋体" w:hAnsi="宋体" w:eastAsia="宋体" w:cs="Calibri"/>
                                        <w:b/>
                                        <w:color w:val="FF0000"/>
                                        <w:szCs w:val="21"/>
                                        <w:lang w:val="en-US" w:eastAsia="zh-CN"/>
                                      </w:rPr>
                                      <w:t>地线</w:t>
                                    </w:r>
                                  </w:p>
                                </w:txbxContent>
                              </wps:txbx>
                              <wps:bodyPr upright="1"/>
                            </wps:wsp>
                            <wps:wsp>
                              <wps:cNvPr id="220" name="直接连接符 220"/>
                              <wps:cNvCnPr/>
                              <wps:spPr>
                                <a:xfrm>
                                  <a:off x="6054" y="1294359"/>
                                  <a:ext cx="1" cy="159"/>
                                </a:xfrm>
                                <a:prstGeom prst="line">
                                  <a:avLst/>
                                </a:prstGeom>
                                <a:ln w="9525" cap="flat" cmpd="sng">
                                  <a:solidFill>
                                    <a:srgbClr val="FF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108.2pt;margin-top:30.9pt;height:29.3pt;width:38.2pt;z-index:251672576;mso-width-relative:page;mso-height-relative:page;" coordorigin="5699,1294359" coordsize="764,586" o:gfxdata="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D1K8uHZAAAACgEAAA8AAAAAAAAAAQAgAAAAIgAAAGRycy9kb3ducmV2LnhtbFBLAQIU&#10;ABQAAAAIAIdO4kByZjOP1gIAALEGAAAOAAAAAAAAAAEAIAAAACgBAABkcnMvZTJvRG9jLnhtbFBL&#10;BQYAAAAABgAGAFkBAABwBgAAAAA=&#10;">
                      <o:lock v:ext="edit" aspectratio="f"/>
                      <v:shape id="_x0000_s1026" o:spid="_x0000_s1026" o:spt="202" type="#_x0000_t202" style="position:absolute;left:5699;top:1294459;height:486;width:764;" filled="f" stroked="f" coordsize="21600,21600" o:gfxdata="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5nF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E2453DE">
                              <w:pPr>
                                <w:spacing w:line="240" w:lineRule="exact"/>
                                <w:rPr>
                                  <w:rFonts w:hint="eastAsia" w:ascii="宋体" w:hAnsi="宋体" w:eastAsia="宋体" w:cs="Calibri"/>
                                  <w:b/>
                                  <w:color w:val="FF0000"/>
                                  <w:szCs w:val="21"/>
                                  <w:lang w:val="en-US" w:eastAsia="zh-CN"/>
                                </w:rPr>
                              </w:pPr>
                              <w:r>
                                <w:rPr>
                                  <w:rFonts w:hint="eastAsia" w:ascii="宋体" w:hAnsi="宋体" w:eastAsia="宋体" w:cs="Calibri"/>
                                  <w:b/>
                                  <w:color w:val="FF0000"/>
                                  <w:szCs w:val="21"/>
                                  <w:lang w:val="en-US" w:eastAsia="zh-CN"/>
                                </w:rPr>
                                <w:t>地线</w:t>
                              </w:r>
                            </w:p>
                          </w:txbxContent>
                        </v:textbox>
                      </v:shape>
                      <v:line id="_x0000_s1026" o:spid="_x0000_s1026" o:spt="20" style="position:absolute;left:6054;top:1294359;height:159;width:1;" filled="f" stroked="t" coordsize="21600,21600" o:gfxdata="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nI6GbsAAADc&#10;AAAADwAAAAAAAAABACAAAAAiAAAAZHJzL2Rvd25yZXYueG1sUEsBAhQAFAAAAAgAh07iQDMvBZ47&#10;AAAAOQAAABAAAAAAAAAAAQAgAAAACgEAAGRycy9zaGFwZXhtbC54bWxQSwUGAAAAAAYABgBbAQAA&#10;tAMAAAAA&#10;">
                        <v:fill on="f" focussize="0,0"/>
                        <v:stroke color="#FF0000" joinstyle="round"/>
                        <v:imagedata o:title=""/>
                        <o:lock v:ext="edit" aspectratio="f"/>
                      </v:line>
                    </v:group>
                  </w:pict>
                </mc:Fallback>
              </mc:AlternateContent>
            </w:r>
            <w:r>
              <w:rPr>
                <w:rFonts w:hint="default"/>
                <w:sz w:val="21"/>
              </w:rPr>
              <mc:AlternateContent>
                <mc:Choice Requires="wpg">
                  <w:drawing>
                    <wp:anchor distT="0" distB="0" distL="114300" distR="114300" simplePos="0" relativeHeight="251671552" behindDoc="0" locked="0" layoutInCell="1" allowOverlap="1">
                      <wp:simplePos x="0" y="0"/>
                      <wp:positionH relativeFrom="column">
                        <wp:posOffset>887095</wp:posOffset>
                      </wp:positionH>
                      <wp:positionV relativeFrom="paragraph">
                        <wp:posOffset>842010</wp:posOffset>
                      </wp:positionV>
                      <wp:extent cx="410210" cy="344170"/>
                      <wp:effectExtent l="0" t="0" r="0" b="0"/>
                      <wp:wrapNone/>
                      <wp:docPr id="35" name="组合 35"/>
                      <wp:cNvGraphicFramePr/>
                      <a:graphic xmlns:a="http://schemas.openxmlformats.org/drawingml/2006/main">
                        <a:graphicData uri="http://schemas.microsoft.com/office/word/2010/wordprocessingGroup">
                          <wpg:wgp>
                            <wpg:cNvGrpSpPr/>
                            <wpg:grpSpPr>
                              <a:xfrm>
                                <a:off x="0" y="0"/>
                                <a:ext cx="410210" cy="344170"/>
                                <a:chOff x="5058" y="1295067"/>
                                <a:chExt cx="646" cy="542"/>
                              </a:xfrm>
                            </wpg:grpSpPr>
                            <wps:wsp>
                              <wps:cNvPr id="177" name="直接连接符 177"/>
                              <wps:cNvCnPr/>
                              <wps:spPr>
                                <a:xfrm flipH="1">
                                  <a:off x="5270" y="1295067"/>
                                  <a:ext cx="5" cy="183"/>
                                </a:xfrm>
                                <a:prstGeom prst="line">
                                  <a:avLst/>
                                </a:prstGeom>
                                <a:ln w="9525" cap="flat" cmpd="sng">
                                  <a:solidFill>
                                    <a:srgbClr val="FF0000"/>
                                  </a:solidFill>
                                  <a:prstDash val="solid"/>
                                  <a:round/>
                                  <a:headEnd type="none" w="med" len="med"/>
                                  <a:tailEnd type="none" w="med" len="med"/>
                                </a:ln>
                              </wps:spPr>
                              <wps:bodyPr upright="1"/>
                            </wps:wsp>
                            <wps:wsp>
                              <wps:cNvPr id="175" name="文本框 175"/>
                              <wps:cNvSpPr txBox="1"/>
                              <wps:spPr>
                                <a:xfrm>
                                  <a:off x="5058" y="1295175"/>
                                  <a:ext cx="647" cy="434"/>
                                </a:xfrm>
                                <a:prstGeom prst="rect">
                                  <a:avLst/>
                                </a:prstGeom>
                                <a:noFill/>
                                <a:ln>
                                  <a:noFill/>
                                </a:ln>
                                <a:effectLst/>
                              </wps:spPr>
                              <wps:txbx>
                                <w:txbxContent>
                                  <w:p w14:paraId="7558E08E">
                                    <w:pPr>
                                      <w:spacing w:line="240" w:lineRule="exact"/>
                                      <w:rPr>
                                        <w:rFonts w:hint="default" w:ascii="宋体" w:hAnsi="宋体" w:eastAsia="宋体" w:cs="Times New Roman"/>
                                        <w:b/>
                                        <w:color w:val="FF0000"/>
                                        <w:sz w:val="28"/>
                                        <w:szCs w:val="28"/>
                                        <w:lang w:val="en-US" w:eastAsia="zh-CN"/>
                                      </w:rPr>
                                    </w:pPr>
                                    <w:r>
                                      <w:rPr>
                                        <w:rFonts w:hint="eastAsia" w:ascii="宋体" w:hAnsi="宋体" w:eastAsia="宋体" w:cs="Times New Roman"/>
                                        <w:b/>
                                        <w:color w:val="FF0000"/>
                                        <w:sz w:val="28"/>
                                        <w:szCs w:val="28"/>
                                        <w:lang w:val="en-US" w:eastAsia="zh-CN"/>
                                      </w:rPr>
                                      <w:t>B</w:t>
                                    </w:r>
                                  </w:p>
                                </w:txbxContent>
                              </wps:txbx>
                              <wps:bodyPr upright="1"/>
                            </wps:wsp>
                          </wpg:wgp>
                        </a:graphicData>
                      </a:graphic>
                    </wp:anchor>
                  </w:drawing>
                </mc:Choice>
                <mc:Fallback>
                  <w:pict>
                    <v:group id="_x0000_s1026" o:spid="_x0000_s1026" o:spt="203" style="position:absolute;left:0pt;margin-left:69.85pt;margin-top:66.3pt;height:27.1pt;width:32.3pt;z-index:251671552;mso-width-relative:page;mso-height-relative:page;" coordorigin="5058,1295067" coordsize="646,542" o:gfxdata="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">
                      <o:lock v:ext="edit" aspectratio="f"/>
                      <v:line id="_x0000_s1026" o:spid="_x0000_s1026" o:spt="20" style="position:absolute;left:5270;top:1295067;flip:x;height:183;width:5;" filled="f" stroked="t" coordsize="21600,21600" o:gfxdata="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hz8W8AAAA&#10;3AAAAA8AAAAAAAAAAQAgAAAAIgAAAGRycy9kb3ducmV2LnhtbFBLAQIUABQAAAAIAIdO4kAzLwWe&#10;OwAAADkAAAAQAAAAAAAAAAEAIAAAAAsBAABkcnMvc2hhcGV4bWwueG1sUEsFBgAAAAAGAAYAWwEA&#10;ALUDAAAAAA==&#10;">
                        <v:fill on="f" focussize="0,0"/>
                        <v:stroke color="#FF0000" joinstyle="round"/>
                        <v:imagedata o:title=""/>
                        <o:lock v:ext="edit" aspectratio="f"/>
                      </v:line>
                      <v:shape id="_x0000_s1026" o:spid="_x0000_s1026" o:spt="202" type="#_x0000_t202" style="position:absolute;left:5058;top:1295175;height:434;width:647;" filled="f" stroked="f" coordsize="21600,21600" o:gfxdata="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yIi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558E08E">
                              <w:pPr>
                                <w:spacing w:line="240" w:lineRule="exact"/>
                                <w:rPr>
                                  <w:rFonts w:hint="default" w:ascii="宋体" w:hAnsi="宋体" w:eastAsia="宋体" w:cs="Times New Roman"/>
                                  <w:b/>
                                  <w:color w:val="FF0000"/>
                                  <w:sz w:val="28"/>
                                  <w:szCs w:val="28"/>
                                  <w:lang w:val="en-US" w:eastAsia="zh-CN"/>
                                </w:rPr>
                              </w:pPr>
                              <w:r>
                                <w:rPr>
                                  <w:rFonts w:hint="eastAsia" w:ascii="宋体" w:hAnsi="宋体" w:eastAsia="宋体" w:cs="Times New Roman"/>
                                  <w:b/>
                                  <w:color w:val="FF0000"/>
                                  <w:sz w:val="28"/>
                                  <w:szCs w:val="28"/>
                                  <w:lang w:val="en-US" w:eastAsia="zh-CN"/>
                                </w:rPr>
                                <w:t>B</w:t>
                              </w:r>
                            </w:p>
                          </w:txbxContent>
                        </v:textbox>
                      </v:shape>
                    </v:group>
                  </w:pict>
                </mc:Fallback>
              </mc:AlternateContent>
            </w:r>
            <w:r>
              <w:rPr>
                <w:rFonts w:hint="default"/>
                <w:sz w:val="21"/>
              </w:rPr>
              <mc:AlternateContent>
                <mc:Choice Requires="wpg">
                  <w:drawing>
                    <wp:anchor distT="0" distB="0" distL="114300" distR="114300" simplePos="0" relativeHeight="251672576" behindDoc="0" locked="0" layoutInCell="1" allowOverlap="1">
                      <wp:simplePos x="0" y="0"/>
                      <wp:positionH relativeFrom="column">
                        <wp:posOffset>1574800</wp:posOffset>
                      </wp:positionH>
                      <wp:positionV relativeFrom="paragraph">
                        <wp:posOffset>1468120</wp:posOffset>
                      </wp:positionV>
                      <wp:extent cx="372110" cy="358140"/>
                      <wp:effectExtent l="0" t="0" r="0" b="0"/>
                      <wp:wrapNone/>
                      <wp:docPr id="32" name="组合 32"/>
                      <wp:cNvGraphicFramePr/>
                      <a:graphic xmlns:a="http://schemas.openxmlformats.org/drawingml/2006/main">
                        <a:graphicData uri="http://schemas.microsoft.com/office/word/2010/wordprocessingGroup">
                          <wpg:wgp>
                            <wpg:cNvGrpSpPr/>
                            <wpg:grpSpPr>
                              <a:xfrm>
                                <a:off x="0" y="0"/>
                                <a:ext cx="372110" cy="358140"/>
                                <a:chOff x="5883" y="1295831"/>
                                <a:chExt cx="586" cy="564"/>
                              </a:xfrm>
                            </wpg:grpSpPr>
                            <wps:wsp>
                              <wps:cNvPr id="172" name="直接连接符 172"/>
                              <wps:cNvCnPr/>
                              <wps:spPr>
                                <a:xfrm>
                                  <a:off x="6119" y="1295831"/>
                                  <a:ext cx="1" cy="159"/>
                                </a:xfrm>
                                <a:prstGeom prst="line">
                                  <a:avLst/>
                                </a:prstGeom>
                                <a:ln w="9525" cap="flat" cmpd="sng">
                                  <a:solidFill>
                                    <a:srgbClr val="FF0000"/>
                                  </a:solidFill>
                                  <a:prstDash val="solid"/>
                                  <a:headEnd type="none" w="med" len="med"/>
                                  <a:tailEnd type="none" w="med" len="med"/>
                                </a:ln>
                                <a:effectLst/>
                              </wps:spPr>
                              <wps:bodyPr upright="1"/>
                            </wps:wsp>
                            <wps:wsp>
                              <wps:cNvPr id="176" name="文本框 176"/>
                              <wps:cNvSpPr txBox="1"/>
                              <wps:spPr>
                                <a:xfrm>
                                  <a:off x="5883" y="1295961"/>
                                  <a:ext cx="587" cy="434"/>
                                </a:xfrm>
                                <a:prstGeom prst="rect">
                                  <a:avLst/>
                                </a:prstGeom>
                                <a:noFill/>
                                <a:ln>
                                  <a:noFill/>
                                </a:ln>
                                <a:effectLst/>
                              </wps:spPr>
                              <wps:txbx>
                                <w:txbxContent>
                                  <w:p w14:paraId="36A2E206">
                                    <w:pPr>
                                      <w:spacing w:line="240" w:lineRule="exact"/>
                                      <w:rPr>
                                        <w:rFonts w:hint="default" w:ascii="宋体" w:hAnsi="宋体" w:eastAsia="宋体" w:cs="Times New Roman"/>
                                        <w:b/>
                                        <w:color w:val="FF0000"/>
                                        <w:sz w:val="28"/>
                                        <w:szCs w:val="28"/>
                                        <w:lang w:val="en-US" w:eastAsia="zh-CN"/>
                                      </w:rPr>
                                    </w:pPr>
                                    <w:r>
                                      <w:rPr>
                                        <w:rFonts w:hint="eastAsia" w:ascii="宋体" w:hAnsi="宋体" w:eastAsia="宋体" w:cs="Times New Roman"/>
                                        <w:b/>
                                        <w:color w:val="FF0000"/>
                                        <w:sz w:val="28"/>
                                        <w:szCs w:val="28"/>
                                        <w:lang w:val="en-US" w:eastAsia="zh-CN"/>
                                      </w:rPr>
                                      <w:t>C</w:t>
                                    </w:r>
                                  </w:p>
                                </w:txbxContent>
                              </wps:txbx>
                              <wps:bodyPr upright="1"/>
                            </wps:wsp>
                          </wpg:wgp>
                        </a:graphicData>
                      </a:graphic>
                    </wp:anchor>
                  </w:drawing>
                </mc:Choice>
                <mc:Fallback>
                  <w:pict>
                    <v:group id="_x0000_s1026" o:spid="_x0000_s1026" o:spt="203" style="position:absolute;left:0pt;margin-left:124pt;margin-top:115.6pt;height:28.2pt;width:29.3pt;z-index:251672576;mso-width-relative:page;mso-height-relative:page;" coordorigin="5883,1295831" coordsize="586,564" o:gfxdata="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eKdeitsAAAALAQAADwAAAAAAAAABACAAAAAiAAAAZHJzL2Rvd25yZXYueG1sUEsB&#10;AhQAFAAAAAgAh07iQM1ursjWAgAAsQYAAA4AAAAAAAAAAQAgAAAAKgEAAGRycy9lMm9Eb2MueG1s&#10;UEsFBgAAAAAGAAYAWQEAAHIGAAAAAA==&#10;">
                      <o:lock v:ext="edit" aspectratio="f"/>
                      <v:line id="_x0000_s1026" o:spid="_x0000_s1026" o:spt="20" style="position:absolute;left:6119;top:1295831;height:159;width:1;" filled="f" stroked="t" coordsize="21600,21600" o:gfxdata="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6T5S8AAAA&#10;3AAAAA8AAAAAAAAAAQAgAAAAIgAAAGRycy9kb3ducmV2LnhtbFBLAQIUABQAAAAIAIdO4kAzLwWe&#10;OwAAADkAAAAQAAAAAAAAAAEAIAAAAAsBAABkcnMvc2hhcGV4bWwueG1sUEsFBgAAAAAGAAYAWwEA&#10;ALUDAAAAAA==&#10;">
                        <v:fill on="f" focussize="0,0"/>
                        <v:stroke color="#FF0000" joinstyle="round"/>
                        <v:imagedata o:title=""/>
                        <o:lock v:ext="edit" aspectratio="f"/>
                      </v:line>
                      <v:shape id="_x0000_s1026" o:spid="_x0000_s1026" o:spt="202" type="#_x0000_t202" style="position:absolute;left:5883;top:1295961;height:434;width:587;" filled="f" stroked="f" coordsize="21600,21600" o:gfxdata="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1W/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36A2E206">
                              <w:pPr>
                                <w:spacing w:line="240" w:lineRule="exact"/>
                                <w:rPr>
                                  <w:rFonts w:hint="default" w:ascii="宋体" w:hAnsi="宋体" w:eastAsia="宋体" w:cs="Times New Roman"/>
                                  <w:b/>
                                  <w:color w:val="FF0000"/>
                                  <w:sz w:val="28"/>
                                  <w:szCs w:val="28"/>
                                  <w:lang w:val="en-US" w:eastAsia="zh-CN"/>
                                </w:rPr>
                              </w:pPr>
                              <w:r>
                                <w:rPr>
                                  <w:rFonts w:hint="eastAsia" w:ascii="宋体" w:hAnsi="宋体" w:eastAsia="宋体" w:cs="Times New Roman"/>
                                  <w:b/>
                                  <w:color w:val="FF0000"/>
                                  <w:sz w:val="28"/>
                                  <w:szCs w:val="28"/>
                                  <w:lang w:val="en-US" w:eastAsia="zh-CN"/>
                                </w:rPr>
                                <w:t>C</w:t>
                              </w:r>
                            </w:p>
                          </w:txbxContent>
                        </v:textbox>
                      </v:shape>
                    </v:group>
                  </w:pict>
                </mc:Fallback>
              </mc:AlternateContent>
            </w:r>
            <w:r>
              <w:rPr>
                <w:rFonts w:hint="default"/>
                <w:sz w:val="21"/>
              </w:rPr>
              <mc:AlternateContent>
                <mc:Choice Requires="wpg">
                  <w:drawing>
                    <wp:anchor distT="0" distB="0" distL="114300" distR="114300" simplePos="0" relativeHeight="251669504" behindDoc="0" locked="0" layoutInCell="1" allowOverlap="1">
                      <wp:simplePos x="0" y="0"/>
                      <wp:positionH relativeFrom="column">
                        <wp:posOffset>122555</wp:posOffset>
                      </wp:positionH>
                      <wp:positionV relativeFrom="paragraph">
                        <wp:posOffset>1471295</wp:posOffset>
                      </wp:positionV>
                      <wp:extent cx="410210" cy="384175"/>
                      <wp:effectExtent l="0" t="0" r="0" b="0"/>
                      <wp:wrapNone/>
                      <wp:docPr id="31" name="组合 31"/>
                      <wp:cNvGraphicFramePr/>
                      <a:graphic xmlns:a="http://schemas.openxmlformats.org/drawingml/2006/main">
                        <a:graphicData uri="http://schemas.microsoft.com/office/word/2010/wordprocessingGroup">
                          <wpg:wgp>
                            <wpg:cNvGrpSpPr/>
                            <wpg:grpSpPr>
                              <a:xfrm>
                                <a:off x="0" y="0"/>
                                <a:ext cx="410210" cy="384175"/>
                                <a:chOff x="3902" y="1295842"/>
                                <a:chExt cx="646" cy="605"/>
                              </a:xfrm>
                            </wpg:grpSpPr>
                            <wps:wsp>
                              <wps:cNvPr id="174" name="文本框 174"/>
                              <wps:cNvSpPr txBox="1"/>
                              <wps:spPr>
                                <a:xfrm>
                                  <a:off x="3902" y="1296009"/>
                                  <a:ext cx="647" cy="439"/>
                                </a:xfrm>
                                <a:prstGeom prst="rect">
                                  <a:avLst/>
                                </a:prstGeom>
                                <a:noFill/>
                                <a:ln>
                                  <a:noFill/>
                                </a:ln>
                                <a:effectLst/>
                              </wps:spPr>
                              <wps:txbx>
                                <w:txbxContent>
                                  <w:p w14:paraId="1B760DA8">
                                    <w:pPr>
                                      <w:spacing w:line="240" w:lineRule="exact"/>
                                      <w:rPr>
                                        <w:rFonts w:hint="eastAsia" w:ascii="宋体" w:hAnsi="宋体" w:eastAsia="宋体" w:cs="Times New Roman"/>
                                        <w:b/>
                                        <w:color w:val="FF0000"/>
                                        <w:sz w:val="28"/>
                                        <w:szCs w:val="28"/>
                                        <w:lang w:val="en-US" w:eastAsia="zh-CN"/>
                                      </w:rPr>
                                    </w:pPr>
                                    <w:r>
                                      <w:rPr>
                                        <w:rFonts w:hint="eastAsia" w:ascii="宋体" w:hAnsi="宋体" w:eastAsia="宋体" w:cs="Times New Roman"/>
                                        <w:b/>
                                        <w:color w:val="FF0000"/>
                                        <w:sz w:val="28"/>
                                        <w:szCs w:val="28"/>
                                      </w:rPr>
                                      <w:t>A</w:t>
                                    </w:r>
                                  </w:p>
                                </w:txbxContent>
                              </wps:txbx>
                              <wps:bodyPr upright="1"/>
                            </wps:wsp>
                            <wps:wsp>
                              <wps:cNvPr id="173" name="直接连接符 173"/>
                              <wps:cNvCnPr/>
                              <wps:spPr>
                                <a:xfrm>
                                  <a:off x="4115" y="1295842"/>
                                  <a:ext cx="1" cy="159"/>
                                </a:xfrm>
                                <a:prstGeom prst="line">
                                  <a:avLst/>
                                </a:prstGeom>
                                <a:ln w="9525" cap="flat" cmpd="sng">
                                  <a:solidFill>
                                    <a:srgbClr val="FF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9.65pt;margin-top:115.85pt;height:30.25pt;width:32.3pt;z-index:251669504;mso-width-relative:page;mso-height-relative:page;" coordorigin="3902,1295842" coordsize="646,605" o:gfxdata="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noZwC2AAAAAkBAAAPAAAAAAAAAAEAIAAAACIAAABkcnMvZG93bnJldi54bWxQSwECFAAU&#10;AAAACACHTuJA0MUGrtUCAACxBgAADgAAAAAAAAABACAAAAAnAQAAZHJzL2Uyb0RvYy54bWxQSwUG&#10;AAAAAAYABgBZAQAAbgYAAAAA&#10;">
                      <o:lock v:ext="edit" aspectratio="f"/>
                      <v:shape id="_x0000_s1026" o:spid="_x0000_s1026" o:spt="202" type="#_x0000_t202" style="position:absolute;left:3902;top:1296009;height:439;width:647;" filled="f" stroked="f" coordsize="21600,21600" o:gfxdata="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zbR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1B760DA8">
                              <w:pPr>
                                <w:spacing w:line="240" w:lineRule="exact"/>
                                <w:rPr>
                                  <w:rFonts w:hint="eastAsia" w:ascii="宋体" w:hAnsi="宋体" w:eastAsia="宋体" w:cs="Times New Roman"/>
                                  <w:b/>
                                  <w:color w:val="FF0000"/>
                                  <w:sz w:val="28"/>
                                  <w:szCs w:val="28"/>
                                  <w:lang w:val="en-US" w:eastAsia="zh-CN"/>
                                </w:rPr>
                              </w:pPr>
                              <w:r>
                                <w:rPr>
                                  <w:rFonts w:hint="eastAsia" w:ascii="宋体" w:hAnsi="宋体" w:eastAsia="宋体" w:cs="Times New Roman"/>
                                  <w:b/>
                                  <w:color w:val="FF0000"/>
                                  <w:sz w:val="28"/>
                                  <w:szCs w:val="28"/>
                                </w:rPr>
                                <w:t>A</w:t>
                              </w:r>
                            </w:p>
                          </w:txbxContent>
                        </v:textbox>
                      </v:shape>
                      <v:line id="_x0000_s1026" o:spid="_x0000_s1026" o:spt="20" style="position:absolute;left:4115;top:1295842;height:159;width:1;" filled="f" stroked="t" coordsize="21600,21600" o:gfxdata="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26g+8AAAA&#10;3AAAAA8AAAAAAAAAAQAgAAAAIgAAAGRycy9kb3ducmV2LnhtbFBLAQIUABQAAAAIAIdO4kAzLwWe&#10;OwAAADkAAAAQAAAAAAAAAAEAIAAAAAsBAABkcnMvc2hhcGV4bWwueG1sUEsFBgAAAAAGAAYAWwEA&#10;ALUDAAAAAA==&#10;">
                        <v:fill on="f" focussize="0,0"/>
                        <v:stroke color="#FF0000" joinstyle="round"/>
                        <v:imagedata o:title=""/>
                        <o:lock v:ext="edit" aspectratio="f"/>
                      </v:line>
                    </v:group>
                  </w:pict>
                </mc:Fallback>
              </mc:AlternateContent>
            </w:r>
            <w:r>
              <w:rPr>
                <w:rFonts w:hint="default"/>
                <w:sz w:val="21"/>
              </w:rPr>
              <mc:AlternateContent>
                <mc:Choice Requires="wpg">
                  <w:drawing>
                    <wp:anchor distT="0" distB="0" distL="114300" distR="114300" simplePos="0" relativeHeight="251662336" behindDoc="0" locked="0" layoutInCell="1" allowOverlap="1">
                      <wp:simplePos x="0" y="0"/>
                      <wp:positionH relativeFrom="column">
                        <wp:posOffset>219075</wp:posOffset>
                      </wp:positionH>
                      <wp:positionV relativeFrom="paragraph">
                        <wp:posOffset>2230755</wp:posOffset>
                      </wp:positionV>
                      <wp:extent cx="1744980" cy="288290"/>
                      <wp:effectExtent l="0" t="4445" r="0" b="0"/>
                      <wp:wrapNone/>
                      <wp:docPr id="29" name="组合 29"/>
                      <wp:cNvGraphicFramePr/>
                      <a:graphic xmlns:a="http://schemas.openxmlformats.org/drawingml/2006/main">
                        <a:graphicData uri="http://schemas.microsoft.com/office/word/2010/wordprocessingGroup">
                          <wpg:wgp>
                            <wpg:cNvGrpSpPr/>
                            <wpg:grpSpPr>
                              <a:xfrm>
                                <a:off x="0" y="0"/>
                                <a:ext cx="1744980" cy="288290"/>
                                <a:chOff x="4337" y="1297274"/>
                                <a:chExt cx="2748" cy="454"/>
                              </a:xfrm>
                            </wpg:grpSpPr>
                            <wps:wsp>
                              <wps:cNvPr id="180" name="直接箭头连接符 180"/>
                              <wps:cNvCnPr/>
                              <wps:spPr>
                                <a:xfrm flipH="1">
                                  <a:off x="4337" y="1297336"/>
                                  <a:ext cx="1108" cy="0"/>
                                </a:xfrm>
                                <a:prstGeom prst="straightConnector1">
                                  <a:avLst/>
                                </a:prstGeom>
                                <a:ln w="9525" cap="flat" cmpd="sng">
                                  <a:solidFill>
                                    <a:srgbClr val="000000"/>
                                  </a:solidFill>
                                  <a:prstDash val="dash"/>
                                  <a:headEnd type="none" w="med" len="med"/>
                                  <a:tailEnd type="triangle" w="med" len="med"/>
                                </a:ln>
                                <a:effectLst/>
                              </wps:spPr>
                              <wps:bodyPr/>
                            </wps:wsp>
                            <wpg:grpSp>
                              <wpg:cNvPr id="163" name="组合 163"/>
                              <wpg:cNvGrpSpPr/>
                              <wpg:grpSpPr>
                                <a:xfrm>
                                  <a:off x="5291" y="1297274"/>
                                  <a:ext cx="1795" cy="455"/>
                                  <a:chOff x="7860" y="14678"/>
                                  <a:chExt cx="1645" cy="431"/>
                                </a:xfrm>
                                <a:effectLst/>
                              </wpg:grpSpPr>
                              <wps:wsp>
                                <wps:cNvPr id="164" name="椭圆 43"/>
                                <wps:cNvSpPr/>
                                <wps:spPr>
                                  <a:xfrm>
                                    <a:off x="8097" y="14678"/>
                                    <a:ext cx="109" cy="113"/>
                                  </a:xfrm>
                                  <a:prstGeom prst="ellipse">
                                    <a:avLst/>
                                  </a:prstGeom>
                                  <a:solidFill>
                                    <a:srgbClr val="000000"/>
                                  </a:solidFill>
                                  <a:ln w="9525" cap="flat" cmpd="sng">
                                    <a:solidFill>
                                      <a:srgbClr val="000000"/>
                                    </a:solidFill>
                                    <a:prstDash val="solid"/>
                                    <a:headEnd type="none" w="med" len="med"/>
                                    <a:tailEnd type="none" w="med" len="med"/>
                                  </a:ln>
                                  <a:effectLst/>
                                </wps:spPr>
                                <wps:bodyPr upright="1"/>
                              </wps:wsp>
                              <wps:wsp>
                                <wps:cNvPr id="165" name="文本框 44"/>
                                <wps:cNvSpPr txBox="1"/>
                                <wps:spPr>
                                  <a:xfrm>
                                    <a:off x="7860" y="14735"/>
                                    <a:ext cx="603" cy="374"/>
                                  </a:xfrm>
                                  <a:prstGeom prst="rect">
                                    <a:avLst/>
                                  </a:prstGeom>
                                  <a:noFill/>
                                  <a:ln>
                                    <a:noFill/>
                                  </a:ln>
                                  <a:effectLst/>
                                </wps:spPr>
                                <wps:txbx>
                                  <w:txbxContent>
                                    <w:p w14:paraId="38DB44FC">
                                      <w:pPr>
                                        <w:snapToGrid w:val="0"/>
                                        <w:rPr>
                                          <w:rFonts w:ascii="Times New Roman" w:hAnsi="Times New Roman" w:eastAsia="宋体" w:cs="Times New Roman"/>
                                          <w:sz w:val="16"/>
                                          <w:szCs w:val="24"/>
                                        </w:rPr>
                                      </w:pPr>
                                      <w:r>
                                        <w:rPr>
                                          <w:rFonts w:ascii="Times New Roman" w:hAnsi="Times New Roman" w:eastAsia="宋体" w:cs="Times New Roman"/>
                                          <w:sz w:val="16"/>
                                          <w:szCs w:val="24"/>
                                        </w:rPr>
                                        <w:t>(0,0)</w:t>
                                      </w:r>
                                    </w:p>
                                  </w:txbxContent>
                                </wps:txbx>
                                <wps:bodyPr upright="1"/>
                              </wps:wsp>
                              <wps:wsp>
                                <wps:cNvPr id="166" name="文本框 45"/>
                                <wps:cNvSpPr txBox="1"/>
                                <wps:spPr>
                                  <a:xfrm>
                                    <a:off x="8480" y="14707"/>
                                    <a:ext cx="1025" cy="374"/>
                                  </a:xfrm>
                                  <a:prstGeom prst="rect">
                                    <a:avLst/>
                                  </a:prstGeom>
                                  <a:noFill/>
                                  <a:ln>
                                    <a:noFill/>
                                  </a:ln>
                                  <a:effectLst/>
                                </wps:spPr>
                                <wps:txbx>
                                  <w:txbxContent>
                                    <w:p w14:paraId="31F796E9">
                                      <w:pPr>
                                        <w:snapToGrid w:val="0"/>
                                        <w:rPr>
                                          <w:rFonts w:ascii="Times New Roman" w:hAnsi="Times New Roman" w:eastAsia="宋体" w:cs="Times New Roman"/>
                                          <w:sz w:val="16"/>
                                          <w:szCs w:val="24"/>
                                        </w:rPr>
                                      </w:pPr>
                                      <w:r>
                                        <w:rPr>
                                          <w:rFonts w:hint="eastAsia" w:ascii="Times New Roman" w:hAnsi="Times New Roman" w:eastAsia="宋体" w:cs="Times New Roman"/>
                                          <w:sz w:val="16"/>
                                          <w:szCs w:val="24"/>
                                        </w:rPr>
                                        <w:t>计算路径</w:t>
                                      </w:r>
                                    </w:p>
                                  </w:txbxContent>
                                </wps:txbx>
                                <wps:bodyPr upright="1"/>
                              </wps:wsp>
                            </wpg:grpSp>
                            <wps:wsp>
                              <wps:cNvPr id="179" name="直接箭头连接符 179"/>
                              <wps:cNvCnPr/>
                              <wps:spPr>
                                <a:xfrm>
                                  <a:off x="5792" y="1297335"/>
                                  <a:ext cx="928" cy="0"/>
                                </a:xfrm>
                                <a:prstGeom prst="straightConnector1">
                                  <a:avLst/>
                                </a:prstGeom>
                                <a:ln w="9525" cap="flat" cmpd="sng">
                                  <a:solidFill>
                                    <a:srgbClr val="000000"/>
                                  </a:solidFill>
                                  <a:prstDash val="dash"/>
                                  <a:headEnd type="none" w="med" len="med"/>
                                  <a:tailEnd type="triangle" w="med" len="med"/>
                                </a:ln>
                                <a:effectLst/>
                              </wps:spPr>
                              <wps:bodyPr/>
                            </wps:wsp>
                          </wpg:wgp>
                        </a:graphicData>
                      </a:graphic>
                    </wp:anchor>
                  </w:drawing>
                </mc:Choice>
                <mc:Fallback>
                  <w:pict>
                    <v:group id="_x0000_s1026" o:spid="_x0000_s1026" o:spt="203" style="position:absolute;left:0pt;margin-left:17.25pt;margin-top:175.65pt;height:22.7pt;width:137.4pt;z-index:251662336;mso-width-relative:page;mso-height-relative:page;" coordorigin="4337,1297274" coordsize="2748,454" o:gfxdata="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">
                      <o:lock v:ext="edit" aspectratio="f"/>
                      <v:shape id="_x0000_s1026" o:spid="_x0000_s1026" o:spt="32" type="#_x0000_t32" style="position:absolute;left:4337;top:1297336;flip:x;height:0;width:1108;" filled="f" stroked="t" coordsize="21600,21600" o:gfxdata="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L07Nb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group id="_x0000_s1026" o:spid="_x0000_s1026" o:spt="203" style="position:absolute;left:5291;top:1297274;height:455;width:1795;" coordorigin="7860,14678" coordsize="1645,431" o:gfxdata="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JfmBr0AAADcAAAADwAAAAAAAAABACAAAAAiAAAAZHJzL2Rvd25yZXYueG1s&#10;UEsBAhQAFAAAAAgAh07iQDMvBZ47AAAAOQAAABUAAAAAAAAAAQAgAAAADAEAAGRycy9ncm91cHNo&#10;YXBleG1sLnhtbFBLBQYAAAAABgAGAGABAADJAwAAAAA=&#10;">
                        <o:lock v:ext="edit" aspectratio="f"/>
                        <v:shape id="椭圆 43" o:spid="_x0000_s1026" o:spt="3" type="#_x0000_t3" style="position:absolute;left:8097;top:14678;height:113;width:109;" fillcolor="#000000" filled="t" stroked="t" coordsize="21600,21600" o:gfxdata="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YxfE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文本框 44" o:spid="_x0000_s1026" o:spt="202" type="#_x0000_t202" style="position:absolute;left:7860;top:14735;height:374;width:603;" filled="f" stroked="f" coordsize="21600,21600" o:gfxdata="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mXlW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38DB44FC">
                                <w:pPr>
                                  <w:snapToGrid w:val="0"/>
                                  <w:rPr>
                                    <w:rFonts w:ascii="Times New Roman" w:hAnsi="Times New Roman" w:eastAsia="宋体" w:cs="Times New Roman"/>
                                    <w:sz w:val="16"/>
                                    <w:szCs w:val="24"/>
                                  </w:rPr>
                                </w:pPr>
                                <w:r>
                                  <w:rPr>
                                    <w:rFonts w:ascii="Times New Roman" w:hAnsi="Times New Roman" w:eastAsia="宋体" w:cs="Times New Roman"/>
                                    <w:sz w:val="16"/>
                                    <w:szCs w:val="24"/>
                                  </w:rPr>
                                  <w:t>(0,0)</w:t>
                                </w:r>
                              </w:p>
                            </w:txbxContent>
                          </v:textbox>
                        </v:shape>
                        <v:shape id="文本框 45" o:spid="_x0000_s1026" o:spt="202" type="#_x0000_t202" style="position:absolute;left:8480;top:14707;height:374;width:1025;" filled="f" stroked="f" coordsize="21600,21600" o:gfxdata="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3TAI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31F796E9">
                                <w:pPr>
                                  <w:snapToGrid w:val="0"/>
                                  <w:rPr>
                                    <w:rFonts w:ascii="Times New Roman" w:hAnsi="Times New Roman" w:eastAsia="宋体" w:cs="Times New Roman"/>
                                    <w:sz w:val="16"/>
                                    <w:szCs w:val="24"/>
                                  </w:rPr>
                                </w:pPr>
                                <w:r>
                                  <w:rPr>
                                    <w:rFonts w:hint="eastAsia" w:ascii="Times New Roman" w:hAnsi="Times New Roman" w:eastAsia="宋体" w:cs="Times New Roman"/>
                                    <w:sz w:val="16"/>
                                    <w:szCs w:val="24"/>
                                  </w:rPr>
                                  <w:t>计算路径</w:t>
                                </w:r>
                              </w:p>
                            </w:txbxContent>
                          </v:textbox>
                        </v:shape>
                      </v:group>
                      <v:shape id="_x0000_s1026" o:spid="_x0000_s1026" o:spt="32" type="#_x0000_t32" style="position:absolute;left:5792;top:1297335;height:0;width:928;" filled="f" stroked="t" coordsize="21600,21600" o:gfxdata="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SE817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group>
                  </w:pict>
                </mc:Fallback>
              </mc:AlternateContent>
            </w:r>
            <w:r>
              <w:rPr>
                <w:rFonts w:hint="default" w:ascii="Times New Roman" w:hAnsi="Times New Roman" w:eastAsia="宋体" w:cs="Times New Roman"/>
                <w:color w:val="0000FF"/>
                <w:szCs w:val="24"/>
              </w:rPr>
              <w:object>
                <v:shape id="_x0000_i1053" o:spt="75" type="#_x0000_t75" style="height:186.95pt;width:156.4pt;" o:ole="t" filled="f" o:preferrelative="t" stroked="f" coordsize="21600,21600">
                  <v:path/>
                  <v:fill on="f" focussize="0,0"/>
                  <v:stroke on="f"/>
                  <v:imagedata r:id="rId74" o:title=""/>
                  <o:lock v:ext="edit" aspectratio="f"/>
                  <w10:wrap type="none"/>
                  <w10:anchorlock/>
                </v:shape>
                <o:OLEObject Type="Embed" ProgID="StaticMetafile" ShapeID="_x0000_i1053" DrawAspect="Content" ObjectID="_1468075753" r:id="rId73">
                  <o:LockedField>false</o:LockedField>
                </o:OLEObject>
              </w:object>
            </w:r>
          </w:p>
        </w:tc>
        <w:tc>
          <w:tcPr>
            <w:tcW w:w="2191" w:type="pct"/>
            <w:tcBorders>
              <w:tl2br w:val="nil"/>
              <w:tr2bl w:val="nil"/>
            </w:tcBorders>
            <w:noWrap w:val="0"/>
            <w:vAlign w:val="center"/>
          </w:tcPr>
          <w:p w14:paraId="7284AE83">
            <w:pPr>
              <w:keepNext w:val="0"/>
              <w:keepLines w:val="0"/>
              <w:suppressLineNumbers w:val="0"/>
              <w:spacing w:before="0" w:beforeAutospacing="0" w:after="0" w:afterAutospacing="0" w:line="0" w:lineRule="atLeast"/>
              <w:ind w:left="0" w:right="0"/>
              <w:jc w:val="center"/>
              <w:rPr>
                <w:rFonts w:hint="eastAsia" w:ascii="宋体" w:hAnsi="宋体" w:eastAsia="宋体" w:cs="Times New Roman"/>
                <w:color w:val="0000FF"/>
                <w:szCs w:val="24"/>
                <w:highlight w:val="yellow"/>
              </w:rPr>
            </w:pPr>
            <w:r>
              <w:rPr>
                <w:rFonts w:hint="default"/>
                <w:sz w:val="21"/>
              </w:rPr>
              <mc:AlternateContent>
                <mc:Choice Requires="wps">
                  <w:drawing>
                    <wp:anchor distT="0" distB="0" distL="114300" distR="114300" simplePos="0" relativeHeight="251682816" behindDoc="0" locked="0" layoutInCell="1" allowOverlap="1">
                      <wp:simplePos x="0" y="0"/>
                      <wp:positionH relativeFrom="column">
                        <wp:posOffset>1424940</wp:posOffset>
                      </wp:positionH>
                      <wp:positionV relativeFrom="paragraph">
                        <wp:posOffset>579755</wp:posOffset>
                      </wp:positionV>
                      <wp:extent cx="483870" cy="18669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483870" cy="186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E3F24E">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eastAsia="宋体"/>
                                      <w:b/>
                                      <w:bCs/>
                                      <w:color w:val="0000FF"/>
                                      <w:sz w:val="18"/>
                                      <w:szCs w:val="18"/>
                                      <w:lang w:val="en-US" w:eastAsia="zh-CN"/>
                                    </w:rPr>
                                  </w:pPr>
                                  <w:r>
                                    <w:rPr>
                                      <w:rFonts w:hint="eastAsia"/>
                                      <w:b/>
                                      <w:bCs/>
                                      <w:color w:val="0000FF"/>
                                      <w:sz w:val="18"/>
                                      <w:szCs w:val="18"/>
                                      <w:lang w:val="en-US" w:eastAsia="zh-CN"/>
                                    </w:rPr>
                                    <w:t>5300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2pt;margin-top:45.65pt;height:14.7pt;width:38.1pt;z-index:251682816;mso-width-relative:page;mso-height-relative:page;" filled="f" stroked="f" coordsize="21600,21600" o:gfxdata="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xHuyC2gAAAAoBAAAPAAAAAAAAAAEAIAAAACIAAABk&#10;cnMvZG93bnJldi54bWxQSwECFAAUAAAACACHTuJATL/ItD0CAABnBAAADgAAAAAAAAABACAAAAAp&#10;AQAAZHJzL2Uyb0RvYy54bWxQSwUGAAAAAAYABgBZAQAA2AUAAAAA&#10;">
                      <v:fill on="f" focussize="0,0"/>
                      <v:stroke on="f" weight="0.5pt"/>
                      <v:imagedata o:title=""/>
                      <o:lock v:ext="edit" aspectratio="f"/>
                      <v:textbox>
                        <w:txbxContent>
                          <w:p w14:paraId="20E3F24E">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eastAsia="宋体"/>
                                <w:b/>
                                <w:bCs/>
                                <w:color w:val="0000FF"/>
                                <w:sz w:val="18"/>
                                <w:szCs w:val="18"/>
                                <w:lang w:val="en-US" w:eastAsia="zh-CN"/>
                              </w:rPr>
                            </w:pPr>
                            <w:r>
                              <w:rPr>
                                <w:rFonts w:hint="eastAsia"/>
                                <w:b/>
                                <w:bCs/>
                                <w:color w:val="0000FF"/>
                                <w:sz w:val="18"/>
                                <w:szCs w:val="18"/>
                                <w:lang w:val="en-US" w:eastAsia="zh-CN"/>
                              </w:rPr>
                              <w:t>5300</w:t>
                            </w:r>
                          </w:p>
                        </w:txbxContent>
                      </v:textbox>
                    </v:shape>
                  </w:pict>
                </mc:Fallback>
              </mc:AlternateContent>
            </w:r>
            <w:r>
              <w:rPr>
                <w:rFonts w:hint="default"/>
                <w:sz w:val="21"/>
              </w:rPr>
              <mc:AlternateContent>
                <mc:Choice Requires="wps">
                  <w:drawing>
                    <wp:anchor distT="0" distB="0" distL="114300" distR="114300" simplePos="0" relativeHeight="251684864" behindDoc="0" locked="0" layoutInCell="1" allowOverlap="1">
                      <wp:simplePos x="0" y="0"/>
                      <wp:positionH relativeFrom="column">
                        <wp:posOffset>1445895</wp:posOffset>
                      </wp:positionH>
                      <wp:positionV relativeFrom="paragraph">
                        <wp:posOffset>1824990</wp:posOffset>
                      </wp:positionV>
                      <wp:extent cx="483870" cy="18669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483870" cy="186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F19372">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eastAsia="宋体"/>
                                      <w:b/>
                                      <w:bCs/>
                                      <w:color w:val="0000FF"/>
                                      <w:sz w:val="18"/>
                                      <w:szCs w:val="18"/>
                                      <w:lang w:val="en-US" w:eastAsia="zh-CN"/>
                                    </w:rPr>
                                  </w:pPr>
                                  <w:r>
                                    <w:rPr>
                                      <w:rFonts w:hint="eastAsia"/>
                                      <w:b/>
                                      <w:bCs/>
                                      <w:color w:val="0000FF"/>
                                      <w:sz w:val="18"/>
                                      <w:szCs w:val="18"/>
                                      <w:lang w:val="en-US" w:eastAsia="zh-CN"/>
                                    </w:rPr>
                                    <w:t>5500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85pt;margin-top:143.7pt;height:14.7pt;width:38.1pt;z-index:251684864;mso-width-relative:page;mso-height-relative:page;" filled="f" stroked="f" coordsize="21600,21600" o:gfxdata="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owxQPcAAAACwEAAA8AAAAAAAAAAQAgAAAAIgAA&#10;AGRycy9kb3ducmV2LnhtbFBLAQIUABQAAAAIAIdO4kByrfiKPQIAAGcEAAAOAAAAAAAAAAEAIAAA&#10;ACsBAABkcnMvZTJvRG9jLnhtbFBLBQYAAAAABgAGAFkBAADaBQAAAAA=&#10;">
                      <v:fill on="f" focussize="0,0"/>
                      <v:stroke on="f" weight="0.5pt"/>
                      <v:imagedata o:title=""/>
                      <o:lock v:ext="edit" aspectratio="f"/>
                      <v:textbox>
                        <w:txbxContent>
                          <w:p w14:paraId="1BF19372">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eastAsia="宋体"/>
                                <w:b/>
                                <w:bCs/>
                                <w:color w:val="0000FF"/>
                                <w:sz w:val="18"/>
                                <w:szCs w:val="18"/>
                                <w:lang w:val="en-US" w:eastAsia="zh-CN"/>
                              </w:rPr>
                            </w:pPr>
                            <w:r>
                              <w:rPr>
                                <w:rFonts w:hint="eastAsia"/>
                                <w:b/>
                                <w:bCs/>
                                <w:color w:val="0000FF"/>
                                <w:sz w:val="18"/>
                                <w:szCs w:val="18"/>
                                <w:lang w:val="en-US" w:eastAsia="zh-CN"/>
                              </w:rPr>
                              <w:t>5500</w:t>
                            </w:r>
                          </w:p>
                        </w:txbxContent>
                      </v:textbox>
                    </v:shape>
                  </w:pict>
                </mc:Fallback>
              </mc:AlternateContent>
            </w:r>
            <w:r>
              <w:rPr>
                <w:rFonts w:hint="default"/>
                <w:sz w:val="21"/>
              </w:rPr>
              <mc:AlternateContent>
                <mc:Choice Requires="wpg">
                  <w:drawing>
                    <wp:anchor distT="0" distB="0" distL="114300" distR="114300" simplePos="0" relativeHeight="251666432" behindDoc="0" locked="0" layoutInCell="1" allowOverlap="1">
                      <wp:simplePos x="0" y="0"/>
                      <wp:positionH relativeFrom="column">
                        <wp:posOffset>458470</wp:posOffset>
                      </wp:positionH>
                      <wp:positionV relativeFrom="paragraph">
                        <wp:posOffset>1861185</wp:posOffset>
                      </wp:positionV>
                      <wp:extent cx="410210" cy="387350"/>
                      <wp:effectExtent l="0" t="0" r="0" b="0"/>
                      <wp:wrapNone/>
                      <wp:docPr id="14" name="组合 14"/>
                      <wp:cNvGraphicFramePr/>
                      <a:graphic xmlns:a="http://schemas.openxmlformats.org/drawingml/2006/main">
                        <a:graphicData uri="http://schemas.microsoft.com/office/word/2010/wordprocessingGroup">
                          <wpg:wgp>
                            <wpg:cNvGrpSpPr/>
                            <wpg:grpSpPr>
                              <a:xfrm>
                                <a:off x="0" y="0"/>
                                <a:ext cx="410210" cy="387350"/>
                                <a:chOff x="7869" y="1296714"/>
                                <a:chExt cx="646" cy="610"/>
                              </a:xfrm>
                            </wpg:grpSpPr>
                            <wps:wsp>
                              <wps:cNvPr id="212" name="直接箭头连接符 212"/>
                              <wps:cNvCnPr/>
                              <wps:spPr>
                                <a:xfrm>
                                  <a:off x="8081" y="1296714"/>
                                  <a:ext cx="9" cy="240"/>
                                </a:xfrm>
                                <a:prstGeom prst="straightConnector1">
                                  <a:avLst/>
                                </a:prstGeom>
                                <a:ln w="9525" cap="flat" cmpd="sng">
                                  <a:solidFill>
                                    <a:srgbClr val="FF0000"/>
                                  </a:solidFill>
                                  <a:prstDash val="solid"/>
                                  <a:round/>
                                  <a:headEnd type="none" w="med" len="med"/>
                                  <a:tailEnd type="none" w="med" len="med"/>
                                </a:ln>
                              </wps:spPr>
                              <wps:bodyPr/>
                            </wps:wsp>
                            <wps:wsp>
                              <wps:cNvPr id="208" name="文本框 208"/>
                              <wps:cNvSpPr txBox="1"/>
                              <wps:spPr>
                                <a:xfrm>
                                  <a:off x="7869" y="1296886"/>
                                  <a:ext cx="647" cy="439"/>
                                </a:xfrm>
                                <a:prstGeom prst="rect">
                                  <a:avLst/>
                                </a:prstGeom>
                                <a:noFill/>
                                <a:ln>
                                  <a:noFill/>
                                </a:ln>
                                <a:effectLst/>
                              </wps:spPr>
                              <wps:txbx>
                                <w:txbxContent>
                                  <w:p w14:paraId="4C1B1066">
                                    <w:pPr>
                                      <w:spacing w:line="240" w:lineRule="exact"/>
                                      <w:rPr>
                                        <w:rFonts w:hint="eastAsia" w:ascii="宋体" w:hAnsi="宋体" w:eastAsia="宋体" w:cs="Times New Roman"/>
                                        <w:b/>
                                        <w:color w:val="FF0000"/>
                                        <w:sz w:val="28"/>
                                        <w:szCs w:val="28"/>
                                        <w:lang w:val="en-US" w:eastAsia="zh-CN"/>
                                      </w:rPr>
                                    </w:pPr>
                                    <w:r>
                                      <w:rPr>
                                        <w:rFonts w:hint="eastAsia" w:ascii="宋体" w:hAnsi="宋体" w:eastAsia="宋体" w:cs="Times New Roman"/>
                                        <w:b/>
                                        <w:color w:val="FF0000"/>
                                        <w:sz w:val="28"/>
                                        <w:szCs w:val="28"/>
                                      </w:rPr>
                                      <w:t>A</w:t>
                                    </w:r>
                                  </w:p>
                                </w:txbxContent>
                              </wps:txbx>
                              <wps:bodyPr upright="1"/>
                            </wps:wsp>
                          </wpg:wgp>
                        </a:graphicData>
                      </a:graphic>
                    </wp:anchor>
                  </w:drawing>
                </mc:Choice>
                <mc:Fallback>
                  <w:pict>
                    <v:group id="_x0000_s1026" o:spid="_x0000_s1026" o:spt="203" style="position:absolute;left:0pt;margin-left:36.1pt;margin-top:146.55pt;height:30.5pt;width:32.3pt;z-index:251666432;mso-width-relative:page;mso-height-relative:page;" coordorigin="7869,1296714" coordsize="646,610" o:gfxdata="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EXOYRnaAAAACgEAAA8AAAAAAAAA&#10;AQAgAAAAIgAAAGRycy9kb3ducmV2LnhtbFBLAQIUABQAAAAIAIdO4kDY/zFd8wIAALUGAAAOAAAA&#10;AAAAAAEAIAAAACkBAABkcnMvZTJvRG9jLnhtbFBLBQYAAAAABgAGAFkBAACOBgAAAAA=&#10;">
                      <o:lock v:ext="edit" aspectratio="f"/>
                      <v:shape id="_x0000_s1026" o:spid="_x0000_s1026" o:spt="32" type="#_x0000_t32" style="position:absolute;left:8081;top:1296714;height:240;width:9;" filled="f" stroked="t" coordsize="21600,21600" o:gfxdata="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kQyS/&#10;AAAA3AAAAA8AAAAAAAAAAQAgAAAAIgAAAGRycy9kb3ducmV2LnhtbFBLAQIUABQAAAAIAIdO4kAz&#10;LwWeOwAAADkAAAAQAAAAAAAAAAEAIAAAAA4BAABkcnMvc2hhcGV4bWwueG1sUEsFBgAAAAAGAAYA&#10;WwEAALgDAAAAAA==&#10;">
                        <v:fill on="f" focussize="0,0"/>
                        <v:stroke color="#FF0000" joinstyle="round"/>
                        <v:imagedata o:title=""/>
                        <o:lock v:ext="edit" aspectratio="f"/>
                      </v:shape>
                      <v:shape id="_x0000_s1026" o:spid="_x0000_s1026" o:spt="202" type="#_x0000_t202" style="position:absolute;left:7869;top:1296886;height:439;width:647;" filled="f" stroked="f" coordsize="21600,21600" o:gfxdata="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9ddRe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4C1B1066">
                              <w:pPr>
                                <w:spacing w:line="240" w:lineRule="exact"/>
                                <w:rPr>
                                  <w:rFonts w:hint="eastAsia" w:ascii="宋体" w:hAnsi="宋体" w:eastAsia="宋体" w:cs="Times New Roman"/>
                                  <w:b/>
                                  <w:color w:val="FF0000"/>
                                  <w:sz w:val="28"/>
                                  <w:szCs w:val="28"/>
                                  <w:lang w:val="en-US" w:eastAsia="zh-CN"/>
                                </w:rPr>
                              </w:pPr>
                              <w:r>
                                <w:rPr>
                                  <w:rFonts w:hint="eastAsia" w:ascii="宋体" w:hAnsi="宋体" w:eastAsia="宋体" w:cs="Times New Roman"/>
                                  <w:b/>
                                  <w:color w:val="FF0000"/>
                                  <w:sz w:val="28"/>
                                  <w:szCs w:val="28"/>
                                </w:rPr>
                                <w:t>A</w:t>
                              </w:r>
                            </w:p>
                          </w:txbxContent>
                        </v:textbox>
                      </v:shape>
                    </v:group>
                  </w:pict>
                </mc:Fallback>
              </mc:AlternateContent>
            </w:r>
            <w:r>
              <w:rPr>
                <w:rFonts w:hint="default" w:ascii="Times New Roman" w:hAnsi="Times New Roman" w:eastAsia="宋体" w:cs="Times New Roman"/>
                <w:color w:val="0000FF"/>
                <w:szCs w:val="24"/>
                <w:highlight w:val="none"/>
              </w:rPr>
              <mc:AlternateContent>
                <mc:Choice Requires="wps">
                  <w:drawing>
                    <wp:anchor distT="0" distB="0" distL="114300" distR="114300" simplePos="0" relativeHeight="251665408" behindDoc="0" locked="0" layoutInCell="1" allowOverlap="1">
                      <wp:simplePos x="0" y="0"/>
                      <wp:positionH relativeFrom="column">
                        <wp:posOffset>1677670</wp:posOffset>
                      </wp:positionH>
                      <wp:positionV relativeFrom="paragraph">
                        <wp:posOffset>1926590</wp:posOffset>
                      </wp:positionV>
                      <wp:extent cx="401320" cy="275590"/>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401320" cy="275590"/>
                              </a:xfrm>
                              <a:prstGeom prst="rect">
                                <a:avLst/>
                              </a:prstGeom>
                              <a:noFill/>
                              <a:ln>
                                <a:noFill/>
                              </a:ln>
                              <a:effectLst/>
                            </wps:spPr>
                            <wps:txbx>
                              <w:txbxContent>
                                <w:p w14:paraId="555E3F2A">
                                  <w:pPr>
                                    <w:spacing w:line="240" w:lineRule="exact"/>
                                    <w:rPr>
                                      <w:rFonts w:hint="default" w:ascii="宋体" w:hAnsi="宋体" w:eastAsia="宋体" w:cs="Times New Roman"/>
                                      <w:b/>
                                      <w:color w:val="FF0000"/>
                                      <w:sz w:val="28"/>
                                      <w:szCs w:val="28"/>
                                      <w:lang w:val="en-US" w:eastAsia="zh-CN"/>
                                    </w:rPr>
                                  </w:pPr>
                                  <w:r>
                                    <w:rPr>
                                      <w:rFonts w:hint="eastAsia" w:ascii="宋体" w:hAnsi="宋体" w:eastAsia="宋体" w:cs="Times New Roman"/>
                                      <w:b/>
                                      <w:color w:val="FF0000"/>
                                      <w:sz w:val="28"/>
                                      <w:szCs w:val="28"/>
                                      <w:lang w:val="en-US" w:eastAsia="zh-CN"/>
                                    </w:rPr>
                                    <w:t>a</w:t>
                                  </w:r>
                                </w:p>
                              </w:txbxContent>
                            </wps:txbx>
                            <wps:bodyPr upright="1"/>
                          </wps:wsp>
                        </a:graphicData>
                      </a:graphic>
                    </wp:anchor>
                  </w:drawing>
                </mc:Choice>
                <mc:Fallback>
                  <w:pict>
                    <v:shape id="_x0000_s1026" o:spid="_x0000_s1026" o:spt="202" type="#_x0000_t202" style="position:absolute;left:0pt;margin-left:132.1pt;margin-top:151.7pt;height:21.7pt;width:31.6pt;z-index:251665408;mso-width-relative:page;mso-height-relative:page;" filled="f" stroked="f" coordsize="21600,21600" o:gfxdata="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z+YztgAAAALAQAADwAAAAAAAAABACAAAAAiAAAAZHJzL2Rvd25yZXYueG1sUEsBAhQAFAAAAAgA&#10;h07iQN3DUrOzAQAAXwMAAA4AAAAAAAAAAQAgAAAAJwEAAGRycy9lMm9Eb2MueG1sUEsFBgAAAAAG&#10;AAYAWQEAAEwFAAAAAA==&#10;">
                      <v:fill on="f" focussize="0,0"/>
                      <v:stroke on="f"/>
                      <v:imagedata o:title=""/>
                      <o:lock v:ext="edit" aspectratio="f"/>
                      <v:textbox>
                        <w:txbxContent>
                          <w:p w14:paraId="555E3F2A">
                            <w:pPr>
                              <w:spacing w:line="240" w:lineRule="exact"/>
                              <w:rPr>
                                <w:rFonts w:hint="default" w:ascii="宋体" w:hAnsi="宋体" w:eastAsia="宋体" w:cs="Times New Roman"/>
                                <w:b/>
                                <w:color w:val="FF0000"/>
                                <w:sz w:val="28"/>
                                <w:szCs w:val="28"/>
                                <w:lang w:val="en-US" w:eastAsia="zh-CN"/>
                              </w:rPr>
                            </w:pPr>
                            <w:r>
                              <w:rPr>
                                <w:rFonts w:hint="eastAsia" w:ascii="宋体" w:hAnsi="宋体" w:eastAsia="宋体" w:cs="Times New Roman"/>
                                <w:b/>
                                <w:color w:val="FF0000"/>
                                <w:sz w:val="28"/>
                                <w:szCs w:val="28"/>
                                <w:lang w:val="en-US" w:eastAsia="zh-CN"/>
                              </w:rPr>
                              <w:t>a</w:t>
                            </w:r>
                          </w:p>
                        </w:txbxContent>
                      </v:textbox>
                    </v:shape>
                  </w:pict>
                </mc:Fallback>
              </mc:AlternateContent>
            </w:r>
            <w:r>
              <w:rPr>
                <w:rFonts w:hint="default" w:ascii="Times New Roman" w:hAnsi="Times New Roman" w:eastAsia="宋体" w:cs="Times New Roman"/>
                <w:color w:val="0000FF"/>
                <w:sz w:val="21"/>
                <w:szCs w:val="24"/>
                <w:highlight w:val="none"/>
              </w:rPr>
              <mc:AlternateContent>
                <mc:Choice Requires="wps">
                  <w:drawing>
                    <wp:anchor distT="0" distB="0" distL="114300" distR="114300" simplePos="0" relativeHeight="251663360" behindDoc="0" locked="0" layoutInCell="1" allowOverlap="1">
                      <wp:simplePos x="0" y="0"/>
                      <wp:positionH relativeFrom="column">
                        <wp:posOffset>1812290</wp:posOffset>
                      </wp:positionH>
                      <wp:positionV relativeFrom="paragraph">
                        <wp:posOffset>1849120</wp:posOffset>
                      </wp:positionV>
                      <wp:extent cx="0" cy="146050"/>
                      <wp:effectExtent l="4445" t="0" r="5080" b="6350"/>
                      <wp:wrapNone/>
                      <wp:docPr id="209" name="直接箭头连接符 209"/>
                      <wp:cNvGraphicFramePr/>
                      <a:graphic xmlns:a="http://schemas.openxmlformats.org/drawingml/2006/main">
                        <a:graphicData uri="http://schemas.microsoft.com/office/word/2010/wordprocessingShape">
                          <wps:wsp>
                            <wps:cNvCnPr/>
                            <wps:spPr>
                              <a:xfrm>
                                <a:off x="0" y="0"/>
                                <a:ext cx="0" cy="146050"/>
                              </a:xfrm>
                              <a:prstGeom prst="straightConnector1">
                                <a:avLst/>
                              </a:prstGeom>
                              <a:ln w="9525" cap="flat" cmpd="sng">
                                <a:solidFill>
                                  <a:srgbClr val="FF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142.7pt;margin-top:145.6pt;height:11.5pt;width:0pt;z-index:251663360;mso-width-relative:page;mso-height-relative:page;" filled="f" stroked="t" coordsize="21600,21600" o:gfxdata="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K3QZNkAAAALAQAADwAAAAAAAAABACAAAAAiAAAA&#10;ZHJzL2Rvd25yZXYueG1sUEsBAhQAFAAAAAgAh07iQJjk+n4GAgAA+QMAAA4AAAAAAAAAAQAgAAAA&#10;KAEAAGRycy9lMm9Eb2MueG1sUEsFBgAAAAAGAAYAWQEAAKAFAAAAAA==&#10;">
                      <v:fill on="f" focussize="0,0"/>
                      <v:stroke color="#FF0000" joinstyle="round"/>
                      <v:imagedata o:title=""/>
                      <o:lock v:ext="edit" aspectratio="f"/>
                    </v:shape>
                  </w:pict>
                </mc:Fallback>
              </mc:AlternateContent>
            </w:r>
            <w:r>
              <w:rPr>
                <w:rFonts w:hint="default"/>
                <w:sz w:val="21"/>
              </w:rPr>
              <mc:AlternateContent>
                <mc:Choice Requires="wpg">
                  <w:drawing>
                    <wp:anchor distT="0" distB="0" distL="114300" distR="114300" simplePos="0" relativeHeight="251667456" behindDoc="0" locked="0" layoutInCell="1" allowOverlap="1">
                      <wp:simplePos x="0" y="0"/>
                      <wp:positionH relativeFrom="column">
                        <wp:posOffset>372110</wp:posOffset>
                      </wp:positionH>
                      <wp:positionV relativeFrom="paragraph">
                        <wp:posOffset>1264285</wp:posOffset>
                      </wp:positionV>
                      <wp:extent cx="410210" cy="391160"/>
                      <wp:effectExtent l="0" t="0" r="0" b="0"/>
                      <wp:wrapNone/>
                      <wp:docPr id="15" name="组合 15"/>
                      <wp:cNvGraphicFramePr/>
                      <a:graphic xmlns:a="http://schemas.openxmlformats.org/drawingml/2006/main">
                        <a:graphicData uri="http://schemas.microsoft.com/office/word/2010/wordprocessingGroup">
                          <wpg:wgp>
                            <wpg:cNvGrpSpPr/>
                            <wpg:grpSpPr>
                              <a:xfrm>
                                <a:off x="0" y="0"/>
                                <a:ext cx="410210" cy="391160"/>
                                <a:chOff x="7679" y="1295777"/>
                                <a:chExt cx="646" cy="616"/>
                              </a:xfrm>
                            </wpg:grpSpPr>
                            <wps:wsp>
                              <wps:cNvPr id="199" name="直接箭头连接符 199"/>
                              <wps:cNvCnPr/>
                              <wps:spPr>
                                <a:xfrm>
                                  <a:off x="7873" y="1295777"/>
                                  <a:ext cx="2" cy="258"/>
                                </a:xfrm>
                                <a:prstGeom prst="straightConnector1">
                                  <a:avLst/>
                                </a:prstGeom>
                                <a:ln w="9525" cap="flat" cmpd="sng">
                                  <a:solidFill>
                                    <a:srgbClr val="FF0000"/>
                                  </a:solidFill>
                                  <a:prstDash val="solid"/>
                                  <a:round/>
                                  <a:headEnd type="none" w="med" len="med"/>
                                  <a:tailEnd type="none" w="med" len="med"/>
                                </a:ln>
                              </wps:spPr>
                              <wps:bodyPr/>
                            </wps:wsp>
                            <wps:wsp>
                              <wps:cNvPr id="181" name="文本框 181"/>
                              <wps:cNvSpPr txBox="1"/>
                              <wps:spPr>
                                <a:xfrm>
                                  <a:off x="7679" y="1295959"/>
                                  <a:ext cx="647" cy="434"/>
                                </a:xfrm>
                                <a:prstGeom prst="rect">
                                  <a:avLst/>
                                </a:prstGeom>
                                <a:noFill/>
                                <a:ln>
                                  <a:noFill/>
                                </a:ln>
                                <a:effectLst/>
                              </wps:spPr>
                              <wps:txbx>
                                <w:txbxContent>
                                  <w:p w14:paraId="66B1D0CC">
                                    <w:pPr>
                                      <w:spacing w:line="240" w:lineRule="exact"/>
                                      <w:rPr>
                                        <w:rFonts w:hint="default" w:ascii="宋体" w:hAnsi="宋体" w:eastAsia="宋体" w:cs="Times New Roman"/>
                                        <w:b/>
                                        <w:color w:val="FF0000"/>
                                        <w:sz w:val="28"/>
                                        <w:szCs w:val="28"/>
                                        <w:lang w:val="en-US" w:eastAsia="zh-CN"/>
                                      </w:rPr>
                                    </w:pPr>
                                    <w:r>
                                      <w:rPr>
                                        <w:rFonts w:hint="default" w:ascii="宋体" w:hAnsi="宋体" w:eastAsia="宋体" w:cs="Times New Roman"/>
                                        <w:b/>
                                        <w:color w:val="FF0000"/>
                                        <w:sz w:val="28"/>
                                        <w:szCs w:val="28"/>
                                        <w:lang w:val="en-US" w:eastAsia="zh-CN"/>
                                      </w:rPr>
                                      <w:t>B</w:t>
                                    </w:r>
                                  </w:p>
                                </w:txbxContent>
                              </wps:txbx>
                              <wps:bodyPr upright="1"/>
                            </wps:wsp>
                          </wpg:wgp>
                        </a:graphicData>
                      </a:graphic>
                    </wp:anchor>
                  </w:drawing>
                </mc:Choice>
                <mc:Fallback>
                  <w:pict>
                    <v:group id="_x0000_s1026" o:spid="_x0000_s1026" o:spt="203" style="position:absolute;left:0pt;margin-left:29.3pt;margin-top:99.55pt;height:30.8pt;width:32.3pt;z-index:251667456;mso-width-relative:page;mso-height-relative:page;" coordorigin="7679,1295777" coordsize="646,616" o:gfxdata="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NxfqN2gAAAAoBAAAPAAAAAAAA&#10;AAEAIAAAACIAAABkcnMvZG93bnJldi54bWxQSwECFAAUAAAACACHTuJALkkFQfQCAAC1BgAADgAA&#10;AAAAAAABACAAAAApAQAAZHJzL2Uyb0RvYy54bWxQSwUGAAAAAAYABgBZAQAAjwYAAAAA&#10;">
                      <o:lock v:ext="edit" aspectratio="f"/>
                      <v:shape id="_x0000_s1026" o:spid="_x0000_s1026" o:spt="32" type="#_x0000_t32" style="position:absolute;left:7873;top:1295777;height:258;width:2;" filled="f" stroked="t" coordsize="21600,21600" o:gfxdata="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trNzvQAA&#10;ANwAAAAPAAAAAAAAAAEAIAAAACIAAABkcnMvZG93bnJldi54bWxQSwECFAAUAAAACACHTuJAMy8F&#10;njsAAAA5AAAAEAAAAAAAAAABACAAAAAMAQAAZHJzL3NoYXBleG1sLnhtbFBLBQYAAAAABgAGAFsB&#10;AAC2AwAAAAA=&#10;">
                        <v:fill on="f" focussize="0,0"/>
                        <v:stroke color="#FF0000" joinstyle="round"/>
                        <v:imagedata o:title=""/>
                        <o:lock v:ext="edit" aspectratio="f"/>
                      </v:shape>
                      <v:shape id="_x0000_s1026" o:spid="_x0000_s1026" o:spt="202" type="#_x0000_t202" style="position:absolute;left:7679;top:1295959;height:434;width:647;" filled="f" stroked="f" coordsize="21600,21600" o:gfxdata="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G+r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66B1D0CC">
                              <w:pPr>
                                <w:spacing w:line="240" w:lineRule="exact"/>
                                <w:rPr>
                                  <w:rFonts w:hint="default" w:ascii="宋体" w:hAnsi="宋体" w:eastAsia="宋体" w:cs="Times New Roman"/>
                                  <w:b/>
                                  <w:color w:val="FF0000"/>
                                  <w:sz w:val="28"/>
                                  <w:szCs w:val="28"/>
                                  <w:lang w:val="en-US" w:eastAsia="zh-CN"/>
                                </w:rPr>
                              </w:pPr>
                              <w:r>
                                <w:rPr>
                                  <w:rFonts w:hint="default" w:ascii="宋体" w:hAnsi="宋体" w:eastAsia="宋体" w:cs="Times New Roman"/>
                                  <w:b/>
                                  <w:color w:val="FF0000"/>
                                  <w:sz w:val="28"/>
                                  <w:szCs w:val="28"/>
                                  <w:lang w:val="en-US" w:eastAsia="zh-CN"/>
                                </w:rPr>
                                <w:t>B</w:t>
                              </w:r>
                            </w:p>
                          </w:txbxContent>
                        </v:textbox>
                      </v:shape>
                    </v:group>
                  </w:pict>
                </mc:Fallback>
              </mc:AlternateContent>
            </w:r>
            <w:r>
              <w:rPr>
                <w:rFonts w:hint="default"/>
                <w:sz w:val="21"/>
              </w:rPr>
              <mc:AlternateContent>
                <mc:Choice Requires="wpg">
                  <w:drawing>
                    <wp:anchor distT="0" distB="0" distL="114300" distR="114300" simplePos="0" relativeHeight="251670528" behindDoc="0" locked="0" layoutInCell="1" allowOverlap="1">
                      <wp:simplePos x="0" y="0"/>
                      <wp:positionH relativeFrom="column">
                        <wp:posOffset>1786255</wp:posOffset>
                      </wp:positionH>
                      <wp:positionV relativeFrom="paragraph">
                        <wp:posOffset>1270635</wp:posOffset>
                      </wp:positionV>
                      <wp:extent cx="391795" cy="423545"/>
                      <wp:effectExtent l="0" t="0" r="0" b="0"/>
                      <wp:wrapNone/>
                      <wp:docPr id="50" name="组合 50"/>
                      <wp:cNvGraphicFramePr/>
                      <a:graphic xmlns:a="http://schemas.openxmlformats.org/drawingml/2006/main">
                        <a:graphicData uri="http://schemas.microsoft.com/office/word/2010/wordprocessingGroup">
                          <wpg:wgp>
                            <wpg:cNvGrpSpPr/>
                            <wpg:grpSpPr>
                              <a:xfrm>
                                <a:off x="0" y="0"/>
                                <a:ext cx="391795" cy="423545"/>
                                <a:chOff x="9898" y="1296461"/>
                                <a:chExt cx="617" cy="667"/>
                              </a:xfrm>
                            </wpg:grpSpPr>
                            <wps:wsp>
                              <wps:cNvPr id="207" name="直接箭头连接符 207"/>
                              <wps:cNvCnPr/>
                              <wps:spPr>
                                <a:xfrm>
                                  <a:off x="10086" y="1296461"/>
                                  <a:ext cx="0" cy="296"/>
                                </a:xfrm>
                                <a:prstGeom prst="straightConnector1">
                                  <a:avLst/>
                                </a:prstGeom>
                                <a:ln w="9525" cap="flat" cmpd="sng">
                                  <a:solidFill>
                                    <a:srgbClr val="FF0000"/>
                                  </a:solidFill>
                                  <a:prstDash val="solid"/>
                                  <a:round/>
                                  <a:headEnd type="none" w="med" len="med"/>
                                  <a:tailEnd type="none" w="med" len="med"/>
                                </a:ln>
                              </wps:spPr>
                              <wps:bodyPr/>
                            </wps:wsp>
                            <wps:wsp>
                              <wps:cNvPr id="211" name="文本框 211"/>
                              <wps:cNvSpPr txBox="1"/>
                              <wps:spPr>
                                <a:xfrm>
                                  <a:off x="9898" y="1296694"/>
                                  <a:ext cx="617" cy="434"/>
                                </a:xfrm>
                                <a:prstGeom prst="rect">
                                  <a:avLst/>
                                </a:prstGeom>
                                <a:noFill/>
                                <a:ln>
                                  <a:noFill/>
                                </a:ln>
                                <a:effectLst/>
                              </wps:spPr>
                              <wps:txbx>
                                <w:txbxContent>
                                  <w:p w14:paraId="37784F6E">
                                    <w:pPr>
                                      <w:spacing w:line="240" w:lineRule="exact"/>
                                      <w:rPr>
                                        <w:rFonts w:hint="default" w:ascii="宋体" w:hAnsi="宋体" w:eastAsia="宋体" w:cs="Times New Roman"/>
                                        <w:b/>
                                        <w:color w:val="FF0000"/>
                                        <w:sz w:val="28"/>
                                        <w:szCs w:val="28"/>
                                        <w:lang w:val="en-US" w:eastAsia="zh-CN"/>
                                      </w:rPr>
                                    </w:pPr>
                                    <w:r>
                                      <w:rPr>
                                        <w:rFonts w:hint="eastAsia" w:ascii="宋体" w:hAnsi="宋体" w:eastAsia="宋体" w:cs="Times New Roman"/>
                                        <w:b/>
                                        <w:color w:val="FF0000"/>
                                        <w:sz w:val="28"/>
                                        <w:szCs w:val="28"/>
                                        <w:lang w:val="en-US" w:eastAsia="zh-CN"/>
                                      </w:rPr>
                                      <w:t>b</w:t>
                                    </w:r>
                                  </w:p>
                                </w:txbxContent>
                              </wps:txbx>
                              <wps:bodyPr upright="1"/>
                            </wps:wsp>
                          </wpg:wgp>
                        </a:graphicData>
                      </a:graphic>
                    </wp:anchor>
                  </w:drawing>
                </mc:Choice>
                <mc:Fallback>
                  <w:pict>
                    <v:group id="_x0000_s1026" o:spid="_x0000_s1026" o:spt="203" style="position:absolute;left:0pt;margin-left:140.65pt;margin-top:100.05pt;height:33.35pt;width:30.85pt;z-index:251670528;mso-width-relative:page;mso-height-relative:page;" coordorigin="9898,1296461" coordsize="617,667" o:gfxdata="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">
                      <o:lock v:ext="edit" aspectratio="f"/>
                      <v:shape id="_x0000_s1026" o:spid="_x0000_s1026" o:spt="32" type="#_x0000_t32" style="position:absolute;left:10086;top:1296461;height:296;width:0;" filled="f" stroked="t" coordsize="21600,21600" o:gfxdata="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KdmG/&#10;AAAA3AAAAA8AAAAAAAAAAQAgAAAAIgAAAGRycy9kb3ducmV2LnhtbFBLAQIUABQAAAAIAIdO4kAz&#10;LwWeOwAAADkAAAAQAAAAAAAAAAEAIAAAAA4BAABkcnMvc2hhcGV4bWwueG1sUEsFBgAAAAAGAAYA&#10;WwEAALgDAAAAAA==&#10;">
                        <v:fill on="f" focussize="0,0"/>
                        <v:stroke color="#FF0000" joinstyle="round"/>
                        <v:imagedata o:title=""/>
                        <o:lock v:ext="edit" aspectratio="f"/>
                      </v:shape>
                      <v:shape id="_x0000_s1026" o:spid="_x0000_s1026" o:spt="202" type="#_x0000_t202" style="position:absolute;left:9898;top:1296694;height:434;width:617;" filled="f" stroked="f" coordsize="21600,21600" o:gfxdata="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75KV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7784F6E">
                              <w:pPr>
                                <w:spacing w:line="240" w:lineRule="exact"/>
                                <w:rPr>
                                  <w:rFonts w:hint="default" w:ascii="宋体" w:hAnsi="宋体" w:eastAsia="宋体" w:cs="Times New Roman"/>
                                  <w:b/>
                                  <w:color w:val="FF0000"/>
                                  <w:sz w:val="28"/>
                                  <w:szCs w:val="28"/>
                                  <w:lang w:val="en-US" w:eastAsia="zh-CN"/>
                                </w:rPr>
                              </w:pPr>
                              <w:r>
                                <w:rPr>
                                  <w:rFonts w:hint="eastAsia" w:ascii="宋体" w:hAnsi="宋体" w:eastAsia="宋体" w:cs="Times New Roman"/>
                                  <w:b/>
                                  <w:color w:val="FF0000"/>
                                  <w:sz w:val="28"/>
                                  <w:szCs w:val="28"/>
                                  <w:lang w:val="en-US" w:eastAsia="zh-CN"/>
                                </w:rPr>
                                <w:t>b</w:t>
                              </w:r>
                            </w:p>
                          </w:txbxContent>
                        </v:textbox>
                      </v:shape>
                    </v:group>
                  </w:pict>
                </mc:Fallback>
              </mc:AlternateContent>
            </w:r>
            <w:r>
              <w:rPr>
                <w:rFonts w:hint="default"/>
                <w:sz w:val="21"/>
              </w:rPr>
              <mc:AlternateContent>
                <mc:Choice Requires="wpg">
                  <w:drawing>
                    <wp:anchor distT="0" distB="0" distL="114300" distR="114300" simplePos="0" relativeHeight="251669504" behindDoc="0" locked="0" layoutInCell="1" allowOverlap="1">
                      <wp:simplePos x="0" y="0"/>
                      <wp:positionH relativeFrom="column">
                        <wp:posOffset>1649730</wp:posOffset>
                      </wp:positionH>
                      <wp:positionV relativeFrom="paragraph">
                        <wp:posOffset>621030</wp:posOffset>
                      </wp:positionV>
                      <wp:extent cx="337820" cy="263525"/>
                      <wp:effectExtent l="0" t="0" r="0" b="0"/>
                      <wp:wrapNone/>
                      <wp:docPr id="49" name="组合 49"/>
                      <wp:cNvGraphicFramePr/>
                      <a:graphic xmlns:a="http://schemas.openxmlformats.org/drawingml/2006/main">
                        <a:graphicData uri="http://schemas.microsoft.com/office/word/2010/wordprocessingGroup">
                          <wpg:wgp>
                            <wpg:cNvGrpSpPr/>
                            <wpg:grpSpPr>
                              <a:xfrm>
                                <a:off x="0" y="0"/>
                                <a:ext cx="337820" cy="263525"/>
                                <a:chOff x="9655" y="1295627"/>
                                <a:chExt cx="532" cy="415"/>
                              </a:xfrm>
                            </wpg:grpSpPr>
                            <wps:wsp>
                              <wps:cNvPr id="205" name="直接连接符 205"/>
                              <wps:cNvCnPr/>
                              <wps:spPr>
                                <a:xfrm>
                                  <a:off x="9868" y="1295627"/>
                                  <a:ext cx="4" cy="176"/>
                                </a:xfrm>
                                <a:prstGeom prst="line">
                                  <a:avLst/>
                                </a:prstGeom>
                                <a:ln w="9525" cap="flat" cmpd="sng">
                                  <a:solidFill>
                                    <a:srgbClr val="FF0000"/>
                                  </a:solidFill>
                                  <a:prstDash val="solid"/>
                                  <a:headEnd type="none" w="med" len="med"/>
                                  <a:tailEnd type="none" w="med" len="med"/>
                                </a:ln>
                                <a:effectLst/>
                              </wps:spPr>
                              <wps:bodyPr upright="1"/>
                            </wps:wsp>
                            <wps:wsp>
                              <wps:cNvPr id="213" name="文本框 213"/>
                              <wps:cNvSpPr txBox="1"/>
                              <wps:spPr>
                                <a:xfrm>
                                  <a:off x="9655" y="1295706"/>
                                  <a:ext cx="533" cy="337"/>
                                </a:xfrm>
                                <a:prstGeom prst="rect">
                                  <a:avLst/>
                                </a:prstGeom>
                                <a:noFill/>
                                <a:ln>
                                  <a:noFill/>
                                </a:ln>
                                <a:effectLst/>
                              </wps:spPr>
                              <wps:txbx>
                                <w:txbxContent>
                                  <w:p w14:paraId="0864653D">
                                    <w:pPr>
                                      <w:spacing w:line="240" w:lineRule="exact"/>
                                      <w:rPr>
                                        <w:rFonts w:hint="default" w:ascii="宋体" w:hAnsi="宋体" w:eastAsia="宋体" w:cs="Times New Roman"/>
                                        <w:b/>
                                        <w:color w:val="FF0000"/>
                                        <w:sz w:val="28"/>
                                        <w:szCs w:val="28"/>
                                        <w:lang w:val="en-US" w:eastAsia="zh-CN"/>
                                      </w:rPr>
                                    </w:pPr>
                                    <w:r>
                                      <w:rPr>
                                        <w:rFonts w:hint="eastAsia" w:ascii="宋体" w:hAnsi="宋体" w:eastAsia="宋体" w:cs="Times New Roman"/>
                                        <w:b/>
                                        <w:color w:val="FF0000"/>
                                        <w:sz w:val="28"/>
                                        <w:szCs w:val="28"/>
                                        <w:lang w:val="en-US" w:eastAsia="zh-CN"/>
                                      </w:rPr>
                                      <w:t>c</w:t>
                                    </w:r>
                                  </w:p>
                                </w:txbxContent>
                              </wps:txbx>
                              <wps:bodyPr upright="1"/>
                            </wps:wsp>
                          </wpg:wgp>
                        </a:graphicData>
                      </a:graphic>
                    </wp:anchor>
                  </w:drawing>
                </mc:Choice>
                <mc:Fallback>
                  <w:pict>
                    <v:group id="_x0000_s1026" o:spid="_x0000_s1026" o:spt="203" style="position:absolute;left:0pt;margin-left:129.9pt;margin-top:48.9pt;height:20.75pt;width:26.6pt;z-index:251669504;mso-width-relative:page;mso-height-relative:page;" coordorigin="9655,1295627" coordsize="532,415" o:gfxdata="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eM5NSdoAAAAKAQAADwAAAAAAAAABACAAAAAiAAAAZHJzL2Rvd25yZXYueG1sUEsB&#10;AhQAFAAAAAgAh07iQPtwa2nXAgAAsQYAAA4AAAAAAAAAAQAgAAAAKQEAAGRycy9lMm9Eb2MueG1s&#10;UEsFBgAAAAAGAAYAWQEAAHIGAAAAAA==&#10;">
                      <o:lock v:ext="edit" aspectratio="f"/>
                      <v:line id="_x0000_s1026" o:spid="_x0000_s1026" o:spt="20" style="position:absolute;left:9868;top:1295627;height:176;width:4;" filled="f" stroked="t" coordsize="21600,21600" o:gfxdata="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DF4b4A&#10;AADcAAAADwAAAAAAAAABACAAAAAiAAAAZHJzL2Rvd25yZXYueG1sUEsBAhQAFAAAAAgAh07iQDMv&#10;BZ47AAAAOQAAABAAAAAAAAAAAQAgAAAADQEAAGRycy9zaGFwZXhtbC54bWxQSwUGAAAAAAYABgBb&#10;AQAAtwMAAAAA&#10;">
                        <v:fill on="f" focussize="0,0"/>
                        <v:stroke color="#FF0000" joinstyle="round"/>
                        <v:imagedata o:title=""/>
                        <o:lock v:ext="edit" aspectratio="f"/>
                      </v:line>
                      <v:shape id="_x0000_s1026" o:spid="_x0000_s1026" o:spt="202" type="#_x0000_t202" style="position:absolute;left:9655;top:1295706;height:337;width:533;" filled="f" stroked="f" coordsize="21600,21600" o:gfxdata="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Bxu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864653D">
                              <w:pPr>
                                <w:spacing w:line="240" w:lineRule="exact"/>
                                <w:rPr>
                                  <w:rFonts w:hint="default" w:ascii="宋体" w:hAnsi="宋体" w:eastAsia="宋体" w:cs="Times New Roman"/>
                                  <w:b/>
                                  <w:color w:val="FF0000"/>
                                  <w:sz w:val="28"/>
                                  <w:szCs w:val="28"/>
                                  <w:lang w:val="en-US" w:eastAsia="zh-CN"/>
                                </w:rPr>
                              </w:pPr>
                              <w:r>
                                <w:rPr>
                                  <w:rFonts w:hint="eastAsia" w:ascii="宋体" w:hAnsi="宋体" w:eastAsia="宋体" w:cs="Times New Roman"/>
                                  <w:b/>
                                  <w:color w:val="FF0000"/>
                                  <w:sz w:val="28"/>
                                  <w:szCs w:val="28"/>
                                  <w:lang w:val="en-US" w:eastAsia="zh-CN"/>
                                </w:rPr>
                                <w:t>c</w:t>
                              </w:r>
                            </w:p>
                          </w:txbxContent>
                        </v:textbox>
                      </v:shape>
                    </v:group>
                  </w:pict>
                </mc:Fallback>
              </mc:AlternateContent>
            </w:r>
            <w:r>
              <w:rPr>
                <w:rFonts w:hint="default"/>
                <w:sz w:val="21"/>
              </w:rPr>
              <mc:AlternateContent>
                <mc:Choice Requires="wpg">
                  <w:drawing>
                    <wp:anchor distT="0" distB="0" distL="114300" distR="114300" simplePos="0" relativeHeight="251668480" behindDoc="0" locked="0" layoutInCell="1" allowOverlap="1">
                      <wp:simplePos x="0" y="0"/>
                      <wp:positionH relativeFrom="column">
                        <wp:posOffset>495935</wp:posOffset>
                      </wp:positionH>
                      <wp:positionV relativeFrom="paragraph">
                        <wp:posOffset>627380</wp:posOffset>
                      </wp:positionV>
                      <wp:extent cx="277495" cy="311785"/>
                      <wp:effectExtent l="0" t="0" r="0" b="0"/>
                      <wp:wrapNone/>
                      <wp:docPr id="16" name="组合 16"/>
                      <wp:cNvGraphicFramePr/>
                      <a:graphic xmlns:a="http://schemas.openxmlformats.org/drawingml/2006/main">
                        <a:graphicData uri="http://schemas.microsoft.com/office/word/2010/wordprocessingGroup">
                          <wpg:wgp>
                            <wpg:cNvGrpSpPr/>
                            <wpg:grpSpPr>
                              <a:xfrm>
                                <a:off x="0" y="0"/>
                                <a:ext cx="277495" cy="311785"/>
                                <a:chOff x="7873" y="1294752"/>
                                <a:chExt cx="437" cy="523"/>
                              </a:xfrm>
                            </wpg:grpSpPr>
                            <wps:wsp>
                              <wps:cNvPr id="216" name="直接连接符 216"/>
                              <wps:cNvCnPr/>
                              <wps:spPr>
                                <a:xfrm>
                                  <a:off x="8086" y="1294752"/>
                                  <a:ext cx="1" cy="159"/>
                                </a:xfrm>
                                <a:prstGeom prst="line">
                                  <a:avLst/>
                                </a:prstGeom>
                                <a:ln w="9525" cap="flat" cmpd="sng">
                                  <a:solidFill>
                                    <a:srgbClr val="FF0000"/>
                                  </a:solidFill>
                                  <a:prstDash val="solid"/>
                                  <a:headEnd type="none" w="med" len="med"/>
                                  <a:tailEnd type="none" w="med" len="med"/>
                                </a:ln>
                                <a:effectLst/>
                              </wps:spPr>
                              <wps:bodyPr upright="1"/>
                            </wps:wsp>
                            <wps:wsp>
                              <wps:cNvPr id="215" name="文本框 215"/>
                              <wps:cNvSpPr txBox="1"/>
                              <wps:spPr>
                                <a:xfrm>
                                  <a:off x="7873" y="1294873"/>
                                  <a:ext cx="437" cy="402"/>
                                </a:xfrm>
                                <a:prstGeom prst="rect">
                                  <a:avLst/>
                                </a:prstGeom>
                                <a:noFill/>
                                <a:ln>
                                  <a:noFill/>
                                </a:ln>
                                <a:effectLst/>
                              </wps:spPr>
                              <wps:txbx>
                                <w:txbxContent>
                                  <w:p w14:paraId="238F5BAC">
                                    <w:pPr>
                                      <w:spacing w:line="240" w:lineRule="exact"/>
                                      <w:rPr>
                                        <w:rFonts w:hint="default" w:ascii="宋体" w:hAnsi="宋体" w:eastAsia="宋体" w:cs="Times New Roman"/>
                                        <w:b/>
                                        <w:color w:val="FF0000"/>
                                        <w:sz w:val="28"/>
                                        <w:szCs w:val="28"/>
                                        <w:lang w:val="en-US" w:eastAsia="zh-CN"/>
                                      </w:rPr>
                                    </w:pPr>
                                    <w:r>
                                      <w:rPr>
                                        <w:rFonts w:hint="eastAsia" w:ascii="宋体" w:hAnsi="宋体" w:eastAsia="宋体" w:cs="Times New Roman"/>
                                        <w:b/>
                                        <w:color w:val="FF0000"/>
                                        <w:sz w:val="28"/>
                                        <w:szCs w:val="28"/>
                                        <w:lang w:val="en-US" w:eastAsia="zh-CN"/>
                                      </w:rPr>
                                      <w:t>C</w:t>
                                    </w:r>
                                  </w:p>
                                </w:txbxContent>
                              </wps:txbx>
                              <wps:bodyPr upright="1"/>
                            </wps:wsp>
                          </wpg:wgp>
                        </a:graphicData>
                      </a:graphic>
                    </wp:anchor>
                  </w:drawing>
                </mc:Choice>
                <mc:Fallback>
                  <w:pict>
                    <v:group id="_x0000_s1026" o:spid="_x0000_s1026" o:spt="203" style="position:absolute;left:0pt;margin-left:39.05pt;margin-top:49.4pt;height:24.55pt;width:21.85pt;z-index:251668480;mso-width-relative:page;mso-height-relative:page;" coordorigin="7873,1294752" coordsize="437,523" o:gfxdata="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syF8LZAAAACQEAAA8AAAAAAAAAAQAgAAAAIgAAAGRycy9kb3ducmV2LnhtbFBLAQIUABQA&#10;AAAIAIdO4kAXXXYA0wIAALEGAAAOAAAAAAAAAAEAIAAAACgBAABkcnMvZTJvRG9jLnhtbFBLBQYA&#10;AAAABgAGAFkBAABtBgAAAAA=&#10;">
                      <o:lock v:ext="edit" aspectratio="f"/>
                      <v:line id="_x0000_s1026" o:spid="_x0000_s1026" o:spt="20" style="position:absolute;left:8086;top:1294752;height:159;width:1;" filled="f" stroked="t" coordsize="21600,21600" o:gfxdata="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vNS74A&#10;AADcAAAADwAAAAAAAAABACAAAAAiAAAAZHJzL2Rvd25yZXYueG1sUEsBAhQAFAAAAAgAh07iQDMv&#10;BZ47AAAAOQAAABAAAAAAAAAAAQAgAAAADQEAAGRycy9zaGFwZXhtbC54bWxQSwUGAAAAAAYABgBb&#10;AQAAtwMAAAAA&#10;">
                        <v:fill on="f" focussize="0,0"/>
                        <v:stroke color="#FF0000" joinstyle="round"/>
                        <v:imagedata o:title=""/>
                        <o:lock v:ext="edit" aspectratio="f"/>
                      </v:line>
                      <v:shape id="_x0000_s1026" o:spid="_x0000_s1026" o:spt="202" type="#_x0000_t202" style="position:absolute;left:7873;top:1294873;height:402;width:437;" filled="f" stroked="f" coordsize="21600,21600" o:gfxdata="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VMV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238F5BAC">
                              <w:pPr>
                                <w:spacing w:line="240" w:lineRule="exact"/>
                                <w:rPr>
                                  <w:rFonts w:hint="default" w:ascii="宋体" w:hAnsi="宋体" w:eastAsia="宋体" w:cs="Times New Roman"/>
                                  <w:b/>
                                  <w:color w:val="FF0000"/>
                                  <w:sz w:val="28"/>
                                  <w:szCs w:val="28"/>
                                  <w:lang w:val="en-US" w:eastAsia="zh-CN"/>
                                </w:rPr>
                              </w:pPr>
                              <w:r>
                                <w:rPr>
                                  <w:rFonts w:hint="eastAsia" w:ascii="宋体" w:hAnsi="宋体" w:eastAsia="宋体" w:cs="Times New Roman"/>
                                  <w:b/>
                                  <w:color w:val="FF0000"/>
                                  <w:sz w:val="28"/>
                                  <w:szCs w:val="28"/>
                                  <w:lang w:val="en-US" w:eastAsia="zh-CN"/>
                                </w:rPr>
                                <w:t>C</w:t>
                              </w:r>
                            </w:p>
                          </w:txbxContent>
                        </v:textbox>
                      </v:shape>
                    </v:group>
                  </w:pict>
                </mc:Fallback>
              </mc:AlternateContent>
            </w:r>
            <w:r>
              <w:rPr>
                <w:rFonts w:hint="default"/>
                <w:sz w:val="21"/>
              </w:rPr>
              <mc:AlternateContent>
                <mc:Choice Requires="wpg">
                  <w:drawing>
                    <wp:anchor distT="0" distB="0" distL="114300" distR="114300" simplePos="0" relativeHeight="251680768" behindDoc="0" locked="0" layoutInCell="1" allowOverlap="1">
                      <wp:simplePos x="0" y="0"/>
                      <wp:positionH relativeFrom="column">
                        <wp:posOffset>327660</wp:posOffset>
                      </wp:positionH>
                      <wp:positionV relativeFrom="paragraph">
                        <wp:posOffset>183515</wp:posOffset>
                      </wp:positionV>
                      <wp:extent cx="485140" cy="328930"/>
                      <wp:effectExtent l="0" t="0" r="0" b="0"/>
                      <wp:wrapNone/>
                      <wp:docPr id="46" name="组合 46"/>
                      <wp:cNvGraphicFramePr/>
                      <a:graphic xmlns:a="http://schemas.openxmlformats.org/drawingml/2006/main">
                        <a:graphicData uri="http://schemas.microsoft.com/office/word/2010/wordprocessingGroup">
                          <wpg:wgp>
                            <wpg:cNvGrpSpPr/>
                            <wpg:grpSpPr>
                              <a:xfrm>
                                <a:off x="0" y="0"/>
                                <a:ext cx="485140" cy="328930"/>
                                <a:chOff x="7307" y="1294763"/>
                                <a:chExt cx="764" cy="518"/>
                              </a:xfrm>
                            </wpg:grpSpPr>
                            <wps:wsp>
                              <wps:cNvPr id="221" name="直接连接符 221"/>
                              <wps:cNvCnPr/>
                              <wps:spPr>
                                <a:xfrm>
                                  <a:off x="7526" y="1294763"/>
                                  <a:ext cx="1" cy="159"/>
                                </a:xfrm>
                                <a:prstGeom prst="line">
                                  <a:avLst/>
                                </a:prstGeom>
                                <a:ln w="9525" cap="flat" cmpd="sng">
                                  <a:solidFill>
                                    <a:srgbClr val="FF0000"/>
                                  </a:solidFill>
                                  <a:prstDash val="solid"/>
                                  <a:headEnd type="none" w="med" len="med"/>
                                  <a:tailEnd type="none" w="med" len="med"/>
                                </a:ln>
                                <a:effectLst/>
                              </wps:spPr>
                              <wps:bodyPr upright="1"/>
                            </wps:wsp>
                            <wps:wsp>
                              <wps:cNvPr id="224" name="文本框 224"/>
                              <wps:cNvSpPr txBox="1"/>
                              <wps:spPr>
                                <a:xfrm>
                                  <a:off x="7307" y="1294861"/>
                                  <a:ext cx="764" cy="421"/>
                                </a:xfrm>
                                <a:prstGeom prst="rect">
                                  <a:avLst/>
                                </a:prstGeom>
                                <a:noFill/>
                                <a:ln>
                                  <a:noFill/>
                                </a:ln>
                                <a:effectLst/>
                              </wps:spPr>
                              <wps:txbx>
                                <w:txbxContent>
                                  <w:p w14:paraId="35DB554B">
                                    <w:pPr>
                                      <w:spacing w:line="240" w:lineRule="exact"/>
                                      <w:rPr>
                                        <w:rFonts w:hint="eastAsia" w:ascii="宋体" w:hAnsi="宋体" w:eastAsia="宋体" w:cs="Calibri"/>
                                        <w:b/>
                                        <w:color w:val="FF0000"/>
                                        <w:szCs w:val="21"/>
                                        <w:lang w:val="en-US" w:eastAsia="zh-CN"/>
                                      </w:rPr>
                                    </w:pPr>
                                    <w:r>
                                      <w:rPr>
                                        <w:rFonts w:hint="eastAsia" w:ascii="宋体" w:hAnsi="宋体" w:eastAsia="宋体" w:cs="Calibri"/>
                                        <w:b/>
                                        <w:color w:val="FF0000"/>
                                        <w:szCs w:val="21"/>
                                        <w:lang w:val="en-US" w:eastAsia="zh-CN"/>
                                      </w:rPr>
                                      <w:t>地线</w:t>
                                    </w:r>
                                  </w:p>
                                </w:txbxContent>
                              </wps:txbx>
                              <wps:bodyPr upright="1"/>
                            </wps:wsp>
                          </wpg:wgp>
                        </a:graphicData>
                      </a:graphic>
                    </wp:anchor>
                  </w:drawing>
                </mc:Choice>
                <mc:Fallback>
                  <w:pict>
                    <v:group id="_x0000_s1026" o:spid="_x0000_s1026" o:spt="203" style="position:absolute;left:0pt;margin-left:25.8pt;margin-top:14.45pt;height:25.9pt;width:38.2pt;z-index:251680768;mso-width-relative:page;mso-height-relative:page;" coordorigin="7307,1294763" coordsize="764,518" o:gfxdata="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M+a5BPYAAAACAEAAA8AAAAAAAAAAQAgAAAAIgAAAGRycy9kb3ducmV2LnhtbFBLAQIUABQA&#10;AAAIAIdO4kB6RFgi1AIAALEGAAAOAAAAAAAAAAEAIAAAACcBAABkcnMvZTJvRG9jLnhtbFBLBQYA&#10;AAAABgAGAFkBAABtBgAAAAA=&#10;">
                      <o:lock v:ext="edit" aspectratio="f"/>
                      <v:line id="_x0000_s1026" o:spid="_x0000_s1026" o:spt="20" style="position:absolute;left:7526;top:1294763;height:159;width:1;" filled="f" stroked="t" coordsize="21600,21600" o:gfxdata="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Pp+CvQAA&#10;ANwAAAAPAAAAAAAAAAEAIAAAACIAAABkcnMvZG93bnJldi54bWxQSwECFAAUAAAACACHTuJAMy8F&#10;njsAAAA5AAAAEAAAAAAAAAABACAAAAAMAQAAZHJzL3NoYXBleG1sLnhtbFBLBQYAAAAABgAGAFsB&#10;AAC2AwAAAAA=&#10;">
                        <v:fill on="f" focussize="0,0"/>
                        <v:stroke color="#FF0000" joinstyle="round"/>
                        <v:imagedata o:title=""/>
                        <o:lock v:ext="edit" aspectratio="f"/>
                      </v:line>
                      <v:shape id="_x0000_s1026" o:spid="_x0000_s1026" o:spt="202" type="#_x0000_t202" style="position:absolute;left:7307;top:1294861;height:421;width:764;" filled="f" stroked="f" coordsize="21600,21600" o:gfxdata="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Ujc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5DB554B">
                              <w:pPr>
                                <w:spacing w:line="240" w:lineRule="exact"/>
                                <w:rPr>
                                  <w:rFonts w:hint="eastAsia" w:ascii="宋体" w:hAnsi="宋体" w:eastAsia="宋体" w:cs="Calibri"/>
                                  <w:b/>
                                  <w:color w:val="FF0000"/>
                                  <w:szCs w:val="21"/>
                                  <w:lang w:val="en-US" w:eastAsia="zh-CN"/>
                                </w:rPr>
                              </w:pPr>
                              <w:r>
                                <w:rPr>
                                  <w:rFonts w:hint="eastAsia" w:ascii="宋体" w:hAnsi="宋体" w:eastAsia="宋体" w:cs="Calibri"/>
                                  <w:b/>
                                  <w:color w:val="FF0000"/>
                                  <w:szCs w:val="21"/>
                                  <w:lang w:val="en-US" w:eastAsia="zh-CN"/>
                                </w:rPr>
                                <w:t>地线</w:t>
                              </w:r>
                            </w:p>
                          </w:txbxContent>
                        </v:textbox>
                      </v:shape>
                    </v:group>
                  </w:pict>
                </mc:Fallback>
              </mc:AlternateContent>
            </w:r>
            <w:r>
              <w:rPr>
                <w:rFonts w:hint="default"/>
                <w:sz w:val="21"/>
              </w:rPr>
              <mc:AlternateContent>
                <mc:Choice Requires="wps">
                  <w:drawing>
                    <wp:anchor distT="0" distB="0" distL="114300" distR="114300" simplePos="0" relativeHeight="251675648" behindDoc="0" locked="0" layoutInCell="1" allowOverlap="1">
                      <wp:simplePos x="0" y="0"/>
                      <wp:positionH relativeFrom="column">
                        <wp:posOffset>-28575</wp:posOffset>
                      </wp:positionH>
                      <wp:positionV relativeFrom="paragraph">
                        <wp:posOffset>352425</wp:posOffset>
                      </wp:positionV>
                      <wp:extent cx="483870" cy="186690"/>
                      <wp:effectExtent l="148590" t="0" r="0" b="0"/>
                      <wp:wrapNone/>
                      <wp:docPr id="20" name="文本框 20"/>
                      <wp:cNvGraphicFramePr/>
                      <a:graphic xmlns:a="http://schemas.openxmlformats.org/drawingml/2006/main">
                        <a:graphicData uri="http://schemas.microsoft.com/office/word/2010/wordprocessingShape">
                          <wps:wsp>
                            <wps:cNvSpPr txBox="1"/>
                            <wps:spPr>
                              <a:xfrm rot="16200000">
                                <a:off x="0" y="0"/>
                                <a:ext cx="483870" cy="186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A89F68">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eastAsia="宋体"/>
                                      <w:b/>
                                      <w:bCs/>
                                      <w:color w:val="0000FF"/>
                                      <w:sz w:val="18"/>
                                      <w:szCs w:val="18"/>
                                      <w:lang w:val="en-US" w:eastAsia="zh-CN"/>
                                    </w:rPr>
                                  </w:pPr>
                                  <w:r>
                                    <w:rPr>
                                      <w:rFonts w:hint="eastAsia"/>
                                      <w:b/>
                                      <w:bCs/>
                                      <w:color w:val="0000FF"/>
                                      <w:sz w:val="18"/>
                                      <w:szCs w:val="18"/>
                                      <w:lang w:val="en-US" w:eastAsia="zh-CN"/>
                                    </w:rPr>
                                    <w:t>4500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pt;margin-top:27.75pt;height:14.7pt;width:38.1pt;rotation:-5898240f;z-index:251675648;mso-width-relative:page;mso-height-relative:page;" filled="f" stroked="f" coordsize="21600,21600" o:gfxdata="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jKcl9cAAAAHAQAADwAAAAAAAAABACAAAAAi&#10;AAAAZHJzL2Rvd25yZXYueG1sUEsBAhQAFAAAAAgAh07iQGdUAt1EAgAAdgQAAA4AAAAAAAAAAQAg&#10;AAAAJgEAAGRycy9lMm9Eb2MueG1sUEsFBgAAAAAGAAYAWQEAANwFAAAAAA==&#10;">
                      <v:fill on="f" focussize="0,0"/>
                      <v:stroke on="f" weight="0.5pt"/>
                      <v:imagedata o:title=""/>
                      <o:lock v:ext="edit" aspectratio="f"/>
                      <v:textbox>
                        <w:txbxContent>
                          <w:p w14:paraId="43A89F68">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eastAsia="宋体"/>
                                <w:b/>
                                <w:bCs/>
                                <w:color w:val="0000FF"/>
                                <w:sz w:val="18"/>
                                <w:szCs w:val="18"/>
                                <w:lang w:val="en-US" w:eastAsia="zh-CN"/>
                              </w:rPr>
                            </w:pPr>
                            <w:r>
                              <w:rPr>
                                <w:rFonts w:hint="eastAsia"/>
                                <w:b/>
                                <w:bCs/>
                                <w:color w:val="0000FF"/>
                                <w:sz w:val="18"/>
                                <w:szCs w:val="18"/>
                                <w:lang w:val="en-US" w:eastAsia="zh-CN"/>
                              </w:rPr>
                              <w:t>4500</w:t>
                            </w:r>
                          </w:p>
                        </w:txbxContent>
                      </v:textbox>
                    </v:shape>
                  </w:pict>
                </mc:Fallback>
              </mc:AlternateContent>
            </w:r>
            <w:r>
              <w:rPr>
                <w:rFonts w:hint="default"/>
                <w:sz w:val="21"/>
              </w:rPr>
              <mc:AlternateContent>
                <mc:Choice Requires="wpg">
                  <w:drawing>
                    <wp:anchor distT="0" distB="0" distL="114300" distR="114300" simplePos="0" relativeHeight="251674624" behindDoc="0" locked="0" layoutInCell="1" allowOverlap="1">
                      <wp:simplePos x="0" y="0"/>
                      <wp:positionH relativeFrom="column">
                        <wp:posOffset>1702435</wp:posOffset>
                      </wp:positionH>
                      <wp:positionV relativeFrom="paragraph">
                        <wp:posOffset>177165</wp:posOffset>
                      </wp:positionV>
                      <wp:extent cx="485140" cy="399415"/>
                      <wp:effectExtent l="0" t="0" r="0" b="0"/>
                      <wp:wrapNone/>
                      <wp:docPr id="45" name="组合 45"/>
                      <wp:cNvGraphicFramePr/>
                      <a:graphic xmlns:a="http://schemas.openxmlformats.org/drawingml/2006/main">
                        <a:graphicData uri="http://schemas.microsoft.com/office/word/2010/wordprocessingGroup">
                          <wpg:wgp>
                            <wpg:cNvGrpSpPr/>
                            <wpg:grpSpPr>
                              <a:xfrm>
                                <a:off x="0" y="0"/>
                                <a:ext cx="485140" cy="399415"/>
                                <a:chOff x="9745" y="1294760"/>
                                <a:chExt cx="764" cy="629"/>
                              </a:xfrm>
                            </wpg:grpSpPr>
                            <wps:wsp>
                              <wps:cNvPr id="222" name="直接连接符 222"/>
                              <wps:cNvCnPr/>
                              <wps:spPr>
                                <a:xfrm>
                                  <a:off x="10119" y="1294760"/>
                                  <a:ext cx="1" cy="159"/>
                                </a:xfrm>
                                <a:prstGeom prst="line">
                                  <a:avLst/>
                                </a:prstGeom>
                                <a:ln w="9525" cap="flat" cmpd="sng">
                                  <a:solidFill>
                                    <a:srgbClr val="FF0000"/>
                                  </a:solidFill>
                                  <a:prstDash val="solid"/>
                                  <a:headEnd type="none" w="med" len="med"/>
                                  <a:tailEnd type="none" w="med" len="med"/>
                                </a:ln>
                                <a:effectLst/>
                              </wps:spPr>
                              <wps:bodyPr upright="1"/>
                            </wps:wsp>
                            <wps:wsp>
                              <wps:cNvPr id="225" name="文本框 225"/>
                              <wps:cNvSpPr txBox="1"/>
                              <wps:spPr>
                                <a:xfrm>
                                  <a:off x="9745" y="1294903"/>
                                  <a:ext cx="764" cy="486"/>
                                </a:xfrm>
                                <a:prstGeom prst="rect">
                                  <a:avLst/>
                                </a:prstGeom>
                                <a:noFill/>
                                <a:ln>
                                  <a:noFill/>
                                </a:ln>
                                <a:effectLst/>
                              </wps:spPr>
                              <wps:txbx>
                                <w:txbxContent>
                                  <w:p w14:paraId="6A43F293">
                                    <w:pPr>
                                      <w:spacing w:line="240" w:lineRule="exact"/>
                                      <w:rPr>
                                        <w:rFonts w:hint="eastAsia" w:ascii="宋体" w:hAnsi="宋体" w:eastAsia="宋体" w:cs="Calibri"/>
                                        <w:b/>
                                        <w:color w:val="FF0000"/>
                                        <w:szCs w:val="21"/>
                                        <w:lang w:val="en-US" w:eastAsia="zh-CN"/>
                                      </w:rPr>
                                    </w:pPr>
                                    <w:r>
                                      <w:rPr>
                                        <w:rFonts w:hint="eastAsia" w:ascii="宋体" w:hAnsi="宋体" w:eastAsia="宋体" w:cs="Calibri"/>
                                        <w:b/>
                                        <w:color w:val="FF0000"/>
                                        <w:szCs w:val="21"/>
                                        <w:lang w:val="en-US" w:eastAsia="zh-CN"/>
                                      </w:rPr>
                                      <w:t>地线</w:t>
                                    </w:r>
                                  </w:p>
                                </w:txbxContent>
                              </wps:txbx>
                              <wps:bodyPr upright="1"/>
                            </wps:wsp>
                          </wpg:wgp>
                        </a:graphicData>
                      </a:graphic>
                    </wp:anchor>
                  </w:drawing>
                </mc:Choice>
                <mc:Fallback>
                  <w:pict>
                    <v:group id="_x0000_s1026" o:spid="_x0000_s1026" o:spt="203" style="position:absolute;left:0pt;margin-left:134.05pt;margin-top:13.95pt;height:31.45pt;width:38.2pt;z-index:251674624;mso-width-relative:page;mso-height-relative:page;" coordorigin="9745,1294760" coordsize="764,629" o:gfxdata="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7toOo2gAAAAkBAAAPAAAAAAAAAAEAIAAAACIAAABkcnMvZG93bnJldi54bWxQSwECFAAU&#10;AAAACACHTuJAeMwJvNMCAACyBgAADgAAAAAAAAABACAAAAApAQAAZHJzL2Uyb0RvYy54bWxQSwUG&#10;AAAAAAYABgBZAQAAbgYAAAAA&#10;">
                      <o:lock v:ext="edit" aspectratio="f"/>
                      <v:line id="_x0000_s1026" o:spid="_x0000_s1026" o:spt="20" style="position:absolute;left:10119;top:1294760;height:159;width:1;" filled="f" stroked="t" coordsize="21600,21600" o:gfxdata="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ewB9b4A&#10;AADcAAAADwAAAAAAAAABACAAAAAiAAAAZHJzL2Rvd25yZXYueG1sUEsBAhQAFAAAAAgAh07iQDMv&#10;BZ47AAAAOQAAABAAAAAAAAAAAQAgAAAADQEAAGRycy9zaGFwZXhtbC54bWxQSwUGAAAAAAYABgBb&#10;AQAAtwMAAAAA&#10;">
                        <v:fill on="f" focussize="0,0"/>
                        <v:stroke color="#FF0000" joinstyle="round"/>
                        <v:imagedata o:title=""/>
                        <o:lock v:ext="edit" aspectratio="f"/>
                      </v:line>
                      <v:shape id="_x0000_s1026" o:spid="_x0000_s1026" o:spt="202" type="#_x0000_t202" style="position:absolute;left:9745;top:1294903;height:486;width:764;" filled="f" stroked="f" coordsize="21600,21600" o:gfxdata="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phum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6A43F293">
                              <w:pPr>
                                <w:spacing w:line="240" w:lineRule="exact"/>
                                <w:rPr>
                                  <w:rFonts w:hint="eastAsia" w:ascii="宋体" w:hAnsi="宋体" w:eastAsia="宋体" w:cs="Calibri"/>
                                  <w:b/>
                                  <w:color w:val="FF0000"/>
                                  <w:szCs w:val="21"/>
                                  <w:lang w:val="en-US" w:eastAsia="zh-CN"/>
                                </w:rPr>
                              </w:pPr>
                              <w:r>
                                <w:rPr>
                                  <w:rFonts w:hint="eastAsia" w:ascii="宋体" w:hAnsi="宋体" w:eastAsia="宋体" w:cs="Calibri"/>
                                  <w:b/>
                                  <w:color w:val="FF0000"/>
                                  <w:szCs w:val="21"/>
                                  <w:lang w:val="en-US" w:eastAsia="zh-CN"/>
                                </w:rPr>
                                <w:t>地线</w:t>
                              </w:r>
                            </w:p>
                          </w:txbxContent>
                        </v:textbox>
                      </v:shape>
                    </v:group>
                  </w:pict>
                </mc:Fallback>
              </mc:AlternateContent>
            </w:r>
            <w:r>
              <w:rPr>
                <w:rFonts w:hint="default"/>
                <w:sz w:val="21"/>
              </w:rPr>
              <mc:AlternateContent>
                <mc:Choice Requires="wpg">
                  <w:drawing>
                    <wp:anchor distT="0" distB="0" distL="114300" distR="114300" simplePos="0" relativeHeight="251664384" behindDoc="0" locked="0" layoutInCell="1" allowOverlap="1">
                      <wp:simplePos x="0" y="0"/>
                      <wp:positionH relativeFrom="column">
                        <wp:posOffset>488950</wp:posOffset>
                      </wp:positionH>
                      <wp:positionV relativeFrom="paragraph">
                        <wp:posOffset>2265045</wp:posOffset>
                      </wp:positionV>
                      <wp:extent cx="1692275" cy="290830"/>
                      <wp:effectExtent l="0" t="4445" r="0" b="0"/>
                      <wp:wrapNone/>
                      <wp:docPr id="30" name="组合 30"/>
                      <wp:cNvGraphicFramePr/>
                      <a:graphic xmlns:a="http://schemas.openxmlformats.org/drawingml/2006/main">
                        <a:graphicData uri="http://schemas.microsoft.com/office/word/2010/wordprocessingGroup">
                          <wpg:wgp>
                            <wpg:cNvGrpSpPr/>
                            <wpg:grpSpPr>
                              <a:xfrm>
                                <a:off x="0" y="0"/>
                                <a:ext cx="1692024" cy="290814"/>
                                <a:chOff x="7687" y="1297512"/>
                                <a:chExt cx="2665" cy="458"/>
                              </a:xfrm>
                            </wpg:grpSpPr>
                            <wps:wsp>
                              <wps:cNvPr id="217" name="直接箭头连接符 217"/>
                              <wps:cNvCnPr/>
                              <wps:spPr>
                                <a:xfrm>
                                  <a:off x="9194" y="1297605"/>
                                  <a:ext cx="928" cy="0"/>
                                </a:xfrm>
                                <a:prstGeom prst="straightConnector1">
                                  <a:avLst/>
                                </a:prstGeom>
                                <a:ln w="9525" cap="flat" cmpd="sng">
                                  <a:solidFill>
                                    <a:srgbClr val="000000"/>
                                  </a:solidFill>
                                  <a:prstDash val="dash"/>
                                  <a:headEnd type="none" w="med" len="med"/>
                                  <a:tailEnd type="triangle" w="med" len="med"/>
                                </a:ln>
                                <a:effectLst/>
                              </wps:spPr>
                              <wps:bodyPr/>
                            </wps:wsp>
                            <wpg:grpSp>
                              <wpg:cNvPr id="13" name="组合 13"/>
                              <wpg:cNvGrpSpPr/>
                              <wpg:grpSpPr>
                                <a:xfrm>
                                  <a:off x="7687" y="1297512"/>
                                  <a:ext cx="2665" cy="458"/>
                                  <a:chOff x="7827" y="1297585"/>
                                  <a:chExt cx="2665" cy="458"/>
                                </a:xfrm>
                              </wpg:grpSpPr>
                              <wps:wsp>
                                <wps:cNvPr id="171" name="直接箭头连接符 171"/>
                                <wps:cNvCnPr/>
                                <wps:spPr>
                                  <a:xfrm flipH="1">
                                    <a:off x="7827" y="1297682"/>
                                    <a:ext cx="1108" cy="0"/>
                                  </a:xfrm>
                                  <a:prstGeom prst="straightConnector1">
                                    <a:avLst/>
                                  </a:prstGeom>
                                  <a:ln w="9525" cap="flat" cmpd="sng">
                                    <a:solidFill>
                                      <a:srgbClr val="000000"/>
                                    </a:solidFill>
                                    <a:prstDash val="dash"/>
                                    <a:headEnd type="none" w="med" len="med"/>
                                    <a:tailEnd type="triangle" w="med" len="med"/>
                                  </a:ln>
                                  <a:effectLst/>
                                </wps:spPr>
                                <wps:bodyPr/>
                              </wps:wsp>
                              <wpg:grpSp>
                                <wpg:cNvPr id="167" name="组合 167"/>
                                <wpg:cNvGrpSpPr/>
                                <wpg:grpSpPr>
                                  <a:xfrm>
                                    <a:off x="8775" y="1297585"/>
                                    <a:ext cx="1717" cy="458"/>
                                    <a:chOff x="7860" y="14678"/>
                                    <a:chExt cx="1625" cy="431"/>
                                  </a:xfrm>
                                  <a:effectLst/>
                                </wpg:grpSpPr>
                                <wps:wsp>
                                  <wps:cNvPr id="168" name="椭圆 52"/>
                                  <wps:cNvSpPr/>
                                  <wps:spPr>
                                    <a:xfrm>
                                      <a:off x="8097" y="14678"/>
                                      <a:ext cx="109" cy="113"/>
                                    </a:xfrm>
                                    <a:prstGeom prst="ellipse">
                                      <a:avLst/>
                                    </a:prstGeom>
                                    <a:solidFill>
                                      <a:srgbClr val="000000"/>
                                    </a:solidFill>
                                    <a:ln w="9525" cap="flat" cmpd="sng">
                                      <a:solidFill>
                                        <a:srgbClr val="000000"/>
                                      </a:solidFill>
                                      <a:prstDash val="solid"/>
                                      <a:headEnd type="none" w="med" len="med"/>
                                      <a:tailEnd type="none" w="med" len="med"/>
                                    </a:ln>
                                    <a:effectLst/>
                                  </wps:spPr>
                                  <wps:bodyPr upright="1"/>
                                </wps:wsp>
                                <wps:wsp>
                                  <wps:cNvPr id="169" name="文本框 53"/>
                                  <wps:cNvSpPr txBox="1"/>
                                  <wps:spPr>
                                    <a:xfrm>
                                      <a:off x="7860" y="14735"/>
                                      <a:ext cx="603" cy="374"/>
                                    </a:xfrm>
                                    <a:prstGeom prst="rect">
                                      <a:avLst/>
                                    </a:prstGeom>
                                    <a:noFill/>
                                    <a:ln>
                                      <a:noFill/>
                                    </a:ln>
                                    <a:effectLst/>
                                  </wps:spPr>
                                  <wps:txbx>
                                    <w:txbxContent>
                                      <w:p w14:paraId="1EF5D71D">
                                        <w:pPr>
                                          <w:snapToGrid w:val="0"/>
                                          <w:rPr>
                                            <w:rFonts w:ascii="Times New Roman" w:hAnsi="Times New Roman" w:eastAsia="宋体" w:cs="Times New Roman"/>
                                            <w:sz w:val="16"/>
                                            <w:szCs w:val="24"/>
                                          </w:rPr>
                                        </w:pPr>
                                        <w:r>
                                          <w:rPr>
                                            <w:rFonts w:ascii="Times New Roman" w:hAnsi="Times New Roman" w:eastAsia="宋体" w:cs="Times New Roman"/>
                                            <w:sz w:val="16"/>
                                            <w:szCs w:val="24"/>
                                          </w:rPr>
                                          <w:t>(0,0)</w:t>
                                        </w:r>
                                      </w:p>
                                    </w:txbxContent>
                                  </wps:txbx>
                                  <wps:bodyPr upright="1"/>
                                </wps:wsp>
                                <wps:wsp>
                                  <wps:cNvPr id="170" name="文本框 55"/>
                                  <wps:cNvSpPr txBox="1"/>
                                  <wps:spPr>
                                    <a:xfrm>
                                      <a:off x="8460" y="14702"/>
                                      <a:ext cx="1025" cy="374"/>
                                    </a:xfrm>
                                    <a:prstGeom prst="rect">
                                      <a:avLst/>
                                    </a:prstGeom>
                                    <a:noFill/>
                                    <a:ln>
                                      <a:noFill/>
                                    </a:ln>
                                    <a:effectLst/>
                                  </wps:spPr>
                                  <wps:txbx>
                                    <w:txbxContent>
                                      <w:p w14:paraId="1673DFBF">
                                        <w:pPr>
                                          <w:snapToGrid w:val="0"/>
                                          <w:rPr>
                                            <w:rFonts w:ascii="Times New Roman" w:hAnsi="Times New Roman" w:eastAsia="宋体" w:cs="Times New Roman"/>
                                            <w:sz w:val="16"/>
                                            <w:szCs w:val="24"/>
                                          </w:rPr>
                                        </w:pPr>
                                        <w:r>
                                          <w:rPr>
                                            <w:rFonts w:hint="eastAsia" w:ascii="Times New Roman" w:hAnsi="Times New Roman" w:eastAsia="宋体" w:cs="Times New Roman"/>
                                            <w:sz w:val="16"/>
                                            <w:szCs w:val="24"/>
                                          </w:rPr>
                                          <w:t>计算路径</w:t>
                                        </w:r>
                                      </w:p>
                                    </w:txbxContent>
                                  </wps:txbx>
                                  <wps:bodyPr upright="1"/>
                                </wps:wsp>
                              </wpg:grpSp>
                            </wpg:grpSp>
                          </wpg:wgp>
                        </a:graphicData>
                      </a:graphic>
                    </wp:anchor>
                  </w:drawing>
                </mc:Choice>
                <mc:Fallback>
                  <w:pict>
                    <v:group id="_x0000_s1026" o:spid="_x0000_s1026" o:spt="203" style="position:absolute;left:0pt;margin-left:38.5pt;margin-top:178.35pt;height:22.9pt;width:133.25pt;z-index:251664384;mso-width-relative:page;mso-height-relative:page;" coordorigin="7687,1297512" coordsize="2665,458" o:gfxdata="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">
                      <o:lock v:ext="edit" aspectratio="f"/>
                      <v:shape id="_x0000_s1026" o:spid="_x0000_s1026" o:spt="32" type="#_x0000_t32" style="position:absolute;left:9194;top:1297605;height:0;width:928;" filled="f" stroked="t" coordsize="21600,21600" o:gfxdata="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iJ4r4A&#10;AADc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shape>
                      <v:group id="_x0000_s1026" o:spid="_x0000_s1026" o:spt="203" style="position:absolute;left:7687;top:1297512;height:458;width:2665;" coordorigin="7827,1297585" coordsize="2665,458"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_x0000_s1026" o:spid="_x0000_s1026" o:spt="32" type="#_x0000_t32" style="position:absolute;left:7827;top:1297682;flip:x;height:0;width:1108;" filled="f" stroked="t" coordsize="21600,21600" o:gfxdata="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Yk7om5AAAA3A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shape>
                        <v:group id="_x0000_s1026" o:spid="_x0000_s1026" o:spt="203" style="position:absolute;left:8775;top:1297585;height:458;width:1717;" coordorigin="7860,14678" coordsize="1625,431" o:gfxdata="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6zgBb0AAADcAAAADwAAAAAAAAABACAAAAAiAAAAZHJzL2Rvd25yZXYueG1s&#10;UEsBAhQAFAAAAAgAh07iQDMvBZ47AAAAOQAAABUAAAAAAAAAAQAgAAAADAEAAGRycy9ncm91cHNo&#10;YXBleG1sLnhtbFBLBQYAAAAABgAGAGABAADJAwAAAAA=&#10;">
                          <o:lock v:ext="edit" aspectratio="f"/>
                          <v:shape id="椭圆 52" o:spid="_x0000_s1026" o:spt="3" type="#_x0000_t3" style="position:absolute;left:8097;top:14678;height:113;width:109;" fillcolor="#000000" filled="t" stroked="t" coordsize="21600,21600" o:gfxdata="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Lh3B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文本框 53" o:spid="_x0000_s1026" o:spt="202" type="#_x0000_t202" style="position:absolute;left:7860;top:14735;height:374;width:603;" filled="f" stroked="f" coordsize="21600,21600" o:gfxdata="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61RQ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1EF5D71D">
                                  <w:pPr>
                                    <w:snapToGrid w:val="0"/>
                                    <w:rPr>
                                      <w:rFonts w:ascii="Times New Roman" w:hAnsi="Times New Roman" w:eastAsia="宋体" w:cs="Times New Roman"/>
                                      <w:sz w:val="16"/>
                                      <w:szCs w:val="24"/>
                                    </w:rPr>
                                  </w:pPr>
                                  <w:r>
                                    <w:rPr>
                                      <w:rFonts w:ascii="Times New Roman" w:hAnsi="Times New Roman" w:eastAsia="宋体" w:cs="Times New Roman"/>
                                      <w:sz w:val="16"/>
                                      <w:szCs w:val="24"/>
                                    </w:rPr>
                                    <w:t>(0,0)</w:t>
                                  </w:r>
                                </w:p>
                              </w:txbxContent>
                            </v:textbox>
                          </v:shape>
                          <v:shape id="文本框 55" o:spid="_x0000_s1026" o:spt="202" type="#_x0000_t202" style="position:absolute;left:8460;top:14702;height:374;width:1025;" filled="f" stroked="f" coordsize="21600,21600" o:gfxdata="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hrE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673DFBF">
                                  <w:pPr>
                                    <w:snapToGrid w:val="0"/>
                                    <w:rPr>
                                      <w:rFonts w:ascii="Times New Roman" w:hAnsi="Times New Roman" w:eastAsia="宋体" w:cs="Times New Roman"/>
                                      <w:sz w:val="16"/>
                                      <w:szCs w:val="24"/>
                                    </w:rPr>
                                  </w:pPr>
                                  <w:r>
                                    <w:rPr>
                                      <w:rFonts w:hint="eastAsia" w:ascii="Times New Roman" w:hAnsi="Times New Roman" w:eastAsia="宋体" w:cs="Times New Roman"/>
                                      <w:sz w:val="16"/>
                                      <w:szCs w:val="24"/>
                                    </w:rPr>
                                    <w:t>计算路径</w:t>
                                  </w:r>
                                </w:p>
                              </w:txbxContent>
                            </v:textbox>
                          </v:shape>
                        </v:group>
                      </v:group>
                    </v:group>
                  </w:pict>
                </mc:Fallback>
              </mc:AlternateContent>
            </w:r>
            <w:r>
              <w:rPr>
                <w:rFonts w:hint="default"/>
                <w:sz w:val="21"/>
              </w:rPr>
              <mc:AlternateContent>
                <mc:Choice Requires="wps">
                  <w:drawing>
                    <wp:anchor distT="0" distB="0" distL="114300" distR="114300" simplePos="0" relativeHeight="251679744" behindDoc="0" locked="0" layoutInCell="1" allowOverlap="1">
                      <wp:simplePos x="0" y="0"/>
                      <wp:positionH relativeFrom="column">
                        <wp:posOffset>621030</wp:posOffset>
                      </wp:positionH>
                      <wp:positionV relativeFrom="paragraph">
                        <wp:posOffset>598805</wp:posOffset>
                      </wp:positionV>
                      <wp:extent cx="483870" cy="18669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483870" cy="186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D89CC9">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eastAsia="宋体"/>
                                      <w:b/>
                                      <w:bCs/>
                                      <w:color w:val="0000FF"/>
                                      <w:sz w:val="18"/>
                                      <w:szCs w:val="18"/>
                                      <w:lang w:val="en-US" w:eastAsia="zh-CN"/>
                                    </w:rPr>
                                  </w:pPr>
                                  <w:r>
                                    <w:rPr>
                                      <w:rFonts w:hint="eastAsia"/>
                                      <w:b/>
                                      <w:bCs/>
                                      <w:color w:val="0000FF"/>
                                      <w:sz w:val="18"/>
                                      <w:szCs w:val="18"/>
                                      <w:lang w:val="en-US" w:eastAsia="zh-CN"/>
                                    </w:rPr>
                                    <w:t>6400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9pt;margin-top:47.15pt;height:14.7pt;width:38.1pt;z-index:251679744;mso-width-relative:page;mso-height-relative:page;" filled="f" stroked="f" coordsize="21600,21600" o:gfxdata="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BXcpdoAAAAJAQAADwAAAAAAAAABACAAAAAiAAAA&#10;ZHJzL2Rvd25yZXYueG1sUEsBAhQAFAAAAAgAh07iQAnJE0M+AgAAZwQAAA4AAAAAAAAAAQAgAAAA&#10;KQEAAGRycy9lMm9Eb2MueG1sUEsFBgAAAAAGAAYAWQEAANkFAAAAAA==&#10;">
                      <v:fill on="f" focussize="0,0"/>
                      <v:stroke on="f" weight="0.5pt"/>
                      <v:imagedata o:title=""/>
                      <o:lock v:ext="edit" aspectratio="f"/>
                      <v:textbox>
                        <w:txbxContent>
                          <w:p w14:paraId="76D89CC9">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eastAsia="宋体"/>
                                <w:b/>
                                <w:bCs/>
                                <w:color w:val="0000FF"/>
                                <w:sz w:val="18"/>
                                <w:szCs w:val="18"/>
                                <w:lang w:val="en-US" w:eastAsia="zh-CN"/>
                              </w:rPr>
                            </w:pPr>
                            <w:r>
                              <w:rPr>
                                <w:rFonts w:hint="eastAsia"/>
                                <w:b/>
                                <w:bCs/>
                                <w:color w:val="0000FF"/>
                                <w:sz w:val="18"/>
                                <w:szCs w:val="18"/>
                                <w:lang w:val="en-US" w:eastAsia="zh-CN"/>
                              </w:rPr>
                              <w:t>6400</w:t>
                            </w:r>
                          </w:p>
                        </w:txbxContent>
                      </v:textbox>
                    </v:shape>
                  </w:pict>
                </mc:Fallback>
              </mc:AlternateContent>
            </w:r>
            <w:r>
              <w:rPr>
                <w:rFonts w:hint="default"/>
                <w:sz w:val="21"/>
              </w:rPr>
              <mc:AlternateContent>
                <mc:Choice Requires="wps">
                  <w:drawing>
                    <wp:anchor distT="0" distB="0" distL="114300" distR="114300" simplePos="0" relativeHeight="251681792" behindDoc="0" locked="0" layoutInCell="1" allowOverlap="1">
                      <wp:simplePos x="0" y="0"/>
                      <wp:positionH relativeFrom="column">
                        <wp:posOffset>613410</wp:posOffset>
                      </wp:positionH>
                      <wp:positionV relativeFrom="paragraph">
                        <wp:posOffset>1235075</wp:posOffset>
                      </wp:positionV>
                      <wp:extent cx="483870" cy="18669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483870" cy="186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CC0925">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eastAsia="宋体"/>
                                      <w:b/>
                                      <w:bCs/>
                                      <w:color w:val="0000FF"/>
                                      <w:sz w:val="18"/>
                                      <w:szCs w:val="18"/>
                                      <w:lang w:val="en-US" w:eastAsia="zh-CN"/>
                                    </w:rPr>
                                  </w:pPr>
                                  <w:r>
                                    <w:rPr>
                                      <w:rFonts w:hint="eastAsia"/>
                                      <w:b/>
                                      <w:bCs/>
                                      <w:color w:val="0000FF"/>
                                      <w:sz w:val="18"/>
                                      <w:szCs w:val="18"/>
                                      <w:lang w:val="en-US" w:eastAsia="zh-CN"/>
                                    </w:rPr>
                                    <w:t>7800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3pt;margin-top:97.25pt;height:14.7pt;width:38.1pt;z-index:251681792;mso-width-relative:page;mso-height-relative:page;" filled="f" stroked="f" coordsize="21600,21600" o:gfxdata="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Fj5nfbAAAACgEAAA8AAAAAAAAAAQAgAAAAIgAA&#10;AGRycy9kb3ducmV2LnhtbFBLAQIUABQAAAAIAIdO4kAWwAtcPgIAAGcEAAAOAAAAAAAAAAEAIAAA&#10;ACoBAABkcnMvZTJvRG9jLnhtbFBLBQYAAAAABgAGAFkBAADaBQAAAAA=&#10;">
                      <v:fill on="f" focussize="0,0"/>
                      <v:stroke on="f" weight="0.5pt"/>
                      <v:imagedata o:title=""/>
                      <o:lock v:ext="edit" aspectratio="f"/>
                      <v:textbox>
                        <w:txbxContent>
                          <w:p w14:paraId="45CC0925">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eastAsia="宋体"/>
                                <w:b/>
                                <w:bCs/>
                                <w:color w:val="0000FF"/>
                                <w:sz w:val="18"/>
                                <w:szCs w:val="18"/>
                                <w:lang w:val="en-US" w:eastAsia="zh-CN"/>
                              </w:rPr>
                            </w:pPr>
                            <w:r>
                              <w:rPr>
                                <w:rFonts w:hint="eastAsia"/>
                                <w:b/>
                                <w:bCs/>
                                <w:color w:val="0000FF"/>
                                <w:sz w:val="18"/>
                                <w:szCs w:val="18"/>
                                <w:lang w:val="en-US" w:eastAsia="zh-CN"/>
                              </w:rPr>
                              <w:t>7800</w:t>
                            </w:r>
                          </w:p>
                        </w:txbxContent>
                      </v:textbox>
                    </v:shape>
                  </w:pict>
                </mc:Fallback>
              </mc:AlternateContent>
            </w:r>
            <w:r>
              <w:rPr>
                <w:rFonts w:hint="default"/>
                <w:sz w:val="21"/>
              </w:rPr>
              <mc:AlternateContent>
                <mc:Choice Requires="wps">
                  <w:drawing>
                    <wp:anchor distT="0" distB="0" distL="114300" distR="114300" simplePos="0" relativeHeight="251684864" behindDoc="0" locked="0" layoutInCell="1" allowOverlap="1">
                      <wp:simplePos x="0" y="0"/>
                      <wp:positionH relativeFrom="column">
                        <wp:posOffset>1512570</wp:posOffset>
                      </wp:positionH>
                      <wp:positionV relativeFrom="paragraph">
                        <wp:posOffset>1238885</wp:posOffset>
                      </wp:positionV>
                      <wp:extent cx="483870" cy="18669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483870" cy="186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DEE590">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eastAsia="宋体"/>
                                      <w:b/>
                                      <w:bCs/>
                                      <w:color w:val="0000FF"/>
                                      <w:sz w:val="18"/>
                                      <w:szCs w:val="18"/>
                                      <w:lang w:val="en-US" w:eastAsia="zh-CN"/>
                                    </w:rPr>
                                  </w:pPr>
                                  <w:r>
                                    <w:rPr>
                                      <w:rFonts w:hint="eastAsia"/>
                                      <w:b/>
                                      <w:bCs/>
                                      <w:color w:val="0000FF"/>
                                      <w:sz w:val="18"/>
                                      <w:szCs w:val="18"/>
                                      <w:lang w:val="en-US" w:eastAsia="zh-CN"/>
                                    </w:rPr>
                                    <w:t>6500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1pt;margin-top:97.55pt;height:14.7pt;width:38.1pt;z-index:251684864;mso-width-relative:page;mso-height-relative:page;" filled="f" stroked="f" coordsize="21600,21600" o:gfxdata="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EIwQtsAAAALAQAADwAAAAAAAAABACAAAAAiAAAA&#10;ZHJzL2Rvd25yZXYueG1sUEsBAhQAFAAAAAgAh07iQLlHP749AgAAZwQAAA4AAAAAAAAAAQAgAAAA&#10;KgEAAGRycy9lMm9Eb2MueG1sUEsFBgAAAAAGAAYAWQEAANkFAAAAAA==&#10;">
                      <v:fill on="f" focussize="0,0"/>
                      <v:stroke on="f" weight="0.5pt"/>
                      <v:imagedata o:title=""/>
                      <o:lock v:ext="edit" aspectratio="f"/>
                      <v:textbox>
                        <w:txbxContent>
                          <w:p w14:paraId="07DEE590">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eastAsia="宋体"/>
                                <w:b/>
                                <w:bCs/>
                                <w:color w:val="0000FF"/>
                                <w:sz w:val="18"/>
                                <w:szCs w:val="18"/>
                                <w:lang w:val="en-US" w:eastAsia="zh-CN"/>
                              </w:rPr>
                            </w:pPr>
                            <w:r>
                              <w:rPr>
                                <w:rFonts w:hint="eastAsia"/>
                                <w:b/>
                                <w:bCs/>
                                <w:color w:val="0000FF"/>
                                <w:sz w:val="18"/>
                                <w:szCs w:val="18"/>
                                <w:lang w:val="en-US" w:eastAsia="zh-CN"/>
                              </w:rPr>
                              <w:t>6500</w:t>
                            </w:r>
                          </w:p>
                        </w:txbxContent>
                      </v:textbox>
                    </v:shape>
                  </w:pict>
                </mc:Fallback>
              </mc:AlternateContent>
            </w:r>
            <w:r>
              <w:rPr>
                <w:rFonts w:hint="default"/>
                <w:sz w:val="21"/>
              </w:rPr>
              <mc:AlternateContent>
                <mc:Choice Requires="wps">
                  <w:drawing>
                    <wp:anchor distT="0" distB="0" distL="114300" distR="114300" simplePos="0" relativeHeight="251683840" behindDoc="0" locked="0" layoutInCell="1" allowOverlap="1">
                      <wp:simplePos x="0" y="0"/>
                      <wp:positionH relativeFrom="column">
                        <wp:posOffset>602615</wp:posOffset>
                      </wp:positionH>
                      <wp:positionV relativeFrom="paragraph">
                        <wp:posOffset>1830070</wp:posOffset>
                      </wp:positionV>
                      <wp:extent cx="445135" cy="18605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445135" cy="1860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3D381">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eastAsia="宋体"/>
                                      <w:b/>
                                      <w:bCs/>
                                      <w:color w:val="0000FF"/>
                                      <w:sz w:val="18"/>
                                      <w:szCs w:val="18"/>
                                      <w:lang w:val="en-US" w:eastAsia="zh-CN"/>
                                    </w:rPr>
                                  </w:pPr>
                                  <w:r>
                                    <w:rPr>
                                      <w:rFonts w:hint="eastAsia"/>
                                      <w:b/>
                                      <w:bCs/>
                                      <w:color w:val="0000FF"/>
                                      <w:sz w:val="18"/>
                                      <w:szCs w:val="18"/>
                                      <w:lang w:val="en-US" w:eastAsia="zh-CN"/>
                                    </w:rPr>
                                    <w:t>6800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45pt;margin-top:144.1pt;height:14.65pt;width:35.05pt;z-index:251683840;mso-width-relative:page;mso-height-relative:page;" filled="f" stroked="f" coordsize="21600,21600" o:gfxdata="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qva9NsAAAAKAQAADwAAAAAAAAABACAAAAAiAAAA&#10;ZHJzL2Rvd25yZXYueG1sUEsBAhQAFAAAAAgAh07iQPaci7M9AgAAZwQAAA4AAAAAAAAAAQAgAAAA&#10;KgEAAGRycy9lMm9Eb2MueG1sUEsFBgAAAAAGAAYAWQEAANkFAAAAAA==&#10;">
                      <v:fill on="f" focussize="0,0"/>
                      <v:stroke on="f" weight="0.5pt"/>
                      <v:imagedata o:title=""/>
                      <o:lock v:ext="edit" aspectratio="f"/>
                      <v:textbox>
                        <w:txbxContent>
                          <w:p w14:paraId="5423D381">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eastAsia="宋体"/>
                                <w:b/>
                                <w:bCs/>
                                <w:color w:val="0000FF"/>
                                <w:sz w:val="18"/>
                                <w:szCs w:val="18"/>
                                <w:lang w:val="en-US" w:eastAsia="zh-CN"/>
                              </w:rPr>
                            </w:pPr>
                            <w:r>
                              <w:rPr>
                                <w:rFonts w:hint="eastAsia"/>
                                <w:b/>
                                <w:bCs/>
                                <w:color w:val="0000FF"/>
                                <w:sz w:val="18"/>
                                <w:szCs w:val="18"/>
                                <w:lang w:val="en-US" w:eastAsia="zh-CN"/>
                              </w:rPr>
                              <w:t>6800</w:t>
                            </w:r>
                          </w:p>
                        </w:txbxContent>
                      </v:textbox>
                    </v:shape>
                  </w:pict>
                </mc:Fallback>
              </mc:AlternateContent>
            </w:r>
            <w:r>
              <w:rPr>
                <w:rFonts w:hint="default"/>
                <w:sz w:val="21"/>
              </w:rPr>
              <mc:AlternateContent>
                <mc:Choice Requires="wps">
                  <w:drawing>
                    <wp:anchor distT="0" distB="0" distL="114300" distR="114300" simplePos="0" relativeHeight="251678720" behindDoc="0" locked="0" layoutInCell="1" allowOverlap="1">
                      <wp:simplePos x="0" y="0"/>
                      <wp:positionH relativeFrom="column">
                        <wp:posOffset>45085</wp:posOffset>
                      </wp:positionH>
                      <wp:positionV relativeFrom="paragraph">
                        <wp:posOffset>1453515</wp:posOffset>
                      </wp:positionV>
                      <wp:extent cx="483870" cy="186690"/>
                      <wp:effectExtent l="148590" t="0" r="0" b="0"/>
                      <wp:wrapNone/>
                      <wp:docPr id="22" name="文本框 22"/>
                      <wp:cNvGraphicFramePr/>
                      <a:graphic xmlns:a="http://schemas.openxmlformats.org/drawingml/2006/main">
                        <a:graphicData uri="http://schemas.microsoft.com/office/word/2010/wordprocessingShape">
                          <wps:wsp>
                            <wps:cNvSpPr txBox="1"/>
                            <wps:spPr>
                              <a:xfrm rot="16200000">
                                <a:off x="0" y="0"/>
                                <a:ext cx="483870" cy="186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F32D8F">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eastAsia="宋体"/>
                                      <w:b/>
                                      <w:bCs/>
                                      <w:color w:val="0000FF"/>
                                      <w:sz w:val="18"/>
                                      <w:szCs w:val="18"/>
                                      <w:lang w:val="en-US" w:eastAsia="zh-CN"/>
                                    </w:rPr>
                                  </w:pPr>
                                  <w:r>
                                    <w:rPr>
                                      <w:rFonts w:hint="eastAsia"/>
                                      <w:b/>
                                      <w:bCs/>
                                      <w:color w:val="0000FF"/>
                                      <w:sz w:val="18"/>
                                      <w:szCs w:val="18"/>
                                      <w:lang w:val="en-US" w:eastAsia="zh-CN"/>
                                    </w:rPr>
                                    <w:t>6000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pt;margin-top:114.45pt;height:14.7pt;width:38.1pt;rotation:-5898240f;z-index:251678720;mso-width-relative:page;mso-height-relative:page;" filled="f" stroked="f" coordsize="21600,21600" o:gfxdata="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7ziZN2AAAAAgBAAAPAAAAAAAAAAEAIAAA&#10;ACIAAABkcnMvZG93bnJldi54bWxQSwECFAAUAAAACACHTuJAwDXBcUUCAAB2BAAADgAAAAAAAAAB&#10;ACAAAAAnAQAAZHJzL2Uyb0RvYy54bWxQSwUGAAAAAAYABgBZAQAA3gUAAAAA&#10;">
                      <v:fill on="f" focussize="0,0"/>
                      <v:stroke on="f" weight="0.5pt"/>
                      <v:imagedata o:title=""/>
                      <o:lock v:ext="edit" aspectratio="f"/>
                      <v:textbox>
                        <w:txbxContent>
                          <w:p w14:paraId="07F32D8F">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eastAsia="宋体"/>
                                <w:b/>
                                <w:bCs/>
                                <w:color w:val="0000FF"/>
                                <w:sz w:val="18"/>
                                <w:szCs w:val="18"/>
                                <w:lang w:val="en-US" w:eastAsia="zh-CN"/>
                              </w:rPr>
                            </w:pPr>
                            <w:r>
                              <w:rPr>
                                <w:rFonts w:hint="eastAsia"/>
                                <w:b/>
                                <w:bCs/>
                                <w:color w:val="0000FF"/>
                                <w:sz w:val="18"/>
                                <w:szCs w:val="18"/>
                                <w:lang w:val="en-US" w:eastAsia="zh-CN"/>
                              </w:rPr>
                              <w:t>6000</w:t>
                            </w:r>
                          </w:p>
                        </w:txbxContent>
                      </v:textbox>
                    </v:shape>
                  </w:pict>
                </mc:Fallback>
              </mc:AlternateContent>
            </w:r>
            <w:r>
              <w:rPr>
                <w:rFonts w:hint="default"/>
                <w:sz w:val="21"/>
              </w:rPr>
              <mc:AlternateContent>
                <mc:Choice Requires="wps">
                  <w:drawing>
                    <wp:anchor distT="0" distB="0" distL="114300" distR="114300" simplePos="0" relativeHeight="251676672" behindDoc="0" locked="0" layoutInCell="1" allowOverlap="1">
                      <wp:simplePos x="0" y="0"/>
                      <wp:positionH relativeFrom="column">
                        <wp:posOffset>41910</wp:posOffset>
                      </wp:positionH>
                      <wp:positionV relativeFrom="paragraph">
                        <wp:posOffset>882015</wp:posOffset>
                      </wp:positionV>
                      <wp:extent cx="483870" cy="186690"/>
                      <wp:effectExtent l="148590" t="0" r="0" b="0"/>
                      <wp:wrapNone/>
                      <wp:docPr id="21" name="文本框 21"/>
                      <wp:cNvGraphicFramePr/>
                      <a:graphic xmlns:a="http://schemas.openxmlformats.org/drawingml/2006/main">
                        <a:graphicData uri="http://schemas.microsoft.com/office/word/2010/wordprocessingShape">
                          <wps:wsp>
                            <wps:cNvSpPr txBox="1"/>
                            <wps:spPr>
                              <a:xfrm rot="16200000">
                                <a:off x="0" y="0"/>
                                <a:ext cx="483870" cy="186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439390">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eastAsia="宋体"/>
                                      <w:b/>
                                      <w:bCs/>
                                      <w:color w:val="0000FF"/>
                                      <w:sz w:val="18"/>
                                      <w:szCs w:val="18"/>
                                      <w:lang w:val="en-US" w:eastAsia="zh-CN"/>
                                    </w:rPr>
                                  </w:pPr>
                                  <w:r>
                                    <w:rPr>
                                      <w:rFonts w:hint="eastAsia"/>
                                      <w:b/>
                                      <w:bCs/>
                                      <w:color w:val="0000FF"/>
                                      <w:sz w:val="18"/>
                                      <w:szCs w:val="18"/>
                                      <w:lang w:val="en-US" w:eastAsia="zh-CN"/>
                                    </w:rPr>
                                    <w:t>6500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pt;margin-top:69.45pt;height:14.7pt;width:38.1pt;rotation:-5898240f;z-index:251676672;mso-width-relative:page;mso-height-relative:page;" filled="f" stroked="f" coordsize="21600,21600" o:gfxdata="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947J7XAAAACAEAAA8AAAAAAAAAAQAgAAAA&#10;IgAAAGRycy9kb3ducmV2LnhtbFBLAQIUABQAAAAIAIdO4kCUZ9tmRQIAAHYEAAAOAAAAAAAAAAEA&#10;IAAAACYBAABkcnMvZTJvRG9jLnhtbFBLBQYAAAAABgAGAFkBAADdBQAAAAA=&#10;">
                      <v:fill on="f" focussize="0,0"/>
                      <v:stroke on="f" weight="0.5pt"/>
                      <v:imagedata o:title=""/>
                      <o:lock v:ext="edit" aspectratio="f"/>
                      <v:textbox>
                        <w:txbxContent>
                          <w:p w14:paraId="41439390">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eastAsia="宋体"/>
                                <w:b/>
                                <w:bCs/>
                                <w:color w:val="0000FF"/>
                                <w:sz w:val="18"/>
                                <w:szCs w:val="18"/>
                                <w:lang w:val="en-US" w:eastAsia="zh-CN"/>
                              </w:rPr>
                            </w:pPr>
                            <w:r>
                              <w:rPr>
                                <w:rFonts w:hint="eastAsia"/>
                                <w:b/>
                                <w:bCs/>
                                <w:color w:val="0000FF"/>
                                <w:sz w:val="18"/>
                                <w:szCs w:val="18"/>
                                <w:lang w:val="en-US" w:eastAsia="zh-CN"/>
                              </w:rPr>
                              <w:t>6500</w:t>
                            </w:r>
                          </w:p>
                        </w:txbxContent>
                      </v:textbox>
                    </v:shape>
                  </w:pict>
                </mc:Fallback>
              </mc:AlternateContent>
            </w:r>
            <w:r>
              <w:rPr>
                <w:rFonts w:hint="default"/>
                <w:sz w:val="21"/>
              </w:rPr>
              <mc:AlternateContent>
                <mc:Choice Requires="wps">
                  <w:drawing>
                    <wp:anchor distT="0" distB="0" distL="114300" distR="114300" simplePos="0" relativeHeight="251675648" behindDoc="0" locked="0" layoutInCell="1" allowOverlap="1">
                      <wp:simplePos x="0" y="0"/>
                      <wp:positionH relativeFrom="column">
                        <wp:posOffset>1461770</wp:posOffset>
                      </wp:positionH>
                      <wp:positionV relativeFrom="paragraph">
                        <wp:posOffset>-3810</wp:posOffset>
                      </wp:positionV>
                      <wp:extent cx="483870" cy="18669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483870" cy="186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DE7FA7">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b/>
                                      <w:bCs/>
                                      <w:color w:val="0000FF"/>
                                      <w:sz w:val="18"/>
                                      <w:szCs w:val="18"/>
                                      <w:lang w:val="en-US" w:eastAsia="zh-CN"/>
                                    </w:rPr>
                                  </w:pPr>
                                  <w:r>
                                    <w:rPr>
                                      <w:rFonts w:hint="eastAsia"/>
                                      <w:b/>
                                      <w:bCs/>
                                      <w:color w:val="0000FF"/>
                                      <w:sz w:val="18"/>
                                      <w:szCs w:val="18"/>
                                      <w:lang w:val="en-US" w:eastAsia="zh-CN"/>
                                    </w:rPr>
                                    <w:t>6800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1pt;margin-top:-0.3pt;height:14.7pt;width:38.1pt;z-index:251675648;mso-width-relative:page;mso-height-relative:page;" filled="f" stroked="f" coordsize="21600,21600" o:gfxdata="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0DPavZAAAACAEAAA8AAAAAAAAAAQAgAAAAIgAAAGRy&#10;cy9kb3ducmV2LnhtbFBLAQIUABQAAAAIAIdO4kDWWLAkPQIAAGcEAAAOAAAAAAAAAAEAIAAAACgB&#10;AABkcnMvZTJvRG9jLnhtbFBLBQYAAAAABgAGAFkBAADXBQAAAAA=&#10;">
                      <v:fill on="f" focussize="0,0"/>
                      <v:stroke on="f" weight="0.5pt"/>
                      <v:imagedata o:title=""/>
                      <o:lock v:ext="edit" aspectratio="f"/>
                      <v:textbox>
                        <w:txbxContent>
                          <w:p w14:paraId="02DE7FA7">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b/>
                                <w:bCs/>
                                <w:color w:val="0000FF"/>
                                <w:sz w:val="18"/>
                                <w:szCs w:val="18"/>
                                <w:lang w:val="en-US" w:eastAsia="zh-CN"/>
                              </w:rPr>
                            </w:pPr>
                            <w:r>
                              <w:rPr>
                                <w:rFonts w:hint="eastAsia"/>
                                <w:b/>
                                <w:bCs/>
                                <w:color w:val="0000FF"/>
                                <w:sz w:val="18"/>
                                <w:szCs w:val="18"/>
                                <w:lang w:val="en-US" w:eastAsia="zh-CN"/>
                              </w:rPr>
                              <w:t>6800</w:t>
                            </w:r>
                          </w:p>
                        </w:txbxContent>
                      </v:textbox>
                    </v:shape>
                  </w:pict>
                </mc:Fallback>
              </mc:AlternateContent>
            </w:r>
            <w:r>
              <w:rPr>
                <w:rFonts w:hint="default" w:ascii="Times New Roman" w:hAnsi="Times New Roman" w:eastAsia="宋体" w:cs="Times New Roman"/>
                <w:color w:val="0000FF"/>
                <w:szCs w:val="24"/>
                <w:highlight w:val="none"/>
              </w:rPr>
              <w:drawing>
                <wp:anchor distT="0" distB="0" distL="114300" distR="114300" simplePos="0" relativeHeight="251687936" behindDoc="1" locked="0" layoutInCell="1" allowOverlap="1">
                  <wp:simplePos x="0" y="0"/>
                  <wp:positionH relativeFrom="column">
                    <wp:posOffset>280670</wp:posOffset>
                  </wp:positionH>
                  <wp:positionV relativeFrom="paragraph">
                    <wp:posOffset>0</wp:posOffset>
                  </wp:positionV>
                  <wp:extent cx="1884045" cy="2474595"/>
                  <wp:effectExtent l="0" t="0" r="1905" b="1905"/>
                  <wp:wrapNone/>
                  <wp:docPr id="17" name="图片 17" descr="174133964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41339643895"/>
                          <pic:cNvPicPr>
                            <a:picLocks noChangeAspect="1"/>
                          </pic:cNvPicPr>
                        </pic:nvPicPr>
                        <pic:blipFill>
                          <a:blip r:embed="rId75"/>
                          <a:srcRect l="8548"/>
                          <a:stretch>
                            <a:fillRect/>
                          </a:stretch>
                        </pic:blipFill>
                        <pic:spPr>
                          <a:xfrm>
                            <a:off x="0" y="0"/>
                            <a:ext cx="1884045" cy="2474595"/>
                          </a:xfrm>
                          <a:prstGeom prst="rect">
                            <a:avLst/>
                          </a:prstGeom>
                        </pic:spPr>
                      </pic:pic>
                    </a:graphicData>
                  </a:graphic>
                </wp:anchor>
              </w:drawing>
            </w:r>
          </w:p>
        </w:tc>
      </w:tr>
    </w:tbl>
    <w:p w14:paraId="21995BAA">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ascii="宋体" w:hAnsi="宋体" w:eastAsia="宋体" w:cs="Calibri"/>
          <w:b/>
          <w:color w:val="0000FF"/>
          <w:sz w:val="24"/>
          <w:szCs w:val="21"/>
          <w:highlight w:val="none"/>
        </w:rPr>
      </w:pPr>
    </w:p>
    <w:p w14:paraId="40A9A7BE">
      <w:pPr>
        <w:keepNext w:val="0"/>
        <w:keepLines w:val="0"/>
        <w:pageBreakBefore w:val="0"/>
        <w:widowControl w:val="0"/>
        <w:kinsoku/>
        <w:wordWrap/>
        <w:overflowPunct/>
        <w:topLinePunct w:val="0"/>
        <w:autoSpaceDE/>
        <w:autoSpaceDN/>
        <w:bidi w:val="0"/>
        <w:adjustRightInd/>
        <w:snapToGrid/>
        <w:spacing w:before="313" w:beforeLines="100" w:line="360" w:lineRule="auto"/>
        <w:textAlignment w:val="auto"/>
        <w:outlineLvl w:val="2"/>
        <w:rPr>
          <w:rFonts w:hint="eastAsia" w:ascii="宋体" w:hAnsi="宋体" w:eastAsia="宋体" w:cs="Calibri"/>
          <w:b/>
          <w:color w:val="auto"/>
          <w:kern w:val="15"/>
          <w:sz w:val="24"/>
          <w:szCs w:val="21"/>
          <w:highlight w:val="none"/>
        </w:rPr>
      </w:pPr>
      <w:r>
        <w:rPr>
          <w:rFonts w:hint="eastAsia" w:ascii="宋体" w:hAnsi="宋体" w:eastAsia="宋体" w:cs="Calibri"/>
          <w:b/>
          <w:color w:val="auto"/>
          <w:kern w:val="15"/>
          <w:sz w:val="24"/>
          <w:szCs w:val="21"/>
          <w:highlight w:val="none"/>
          <w:lang w:val="en-US" w:eastAsia="zh-CN"/>
        </w:rPr>
        <w:t>3.2.3</w:t>
      </w:r>
      <w:r>
        <w:rPr>
          <w:rFonts w:hint="eastAsia" w:ascii="宋体" w:hAnsi="宋体" w:eastAsia="宋体" w:cs="Calibri"/>
          <w:b/>
          <w:color w:val="auto"/>
          <w:kern w:val="15"/>
          <w:sz w:val="24"/>
          <w:szCs w:val="21"/>
          <w:highlight w:val="none"/>
          <w:lang w:eastAsia="zh-CN"/>
        </w:rPr>
        <w:t>本项目</w:t>
      </w:r>
      <w:r>
        <w:rPr>
          <w:rFonts w:hint="eastAsia" w:ascii="宋体" w:hAnsi="宋体" w:eastAsia="宋体" w:cs="Calibri"/>
          <w:b/>
          <w:color w:val="auto"/>
          <w:kern w:val="15"/>
          <w:sz w:val="24"/>
          <w:szCs w:val="21"/>
          <w:highlight w:val="none"/>
        </w:rPr>
        <w:t>线路工频电场强度、工频磁感应强度预测</w:t>
      </w:r>
      <w:bookmarkEnd w:id="208"/>
      <w:bookmarkEnd w:id="209"/>
      <w:bookmarkEnd w:id="210"/>
    </w:p>
    <w:p w14:paraId="449F9033">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80" w:firstLineChars="200"/>
        <w:jc w:val="both"/>
        <w:textAlignment w:val="baseline"/>
        <w:outlineLvl w:val="9"/>
        <w:rPr>
          <w:rFonts w:hint="eastAsia" w:ascii="宋体" w:hAnsi="宋体" w:eastAsia="宋体" w:cs="Calibri"/>
          <w:color w:val="auto"/>
          <w:sz w:val="24"/>
          <w:szCs w:val="21"/>
          <w:highlight w:val="none"/>
        </w:rPr>
      </w:pPr>
      <w:r>
        <w:rPr>
          <w:rFonts w:hint="eastAsia" w:ascii="宋体" w:hAnsi="宋体" w:eastAsia="宋体" w:cs="Calibri"/>
          <w:color w:val="auto"/>
          <w:sz w:val="24"/>
          <w:szCs w:val="21"/>
          <w:highlight w:val="none"/>
        </w:rPr>
        <w:t>根据《110kV～750kV架空输电线路设计规范》</w:t>
      </w: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GB50545-2010</w:t>
      </w: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中，</w:t>
      </w:r>
      <w:r>
        <w:rPr>
          <w:rFonts w:hint="eastAsia" w:ascii="宋体" w:hAnsi="宋体" w:eastAsia="宋体" w:cs="Calibri"/>
          <w:color w:val="auto"/>
          <w:sz w:val="24"/>
          <w:szCs w:val="21"/>
          <w:highlight w:val="none"/>
          <w:lang w:val="en-US" w:eastAsia="zh-CN"/>
        </w:rPr>
        <w:t>220</w:t>
      </w:r>
      <w:r>
        <w:rPr>
          <w:rFonts w:hint="eastAsia" w:ascii="宋体" w:hAnsi="宋体" w:eastAsia="宋体" w:cs="Calibri"/>
          <w:color w:val="auto"/>
          <w:sz w:val="24"/>
          <w:szCs w:val="21"/>
          <w:highlight w:val="none"/>
        </w:rPr>
        <w:t>kV架空线路要求导线对地面最小距离居民区</w:t>
      </w: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7</w:t>
      </w:r>
      <w:r>
        <w:rPr>
          <w:rFonts w:hint="eastAsia" w:ascii="宋体" w:hAnsi="宋体" w:eastAsia="宋体" w:cs="Calibri"/>
          <w:color w:val="auto"/>
          <w:sz w:val="24"/>
          <w:szCs w:val="21"/>
          <w:highlight w:val="none"/>
          <w:lang w:val="en-US" w:eastAsia="zh-CN"/>
        </w:rPr>
        <w:t>.5</w:t>
      </w:r>
      <w:r>
        <w:rPr>
          <w:rFonts w:hint="eastAsia" w:ascii="宋体" w:hAnsi="宋体" w:eastAsia="宋体" w:cs="Calibri"/>
          <w:color w:val="auto"/>
          <w:sz w:val="24"/>
          <w:szCs w:val="21"/>
          <w:highlight w:val="none"/>
        </w:rPr>
        <w:t>m</w:t>
      </w: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和非居民区</w:t>
      </w: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6</w:t>
      </w:r>
      <w:r>
        <w:rPr>
          <w:rFonts w:hint="eastAsia" w:ascii="宋体" w:hAnsi="宋体" w:eastAsia="宋体" w:cs="Calibri"/>
          <w:color w:val="auto"/>
          <w:sz w:val="24"/>
          <w:szCs w:val="21"/>
          <w:highlight w:val="none"/>
          <w:lang w:val="en-US" w:eastAsia="zh-CN"/>
        </w:rPr>
        <w:t>.5</w:t>
      </w:r>
      <w:r>
        <w:rPr>
          <w:rFonts w:hint="eastAsia" w:ascii="宋体" w:hAnsi="宋体" w:eastAsia="宋体" w:cs="Calibri"/>
          <w:color w:val="auto"/>
          <w:sz w:val="24"/>
          <w:szCs w:val="21"/>
          <w:highlight w:val="none"/>
        </w:rPr>
        <w:t>m</w:t>
      </w: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，本次预测</w:t>
      </w:r>
      <w:r>
        <w:rPr>
          <w:rFonts w:hint="eastAsia" w:ascii="宋体" w:hAnsi="宋体" w:eastAsia="宋体" w:cs="Calibri"/>
          <w:color w:val="auto"/>
          <w:sz w:val="24"/>
          <w:szCs w:val="21"/>
          <w:highlight w:val="none"/>
          <w:lang w:val="en-US" w:eastAsia="zh-CN"/>
        </w:rPr>
        <w:t>22</w:t>
      </w:r>
      <w:r>
        <w:rPr>
          <w:rFonts w:hint="eastAsia" w:ascii="宋体" w:hAnsi="宋体" w:eastAsia="宋体" w:cs="Calibri"/>
          <w:color w:val="auto"/>
          <w:sz w:val="24"/>
          <w:szCs w:val="21"/>
          <w:highlight w:val="none"/>
        </w:rPr>
        <w:t>0kV架空线路导线对地高度为7.</w:t>
      </w:r>
      <w:r>
        <w:rPr>
          <w:rFonts w:hint="eastAsia" w:ascii="宋体" w:hAnsi="宋体" w:eastAsia="宋体" w:cs="Calibri"/>
          <w:color w:val="auto"/>
          <w:sz w:val="24"/>
          <w:szCs w:val="21"/>
          <w:highlight w:val="none"/>
          <w:lang w:val="en-US" w:eastAsia="zh-CN"/>
        </w:rPr>
        <w:t>5</w:t>
      </w:r>
      <w:r>
        <w:rPr>
          <w:rFonts w:hint="eastAsia" w:ascii="宋体" w:hAnsi="宋体" w:eastAsia="宋体" w:cs="Calibri"/>
          <w:color w:val="auto"/>
          <w:sz w:val="24"/>
          <w:szCs w:val="21"/>
          <w:highlight w:val="none"/>
        </w:rPr>
        <w:t>m</w:t>
      </w:r>
      <w:r>
        <w:rPr>
          <w:rFonts w:hint="eastAsia" w:ascii="宋体" w:hAnsi="宋体" w:eastAsia="宋体" w:cs="Calibri"/>
          <w:color w:val="auto"/>
          <w:sz w:val="24"/>
          <w:szCs w:val="21"/>
          <w:highlight w:val="none"/>
          <w:lang w:eastAsia="zh-CN"/>
        </w:rPr>
        <w:t>、</w:t>
      </w:r>
      <w:r>
        <w:rPr>
          <w:rFonts w:hint="eastAsia" w:ascii="宋体" w:hAnsi="宋体" w:eastAsia="宋体" w:cs="Calibri"/>
          <w:color w:val="auto"/>
          <w:sz w:val="24"/>
          <w:szCs w:val="21"/>
          <w:highlight w:val="none"/>
        </w:rPr>
        <w:t>6.</w:t>
      </w:r>
      <w:r>
        <w:rPr>
          <w:rFonts w:hint="eastAsia" w:ascii="宋体" w:hAnsi="宋体" w:eastAsia="宋体" w:cs="Calibri"/>
          <w:color w:val="auto"/>
          <w:sz w:val="24"/>
          <w:szCs w:val="21"/>
          <w:highlight w:val="none"/>
          <w:lang w:val="en-US" w:eastAsia="zh-CN"/>
        </w:rPr>
        <w:t>5</w:t>
      </w:r>
      <w:r>
        <w:rPr>
          <w:rFonts w:hint="eastAsia" w:ascii="宋体" w:hAnsi="宋体" w:eastAsia="宋体" w:cs="Calibri"/>
          <w:color w:val="auto"/>
          <w:sz w:val="24"/>
          <w:szCs w:val="21"/>
          <w:highlight w:val="none"/>
        </w:rPr>
        <w:t>m</w:t>
      </w:r>
      <w:r>
        <w:rPr>
          <w:rFonts w:hint="eastAsia" w:ascii="宋体" w:hAnsi="宋体" w:cs="Calibri"/>
          <w:color w:val="auto"/>
          <w:sz w:val="24"/>
          <w:szCs w:val="21"/>
          <w:highlight w:val="none"/>
          <w:lang w:eastAsia="zh-CN"/>
        </w:rPr>
        <w:t>、</w:t>
      </w:r>
      <w:r>
        <w:rPr>
          <w:rFonts w:hint="eastAsia" w:ascii="宋体" w:hAnsi="宋体" w:cs="Calibri"/>
          <w:color w:val="auto"/>
          <w:sz w:val="24"/>
          <w:szCs w:val="21"/>
          <w:highlight w:val="none"/>
          <w:lang w:val="en-US" w:eastAsia="zh-CN"/>
        </w:rPr>
        <w:t>9.4m（单回线路）、10.6m（双回线路）</w:t>
      </w:r>
      <w:r>
        <w:rPr>
          <w:rFonts w:hint="eastAsia" w:ascii="宋体" w:hAnsi="宋体" w:eastAsia="宋体" w:cs="Calibri"/>
          <w:color w:val="auto"/>
          <w:sz w:val="24"/>
          <w:szCs w:val="21"/>
          <w:highlight w:val="none"/>
        </w:rPr>
        <w:t>地面上1.5m高度处的工频电场强度</w:t>
      </w:r>
      <w:r>
        <w:rPr>
          <w:rFonts w:hint="eastAsia" w:ascii="宋体" w:hAnsi="宋体" w:eastAsia="宋体" w:cs="Calibri"/>
          <w:color w:val="auto"/>
          <w:sz w:val="24"/>
          <w:szCs w:val="21"/>
          <w:highlight w:val="none"/>
          <w:lang w:val="en-US" w:eastAsia="zh-CN"/>
        </w:rPr>
        <w:t>和工频磁感应强度</w:t>
      </w:r>
      <w:r>
        <w:rPr>
          <w:rFonts w:hint="eastAsia" w:ascii="宋体" w:hAnsi="宋体" w:eastAsia="宋体" w:cs="Calibri"/>
          <w:color w:val="auto"/>
          <w:sz w:val="24"/>
          <w:szCs w:val="21"/>
          <w:highlight w:val="none"/>
        </w:rPr>
        <w:t>。</w:t>
      </w:r>
    </w:p>
    <w:p w14:paraId="3582395E">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baseline"/>
        <w:outlineLvl w:val="9"/>
        <w:rPr>
          <w:rFonts w:hint="eastAsia" w:ascii="宋体" w:hAnsi="宋体" w:eastAsia="宋体" w:cs="Calibri"/>
          <w:color w:val="auto"/>
          <w:sz w:val="24"/>
          <w:szCs w:val="21"/>
          <w:highlight w:val="none"/>
        </w:rPr>
      </w:pPr>
      <w:r>
        <w:rPr>
          <w:rFonts w:hint="eastAsia" w:ascii="宋体" w:hAnsi="宋体" w:eastAsia="宋体" w:cs="Calibri"/>
          <w:color w:val="auto"/>
          <w:sz w:val="24"/>
          <w:szCs w:val="21"/>
          <w:highlight w:val="none"/>
        </w:rPr>
        <w:t>在输电线路的截面上建立平面</w:t>
      </w:r>
      <w:r>
        <w:rPr>
          <w:rFonts w:hint="eastAsia" w:ascii="宋体" w:hAnsi="宋体" w:eastAsia="宋体" w:cs="Calibri"/>
          <w:color w:val="auto"/>
          <w:sz w:val="24"/>
          <w:szCs w:val="21"/>
          <w:highlight w:val="none"/>
          <w:lang w:val="en-US" w:eastAsia="zh-CN"/>
        </w:rPr>
        <w:t>坐</w:t>
      </w:r>
      <w:r>
        <w:rPr>
          <w:rFonts w:hint="eastAsia" w:ascii="宋体" w:hAnsi="宋体" w:eastAsia="宋体" w:cs="Calibri"/>
          <w:color w:val="auto"/>
          <w:sz w:val="24"/>
          <w:szCs w:val="21"/>
          <w:highlight w:val="none"/>
        </w:rPr>
        <w:t>标系，</w:t>
      </w:r>
      <w:r>
        <w:rPr>
          <w:rFonts w:hint="eastAsia" w:ascii="宋体" w:hAnsi="宋体" w:cs="Calibri"/>
          <w:color w:val="auto"/>
          <w:sz w:val="24"/>
          <w:szCs w:val="21"/>
          <w:highlight w:val="none"/>
          <w:lang w:val="en-US" w:eastAsia="zh-CN"/>
        </w:rPr>
        <w:t>单</w:t>
      </w:r>
      <w:r>
        <w:rPr>
          <w:rFonts w:hint="eastAsia" w:ascii="宋体" w:hAnsi="宋体" w:eastAsia="宋体" w:cs="Calibri"/>
          <w:color w:val="auto"/>
          <w:sz w:val="24"/>
          <w:szCs w:val="21"/>
          <w:highlight w:val="none"/>
          <w:lang w:val="en-US" w:eastAsia="zh-CN"/>
        </w:rPr>
        <w:t>双回路线路以线路走廊截面与线路中心在地面投影为坐标系的原点O(0,0)，X为水平方向、Y为垂直方向，单位为m</w:t>
      </w:r>
      <w:r>
        <w:rPr>
          <w:rFonts w:hint="eastAsia" w:ascii="宋体" w:hAnsi="宋体" w:eastAsia="宋体" w:cs="Calibri"/>
          <w:color w:val="auto"/>
          <w:sz w:val="24"/>
          <w:szCs w:val="21"/>
          <w:highlight w:val="none"/>
        </w:rPr>
        <w:t>。</w:t>
      </w:r>
    </w:p>
    <w:p w14:paraId="68FE5E7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b/>
          <w:bCs/>
          <w:color w:val="auto"/>
          <w:sz w:val="24"/>
          <w:szCs w:val="24"/>
          <w:highlight w:val="none"/>
          <w:lang w:eastAsia="zh-CN"/>
        </w:rPr>
      </w:pPr>
      <w:r>
        <w:rPr>
          <w:rFonts w:hint="eastAsia" w:ascii="宋体" w:hAnsi="宋体" w:cs="Calibri"/>
          <w:color w:val="auto"/>
          <w:sz w:val="24"/>
          <w:szCs w:val="21"/>
          <w:highlight w:val="none"/>
          <w:lang w:val="en-US" w:eastAsia="zh-CN"/>
        </w:rPr>
        <w:t>单回路</w:t>
      </w:r>
      <w:r>
        <w:rPr>
          <w:rFonts w:hint="eastAsia" w:ascii="宋体" w:hAnsi="宋体" w:eastAsia="宋体" w:cs="Calibri"/>
          <w:color w:val="auto"/>
          <w:sz w:val="24"/>
          <w:szCs w:val="21"/>
          <w:highlight w:val="none"/>
        </w:rPr>
        <w:t>计算结果详见表3</w:t>
      </w:r>
      <w:r>
        <w:rPr>
          <w:rFonts w:hint="eastAsia" w:ascii="宋体" w:hAnsi="宋体" w:eastAsia="宋体" w:cs="Calibri"/>
          <w:color w:val="auto"/>
          <w:sz w:val="24"/>
          <w:szCs w:val="21"/>
          <w:highlight w:val="none"/>
          <w:lang w:val="en-US" w:eastAsia="zh-CN"/>
        </w:rPr>
        <w:t>.2-3</w:t>
      </w:r>
      <w:r>
        <w:rPr>
          <w:rFonts w:hint="eastAsia" w:ascii="宋体" w:hAnsi="宋体" w:cs="Calibri"/>
          <w:color w:val="auto"/>
          <w:sz w:val="24"/>
          <w:szCs w:val="21"/>
          <w:highlight w:val="none"/>
          <w:lang w:val="en-US" w:eastAsia="zh-CN"/>
        </w:rPr>
        <w:t>、表3.2-4</w:t>
      </w:r>
      <w:r>
        <w:rPr>
          <w:rFonts w:hint="eastAsia" w:ascii="宋体" w:hAnsi="宋体" w:eastAsia="宋体" w:cs="Calibri"/>
          <w:color w:val="auto"/>
          <w:sz w:val="24"/>
          <w:szCs w:val="21"/>
          <w:highlight w:val="none"/>
          <w:lang w:val="en-US" w:eastAsia="zh-CN"/>
        </w:rPr>
        <w:t>和图3-7～图3-9</w:t>
      </w:r>
      <w:r>
        <w:rPr>
          <w:rFonts w:hint="eastAsia" w:ascii="宋体" w:hAnsi="宋体" w:cs="Calibri"/>
          <w:color w:val="auto"/>
          <w:sz w:val="24"/>
          <w:szCs w:val="21"/>
          <w:highlight w:val="none"/>
          <w:lang w:val="en-US" w:eastAsia="zh-CN"/>
        </w:rPr>
        <w:t>；双回路计算结果详见表3.2-5、表3.2-6和图3-10～图3-12</w:t>
      </w:r>
      <w:r>
        <w:rPr>
          <w:rFonts w:hint="eastAsia" w:ascii="宋体" w:hAnsi="宋体" w:eastAsia="宋体" w:cs="Calibri"/>
          <w:color w:val="auto"/>
          <w:sz w:val="24"/>
          <w:szCs w:val="21"/>
          <w:highlight w:val="none"/>
        </w:rPr>
        <w:t>。</w:t>
      </w:r>
    </w:p>
    <w:p w14:paraId="186560DB">
      <w:pPr>
        <w:keepNext w:val="0"/>
        <w:keepLines w:val="0"/>
        <w:pageBreakBefore w:val="0"/>
        <w:widowControl w:val="0"/>
        <w:kinsoku/>
        <w:wordWrap/>
        <w:overflowPunct/>
        <w:topLinePunct w:val="0"/>
        <w:autoSpaceDE/>
        <w:autoSpaceDN/>
        <w:bidi w:val="0"/>
        <w:adjustRightInd/>
        <w:snapToGrid/>
        <w:ind w:firstLine="482" w:firstLineChars="200"/>
        <w:jc w:val="center"/>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表</w:t>
      </w:r>
      <w:r>
        <w:rPr>
          <w:rFonts w:hint="eastAsia" w:ascii="宋体" w:hAnsi="宋体" w:eastAsia="宋体" w:cs="宋体"/>
          <w:b/>
          <w:bCs/>
          <w:color w:val="auto"/>
          <w:sz w:val="24"/>
          <w:szCs w:val="24"/>
          <w:highlight w:val="none"/>
          <w:lang w:val="en-US" w:eastAsia="zh-CN"/>
        </w:rPr>
        <w:t>3.2-3</w:t>
      </w:r>
      <w:r>
        <w:rPr>
          <w:rFonts w:hint="eastAsia" w:ascii="宋体" w:hAnsi="宋体" w:cs="宋体"/>
          <w:b/>
          <w:bCs/>
          <w:color w:val="auto"/>
          <w:sz w:val="24"/>
          <w:szCs w:val="24"/>
          <w:highlight w:val="none"/>
          <w:lang w:val="en-US" w:eastAsia="zh-CN"/>
        </w:rPr>
        <w:t xml:space="preserve">    单回路</w:t>
      </w:r>
      <w:r>
        <w:rPr>
          <w:rFonts w:hint="eastAsia" w:ascii="宋体" w:hAnsi="宋体" w:eastAsia="宋体" w:cs="宋体"/>
          <w:b/>
          <w:bCs/>
          <w:color w:val="auto"/>
          <w:sz w:val="24"/>
          <w:szCs w:val="24"/>
          <w:highlight w:val="none"/>
          <w:lang w:eastAsia="zh-CN"/>
        </w:rPr>
        <w:t>线路段电磁环境预测值</w:t>
      </w:r>
    </w:p>
    <w:tbl>
      <w:tblPr>
        <w:tblStyle w:val="32"/>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29"/>
        <w:gridCol w:w="1253"/>
        <w:gridCol w:w="1298"/>
        <w:gridCol w:w="1351"/>
        <w:gridCol w:w="1298"/>
        <w:gridCol w:w="1235"/>
        <w:gridCol w:w="1382"/>
      </w:tblGrid>
      <w:tr w14:paraId="21930F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030" w:type="pct"/>
            <w:vMerge w:val="restart"/>
            <w:noWrap w:val="0"/>
            <w:vAlign w:val="center"/>
          </w:tcPr>
          <w:p w14:paraId="14F74702">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预测点与原点</w:t>
            </w:r>
          </w:p>
          <w:p w14:paraId="5D0048D0">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sz w:val="21"/>
                <w:szCs w:val="21"/>
                <w:highlight w:val="none"/>
              </w:rPr>
              <w:t>的水平距离</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m</w:t>
            </w:r>
            <w:r>
              <w:rPr>
                <w:rFonts w:hint="eastAsia" w:asciiTheme="minorEastAsia" w:hAnsiTheme="minorEastAsia" w:eastAsiaTheme="minorEastAsia" w:cstheme="minorEastAsia"/>
                <w:color w:val="auto"/>
                <w:sz w:val="21"/>
                <w:szCs w:val="21"/>
                <w:highlight w:val="none"/>
                <w:lang w:eastAsia="zh-CN"/>
              </w:rPr>
              <w:t>）</w:t>
            </w:r>
          </w:p>
        </w:tc>
        <w:tc>
          <w:tcPr>
            <w:tcW w:w="1295" w:type="pct"/>
            <w:gridSpan w:val="2"/>
            <w:noWrap w:val="0"/>
            <w:vAlign w:val="center"/>
          </w:tcPr>
          <w:p w14:paraId="629EE0F5">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导线对地高度7.</w:t>
            </w: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rPr>
              <w:t>m</w:t>
            </w:r>
          </w:p>
        </w:tc>
        <w:tc>
          <w:tcPr>
            <w:tcW w:w="1345" w:type="pct"/>
            <w:gridSpan w:val="2"/>
            <w:noWrap w:val="0"/>
            <w:vAlign w:val="center"/>
          </w:tcPr>
          <w:p w14:paraId="521F4941">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导线对地高度6.</w:t>
            </w: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rPr>
              <w:t>m</w:t>
            </w:r>
          </w:p>
        </w:tc>
        <w:tc>
          <w:tcPr>
            <w:tcW w:w="1328" w:type="pct"/>
            <w:gridSpan w:val="2"/>
            <w:noWrap w:val="0"/>
            <w:vAlign w:val="center"/>
          </w:tcPr>
          <w:p w14:paraId="34F3CC06">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导线对地高度</w:t>
            </w:r>
            <w:r>
              <w:rPr>
                <w:rFonts w:hint="eastAsia" w:asciiTheme="minorEastAsia" w:hAnsiTheme="minorEastAsia" w:eastAsiaTheme="minorEastAsia" w:cstheme="minorEastAsia"/>
                <w:color w:val="auto"/>
                <w:sz w:val="21"/>
                <w:szCs w:val="21"/>
                <w:highlight w:val="none"/>
                <w:lang w:val="en-US" w:eastAsia="zh-CN"/>
              </w:rPr>
              <w:t>9.4</w:t>
            </w:r>
            <w:r>
              <w:rPr>
                <w:rFonts w:hint="eastAsia" w:asciiTheme="minorEastAsia" w:hAnsiTheme="minorEastAsia" w:eastAsiaTheme="minorEastAsia" w:cstheme="minorEastAsia"/>
                <w:color w:val="auto"/>
                <w:sz w:val="21"/>
                <w:szCs w:val="21"/>
                <w:highlight w:val="none"/>
              </w:rPr>
              <w:t>m</w:t>
            </w:r>
          </w:p>
        </w:tc>
      </w:tr>
      <w:tr w14:paraId="110630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vMerge w:val="continue"/>
            <w:noWrap w:val="0"/>
            <w:vAlign w:val="center"/>
          </w:tcPr>
          <w:p w14:paraId="027AD76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636" w:type="pct"/>
            <w:noWrap w:val="0"/>
            <w:vAlign w:val="center"/>
          </w:tcPr>
          <w:p w14:paraId="7997C90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E</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kV/m</w:t>
            </w:r>
            <w:r>
              <w:rPr>
                <w:rFonts w:hint="eastAsia" w:asciiTheme="minorEastAsia" w:hAnsiTheme="minorEastAsia" w:eastAsiaTheme="minorEastAsia" w:cstheme="minorEastAsia"/>
                <w:color w:val="auto"/>
                <w:sz w:val="21"/>
                <w:szCs w:val="21"/>
                <w:lang w:eastAsia="zh-CN"/>
              </w:rPr>
              <w:t>)</w:t>
            </w:r>
          </w:p>
        </w:tc>
        <w:tc>
          <w:tcPr>
            <w:tcW w:w="659" w:type="pct"/>
            <w:noWrap w:val="0"/>
            <w:vAlign w:val="center"/>
          </w:tcPr>
          <w:p w14:paraId="5AF4D98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B</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μT</w:t>
            </w:r>
            <w:r>
              <w:rPr>
                <w:rFonts w:hint="eastAsia" w:asciiTheme="minorEastAsia" w:hAnsiTheme="minorEastAsia" w:eastAsiaTheme="minorEastAsia" w:cstheme="minorEastAsia"/>
                <w:color w:val="auto"/>
                <w:sz w:val="21"/>
                <w:szCs w:val="21"/>
                <w:lang w:eastAsia="zh-CN"/>
              </w:rPr>
              <w:t>)</w:t>
            </w:r>
          </w:p>
        </w:tc>
        <w:tc>
          <w:tcPr>
            <w:tcW w:w="686" w:type="pct"/>
            <w:noWrap w:val="0"/>
            <w:vAlign w:val="center"/>
          </w:tcPr>
          <w:p w14:paraId="6B332F0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sz w:val="21"/>
                <w:szCs w:val="21"/>
              </w:rPr>
              <w:t>E</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kV/m</w:t>
            </w:r>
            <w:r>
              <w:rPr>
                <w:rFonts w:hint="eastAsia" w:asciiTheme="minorEastAsia" w:hAnsiTheme="minorEastAsia" w:eastAsiaTheme="minorEastAsia" w:cstheme="minorEastAsia"/>
                <w:color w:val="auto"/>
                <w:sz w:val="21"/>
                <w:szCs w:val="21"/>
                <w:lang w:eastAsia="zh-CN"/>
              </w:rPr>
              <w:t>)</w:t>
            </w:r>
          </w:p>
        </w:tc>
        <w:tc>
          <w:tcPr>
            <w:tcW w:w="659" w:type="pct"/>
            <w:noWrap w:val="0"/>
            <w:vAlign w:val="center"/>
          </w:tcPr>
          <w:p w14:paraId="75AA8F4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sz w:val="21"/>
                <w:szCs w:val="21"/>
              </w:rPr>
              <w:t>B</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μT</w:t>
            </w:r>
            <w:r>
              <w:rPr>
                <w:rFonts w:hint="eastAsia" w:asciiTheme="minorEastAsia" w:hAnsiTheme="minorEastAsia" w:eastAsiaTheme="minorEastAsia" w:cstheme="minorEastAsia"/>
                <w:color w:val="auto"/>
                <w:sz w:val="21"/>
                <w:szCs w:val="21"/>
                <w:lang w:eastAsia="zh-CN"/>
              </w:rPr>
              <w:t>)</w:t>
            </w:r>
          </w:p>
        </w:tc>
        <w:tc>
          <w:tcPr>
            <w:tcW w:w="627" w:type="pct"/>
            <w:noWrap w:val="0"/>
            <w:vAlign w:val="center"/>
          </w:tcPr>
          <w:p w14:paraId="6F84E5D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E</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kV/m</w:t>
            </w:r>
            <w:r>
              <w:rPr>
                <w:rFonts w:hint="eastAsia" w:asciiTheme="minorEastAsia" w:hAnsiTheme="minorEastAsia" w:eastAsiaTheme="minorEastAsia" w:cstheme="minorEastAsia"/>
                <w:color w:val="auto"/>
                <w:sz w:val="21"/>
                <w:szCs w:val="21"/>
                <w:lang w:eastAsia="zh-CN"/>
              </w:rPr>
              <w:t>)</w:t>
            </w:r>
          </w:p>
        </w:tc>
        <w:tc>
          <w:tcPr>
            <w:tcW w:w="701" w:type="pct"/>
            <w:noWrap w:val="0"/>
            <w:vAlign w:val="center"/>
          </w:tcPr>
          <w:p w14:paraId="065AD76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B</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μT</w:t>
            </w:r>
            <w:r>
              <w:rPr>
                <w:rFonts w:hint="eastAsia" w:asciiTheme="minorEastAsia" w:hAnsiTheme="minorEastAsia" w:eastAsiaTheme="minorEastAsia" w:cstheme="minorEastAsia"/>
                <w:color w:val="auto"/>
                <w:sz w:val="21"/>
                <w:szCs w:val="21"/>
                <w:lang w:eastAsia="zh-CN"/>
              </w:rPr>
              <w:t>)</w:t>
            </w:r>
          </w:p>
        </w:tc>
      </w:tr>
      <w:tr w14:paraId="66506A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00605CE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-50</w:t>
            </w:r>
          </w:p>
        </w:tc>
        <w:tc>
          <w:tcPr>
            <w:tcW w:w="636" w:type="pct"/>
            <w:shd w:val="clear" w:color="auto" w:fill="auto"/>
            <w:noWrap w:val="0"/>
            <w:vAlign w:val="top"/>
          </w:tcPr>
          <w:p w14:paraId="6917149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0.080</w:t>
            </w:r>
          </w:p>
        </w:tc>
        <w:tc>
          <w:tcPr>
            <w:tcW w:w="659" w:type="pct"/>
            <w:shd w:val="clear" w:color="auto" w:fill="auto"/>
            <w:noWrap w:val="0"/>
            <w:vAlign w:val="top"/>
          </w:tcPr>
          <w:p w14:paraId="4E81093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1.88</w:t>
            </w:r>
          </w:p>
        </w:tc>
        <w:tc>
          <w:tcPr>
            <w:tcW w:w="686" w:type="pct"/>
            <w:shd w:val="clear" w:color="auto" w:fill="auto"/>
            <w:noWrap w:val="0"/>
            <w:vAlign w:val="top"/>
          </w:tcPr>
          <w:p w14:paraId="1E55511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0.075</w:t>
            </w:r>
          </w:p>
        </w:tc>
        <w:tc>
          <w:tcPr>
            <w:tcW w:w="659" w:type="pct"/>
            <w:shd w:val="clear" w:color="auto" w:fill="auto"/>
            <w:noWrap w:val="0"/>
            <w:vAlign w:val="top"/>
          </w:tcPr>
          <w:p w14:paraId="405D293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1.89</w:t>
            </w:r>
          </w:p>
        </w:tc>
        <w:tc>
          <w:tcPr>
            <w:tcW w:w="627" w:type="pct"/>
            <w:shd w:val="clear" w:color="auto" w:fill="auto"/>
            <w:noWrap w:val="0"/>
            <w:vAlign w:val="top"/>
          </w:tcPr>
          <w:p w14:paraId="553BDD0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0.091</w:t>
            </w:r>
          </w:p>
        </w:tc>
        <w:tc>
          <w:tcPr>
            <w:tcW w:w="701" w:type="pct"/>
            <w:shd w:val="clear" w:color="auto" w:fill="auto"/>
            <w:noWrap w:val="0"/>
            <w:vAlign w:val="top"/>
          </w:tcPr>
          <w:p w14:paraId="6CBC8E7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1.86</w:t>
            </w:r>
          </w:p>
        </w:tc>
      </w:tr>
      <w:tr w14:paraId="639C36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116AAB8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-49</w:t>
            </w:r>
          </w:p>
        </w:tc>
        <w:tc>
          <w:tcPr>
            <w:tcW w:w="636" w:type="pct"/>
            <w:shd w:val="clear" w:color="auto" w:fill="auto"/>
            <w:noWrap w:val="0"/>
            <w:vAlign w:val="top"/>
          </w:tcPr>
          <w:p w14:paraId="3B34805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0.084</w:t>
            </w:r>
          </w:p>
        </w:tc>
        <w:tc>
          <w:tcPr>
            <w:tcW w:w="659" w:type="pct"/>
            <w:shd w:val="clear" w:color="auto" w:fill="auto"/>
            <w:noWrap w:val="0"/>
            <w:vAlign w:val="top"/>
          </w:tcPr>
          <w:p w14:paraId="6C47571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1.96</w:t>
            </w:r>
          </w:p>
        </w:tc>
        <w:tc>
          <w:tcPr>
            <w:tcW w:w="686" w:type="pct"/>
            <w:shd w:val="clear" w:color="auto" w:fill="auto"/>
            <w:noWrap w:val="0"/>
            <w:vAlign w:val="top"/>
          </w:tcPr>
          <w:p w14:paraId="5E8127E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0.079</w:t>
            </w:r>
          </w:p>
        </w:tc>
        <w:tc>
          <w:tcPr>
            <w:tcW w:w="659" w:type="pct"/>
            <w:shd w:val="clear" w:color="auto" w:fill="auto"/>
            <w:noWrap w:val="0"/>
            <w:vAlign w:val="top"/>
          </w:tcPr>
          <w:p w14:paraId="064CF8E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1.97</w:t>
            </w:r>
          </w:p>
        </w:tc>
        <w:tc>
          <w:tcPr>
            <w:tcW w:w="627" w:type="pct"/>
            <w:shd w:val="clear" w:color="auto" w:fill="auto"/>
            <w:noWrap w:val="0"/>
            <w:vAlign w:val="top"/>
          </w:tcPr>
          <w:p w14:paraId="65385B8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0.096</w:t>
            </w:r>
          </w:p>
        </w:tc>
        <w:tc>
          <w:tcPr>
            <w:tcW w:w="701" w:type="pct"/>
            <w:shd w:val="clear" w:color="auto" w:fill="auto"/>
            <w:noWrap w:val="0"/>
            <w:vAlign w:val="top"/>
          </w:tcPr>
          <w:p w14:paraId="411C94C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1.93</w:t>
            </w:r>
          </w:p>
        </w:tc>
      </w:tr>
      <w:tr w14:paraId="0A181B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38B91C4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-48</w:t>
            </w:r>
          </w:p>
        </w:tc>
        <w:tc>
          <w:tcPr>
            <w:tcW w:w="636" w:type="pct"/>
            <w:shd w:val="clear" w:color="auto" w:fill="auto"/>
            <w:noWrap w:val="0"/>
            <w:vAlign w:val="top"/>
          </w:tcPr>
          <w:p w14:paraId="2AD71E6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0.089</w:t>
            </w:r>
          </w:p>
        </w:tc>
        <w:tc>
          <w:tcPr>
            <w:tcW w:w="659" w:type="pct"/>
            <w:shd w:val="clear" w:color="auto" w:fill="auto"/>
            <w:noWrap w:val="0"/>
            <w:vAlign w:val="top"/>
          </w:tcPr>
          <w:p w14:paraId="5F72875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2.04</w:t>
            </w:r>
          </w:p>
        </w:tc>
        <w:tc>
          <w:tcPr>
            <w:tcW w:w="686" w:type="pct"/>
            <w:shd w:val="clear" w:color="auto" w:fill="auto"/>
            <w:noWrap w:val="0"/>
            <w:vAlign w:val="top"/>
          </w:tcPr>
          <w:p w14:paraId="027467C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0.083</w:t>
            </w:r>
          </w:p>
        </w:tc>
        <w:tc>
          <w:tcPr>
            <w:tcW w:w="659" w:type="pct"/>
            <w:shd w:val="clear" w:color="auto" w:fill="auto"/>
            <w:noWrap w:val="0"/>
            <w:vAlign w:val="top"/>
          </w:tcPr>
          <w:p w14:paraId="19B0698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2.05</w:t>
            </w:r>
          </w:p>
        </w:tc>
        <w:tc>
          <w:tcPr>
            <w:tcW w:w="627" w:type="pct"/>
            <w:shd w:val="clear" w:color="auto" w:fill="auto"/>
            <w:noWrap w:val="0"/>
            <w:vAlign w:val="top"/>
          </w:tcPr>
          <w:p w14:paraId="42643FF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0.101</w:t>
            </w:r>
          </w:p>
        </w:tc>
        <w:tc>
          <w:tcPr>
            <w:tcW w:w="701" w:type="pct"/>
            <w:shd w:val="clear" w:color="auto" w:fill="auto"/>
            <w:noWrap w:val="0"/>
            <w:vAlign w:val="top"/>
          </w:tcPr>
          <w:p w14:paraId="145A8AC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2.01</w:t>
            </w:r>
          </w:p>
        </w:tc>
      </w:tr>
      <w:tr w14:paraId="075F3B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4A3469B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-47</w:t>
            </w:r>
          </w:p>
        </w:tc>
        <w:tc>
          <w:tcPr>
            <w:tcW w:w="636" w:type="pct"/>
            <w:shd w:val="clear" w:color="auto" w:fill="auto"/>
            <w:noWrap w:val="0"/>
            <w:vAlign w:val="top"/>
          </w:tcPr>
          <w:p w14:paraId="56EE29D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0.094</w:t>
            </w:r>
          </w:p>
        </w:tc>
        <w:tc>
          <w:tcPr>
            <w:tcW w:w="659" w:type="pct"/>
            <w:shd w:val="clear" w:color="auto" w:fill="auto"/>
            <w:noWrap w:val="0"/>
            <w:vAlign w:val="top"/>
          </w:tcPr>
          <w:p w14:paraId="5B28B33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2.13</w:t>
            </w:r>
          </w:p>
        </w:tc>
        <w:tc>
          <w:tcPr>
            <w:tcW w:w="686" w:type="pct"/>
            <w:shd w:val="clear" w:color="auto" w:fill="auto"/>
            <w:noWrap w:val="0"/>
            <w:vAlign w:val="top"/>
          </w:tcPr>
          <w:p w14:paraId="7021B7D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0.088</w:t>
            </w:r>
          </w:p>
        </w:tc>
        <w:tc>
          <w:tcPr>
            <w:tcW w:w="659" w:type="pct"/>
            <w:shd w:val="clear" w:color="auto" w:fill="auto"/>
            <w:noWrap w:val="0"/>
            <w:vAlign w:val="top"/>
          </w:tcPr>
          <w:p w14:paraId="36777E6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2.14</w:t>
            </w:r>
          </w:p>
        </w:tc>
        <w:tc>
          <w:tcPr>
            <w:tcW w:w="627" w:type="pct"/>
            <w:shd w:val="clear" w:color="auto" w:fill="auto"/>
            <w:noWrap w:val="0"/>
            <w:vAlign w:val="top"/>
          </w:tcPr>
          <w:p w14:paraId="13AE750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0.107</w:t>
            </w:r>
          </w:p>
        </w:tc>
        <w:tc>
          <w:tcPr>
            <w:tcW w:w="701" w:type="pct"/>
            <w:shd w:val="clear" w:color="auto" w:fill="auto"/>
            <w:noWrap w:val="0"/>
            <w:vAlign w:val="top"/>
          </w:tcPr>
          <w:p w14:paraId="071ABC0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2.10</w:t>
            </w:r>
          </w:p>
        </w:tc>
      </w:tr>
      <w:tr w14:paraId="391249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0F66B74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-46</w:t>
            </w:r>
          </w:p>
        </w:tc>
        <w:tc>
          <w:tcPr>
            <w:tcW w:w="636" w:type="pct"/>
            <w:shd w:val="clear" w:color="auto" w:fill="auto"/>
            <w:noWrap w:val="0"/>
            <w:vAlign w:val="top"/>
          </w:tcPr>
          <w:p w14:paraId="2C10066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0.100</w:t>
            </w:r>
          </w:p>
        </w:tc>
        <w:tc>
          <w:tcPr>
            <w:tcW w:w="659" w:type="pct"/>
            <w:shd w:val="clear" w:color="auto" w:fill="auto"/>
            <w:noWrap w:val="0"/>
            <w:vAlign w:val="top"/>
          </w:tcPr>
          <w:p w14:paraId="0FD0956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2.22</w:t>
            </w:r>
          </w:p>
        </w:tc>
        <w:tc>
          <w:tcPr>
            <w:tcW w:w="686" w:type="pct"/>
            <w:shd w:val="clear" w:color="auto" w:fill="auto"/>
            <w:noWrap w:val="0"/>
            <w:vAlign w:val="top"/>
          </w:tcPr>
          <w:p w14:paraId="69A44E8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0.093</w:t>
            </w:r>
          </w:p>
        </w:tc>
        <w:tc>
          <w:tcPr>
            <w:tcW w:w="659" w:type="pct"/>
            <w:shd w:val="clear" w:color="auto" w:fill="auto"/>
            <w:noWrap w:val="0"/>
            <w:vAlign w:val="top"/>
          </w:tcPr>
          <w:p w14:paraId="743A85B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2.24</w:t>
            </w:r>
          </w:p>
        </w:tc>
        <w:tc>
          <w:tcPr>
            <w:tcW w:w="627" w:type="pct"/>
            <w:shd w:val="clear" w:color="auto" w:fill="auto"/>
            <w:noWrap w:val="0"/>
            <w:vAlign w:val="top"/>
          </w:tcPr>
          <w:p w14:paraId="1CFC431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0.114</w:t>
            </w:r>
          </w:p>
        </w:tc>
        <w:tc>
          <w:tcPr>
            <w:tcW w:w="701" w:type="pct"/>
            <w:shd w:val="clear" w:color="auto" w:fill="auto"/>
            <w:noWrap w:val="0"/>
            <w:vAlign w:val="top"/>
          </w:tcPr>
          <w:p w14:paraId="76C952C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2.19</w:t>
            </w:r>
          </w:p>
        </w:tc>
      </w:tr>
      <w:tr w14:paraId="123574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6FB835C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-45</w:t>
            </w:r>
          </w:p>
        </w:tc>
        <w:tc>
          <w:tcPr>
            <w:tcW w:w="636" w:type="pct"/>
            <w:shd w:val="clear" w:color="auto" w:fill="auto"/>
            <w:noWrap w:val="0"/>
            <w:vAlign w:val="top"/>
          </w:tcPr>
          <w:p w14:paraId="3F7F90C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0.106</w:t>
            </w:r>
          </w:p>
        </w:tc>
        <w:tc>
          <w:tcPr>
            <w:tcW w:w="659" w:type="pct"/>
            <w:shd w:val="clear" w:color="auto" w:fill="auto"/>
            <w:noWrap w:val="0"/>
            <w:vAlign w:val="top"/>
          </w:tcPr>
          <w:p w14:paraId="3903651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2.32</w:t>
            </w:r>
          </w:p>
        </w:tc>
        <w:tc>
          <w:tcPr>
            <w:tcW w:w="686" w:type="pct"/>
            <w:shd w:val="clear" w:color="auto" w:fill="auto"/>
            <w:noWrap w:val="0"/>
            <w:vAlign w:val="top"/>
          </w:tcPr>
          <w:p w14:paraId="0DF6A0B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0.098</w:t>
            </w:r>
          </w:p>
        </w:tc>
        <w:tc>
          <w:tcPr>
            <w:tcW w:w="659" w:type="pct"/>
            <w:shd w:val="clear" w:color="auto" w:fill="auto"/>
            <w:noWrap w:val="0"/>
            <w:vAlign w:val="top"/>
          </w:tcPr>
          <w:p w14:paraId="3782522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2.34</w:t>
            </w:r>
          </w:p>
        </w:tc>
        <w:tc>
          <w:tcPr>
            <w:tcW w:w="627" w:type="pct"/>
            <w:shd w:val="clear" w:color="auto" w:fill="auto"/>
            <w:noWrap w:val="0"/>
            <w:vAlign w:val="top"/>
          </w:tcPr>
          <w:p w14:paraId="0421F34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0.121</w:t>
            </w:r>
          </w:p>
        </w:tc>
        <w:tc>
          <w:tcPr>
            <w:tcW w:w="701" w:type="pct"/>
            <w:shd w:val="clear" w:color="auto" w:fill="auto"/>
            <w:noWrap w:val="0"/>
            <w:vAlign w:val="top"/>
          </w:tcPr>
          <w:p w14:paraId="6090306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2.29</w:t>
            </w:r>
          </w:p>
        </w:tc>
      </w:tr>
      <w:tr w14:paraId="3A8E98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2E4A120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-44</w:t>
            </w:r>
          </w:p>
        </w:tc>
        <w:tc>
          <w:tcPr>
            <w:tcW w:w="636" w:type="pct"/>
            <w:shd w:val="clear" w:color="auto" w:fill="auto"/>
            <w:noWrap w:val="0"/>
            <w:vAlign w:val="top"/>
          </w:tcPr>
          <w:p w14:paraId="4939C4A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0.112</w:t>
            </w:r>
          </w:p>
        </w:tc>
        <w:tc>
          <w:tcPr>
            <w:tcW w:w="659" w:type="pct"/>
            <w:shd w:val="clear" w:color="auto" w:fill="auto"/>
            <w:noWrap w:val="0"/>
            <w:vAlign w:val="top"/>
          </w:tcPr>
          <w:p w14:paraId="40C80E2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2.43</w:t>
            </w:r>
          </w:p>
        </w:tc>
        <w:tc>
          <w:tcPr>
            <w:tcW w:w="686" w:type="pct"/>
            <w:shd w:val="clear" w:color="auto" w:fill="auto"/>
            <w:noWrap w:val="0"/>
            <w:vAlign w:val="top"/>
          </w:tcPr>
          <w:p w14:paraId="4FEA93B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0.104</w:t>
            </w:r>
          </w:p>
        </w:tc>
        <w:tc>
          <w:tcPr>
            <w:tcW w:w="659" w:type="pct"/>
            <w:shd w:val="clear" w:color="auto" w:fill="auto"/>
            <w:noWrap w:val="0"/>
            <w:vAlign w:val="top"/>
          </w:tcPr>
          <w:p w14:paraId="3743D2F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2.45</w:t>
            </w:r>
          </w:p>
        </w:tc>
        <w:tc>
          <w:tcPr>
            <w:tcW w:w="627" w:type="pct"/>
            <w:shd w:val="clear" w:color="auto" w:fill="auto"/>
            <w:noWrap w:val="0"/>
            <w:vAlign w:val="top"/>
          </w:tcPr>
          <w:p w14:paraId="0DE4342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0.129</w:t>
            </w:r>
          </w:p>
        </w:tc>
        <w:tc>
          <w:tcPr>
            <w:tcW w:w="701" w:type="pct"/>
            <w:shd w:val="clear" w:color="auto" w:fill="auto"/>
            <w:noWrap w:val="0"/>
            <w:vAlign w:val="top"/>
          </w:tcPr>
          <w:p w14:paraId="5B9536F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2.39</w:t>
            </w:r>
          </w:p>
        </w:tc>
      </w:tr>
      <w:tr w14:paraId="30C32B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362C514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-43</w:t>
            </w:r>
          </w:p>
        </w:tc>
        <w:tc>
          <w:tcPr>
            <w:tcW w:w="636" w:type="pct"/>
            <w:shd w:val="clear" w:color="auto" w:fill="auto"/>
            <w:noWrap w:val="0"/>
            <w:vAlign w:val="top"/>
          </w:tcPr>
          <w:p w14:paraId="22B270C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0.119</w:t>
            </w:r>
          </w:p>
        </w:tc>
        <w:tc>
          <w:tcPr>
            <w:tcW w:w="659" w:type="pct"/>
            <w:shd w:val="clear" w:color="auto" w:fill="auto"/>
            <w:noWrap w:val="0"/>
            <w:vAlign w:val="top"/>
          </w:tcPr>
          <w:p w14:paraId="23BBBB6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2.54</w:t>
            </w:r>
          </w:p>
        </w:tc>
        <w:tc>
          <w:tcPr>
            <w:tcW w:w="686" w:type="pct"/>
            <w:shd w:val="clear" w:color="auto" w:fill="auto"/>
            <w:noWrap w:val="0"/>
            <w:vAlign w:val="top"/>
          </w:tcPr>
          <w:p w14:paraId="419CFA7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0.110</w:t>
            </w:r>
          </w:p>
        </w:tc>
        <w:tc>
          <w:tcPr>
            <w:tcW w:w="659" w:type="pct"/>
            <w:shd w:val="clear" w:color="auto" w:fill="auto"/>
            <w:noWrap w:val="0"/>
            <w:vAlign w:val="top"/>
          </w:tcPr>
          <w:p w14:paraId="15E2A7E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2.56</w:t>
            </w:r>
          </w:p>
        </w:tc>
        <w:tc>
          <w:tcPr>
            <w:tcW w:w="627" w:type="pct"/>
            <w:shd w:val="clear" w:color="auto" w:fill="auto"/>
            <w:noWrap w:val="0"/>
            <w:vAlign w:val="top"/>
          </w:tcPr>
          <w:p w14:paraId="1C29982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0.137</w:t>
            </w:r>
          </w:p>
        </w:tc>
        <w:tc>
          <w:tcPr>
            <w:tcW w:w="701" w:type="pct"/>
            <w:shd w:val="clear" w:color="auto" w:fill="auto"/>
            <w:noWrap w:val="0"/>
            <w:vAlign w:val="top"/>
          </w:tcPr>
          <w:p w14:paraId="746EC5E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2.50</w:t>
            </w:r>
          </w:p>
        </w:tc>
      </w:tr>
      <w:tr w14:paraId="53A53F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7605B10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-42</w:t>
            </w:r>
          </w:p>
        </w:tc>
        <w:tc>
          <w:tcPr>
            <w:tcW w:w="636" w:type="pct"/>
            <w:shd w:val="clear" w:color="auto" w:fill="auto"/>
            <w:noWrap w:val="0"/>
            <w:vAlign w:val="top"/>
          </w:tcPr>
          <w:p w14:paraId="4B475B3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0.127</w:t>
            </w:r>
          </w:p>
        </w:tc>
        <w:tc>
          <w:tcPr>
            <w:tcW w:w="659" w:type="pct"/>
            <w:shd w:val="clear" w:color="auto" w:fill="auto"/>
            <w:noWrap w:val="0"/>
            <w:vAlign w:val="top"/>
          </w:tcPr>
          <w:p w14:paraId="15C1E6A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2.66</w:t>
            </w:r>
          </w:p>
        </w:tc>
        <w:tc>
          <w:tcPr>
            <w:tcW w:w="686" w:type="pct"/>
            <w:shd w:val="clear" w:color="auto" w:fill="auto"/>
            <w:noWrap w:val="0"/>
            <w:vAlign w:val="top"/>
          </w:tcPr>
          <w:p w14:paraId="4CF0795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0.118</w:t>
            </w:r>
          </w:p>
        </w:tc>
        <w:tc>
          <w:tcPr>
            <w:tcW w:w="659" w:type="pct"/>
            <w:shd w:val="clear" w:color="auto" w:fill="auto"/>
            <w:noWrap w:val="0"/>
            <w:vAlign w:val="top"/>
          </w:tcPr>
          <w:p w14:paraId="154D046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2.69</w:t>
            </w:r>
          </w:p>
        </w:tc>
        <w:tc>
          <w:tcPr>
            <w:tcW w:w="627" w:type="pct"/>
            <w:shd w:val="clear" w:color="auto" w:fill="auto"/>
            <w:noWrap w:val="0"/>
            <w:vAlign w:val="top"/>
          </w:tcPr>
          <w:p w14:paraId="5A4A60E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0.146</w:t>
            </w:r>
          </w:p>
        </w:tc>
        <w:tc>
          <w:tcPr>
            <w:tcW w:w="701" w:type="pct"/>
            <w:shd w:val="clear" w:color="auto" w:fill="auto"/>
            <w:noWrap w:val="0"/>
            <w:vAlign w:val="top"/>
          </w:tcPr>
          <w:p w14:paraId="7EE04FF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2.62</w:t>
            </w:r>
          </w:p>
        </w:tc>
      </w:tr>
      <w:tr w14:paraId="008F57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73FF27C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-41</w:t>
            </w:r>
          </w:p>
        </w:tc>
        <w:tc>
          <w:tcPr>
            <w:tcW w:w="636" w:type="pct"/>
            <w:shd w:val="clear" w:color="auto" w:fill="auto"/>
            <w:noWrap w:val="0"/>
            <w:vAlign w:val="top"/>
          </w:tcPr>
          <w:p w14:paraId="72ED74A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0.136</w:t>
            </w:r>
          </w:p>
        </w:tc>
        <w:tc>
          <w:tcPr>
            <w:tcW w:w="659" w:type="pct"/>
            <w:shd w:val="clear" w:color="auto" w:fill="auto"/>
            <w:noWrap w:val="0"/>
            <w:vAlign w:val="top"/>
          </w:tcPr>
          <w:p w14:paraId="3544D3D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2.80</w:t>
            </w:r>
          </w:p>
        </w:tc>
        <w:tc>
          <w:tcPr>
            <w:tcW w:w="686" w:type="pct"/>
            <w:shd w:val="clear" w:color="auto" w:fill="auto"/>
            <w:noWrap w:val="0"/>
            <w:vAlign w:val="top"/>
          </w:tcPr>
          <w:p w14:paraId="0C21C81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0.125</w:t>
            </w:r>
          </w:p>
        </w:tc>
        <w:tc>
          <w:tcPr>
            <w:tcW w:w="659" w:type="pct"/>
            <w:shd w:val="clear" w:color="auto" w:fill="auto"/>
            <w:noWrap w:val="0"/>
            <w:vAlign w:val="top"/>
          </w:tcPr>
          <w:p w14:paraId="3C6D54C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2.82</w:t>
            </w:r>
          </w:p>
        </w:tc>
        <w:tc>
          <w:tcPr>
            <w:tcW w:w="627" w:type="pct"/>
            <w:shd w:val="clear" w:color="auto" w:fill="auto"/>
            <w:noWrap w:val="0"/>
            <w:vAlign w:val="top"/>
          </w:tcPr>
          <w:p w14:paraId="6034582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0.156</w:t>
            </w:r>
          </w:p>
        </w:tc>
        <w:tc>
          <w:tcPr>
            <w:tcW w:w="701" w:type="pct"/>
            <w:shd w:val="clear" w:color="auto" w:fill="auto"/>
            <w:noWrap w:val="0"/>
            <w:vAlign w:val="top"/>
          </w:tcPr>
          <w:p w14:paraId="701B509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2.74</w:t>
            </w:r>
          </w:p>
        </w:tc>
      </w:tr>
      <w:tr w14:paraId="7AE75E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26A6A9C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-40</w:t>
            </w:r>
          </w:p>
        </w:tc>
        <w:tc>
          <w:tcPr>
            <w:tcW w:w="636" w:type="pct"/>
            <w:shd w:val="clear" w:color="auto" w:fill="auto"/>
            <w:noWrap w:val="0"/>
            <w:vAlign w:val="top"/>
          </w:tcPr>
          <w:p w14:paraId="4650DA4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0.145</w:t>
            </w:r>
          </w:p>
        </w:tc>
        <w:tc>
          <w:tcPr>
            <w:tcW w:w="659" w:type="pct"/>
            <w:shd w:val="clear" w:color="auto" w:fill="auto"/>
            <w:noWrap w:val="0"/>
            <w:vAlign w:val="top"/>
          </w:tcPr>
          <w:p w14:paraId="6E7759F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2.94</w:t>
            </w:r>
          </w:p>
        </w:tc>
        <w:tc>
          <w:tcPr>
            <w:tcW w:w="686" w:type="pct"/>
            <w:shd w:val="clear" w:color="auto" w:fill="auto"/>
            <w:noWrap w:val="0"/>
            <w:vAlign w:val="top"/>
          </w:tcPr>
          <w:p w14:paraId="693C17C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0.134</w:t>
            </w:r>
          </w:p>
        </w:tc>
        <w:tc>
          <w:tcPr>
            <w:tcW w:w="659" w:type="pct"/>
            <w:shd w:val="clear" w:color="auto" w:fill="auto"/>
            <w:noWrap w:val="0"/>
            <w:vAlign w:val="top"/>
          </w:tcPr>
          <w:p w14:paraId="163EFD5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2.96</w:t>
            </w:r>
          </w:p>
        </w:tc>
        <w:tc>
          <w:tcPr>
            <w:tcW w:w="627" w:type="pct"/>
            <w:shd w:val="clear" w:color="auto" w:fill="auto"/>
            <w:noWrap w:val="0"/>
            <w:vAlign w:val="top"/>
          </w:tcPr>
          <w:p w14:paraId="41FA26B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0.168</w:t>
            </w:r>
          </w:p>
        </w:tc>
        <w:tc>
          <w:tcPr>
            <w:tcW w:w="701" w:type="pct"/>
            <w:shd w:val="clear" w:color="auto" w:fill="auto"/>
            <w:noWrap w:val="0"/>
            <w:vAlign w:val="top"/>
          </w:tcPr>
          <w:p w14:paraId="693C83E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2.88</w:t>
            </w:r>
          </w:p>
        </w:tc>
      </w:tr>
      <w:tr w14:paraId="64B228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05138FF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-39</w:t>
            </w:r>
          </w:p>
        </w:tc>
        <w:tc>
          <w:tcPr>
            <w:tcW w:w="636" w:type="pct"/>
            <w:shd w:val="clear" w:color="auto" w:fill="auto"/>
            <w:noWrap w:val="0"/>
            <w:vAlign w:val="top"/>
          </w:tcPr>
          <w:p w14:paraId="6C8AACA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0.156</w:t>
            </w:r>
          </w:p>
        </w:tc>
        <w:tc>
          <w:tcPr>
            <w:tcW w:w="659" w:type="pct"/>
            <w:shd w:val="clear" w:color="auto" w:fill="auto"/>
            <w:noWrap w:val="0"/>
            <w:vAlign w:val="top"/>
          </w:tcPr>
          <w:p w14:paraId="37EAC42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3.09</w:t>
            </w:r>
          </w:p>
        </w:tc>
        <w:tc>
          <w:tcPr>
            <w:tcW w:w="686" w:type="pct"/>
            <w:shd w:val="clear" w:color="auto" w:fill="auto"/>
            <w:noWrap w:val="0"/>
            <w:vAlign w:val="top"/>
          </w:tcPr>
          <w:p w14:paraId="5EBE867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0.143</w:t>
            </w:r>
          </w:p>
        </w:tc>
        <w:tc>
          <w:tcPr>
            <w:tcW w:w="659" w:type="pct"/>
            <w:shd w:val="clear" w:color="auto" w:fill="auto"/>
            <w:noWrap w:val="0"/>
            <w:vAlign w:val="top"/>
          </w:tcPr>
          <w:p w14:paraId="0E04057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3.12</w:t>
            </w:r>
          </w:p>
        </w:tc>
        <w:tc>
          <w:tcPr>
            <w:tcW w:w="627" w:type="pct"/>
            <w:shd w:val="clear" w:color="auto" w:fill="auto"/>
            <w:noWrap w:val="0"/>
            <w:vAlign w:val="top"/>
          </w:tcPr>
          <w:p w14:paraId="1F28799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0.180</w:t>
            </w:r>
          </w:p>
        </w:tc>
        <w:tc>
          <w:tcPr>
            <w:tcW w:w="701" w:type="pct"/>
            <w:shd w:val="clear" w:color="auto" w:fill="auto"/>
            <w:noWrap w:val="0"/>
            <w:vAlign w:val="top"/>
          </w:tcPr>
          <w:p w14:paraId="14654B1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3.03</w:t>
            </w:r>
          </w:p>
        </w:tc>
      </w:tr>
      <w:tr w14:paraId="60110D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50807ED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-38</w:t>
            </w:r>
          </w:p>
        </w:tc>
        <w:tc>
          <w:tcPr>
            <w:tcW w:w="636" w:type="pct"/>
            <w:shd w:val="clear" w:color="auto" w:fill="auto"/>
            <w:noWrap w:val="0"/>
            <w:vAlign w:val="top"/>
          </w:tcPr>
          <w:p w14:paraId="61D4597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0.167</w:t>
            </w:r>
          </w:p>
        </w:tc>
        <w:tc>
          <w:tcPr>
            <w:tcW w:w="659" w:type="pct"/>
            <w:shd w:val="clear" w:color="auto" w:fill="auto"/>
            <w:noWrap w:val="0"/>
            <w:vAlign w:val="top"/>
          </w:tcPr>
          <w:p w14:paraId="4C62A38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3.25</w:t>
            </w:r>
          </w:p>
        </w:tc>
        <w:tc>
          <w:tcPr>
            <w:tcW w:w="686" w:type="pct"/>
            <w:shd w:val="clear" w:color="auto" w:fill="auto"/>
            <w:noWrap w:val="0"/>
            <w:vAlign w:val="top"/>
          </w:tcPr>
          <w:p w14:paraId="16876EC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0.154</w:t>
            </w:r>
          </w:p>
        </w:tc>
        <w:tc>
          <w:tcPr>
            <w:tcW w:w="659" w:type="pct"/>
            <w:shd w:val="clear" w:color="auto" w:fill="auto"/>
            <w:noWrap w:val="0"/>
            <w:vAlign w:val="top"/>
          </w:tcPr>
          <w:p w14:paraId="2F87A8D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3.29</w:t>
            </w:r>
          </w:p>
        </w:tc>
        <w:tc>
          <w:tcPr>
            <w:tcW w:w="627" w:type="pct"/>
            <w:shd w:val="clear" w:color="auto" w:fill="auto"/>
            <w:noWrap w:val="0"/>
            <w:vAlign w:val="top"/>
          </w:tcPr>
          <w:p w14:paraId="492AED8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0.194</w:t>
            </w:r>
          </w:p>
        </w:tc>
        <w:tc>
          <w:tcPr>
            <w:tcW w:w="701" w:type="pct"/>
            <w:shd w:val="clear" w:color="auto" w:fill="auto"/>
            <w:noWrap w:val="0"/>
            <w:vAlign w:val="top"/>
          </w:tcPr>
          <w:p w14:paraId="278F393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3.18</w:t>
            </w:r>
          </w:p>
        </w:tc>
      </w:tr>
      <w:tr w14:paraId="11FE26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234CA3F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-37</w:t>
            </w:r>
          </w:p>
        </w:tc>
        <w:tc>
          <w:tcPr>
            <w:tcW w:w="636" w:type="pct"/>
            <w:shd w:val="clear" w:color="auto" w:fill="auto"/>
            <w:noWrap w:val="0"/>
            <w:vAlign w:val="top"/>
          </w:tcPr>
          <w:p w14:paraId="0C220DB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0.180</w:t>
            </w:r>
          </w:p>
        </w:tc>
        <w:tc>
          <w:tcPr>
            <w:tcW w:w="659" w:type="pct"/>
            <w:shd w:val="clear" w:color="auto" w:fill="auto"/>
            <w:noWrap w:val="0"/>
            <w:vAlign w:val="top"/>
          </w:tcPr>
          <w:p w14:paraId="4505CF7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3.43</w:t>
            </w:r>
          </w:p>
        </w:tc>
        <w:tc>
          <w:tcPr>
            <w:tcW w:w="686" w:type="pct"/>
            <w:shd w:val="clear" w:color="auto" w:fill="auto"/>
            <w:noWrap w:val="0"/>
            <w:vAlign w:val="top"/>
          </w:tcPr>
          <w:p w14:paraId="2548008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0.165</w:t>
            </w:r>
          </w:p>
        </w:tc>
        <w:tc>
          <w:tcPr>
            <w:tcW w:w="659" w:type="pct"/>
            <w:shd w:val="clear" w:color="auto" w:fill="auto"/>
            <w:noWrap w:val="0"/>
            <w:vAlign w:val="top"/>
          </w:tcPr>
          <w:p w14:paraId="2B5C1A9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3.47</w:t>
            </w:r>
          </w:p>
        </w:tc>
        <w:tc>
          <w:tcPr>
            <w:tcW w:w="627" w:type="pct"/>
            <w:shd w:val="clear" w:color="auto" w:fill="auto"/>
            <w:noWrap w:val="0"/>
            <w:vAlign w:val="top"/>
          </w:tcPr>
          <w:p w14:paraId="75075FC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0.209</w:t>
            </w:r>
          </w:p>
        </w:tc>
        <w:tc>
          <w:tcPr>
            <w:tcW w:w="701" w:type="pct"/>
            <w:shd w:val="clear" w:color="auto" w:fill="auto"/>
            <w:noWrap w:val="0"/>
            <w:vAlign w:val="top"/>
          </w:tcPr>
          <w:p w14:paraId="51123C0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3.35</w:t>
            </w:r>
          </w:p>
        </w:tc>
      </w:tr>
      <w:tr w14:paraId="3D9A31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0AC299C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-36</w:t>
            </w:r>
          </w:p>
        </w:tc>
        <w:tc>
          <w:tcPr>
            <w:tcW w:w="636" w:type="pct"/>
            <w:shd w:val="clear" w:color="auto" w:fill="auto"/>
            <w:noWrap w:val="0"/>
            <w:vAlign w:val="top"/>
          </w:tcPr>
          <w:p w14:paraId="29DC0DF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0.195</w:t>
            </w:r>
          </w:p>
        </w:tc>
        <w:tc>
          <w:tcPr>
            <w:tcW w:w="659" w:type="pct"/>
            <w:shd w:val="clear" w:color="auto" w:fill="auto"/>
            <w:noWrap w:val="0"/>
            <w:vAlign w:val="top"/>
          </w:tcPr>
          <w:p w14:paraId="495B40D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3.63</w:t>
            </w:r>
          </w:p>
        </w:tc>
        <w:tc>
          <w:tcPr>
            <w:tcW w:w="686" w:type="pct"/>
            <w:shd w:val="clear" w:color="auto" w:fill="auto"/>
            <w:noWrap w:val="0"/>
            <w:vAlign w:val="top"/>
          </w:tcPr>
          <w:p w14:paraId="5C81EE6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0.178</w:t>
            </w:r>
          </w:p>
        </w:tc>
        <w:tc>
          <w:tcPr>
            <w:tcW w:w="659" w:type="pct"/>
            <w:shd w:val="clear" w:color="auto" w:fill="auto"/>
            <w:noWrap w:val="0"/>
            <w:vAlign w:val="top"/>
          </w:tcPr>
          <w:p w14:paraId="24826D3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3.67</w:t>
            </w:r>
          </w:p>
        </w:tc>
        <w:tc>
          <w:tcPr>
            <w:tcW w:w="627" w:type="pct"/>
            <w:shd w:val="clear" w:color="auto" w:fill="auto"/>
            <w:noWrap w:val="0"/>
            <w:vAlign w:val="top"/>
          </w:tcPr>
          <w:p w14:paraId="6DE04DF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0.225</w:t>
            </w:r>
          </w:p>
        </w:tc>
        <w:tc>
          <w:tcPr>
            <w:tcW w:w="701" w:type="pct"/>
            <w:shd w:val="clear" w:color="auto" w:fill="auto"/>
            <w:noWrap w:val="0"/>
            <w:vAlign w:val="top"/>
          </w:tcPr>
          <w:p w14:paraId="2BB0B97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3.54</w:t>
            </w:r>
          </w:p>
        </w:tc>
      </w:tr>
      <w:tr w14:paraId="5FD0E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1043757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-35</w:t>
            </w:r>
          </w:p>
        </w:tc>
        <w:tc>
          <w:tcPr>
            <w:tcW w:w="636" w:type="pct"/>
            <w:shd w:val="clear" w:color="auto" w:fill="auto"/>
            <w:noWrap w:val="0"/>
            <w:vAlign w:val="top"/>
          </w:tcPr>
          <w:p w14:paraId="23B1104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0.211</w:t>
            </w:r>
          </w:p>
        </w:tc>
        <w:tc>
          <w:tcPr>
            <w:tcW w:w="659" w:type="pct"/>
            <w:shd w:val="clear" w:color="auto" w:fill="auto"/>
            <w:noWrap w:val="0"/>
            <w:vAlign w:val="top"/>
          </w:tcPr>
          <w:p w14:paraId="4D3A920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3.84</w:t>
            </w:r>
          </w:p>
        </w:tc>
        <w:tc>
          <w:tcPr>
            <w:tcW w:w="686" w:type="pct"/>
            <w:shd w:val="clear" w:color="auto" w:fill="auto"/>
            <w:noWrap w:val="0"/>
            <w:vAlign w:val="top"/>
          </w:tcPr>
          <w:p w14:paraId="26A7F65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0.193</w:t>
            </w:r>
          </w:p>
        </w:tc>
        <w:tc>
          <w:tcPr>
            <w:tcW w:w="659" w:type="pct"/>
            <w:shd w:val="clear" w:color="auto" w:fill="auto"/>
            <w:noWrap w:val="0"/>
            <w:vAlign w:val="top"/>
          </w:tcPr>
          <w:p w14:paraId="68E6657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3.88</w:t>
            </w:r>
          </w:p>
        </w:tc>
        <w:tc>
          <w:tcPr>
            <w:tcW w:w="627" w:type="pct"/>
            <w:shd w:val="clear" w:color="auto" w:fill="auto"/>
            <w:noWrap w:val="0"/>
            <w:vAlign w:val="top"/>
          </w:tcPr>
          <w:p w14:paraId="7EEC991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0.244</w:t>
            </w:r>
          </w:p>
        </w:tc>
        <w:tc>
          <w:tcPr>
            <w:tcW w:w="701" w:type="pct"/>
            <w:shd w:val="clear" w:color="auto" w:fill="auto"/>
            <w:noWrap w:val="0"/>
            <w:vAlign w:val="top"/>
          </w:tcPr>
          <w:p w14:paraId="2037BA4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3.74</w:t>
            </w:r>
          </w:p>
        </w:tc>
      </w:tr>
      <w:tr w14:paraId="34EF0C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1FA7B9B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-34</w:t>
            </w:r>
          </w:p>
        </w:tc>
        <w:tc>
          <w:tcPr>
            <w:tcW w:w="636" w:type="pct"/>
            <w:shd w:val="clear" w:color="auto" w:fill="auto"/>
            <w:noWrap w:val="0"/>
            <w:vAlign w:val="top"/>
          </w:tcPr>
          <w:p w14:paraId="27430EE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0.229</w:t>
            </w:r>
          </w:p>
        </w:tc>
        <w:tc>
          <w:tcPr>
            <w:tcW w:w="659" w:type="pct"/>
            <w:shd w:val="clear" w:color="auto" w:fill="auto"/>
            <w:noWrap w:val="0"/>
            <w:vAlign w:val="top"/>
          </w:tcPr>
          <w:p w14:paraId="4DA6E87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4.06</w:t>
            </w:r>
          </w:p>
        </w:tc>
        <w:tc>
          <w:tcPr>
            <w:tcW w:w="686" w:type="pct"/>
            <w:shd w:val="clear" w:color="auto" w:fill="auto"/>
            <w:noWrap w:val="0"/>
            <w:vAlign w:val="top"/>
          </w:tcPr>
          <w:p w14:paraId="79F41CD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0.209</w:t>
            </w:r>
          </w:p>
        </w:tc>
        <w:tc>
          <w:tcPr>
            <w:tcW w:w="659" w:type="pct"/>
            <w:shd w:val="clear" w:color="auto" w:fill="auto"/>
            <w:noWrap w:val="0"/>
            <w:vAlign w:val="top"/>
          </w:tcPr>
          <w:p w14:paraId="44DB9BA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4.11</w:t>
            </w:r>
          </w:p>
        </w:tc>
        <w:tc>
          <w:tcPr>
            <w:tcW w:w="627" w:type="pct"/>
            <w:shd w:val="clear" w:color="auto" w:fill="auto"/>
            <w:noWrap w:val="0"/>
            <w:vAlign w:val="top"/>
          </w:tcPr>
          <w:p w14:paraId="4AA4BDB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0.265</w:t>
            </w:r>
          </w:p>
        </w:tc>
        <w:tc>
          <w:tcPr>
            <w:tcW w:w="701" w:type="pct"/>
            <w:shd w:val="clear" w:color="auto" w:fill="auto"/>
            <w:noWrap w:val="0"/>
            <w:vAlign w:val="top"/>
          </w:tcPr>
          <w:p w14:paraId="6220159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3.95</w:t>
            </w:r>
          </w:p>
        </w:tc>
      </w:tr>
      <w:tr w14:paraId="2AA08E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1DFB503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-33</w:t>
            </w:r>
          </w:p>
        </w:tc>
        <w:tc>
          <w:tcPr>
            <w:tcW w:w="636" w:type="pct"/>
            <w:shd w:val="clear" w:color="auto" w:fill="auto"/>
            <w:noWrap w:val="0"/>
            <w:vAlign w:val="top"/>
          </w:tcPr>
          <w:p w14:paraId="1759FFE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0.249</w:t>
            </w:r>
          </w:p>
        </w:tc>
        <w:tc>
          <w:tcPr>
            <w:tcW w:w="659" w:type="pct"/>
            <w:shd w:val="clear" w:color="auto" w:fill="auto"/>
            <w:noWrap w:val="0"/>
            <w:vAlign w:val="top"/>
          </w:tcPr>
          <w:p w14:paraId="41F5497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4.31</w:t>
            </w:r>
          </w:p>
        </w:tc>
        <w:tc>
          <w:tcPr>
            <w:tcW w:w="686" w:type="pct"/>
            <w:shd w:val="clear" w:color="auto" w:fill="auto"/>
            <w:noWrap w:val="0"/>
            <w:vAlign w:val="top"/>
          </w:tcPr>
          <w:p w14:paraId="5A534E3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0.228</w:t>
            </w:r>
          </w:p>
        </w:tc>
        <w:tc>
          <w:tcPr>
            <w:tcW w:w="659" w:type="pct"/>
            <w:shd w:val="clear" w:color="auto" w:fill="auto"/>
            <w:noWrap w:val="0"/>
            <w:vAlign w:val="top"/>
          </w:tcPr>
          <w:p w14:paraId="5802C56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4.37</w:t>
            </w:r>
          </w:p>
        </w:tc>
        <w:tc>
          <w:tcPr>
            <w:tcW w:w="627" w:type="pct"/>
            <w:shd w:val="clear" w:color="auto" w:fill="auto"/>
            <w:noWrap w:val="0"/>
            <w:vAlign w:val="top"/>
          </w:tcPr>
          <w:p w14:paraId="34DEAEF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0.288</w:t>
            </w:r>
          </w:p>
        </w:tc>
        <w:tc>
          <w:tcPr>
            <w:tcW w:w="701" w:type="pct"/>
            <w:shd w:val="clear" w:color="auto" w:fill="auto"/>
            <w:noWrap w:val="0"/>
            <w:vAlign w:val="top"/>
          </w:tcPr>
          <w:p w14:paraId="26099D3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4.19</w:t>
            </w:r>
          </w:p>
        </w:tc>
      </w:tr>
      <w:tr w14:paraId="61A0E9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598EEF9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-32</w:t>
            </w:r>
          </w:p>
        </w:tc>
        <w:tc>
          <w:tcPr>
            <w:tcW w:w="636" w:type="pct"/>
            <w:shd w:val="clear" w:color="auto" w:fill="auto"/>
            <w:noWrap w:val="0"/>
            <w:vAlign w:val="top"/>
          </w:tcPr>
          <w:p w14:paraId="21E8112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0.272</w:t>
            </w:r>
          </w:p>
        </w:tc>
        <w:tc>
          <w:tcPr>
            <w:tcW w:w="659" w:type="pct"/>
            <w:shd w:val="clear" w:color="auto" w:fill="auto"/>
            <w:noWrap w:val="0"/>
            <w:vAlign w:val="top"/>
          </w:tcPr>
          <w:p w14:paraId="3E14D11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4.58</w:t>
            </w:r>
          </w:p>
        </w:tc>
        <w:tc>
          <w:tcPr>
            <w:tcW w:w="686" w:type="pct"/>
            <w:shd w:val="clear" w:color="auto" w:fill="auto"/>
            <w:noWrap w:val="0"/>
            <w:vAlign w:val="top"/>
          </w:tcPr>
          <w:p w14:paraId="21ED858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0.249</w:t>
            </w:r>
          </w:p>
        </w:tc>
        <w:tc>
          <w:tcPr>
            <w:tcW w:w="659" w:type="pct"/>
            <w:shd w:val="clear" w:color="auto" w:fill="auto"/>
            <w:noWrap w:val="0"/>
            <w:vAlign w:val="top"/>
          </w:tcPr>
          <w:p w14:paraId="5DB1CE8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4.65</w:t>
            </w:r>
          </w:p>
        </w:tc>
        <w:tc>
          <w:tcPr>
            <w:tcW w:w="627" w:type="pct"/>
            <w:shd w:val="clear" w:color="auto" w:fill="auto"/>
            <w:noWrap w:val="0"/>
            <w:vAlign w:val="top"/>
          </w:tcPr>
          <w:p w14:paraId="1115FF9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0.314</w:t>
            </w:r>
          </w:p>
        </w:tc>
        <w:tc>
          <w:tcPr>
            <w:tcW w:w="701" w:type="pct"/>
            <w:shd w:val="clear" w:color="auto" w:fill="auto"/>
            <w:noWrap w:val="0"/>
            <w:vAlign w:val="top"/>
          </w:tcPr>
          <w:p w14:paraId="0C50910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4.44</w:t>
            </w:r>
          </w:p>
        </w:tc>
      </w:tr>
      <w:tr w14:paraId="7F8046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37B3072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-31</w:t>
            </w:r>
          </w:p>
        </w:tc>
        <w:tc>
          <w:tcPr>
            <w:tcW w:w="636" w:type="pct"/>
            <w:shd w:val="clear" w:color="auto" w:fill="auto"/>
            <w:noWrap w:val="0"/>
            <w:vAlign w:val="top"/>
          </w:tcPr>
          <w:p w14:paraId="1A8E6DD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0.298</w:t>
            </w:r>
          </w:p>
        </w:tc>
        <w:tc>
          <w:tcPr>
            <w:tcW w:w="659" w:type="pct"/>
            <w:shd w:val="clear" w:color="auto" w:fill="auto"/>
            <w:noWrap w:val="0"/>
            <w:vAlign w:val="top"/>
          </w:tcPr>
          <w:p w14:paraId="7ED2390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4.88</w:t>
            </w:r>
          </w:p>
        </w:tc>
        <w:tc>
          <w:tcPr>
            <w:tcW w:w="686" w:type="pct"/>
            <w:shd w:val="clear" w:color="auto" w:fill="auto"/>
            <w:noWrap w:val="0"/>
            <w:vAlign w:val="top"/>
          </w:tcPr>
          <w:p w14:paraId="34D2A03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0.272</w:t>
            </w:r>
          </w:p>
        </w:tc>
        <w:tc>
          <w:tcPr>
            <w:tcW w:w="659" w:type="pct"/>
            <w:shd w:val="clear" w:color="auto" w:fill="auto"/>
            <w:noWrap w:val="0"/>
            <w:vAlign w:val="top"/>
          </w:tcPr>
          <w:p w14:paraId="38061CC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4.96</w:t>
            </w:r>
          </w:p>
        </w:tc>
        <w:tc>
          <w:tcPr>
            <w:tcW w:w="627" w:type="pct"/>
            <w:shd w:val="clear" w:color="auto" w:fill="auto"/>
            <w:noWrap w:val="0"/>
            <w:vAlign w:val="top"/>
          </w:tcPr>
          <w:p w14:paraId="3B30C6F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0.343</w:t>
            </w:r>
          </w:p>
        </w:tc>
        <w:tc>
          <w:tcPr>
            <w:tcW w:w="701" w:type="pct"/>
            <w:shd w:val="clear" w:color="auto" w:fill="auto"/>
            <w:noWrap w:val="0"/>
            <w:vAlign w:val="top"/>
          </w:tcPr>
          <w:p w14:paraId="35E4585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4.72</w:t>
            </w:r>
          </w:p>
        </w:tc>
      </w:tr>
      <w:tr w14:paraId="1B8601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1EAB98D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-30</w:t>
            </w:r>
          </w:p>
        </w:tc>
        <w:tc>
          <w:tcPr>
            <w:tcW w:w="636" w:type="pct"/>
            <w:shd w:val="clear" w:color="auto" w:fill="auto"/>
            <w:noWrap w:val="0"/>
            <w:vAlign w:val="top"/>
          </w:tcPr>
          <w:p w14:paraId="67BB94D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0.328</w:t>
            </w:r>
          </w:p>
        </w:tc>
        <w:tc>
          <w:tcPr>
            <w:tcW w:w="659" w:type="pct"/>
            <w:shd w:val="clear" w:color="auto" w:fill="auto"/>
            <w:noWrap w:val="0"/>
            <w:vAlign w:val="top"/>
          </w:tcPr>
          <w:p w14:paraId="0105C09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5.21</w:t>
            </w:r>
          </w:p>
        </w:tc>
        <w:tc>
          <w:tcPr>
            <w:tcW w:w="686" w:type="pct"/>
            <w:shd w:val="clear" w:color="auto" w:fill="auto"/>
            <w:noWrap w:val="0"/>
            <w:vAlign w:val="top"/>
          </w:tcPr>
          <w:p w14:paraId="6102D09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0.299</w:t>
            </w:r>
          </w:p>
        </w:tc>
        <w:tc>
          <w:tcPr>
            <w:tcW w:w="659" w:type="pct"/>
            <w:shd w:val="clear" w:color="auto" w:fill="auto"/>
            <w:noWrap w:val="0"/>
            <w:vAlign w:val="top"/>
          </w:tcPr>
          <w:p w14:paraId="03F74EF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5.30</w:t>
            </w:r>
          </w:p>
        </w:tc>
        <w:tc>
          <w:tcPr>
            <w:tcW w:w="627" w:type="pct"/>
            <w:shd w:val="clear" w:color="auto" w:fill="auto"/>
            <w:noWrap w:val="0"/>
            <w:vAlign w:val="top"/>
          </w:tcPr>
          <w:p w14:paraId="5E48219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0.377</w:t>
            </w:r>
          </w:p>
        </w:tc>
        <w:tc>
          <w:tcPr>
            <w:tcW w:w="701" w:type="pct"/>
            <w:shd w:val="clear" w:color="auto" w:fill="auto"/>
            <w:noWrap w:val="0"/>
            <w:vAlign w:val="top"/>
          </w:tcPr>
          <w:p w14:paraId="0D6214C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5.03</w:t>
            </w:r>
          </w:p>
        </w:tc>
      </w:tr>
      <w:tr w14:paraId="6761DC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431A20E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-29</w:t>
            </w:r>
          </w:p>
        </w:tc>
        <w:tc>
          <w:tcPr>
            <w:tcW w:w="636" w:type="pct"/>
            <w:shd w:val="clear" w:color="auto" w:fill="auto"/>
            <w:noWrap w:val="0"/>
            <w:vAlign w:val="top"/>
          </w:tcPr>
          <w:p w14:paraId="00564C5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0.362</w:t>
            </w:r>
          </w:p>
        </w:tc>
        <w:tc>
          <w:tcPr>
            <w:tcW w:w="659" w:type="pct"/>
            <w:shd w:val="clear" w:color="auto" w:fill="auto"/>
            <w:noWrap w:val="0"/>
            <w:vAlign w:val="top"/>
          </w:tcPr>
          <w:p w14:paraId="7075335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5.58</w:t>
            </w:r>
          </w:p>
        </w:tc>
        <w:tc>
          <w:tcPr>
            <w:tcW w:w="686" w:type="pct"/>
            <w:shd w:val="clear" w:color="auto" w:fill="auto"/>
            <w:noWrap w:val="0"/>
            <w:vAlign w:val="top"/>
          </w:tcPr>
          <w:p w14:paraId="6134686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0.330</w:t>
            </w:r>
          </w:p>
        </w:tc>
        <w:tc>
          <w:tcPr>
            <w:tcW w:w="659" w:type="pct"/>
            <w:shd w:val="clear" w:color="auto" w:fill="auto"/>
            <w:noWrap w:val="0"/>
            <w:vAlign w:val="top"/>
          </w:tcPr>
          <w:p w14:paraId="215D3FF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5.67</w:t>
            </w:r>
          </w:p>
        </w:tc>
        <w:tc>
          <w:tcPr>
            <w:tcW w:w="627" w:type="pct"/>
            <w:shd w:val="clear" w:color="auto" w:fill="auto"/>
            <w:noWrap w:val="0"/>
            <w:vAlign w:val="top"/>
          </w:tcPr>
          <w:p w14:paraId="183EA38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0.414</w:t>
            </w:r>
          </w:p>
        </w:tc>
        <w:tc>
          <w:tcPr>
            <w:tcW w:w="701" w:type="pct"/>
            <w:shd w:val="clear" w:color="auto" w:fill="auto"/>
            <w:noWrap w:val="0"/>
            <w:vAlign w:val="top"/>
          </w:tcPr>
          <w:p w14:paraId="20E7491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5.36</w:t>
            </w:r>
          </w:p>
        </w:tc>
      </w:tr>
      <w:tr w14:paraId="05F4A5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108E172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-28</w:t>
            </w:r>
          </w:p>
        </w:tc>
        <w:tc>
          <w:tcPr>
            <w:tcW w:w="636" w:type="pct"/>
            <w:shd w:val="clear" w:color="auto" w:fill="auto"/>
            <w:noWrap w:val="0"/>
            <w:vAlign w:val="top"/>
          </w:tcPr>
          <w:p w14:paraId="6F9576C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0.401</w:t>
            </w:r>
          </w:p>
        </w:tc>
        <w:tc>
          <w:tcPr>
            <w:tcW w:w="659" w:type="pct"/>
            <w:shd w:val="clear" w:color="auto" w:fill="auto"/>
            <w:noWrap w:val="0"/>
            <w:vAlign w:val="top"/>
          </w:tcPr>
          <w:p w14:paraId="79EB360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5.98</w:t>
            </w:r>
          </w:p>
        </w:tc>
        <w:tc>
          <w:tcPr>
            <w:tcW w:w="686" w:type="pct"/>
            <w:shd w:val="clear" w:color="auto" w:fill="auto"/>
            <w:noWrap w:val="0"/>
            <w:vAlign w:val="top"/>
          </w:tcPr>
          <w:p w14:paraId="7BAF9DB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0.366</w:t>
            </w:r>
          </w:p>
        </w:tc>
        <w:tc>
          <w:tcPr>
            <w:tcW w:w="659" w:type="pct"/>
            <w:shd w:val="clear" w:color="auto" w:fill="auto"/>
            <w:noWrap w:val="0"/>
            <w:vAlign w:val="top"/>
          </w:tcPr>
          <w:p w14:paraId="02DB1C4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6.09</w:t>
            </w:r>
          </w:p>
        </w:tc>
        <w:tc>
          <w:tcPr>
            <w:tcW w:w="627" w:type="pct"/>
            <w:shd w:val="clear" w:color="auto" w:fill="auto"/>
            <w:noWrap w:val="0"/>
            <w:vAlign w:val="top"/>
          </w:tcPr>
          <w:p w14:paraId="35C89F2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0.457</w:t>
            </w:r>
          </w:p>
        </w:tc>
        <w:tc>
          <w:tcPr>
            <w:tcW w:w="701" w:type="pct"/>
            <w:shd w:val="clear" w:color="auto" w:fill="auto"/>
            <w:noWrap w:val="0"/>
            <w:vAlign w:val="top"/>
          </w:tcPr>
          <w:p w14:paraId="171610C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5.74</w:t>
            </w:r>
          </w:p>
        </w:tc>
      </w:tr>
      <w:tr w14:paraId="01363E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49B698C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-27</w:t>
            </w:r>
          </w:p>
        </w:tc>
        <w:tc>
          <w:tcPr>
            <w:tcW w:w="636" w:type="pct"/>
            <w:shd w:val="clear" w:color="auto" w:fill="auto"/>
            <w:noWrap w:val="0"/>
            <w:vAlign w:val="top"/>
          </w:tcPr>
          <w:p w14:paraId="7D12C6A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0.445</w:t>
            </w:r>
          </w:p>
        </w:tc>
        <w:tc>
          <w:tcPr>
            <w:tcW w:w="659" w:type="pct"/>
            <w:shd w:val="clear" w:color="auto" w:fill="auto"/>
            <w:noWrap w:val="0"/>
            <w:vAlign w:val="top"/>
          </w:tcPr>
          <w:p w14:paraId="0973F15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6.42</w:t>
            </w:r>
          </w:p>
        </w:tc>
        <w:tc>
          <w:tcPr>
            <w:tcW w:w="686" w:type="pct"/>
            <w:shd w:val="clear" w:color="auto" w:fill="auto"/>
            <w:noWrap w:val="0"/>
            <w:vAlign w:val="top"/>
          </w:tcPr>
          <w:p w14:paraId="7AA0138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0.407</w:t>
            </w:r>
          </w:p>
        </w:tc>
        <w:tc>
          <w:tcPr>
            <w:tcW w:w="659" w:type="pct"/>
            <w:shd w:val="clear" w:color="auto" w:fill="auto"/>
            <w:noWrap w:val="0"/>
            <w:vAlign w:val="top"/>
          </w:tcPr>
          <w:p w14:paraId="07540FF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6.55</w:t>
            </w:r>
          </w:p>
        </w:tc>
        <w:tc>
          <w:tcPr>
            <w:tcW w:w="627" w:type="pct"/>
            <w:shd w:val="clear" w:color="auto" w:fill="auto"/>
            <w:noWrap w:val="0"/>
            <w:vAlign w:val="top"/>
          </w:tcPr>
          <w:p w14:paraId="33496A1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0.505</w:t>
            </w:r>
          </w:p>
        </w:tc>
        <w:tc>
          <w:tcPr>
            <w:tcW w:w="701" w:type="pct"/>
            <w:shd w:val="clear" w:color="auto" w:fill="auto"/>
            <w:noWrap w:val="0"/>
            <w:vAlign w:val="top"/>
          </w:tcPr>
          <w:p w14:paraId="5DA3754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6.14</w:t>
            </w:r>
          </w:p>
        </w:tc>
      </w:tr>
      <w:tr w14:paraId="10B123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6D0A75C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-26</w:t>
            </w:r>
          </w:p>
        </w:tc>
        <w:tc>
          <w:tcPr>
            <w:tcW w:w="636" w:type="pct"/>
            <w:shd w:val="clear" w:color="auto" w:fill="auto"/>
            <w:noWrap w:val="0"/>
            <w:vAlign w:val="top"/>
          </w:tcPr>
          <w:p w14:paraId="289D7C1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0.497</w:t>
            </w:r>
          </w:p>
        </w:tc>
        <w:tc>
          <w:tcPr>
            <w:tcW w:w="659" w:type="pct"/>
            <w:shd w:val="clear" w:color="auto" w:fill="auto"/>
            <w:noWrap w:val="0"/>
            <w:vAlign w:val="top"/>
          </w:tcPr>
          <w:p w14:paraId="2A6DCB3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6.92</w:t>
            </w:r>
          </w:p>
        </w:tc>
        <w:tc>
          <w:tcPr>
            <w:tcW w:w="686" w:type="pct"/>
            <w:shd w:val="clear" w:color="auto" w:fill="auto"/>
            <w:noWrap w:val="0"/>
            <w:vAlign w:val="top"/>
          </w:tcPr>
          <w:p w14:paraId="723D2C9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0.455</w:t>
            </w:r>
          </w:p>
        </w:tc>
        <w:tc>
          <w:tcPr>
            <w:tcW w:w="659" w:type="pct"/>
            <w:shd w:val="clear" w:color="auto" w:fill="auto"/>
            <w:noWrap w:val="0"/>
            <w:vAlign w:val="top"/>
          </w:tcPr>
          <w:p w14:paraId="6321173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7.07</w:t>
            </w:r>
          </w:p>
        </w:tc>
        <w:tc>
          <w:tcPr>
            <w:tcW w:w="627" w:type="pct"/>
            <w:shd w:val="clear" w:color="auto" w:fill="auto"/>
            <w:noWrap w:val="0"/>
            <w:vAlign w:val="top"/>
          </w:tcPr>
          <w:p w14:paraId="29D70C2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0.560</w:t>
            </w:r>
          </w:p>
        </w:tc>
        <w:tc>
          <w:tcPr>
            <w:tcW w:w="701" w:type="pct"/>
            <w:shd w:val="clear" w:color="auto" w:fill="auto"/>
            <w:noWrap w:val="0"/>
            <w:vAlign w:val="top"/>
          </w:tcPr>
          <w:p w14:paraId="5393EF6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6.60</w:t>
            </w:r>
          </w:p>
        </w:tc>
      </w:tr>
      <w:tr w14:paraId="0B23E7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16D96C3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-25</w:t>
            </w:r>
          </w:p>
        </w:tc>
        <w:tc>
          <w:tcPr>
            <w:tcW w:w="636" w:type="pct"/>
            <w:shd w:val="clear" w:color="auto" w:fill="auto"/>
            <w:noWrap w:val="0"/>
            <w:vAlign w:val="top"/>
          </w:tcPr>
          <w:p w14:paraId="1E157D2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0.557</w:t>
            </w:r>
          </w:p>
        </w:tc>
        <w:tc>
          <w:tcPr>
            <w:tcW w:w="659" w:type="pct"/>
            <w:shd w:val="clear" w:color="auto" w:fill="auto"/>
            <w:noWrap w:val="0"/>
            <w:vAlign w:val="top"/>
          </w:tcPr>
          <w:p w14:paraId="4340E5D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7.48</w:t>
            </w:r>
          </w:p>
        </w:tc>
        <w:tc>
          <w:tcPr>
            <w:tcW w:w="686" w:type="pct"/>
            <w:shd w:val="clear" w:color="auto" w:fill="auto"/>
            <w:noWrap w:val="0"/>
            <w:vAlign w:val="top"/>
          </w:tcPr>
          <w:p w14:paraId="5BCF20C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0.512</w:t>
            </w:r>
          </w:p>
        </w:tc>
        <w:tc>
          <w:tcPr>
            <w:tcW w:w="659" w:type="pct"/>
            <w:shd w:val="clear" w:color="auto" w:fill="auto"/>
            <w:noWrap w:val="0"/>
            <w:vAlign w:val="top"/>
          </w:tcPr>
          <w:p w14:paraId="5DBD6DC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7.66</w:t>
            </w:r>
          </w:p>
        </w:tc>
        <w:tc>
          <w:tcPr>
            <w:tcW w:w="627" w:type="pct"/>
            <w:shd w:val="clear" w:color="auto" w:fill="auto"/>
            <w:noWrap w:val="0"/>
            <w:vAlign w:val="top"/>
          </w:tcPr>
          <w:p w14:paraId="6EACA15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0.624</w:t>
            </w:r>
          </w:p>
        </w:tc>
        <w:tc>
          <w:tcPr>
            <w:tcW w:w="701" w:type="pct"/>
            <w:shd w:val="clear" w:color="auto" w:fill="auto"/>
            <w:noWrap w:val="0"/>
            <w:vAlign w:val="top"/>
          </w:tcPr>
          <w:p w14:paraId="0D931B3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7.10</w:t>
            </w:r>
          </w:p>
        </w:tc>
      </w:tr>
      <w:tr w14:paraId="7D8F5A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0AB7012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-24</w:t>
            </w:r>
          </w:p>
        </w:tc>
        <w:tc>
          <w:tcPr>
            <w:tcW w:w="636" w:type="pct"/>
            <w:shd w:val="clear" w:color="auto" w:fill="auto"/>
            <w:noWrap w:val="0"/>
            <w:vAlign w:val="top"/>
          </w:tcPr>
          <w:p w14:paraId="4F28192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0.627</w:t>
            </w:r>
          </w:p>
        </w:tc>
        <w:tc>
          <w:tcPr>
            <w:tcW w:w="659" w:type="pct"/>
            <w:shd w:val="clear" w:color="auto" w:fill="auto"/>
            <w:noWrap w:val="0"/>
            <w:vAlign w:val="top"/>
          </w:tcPr>
          <w:p w14:paraId="6FE4D20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8.10</w:t>
            </w:r>
          </w:p>
        </w:tc>
        <w:tc>
          <w:tcPr>
            <w:tcW w:w="686" w:type="pct"/>
            <w:shd w:val="clear" w:color="auto" w:fill="auto"/>
            <w:noWrap w:val="0"/>
            <w:vAlign w:val="top"/>
          </w:tcPr>
          <w:p w14:paraId="0AFB0B6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0.578</w:t>
            </w:r>
          </w:p>
        </w:tc>
        <w:tc>
          <w:tcPr>
            <w:tcW w:w="659" w:type="pct"/>
            <w:shd w:val="clear" w:color="auto" w:fill="auto"/>
            <w:noWrap w:val="0"/>
            <w:vAlign w:val="top"/>
          </w:tcPr>
          <w:p w14:paraId="3BF8FAA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8.31</w:t>
            </w:r>
          </w:p>
        </w:tc>
        <w:tc>
          <w:tcPr>
            <w:tcW w:w="627" w:type="pct"/>
            <w:shd w:val="clear" w:color="auto" w:fill="auto"/>
            <w:noWrap w:val="0"/>
            <w:vAlign w:val="top"/>
          </w:tcPr>
          <w:p w14:paraId="3ADAB8C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0.697</w:t>
            </w:r>
          </w:p>
        </w:tc>
        <w:tc>
          <w:tcPr>
            <w:tcW w:w="701" w:type="pct"/>
            <w:shd w:val="clear" w:color="auto" w:fill="auto"/>
            <w:noWrap w:val="0"/>
            <w:vAlign w:val="top"/>
          </w:tcPr>
          <w:p w14:paraId="1AB9079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7.66</w:t>
            </w:r>
          </w:p>
        </w:tc>
      </w:tr>
      <w:tr w14:paraId="408D3F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2506F7C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-23</w:t>
            </w:r>
          </w:p>
        </w:tc>
        <w:tc>
          <w:tcPr>
            <w:tcW w:w="636" w:type="pct"/>
            <w:shd w:val="clear" w:color="auto" w:fill="auto"/>
            <w:noWrap w:val="0"/>
            <w:vAlign w:val="top"/>
          </w:tcPr>
          <w:p w14:paraId="4FC7543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0.709</w:t>
            </w:r>
          </w:p>
        </w:tc>
        <w:tc>
          <w:tcPr>
            <w:tcW w:w="659" w:type="pct"/>
            <w:shd w:val="clear" w:color="auto" w:fill="auto"/>
            <w:noWrap w:val="0"/>
            <w:vAlign w:val="top"/>
          </w:tcPr>
          <w:p w14:paraId="01121FF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8.81</w:t>
            </w:r>
          </w:p>
        </w:tc>
        <w:tc>
          <w:tcPr>
            <w:tcW w:w="686" w:type="pct"/>
            <w:shd w:val="clear" w:color="auto" w:fill="auto"/>
            <w:noWrap w:val="0"/>
            <w:vAlign w:val="top"/>
          </w:tcPr>
          <w:p w14:paraId="418D256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0.656</w:t>
            </w:r>
          </w:p>
        </w:tc>
        <w:tc>
          <w:tcPr>
            <w:tcW w:w="659" w:type="pct"/>
            <w:shd w:val="clear" w:color="auto" w:fill="auto"/>
            <w:noWrap w:val="0"/>
            <w:vAlign w:val="top"/>
          </w:tcPr>
          <w:p w14:paraId="29D9708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9.06</w:t>
            </w:r>
          </w:p>
        </w:tc>
        <w:tc>
          <w:tcPr>
            <w:tcW w:w="627" w:type="pct"/>
            <w:shd w:val="clear" w:color="auto" w:fill="auto"/>
            <w:noWrap w:val="0"/>
            <w:vAlign w:val="top"/>
          </w:tcPr>
          <w:p w14:paraId="353E202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0.780</w:t>
            </w:r>
          </w:p>
        </w:tc>
        <w:tc>
          <w:tcPr>
            <w:tcW w:w="701" w:type="pct"/>
            <w:shd w:val="clear" w:color="auto" w:fill="auto"/>
            <w:noWrap w:val="0"/>
            <w:vAlign w:val="top"/>
          </w:tcPr>
          <w:p w14:paraId="1923DB3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8.28</w:t>
            </w:r>
          </w:p>
        </w:tc>
      </w:tr>
      <w:tr w14:paraId="571355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09E6C26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-22</w:t>
            </w:r>
          </w:p>
        </w:tc>
        <w:tc>
          <w:tcPr>
            <w:tcW w:w="636" w:type="pct"/>
            <w:shd w:val="clear" w:color="auto" w:fill="auto"/>
            <w:noWrap w:val="0"/>
            <w:vAlign w:val="top"/>
          </w:tcPr>
          <w:p w14:paraId="1E63199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0.806</w:t>
            </w:r>
          </w:p>
        </w:tc>
        <w:tc>
          <w:tcPr>
            <w:tcW w:w="659" w:type="pct"/>
            <w:shd w:val="clear" w:color="auto" w:fill="auto"/>
            <w:noWrap w:val="0"/>
            <w:vAlign w:val="top"/>
          </w:tcPr>
          <w:p w14:paraId="0221185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9.61</w:t>
            </w:r>
          </w:p>
        </w:tc>
        <w:tc>
          <w:tcPr>
            <w:tcW w:w="686" w:type="pct"/>
            <w:shd w:val="clear" w:color="auto" w:fill="auto"/>
            <w:noWrap w:val="0"/>
            <w:vAlign w:val="top"/>
          </w:tcPr>
          <w:p w14:paraId="7EB0122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0.749</w:t>
            </w:r>
          </w:p>
        </w:tc>
        <w:tc>
          <w:tcPr>
            <w:tcW w:w="659" w:type="pct"/>
            <w:shd w:val="clear" w:color="auto" w:fill="auto"/>
            <w:noWrap w:val="0"/>
            <w:vAlign w:val="top"/>
          </w:tcPr>
          <w:p w14:paraId="6794A1A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9.91</w:t>
            </w:r>
          </w:p>
        </w:tc>
        <w:tc>
          <w:tcPr>
            <w:tcW w:w="627" w:type="pct"/>
            <w:shd w:val="clear" w:color="auto" w:fill="auto"/>
            <w:noWrap w:val="0"/>
            <w:vAlign w:val="top"/>
          </w:tcPr>
          <w:p w14:paraId="2F13C82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0.877</w:t>
            </w:r>
          </w:p>
        </w:tc>
        <w:tc>
          <w:tcPr>
            <w:tcW w:w="701" w:type="pct"/>
            <w:shd w:val="clear" w:color="auto" w:fill="auto"/>
            <w:noWrap w:val="0"/>
            <w:vAlign w:val="top"/>
          </w:tcPr>
          <w:p w14:paraId="7F996BB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8.98</w:t>
            </w:r>
          </w:p>
        </w:tc>
      </w:tr>
      <w:tr w14:paraId="0117DD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6314A0C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-21</w:t>
            </w:r>
          </w:p>
        </w:tc>
        <w:tc>
          <w:tcPr>
            <w:tcW w:w="636" w:type="pct"/>
            <w:shd w:val="clear" w:color="auto" w:fill="auto"/>
            <w:noWrap w:val="0"/>
            <w:vAlign w:val="top"/>
          </w:tcPr>
          <w:p w14:paraId="6579C50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0.921</w:t>
            </w:r>
          </w:p>
        </w:tc>
        <w:tc>
          <w:tcPr>
            <w:tcW w:w="659" w:type="pct"/>
            <w:shd w:val="clear" w:color="auto" w:fill="auto"/>
            <w:noWrap w:val="0"/>
            <w:vAlign w:val="top"/>
          </w:tcPr>
          <w:p w14:paraId="0D212B6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10.52</w:t>
            </w:r>
          </w:p>
        </w:tc>
        <w:tc>
          <w:tcPr>
            <w:tcW w:w="686" w:type="pct"/>
            <w:shd w:val="clear" w:color="auto" w:fill="auto"/>
            <w:noWrap w:val="0"/>
            <w:vAlign w:val="top"/>
          </w:tcPr>
          <w:p w14:paraId="69AFBB1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0.861</w:t>
            </w:r>
          </w:p>
        </w:tc>
        <w:tc>
          <w:tcPr>
            <w:tcW w:w="659" w:type="pct"/>
            <w:shd w:val="clear" w:color="auto" w:fill="auto"/>
            <w:noWrap w:val="0"/>
            <w:vAlign w:val="top"/>
          </w:tcPr>
          <w:p w14:paraId="0D27FC0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10.88</w:t>
            </w:r>
          </w:p>
        </w:tc>
        <w:tc>
          <w:tcPr>
            <w:tcW w:w="627" w:type="pct"/>
            <w:shd w:val="clear" w:color="auto" w:fill="auto"/>
            <w:noWrap w:val="0"/>
            <w:vAlign w:val="top"/>
          </w:tcPr>
          <w:p w14:paraId="468164E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0.989</w:t>
            </w:r>
          </w:p>
        </w:tc>
        <w:tc>
          <w:tcPr>
            <w:tcW w:w="701" w:type="pct"/>
            <w:shd w:val="clear" w:color="auto" w:fill="auto"/>
            <w:noWrap w:val="0"/>
            <w:vAlign w:val="top"/>
          </w:tcPr>
          <w:p w14:paraId="3A879B2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9.76</w:t>
            </w:r>
          </w:p>
        </w:tc>
      </w:tr>
      <w:tr w14:paraId="305477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2C5DA0D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-20</w:t>
            </w:r>
          </w:p>
        </w:tc>
        <w:tc>
          <w:tcPr>
            <w:tcW w:w="636" w:type="pct"/>
            <w:shd w:val="clear" w:color="auto" w:fill="auto"/>
            <w:noWrap w:val="0"/>
            <w:vAlign w:val="top"/>
          </w:tcPr>
          <w:p w14:paraId="6EAC376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1.057</w:t>
            </w:r>
          </w:p>
        </w:tc>
        <w:tc>
          <w:tcPr>
            <w:tcW w:w="659" w:type="pct"/>
            <w:shd w:val="clear" w:color="auto" w:fill="auto"/>
            <w:noWrap w:val="0"/>
            <w:vAlign w:val="top"/>
          </w:tcPr>
          <w:p w14:paraId="5D0E71E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11.56</w:t>
            </w:r>
          </w:p>
        </w:tc>
        <w:tc>
          <w:tcPr>
            <w:tcW w:w="686" w:type="pct"/>
            <w:shd w:val="clear" w:color="auto" w:fill="auto"/>
            <w:noWrap w:val="0"/>
            <w:vAlign w:val="top"/>
          </w:tcPr>
          <w:p w14:paraId="75D9D91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0.995</w:t>
            </w:r>
          </w:p>
        </w:tc>
        <w:tc>
          <w:tcPr>
            <w:tcW w:w="659" w:type="pct"/>
            <w:shd w:val="clear" w:color="auto" w:fill="auto"/>
            <w:noWrap w:val="0"/>
            <w:vAlign w:val="top"/>
          </w:tcPr>
          <w:p w14:paraId="2413F49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12.01</w:t>
            </w:r>
          </w:p>
        </w:tc>
        <w:tc>
          <w:tcPr>
            <w:tcW w:w="627" w:type="pct"/>
            <w:shd w:val="clear" w:color="auto" w:fill="auto"/>
            <w:noWrap w:val="0"/>
            <w:vAlign w:val="top"/>
          </w:tcPr>
          <w:p w14:paraId="723865C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1.118</w:t>
            </w:r>
          </w:p>
        </w:tc>
        <w:tc>
          <w:tcPr>
            <w:tcW w:w="701" w:type="pct"/>
            <w:shd w:val="clear" w:color="auto" w:fill="auto"/>
            <w:noWrap w:val="0"/>
            <w:vAlign w:val="top"/>
          </w:tcPr>
          <w:p w14:paraId="7216CE0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10.65</w:t>
            </w:r>
          </w:p>
        </w:tc>
      </w:tr>
      <w:tr w14:paraId="7AA844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600B913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-19</w:t>
            </w:r>
          </w:p>
        </w:tc>
        <w:tc>
          <w:tcPr>
            <w:tcW w:w="636" w:type="pct"/>
            <w:shd w:val="clear" w:color="auto" w:fill="auto"/>
            <w:noWrap w:val="0"/>
            <w:vAlign w:val="top"/>
          </w:tcPr>
          <w:p w14:paraId="05CF7F5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1.219</w:t>
            </w:r>
          </w:p>
        </w:tc>
        <w:tc>
          <w:tcPr>
            <w:tcW w:w="659" w:type="pct"/>
            <w:shd w:val="clear" w:color="auto" w:fill="auto"/>
            <w:noWrap w:val="0"/>
            <w:vAlign w:val="top"/>
          </w:tcPr>
          <w:p w14:paraId="21C016B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12.76</w:t>
            </w:r>
          </w:p>
        </w:tc>
        <w:tc>
          <w:tcPr>
            <w:tcW w:w="686" w:type="pct"/>
            <w:shd w:val="clear" w:color="auto" w:fill="auto"/>
            <w:noWrap w:val="0"/>
            <w:vAlign w:val="top"/>
          </w:tcPr>
          <w:p w14:paraId="6470ADB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1.158</w:t>
            </w:r>
          </w:p>
        </w:tc>
        <w:tc>
          <w:tcPr>
            <w:tcW w:w="659" w:type="pct"/>
            <w:shd w:val="clear" w:color="auto" w:fill="auto"/>
            <w:noWrap w:val="0"/>
            <w:vAlign w:val="top"/>
          </w:tcPr>
          <w:p w14:paraId="170AF69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13.31</w:t>
            </w:r>
          </w:p>
        </w:tc>
        <w:tc>
          <w:tcPr>
            <w:tcW w:w="627" w:type="pct"/>
            <w:shd w:val="clear" w:color="auto" w:fill="auto"/>
            <w:noWrap w:val="0"/>
            <w:vAlign w:val="top"/>
          </w:tcPr>
          <w:p w14:paraId="153F3E6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1.267</w:t>
            </w:r>
          </w:p>
        </w:tc>
        <w:tc>
          <w:tcPr>
            <w:tcW w:w="701" w:type="pct"/>
            <w:shd w:val="clear" w:color="auto" w:fill="auto"/>
            <w:noWrap w:val="0"/>
            <w:vAlign w:val="top"/>
          </w:tcPr>
          <w:p w14:paraId="7A403BE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11.64</w:t>
            </w:r>
          </w:p>
        </w:tc>
      </w:tr>
      <w:tr w14:paraId="536902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1E2E855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-18</w:t>
            </w:r>
          </w:p>
        </w:tc>
        <w:tc>
          <w:tcPr>
            <w:tcW w:w="636" w:type="pct"/>
            <w:shd w:val="clear" w:color="auto" w:fill="auto"/>
            <w:noWrap w:val="0"/>
            <w:vAlign w:val="top"/>
          </w:tcPr>
          <w:p w14:paraId="6589377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1.412</w:t>
            </w:r>
          </w:p>
        </w:tc>
        <w:tc>
          <w:tcPr>
            <w:tcW w:w="659" w:type="pct"/>
            <w:shd w:val="clear" w:color="auto" w:fill="auto"/>
            <w:noWrap w:val="0"/>
            <w:vAlign w:val="top"/>
          </w:tcPr>
          <w:p w14:paraId="6E02314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14.14</w:t>
            </w:r>
          </w:p>
        </w:tc>
        <w:tc>
          <w:tcPr>
            <w:tcW w:w="686" w:type="pct"/>
            <w:shd w:val="clear" w:color="auto" w:fill="auto"/>
            <w:noWrap w:val="0"/>
            <w:vAlign w:val="top"/>
          </w:tcPr>
          <w:p w14:paraId="0D1E992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1.357</w:t>
            </w:r>
          </w:p>
        </w:tc>
        <w:tc>
          <w:tcPr>
            <w:tcW w:w="659" w:type="pct"/>
            <w:shd w:val="clear" w:color="auto" w:fill="auto"/>
            <w:noWrap w:val="0"/>
            <w:vAlign w:val="top"/>
          </w:tcPr>
          <w:p w14:paraId="2DE2457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14.83</w:t>
            </w:r>
          </w:p>
        </w:tc>
        <w:tc>
          <w:tcPr>
            <w:tcW w:w="627" w:type="pct"/>
            <w:shd w:val="clear" w:color="auto" w:fill="auto"/>
            <w:noWrap w:val="0"/>
            <w:vAlign w:val="top"/>
          </w:tcPr>
          <w:p w14:paraId="3F54D53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1.438</w:t>
            </w:r>
          </w:p>
        </w:tc>
        <w:tc>
          <w:tcPr>
            <w:tcW w:w="701" w:type="pct"/>
            <w:shd w:val="clear" w:color="auto" w:fill="auto"/>
            <w:noWrap w:val="0"/>
            <w:vAlign w:val="top"/>
          </w:tcPr>
          <w:p w14:paraId="6F19BCC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12.77</w:t>
            </w:r>
          </w:p>
        </w:tc>
      </w:tr>
      <w:tr w14:paraId="504070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47ACFAA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-17</w:t>
            </w:r>
          </w:p>
        </w:tc>
        <w:tc>
          <w:tcPr>
            <w:tcW w:w="636" w:type="pct"/>
            <w:shd w:val="clear" w:color="auto" w:fill="auto"/>
            <w:noWrap w:val="0"/>
            <w:vAlign w:val="top"/>
          </w:tcPr>
          <w:p w14:paraId="0482ECE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1.644</w:t>
            </w:r>
          </w:p>
        </w:tc>
        <w:tc>
          <w:tcPr>
            <w:tcW w:w="659" w:type="pct"/>
            <w:shd w:val="clear" w:color="auto" w:fill="auto"/>
            <w:noWrap w:val="0"/>
            <w:vAlign w:val="top"/>
          </w:tcPr>
          <w:p w14:paraId="0409256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15.74</w:t>
            </w:r>
          </w:p>
        </w:tc>
        <w:tc>
          <w:tcPr>
            <w:tcW w:w="686" w:type="pct"/>
            <w:shd w:val="clear" w:color="auto" w:fill="auto"/>
            <w:noWrap w:val="0"/>
            <w:vAlign w:val="top"/>
          </w:tcPr>
          <w:p w14:paraId="3841416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1.599</w:t>
            </w:r>
          </w:p>
        </w:tc>
        <w:tc>
          <w:tcPr>
            <w:tcW w:w="659" w:type="pct"/>
            <w:shd w:val="clear" w:color="auto" w:fill="auto"/>
            <w:noWrap w:val="0"/>
            <w:vAlign w:val="top"/>
          </w:tcPr>
          <w:p w14:paraId="4BDE779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16.62</w:t>
            </w:r>
          </w:p>
        </w:tc>
        <w:tc>
          <w:tcPr>
            <w:tcW w:w="627" w:type="pct"/>
            <w:shd w:val="clear" w:color="auto" w:fill="auto"/>
            <w:noWrap w:val="0"/>
            <w:vAlign w:val="top"/>
          </w:tcPr>
          <w:p w14:paraId="49BF603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1.636</w:t>
            </w:r>
          </w:p>
        </w:tc>
        <w:tc>
          <w:tcPr>
            <w:tcW w:w="701" w:type="pct"/>
            <w:shd w:val="clear" w:color="auto" w:fill="auto"/>
            <w:noWrap w:val="0"/>
            <w:vAlign w:val="top"/>
          </w:tcPr>
          <w:p w14:paraId="0BEB01A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14.05</w:t>
            </w:r>
          </w:p>
        </w:tc>
      </w:tr>
      <w:tr w14:paraId="340441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55C880D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-16</w:t>
            </w:r>
          </w:p>
        </w:tc>
        <w:tc>
          <w:tcPr>
            <w:tcW w:w="636" w:type="pct"/>
            <w:shd w:val="clear" w:color="auto" w:fill="auto"/>
            <w:noWrap w:val="0"/>
            <w:vAlign w:val="top"/>
          </w:tcPr>
          <w:p w14:paraId="3CE3A07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1.922</w:t>
            </w:r>
          </w:p>
        </w:tc>
        <w:tc>
          <w:tcPr>
            <w:tcW w:w="659" w:type="pct"/>
            <w:shd w:val="clear" w:color="auto" w:fill="auto"/>
            <w:noWrap w:val="0"/>
            <w:vAlign w:val="top"/>
          </w:tcPr>
          <w:p w14:paraId="1337C88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17.61</w:t>
            </w:r>
          </w:p>
        </w:tc>
        <w:tc>
          <w:tcPr>
            <w:tcW w:w="686" w:type="pct"/>
            <w:shd w:val="clear" w:color="auto" w:fill="auto"/>
            <w:noWrap w:val="0"/>
            <w:vAlign w:val="top"/>
          </w:tcPr>
          <w:p w14:paraId="34CEA5D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1.897</w:t>
            </w:r>
          </w:p>
        </w:tc>
        <w:tc>
          <w:tcPr>
            <w:tcW w:w="659" w:type="pct"/>
            <w:shd w:val="clear" w:color="auto" w:fill="auto"/>
            <w:noWrap w:val="0"/>
            <w:vAlign w:val="top"/>
          </w:tcPr>
          <w:p w14:paraId="6D53E27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18.73</w:t>
            </w:r>
          </w:p>
        </w:tc>
        <w:tc>
          <w:tcPr>
            <w:tcW w:w="627" w:type="pct"/>
            <w:shd w:val="clear" w:color="auto" w:fill="auto"/>
            <w:noWrap w:val="0"/>
            <w:vAlign w:val="top"/>
          </w:tcPr>
          <w:p w14:paraId="1F580FE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1.861</w:t>
            </w:r>
          </w:p>
        </w:tc>
        <w:tc>
          <w:tcPr>
            <w:tcW w:w="701" w:type="pct"/>
            <w:shd w:val="clear" w:color="auto" w:fill="auto"/>
            <w:noWrap w:val="0"/>
            <w:vAlign w:val="top"/>
          </w:tcPr>
          <w:p w14:paraId="32356EB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15.49</w:t>
            </w:r>
          </w:p>
        </w:tc>
      </w:tr>
      <w:tr w14:paraId="560D35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2E6495F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-15</w:t>
            </w:r>
          </w:p>
        </w:tc>
        <w:tc>
          <w:tcPr>
            <w:tcW w:w="636" w:type="pct"/>
            <w:shd w:val="clear" w:color="auto" w:fill="auto"/>
            <w:noWrap w:val="0"/>
            <w:vAlign w:val="top"/>
          </w:tcPr>
          <w:p w14:paraId="1F67344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2.253</w:t>
            </w:r>
          </w:p>
        </w:tc>
        <w:tc>
          <w:tcPr>
            <w:tcW w:w="659" w:type="pct"/>
            <w:shd w:val="clear" w:color="auto" w:fill="auto"/>
            <w:noWrap w:val="0"/>
            <w:vAlign w:val="top"/>
          </w:tcPr>
          <w:p w14:paraId="1631C7B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19.79</w:t>
            </w:r>
          </w:p>
        </w:tc>
        <w:tc>
          <w:tcPr>
            <w:tcW w:w="686" w:type="pct"/>
            <w:shd w:val="clear" w:color="auto" w:fill="auto"/>
            <w:noWrap w:val="0"/>
            <w:vAlign w:val="top"/>
          </w:tcPr>
          <w:p w14:paraId="2CA6640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2.264</w:t>
            </w:r>
          </w:p>
        </w:tc>
        <w:tc>
          <w:tcPr>
            <w:tcW w:w="659" w:type="pct"/>
            <w:shd w:val="clear" w:color="auto" w:fill="auto"/>
            <w:noWrap w:val="0"/>
            <w:vAlign w:val="top"/>
          </w:tcPr>
          <w:p w14:paraId="33D2012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21.25</w:t>
            </w:r>
          </w:p>
        </w:tc>
        <w:tc>
          <w:tcPr>
            <w:tcW w:w="627" w:type="pct"/>
            <w:shd w:val="clear" w:color="auto" w:fill="auto"/>
            <w:noWrap w:val="0"/>
            <w:vAlign w:val="top"/>
          </w:tcPr>
          <w:p w14:paraId="55DE6EE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2.115</w:t>
            </w:r>
          </w:p>
        </w:tc>
        <w:tc>
          <w:tcPr>
            <w:tcW w:w="701" w:type="pct"/>
            <w:shd w:val="clear" w:color="auto" w:fill="auto"/>
            <w:noWrap w:val="0"/>
            <w:vAlign w:val="top"/>
          </w:tcPr>
          <w:p w14:paraId="2594241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17.12</w:t>
            </w:r>
          </w:p>
        </w:tc>
      </w:tr>
      <w:tr w14:paraId="5FFD68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44A3EB6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-14</w:t>
            </w:r>
          </w:p>
        </w:tc>
        <w:tc>
          <w:tcPr>
            <w:tcW w:w="636" w:type="pct"/>
            <w:shd w:val="clear" w:color="auto" w:fill="auto"/>
            <w:noWrap w:val="0"/>
            <w:vAlign w:val="top"/>
          </w:tcPr>
          <w:p w14:paraId="5A55BB6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2.644</w:t>
            </w:r>
          </w:p>
        </w:tc>
        <w:tc>
          <w:tcPr>
            <w:tcW w:w="659" w:type="pct"/>
            <w:shd w:val="clear" w:color="auto" w:fill="auto"/>
            <w:noWrap w:val="0"/>
            <w:vAlign w:val="top"/>
          </w:tcPr>
          <w:p w14:paraId="287601F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22.35</w:t>
            </w:r>
          </w:p>
        </w:tc>
        <w:tc>
          <w:tcPr>
            <w:tcW w:w="686" w:type="pct"/>
            <w:shd w:val="clear" w:color="auto" w:fill="auto"/>
            <w:noWrap w:val="0"/>
            <w:vAlign w:val="top"/>
          </w:tcPr>
          <w:p w14:paraId="0683CBF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2.714</w:t>
            </w:r>
          </w:p>
        </w:tc>
        <w:tc>
          <w:tcPr>
            <w:tcW w:w="659" w:type="pct"/>
            <w:shd w:val="clear" w:color="auto" w:fill="auto"/>
            <w:noWrap w:val="0"/>
            <w:vAlign w:val="top"/>
          </w:tcPr>
          <w:p w14:paraId="08B8518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24.27</w:t>
            </w:r>
          </w:p>
        </w:tc>
        <w:tc>
          <w:tcPr>
            <w:tcW w:w="627" w:type="pct"/>
            <w:shd w:val="clear" w:color="auto" w:fill="auto"/>
            <w:noWrap w:val="0"/>
            <w:vAlign w:val="top"/>
          </w:tcPr>
          <w:p w14:paraId="27BE054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2.396</w:t>
            </w:r>
          </w:p>
        </w:tc>
        <w:tc>
          <w:tcPr>
            <w:tcW w:w="701" w:type="pct"/>
            <w:shd w:val="clear" w:color="auto" w:fill="auto"/>
            <w:noWrap w:val="0"/>
            <w:vAlign w:val="top"/>
          </w:tcPr>
          <w:p w14:paraId="1528160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18.96</w:t>
            </w:r>
          </w:p>
        </w:tc>
      </w:tr>
      <w:tr w14:paraId="55A676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4D728D3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-13</w:t>
            </w:r>
          </w:p>
        </w:tc>
        <w:tc>
          <w:tcPr>
            <w:tcW w:w="636" w:type="pct"/>
            <w:shd w:val="clear" w:color="auto" w:fill="auto"/>
            <w:noWrap w:val="0"/>
            <w:vAlign w:val="top"/>
          </w:tcPr>
          <w:p w14:paraId="61627D4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3.100</w:t>
            </w:r>
          </w:p>
        </w:tc>
        <w:tc>
          <w:tcPr>
            <w:tcW w:w="659" w:type="pct"/>
            <w:shd w:val="clear" w:color="auto" w:fill="auto"/>
            <w:noWrap w:val="0"/>
            <w:vAlign w:val="top"/>
          </w:tcPr>
          <w:p w14:paraId="396A7AA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25.32</w:t>
            </w:r>
          </w:p>
        </w:tc>
        <w:tc>
          <w:tcPr>
            <w:tcW w:w="686" w:type="pct"/>
            <w:shd w:val="clear" w:color="auto" w:fill="auto"/>
            <w:noWrap w:val="0"/>
            <w:vAlign w:val="top"/>
          </w:tcPr>
          <w:p w14:paraId="1DD29D2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3.261</w:t>
            </w:r>
          </w:p>
        </w:tc>
        <w:tc>
          <w:tcPr>
            <w:tcW w:w="659" w:type="pct"/>
            <w:shd w:val="clear" w:color="auto" w:fill="auto"/>
            <w:noWrap w:val="0"/>
            <w:vAlign w:val="top"/>
          </w:tcPr>
          <w:p w14:paraId="7A30E62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27.88</w:t>
            </w:r>
          </w:p>
        </w:tc>
        <w:tc>
          <w:tcPr>
            <w:tcW w:w="627" w:type="pct"/>
            <w:shd w:val="clear" w:color="auto" w:fill="auto"/>
            <w:noWrap w:val="0"/>
            <w:vAlign w:val="top"/>
          </w:tcPr>
          <w:p w14:paraId="1136650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2.702</w:t>
            </w:r>
          </w:p>
        </w:tc>
        <w:tc>
          <w:tcPr>
            <w:tcW w:w="701" w:type="pct"/>
            <w:shd w:val="clear" w:color="auto" w:fill="auto"/>
            <w:noWrap w:val="0"/>
            <w:vAlign w:val="top"/>
          </w:tcPr>
          <w:p w14:paraId="539A508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21.01</w:t>
            </w:r>
          </w:p>
        </w:tc>
      </w:tr>
      <w:tr w14:paraId="5F5ABB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535EE93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-12</w:t>
            </w:r>
          </w:p>
        </w:tc>
        <w:tc>
          <w:tcPr>
            <w:tcW w:w="636" w:type="pct"/>
            <w:shd w:val="clear" w:color="auto" w:fill="auto"/>
            <w:noWrap w:val="0"/>
            <w:vAlign w:val="top"/>
          </w:tcPr>
          <w:p w14:paraId="3E49836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3.619</w:t>
            </w:r>
          </w:p>
        </w:tc>
        <w:tc>
          <w:tcPr>
            <w:tcW w:w="659" w:type="pct"/>
            <w:shd w:val="clear" w:color="auto" w:fill="auto"/>
            <w:noWrap w:val="0"/>
            <w:vAlign w:val="top"/>
          </w:tcPr>
          <w:p w14:paraId="0DB43A6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28.77</w:t>
            </w:r>
          </w:p>
        </w:tc>
        <w:tc>
          <w:tcPr>
            <w:tcW w:w="686" w:type="pct"/>
            <w:shd w:val="clear" w:color="auto" w:fill="auto"/>
            <w:noWrap w:val="0"/>
            <w:vAlign w:val="top"/>
          </w:tcPr>
          <w:p w14:paraId="4BC61C0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3.917</w:t>
            </w:r>
          </w:p>
        </w:tc>
        <w:tc>
          <w:tcPr>
            <w:tcW w:w="659" w:type="pct"/>
            <w:shd w:val="clear" w:color="auto" w:fill="auto"/>
            <w:noWrap w:val="0"/>
            <w:vAlign w:val="top"/>
          </w:tcPr>
          <w:p w14:paraId="4E2EBF8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32.21</w:t>
            </w:r>
          </w:p>
        </w:tc>
        <w:tc>
          <w:tcPr>
            <w:tcW w:w="627" w:type="pct"/>
            <w:shd w:val="clear" w:color="auto" w:fill="auto"/>
            <w:noWrap w:val="0"/>
            <w:vAlign w:val="top"/>
          </w:tcPr>
          <w:p w14:paraId="16C5066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3.020</w:t>
            </w:r>
          </w:p>
        </w:tc>
        <w:tc>
          <w:tcPr>
            <w:tcW w:w="701" w:type="pct"/>
            <w:shd w:val="clear" w:color="auto" w:fill="auto"/>
            <w:noWrap w:val="0"/>
            <w:vAlign w:val="top"/>
          </w:tcPr>
          <w:p w14:paraId="59A63BE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23.26</w:t>
            </w:r>
          </w:p>
        </w:tc>
      </w:tr>
      <w:tr w14:paraId="0883D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01E862D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-11</w:t>
            </w:r>
          </w:p>
        </w:tc>
        <w:tc>
          <w:tcPr>
            <w:tcW w:w="636" w:type="pct"/>
            <w:shd w:val="clear" w:color="auto" w:fill="auto"/>
            <w:noWrap w:val="0"/>
            <w:vAlign w:val="top"/>
          </w:tcPr>
          <w:p w14:paraId="77D6C0F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4.184</w:t>
            </w:r>
          </w:p>
        </w:tc>
        <w:tc>
          <w:tcPr>
            <w:tcW w:w="659" w:type="pct"/>
            <w:shd w:val="clear" w:color="auto" w:fill="auto"/>
            <w:noWrap w:val="0"/>
            <w:vAlign w:val="top"/>
          </w:tcPr>
          <w:p w14:paraId="4718D5D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32.69</w:t>
            </w:r>
          </w:p>
        </w:tc>
        <w:tc>
          <w:tcPr>
            <w:tcW w:w="686" w:type="pct"/>
            <w:shd w:val="clear" w:color="auto" w:fill="auto"/>
            <w:noWrap w:val="0"/>
            <w:vAlign w:val="top"/>
          </w:tcPr>
          <w:p w14:paraId="6A567A4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4.676</w:t>
            </w:r>
          </w:p>
        </w:tc>
        <w:tc>
          <w:tcPr>
            <w:tcW w:w="659" w:type="pct"/>
            <w:shd w:val="clear" w:color="auto" w:fill="auto"/>
            <w:noWrap w:val="0"/>
            <w:vAlign w:val="top"/>
          </w:tcPr>
          <w:p w14:paraId="6F4A9F6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37.34</w:t>
            </w:r>
          </w:p>
        </w:tc>
        <w:tc>
          <w:tcPr>
            <w:tcW w:w="627" w:type="pct"/>
            <w:shd w:val="clear" w:color="auto" w:fill="auto"/>
            <w:noWrap w:val="0"/>
            <w:vAlign w:val="top"/>
          </w:tcPr>
          <w:p w14:paraId="4D7B7D9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3.335</w:t>
            </w:r>
          </w:p>
        </w:tc>
        <w:tc>
          <w:tcPr>
            <w:tcW w:w="701" w:type="pct"/>
            <w:shd w:val="clear" w:color="auto" w:fill="auto"/>
            <w:noWrap w:val="0"/>
            <w:vAlign w:val="top"/>
          </w:tcPr>
          <w:p w14:paraId="19B1DA9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25.69</w:t>
            </w:r>
          </w:p>
        </w:tc>
      </w:tr>
      <w:tr w14:paraId="7B347E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220B53E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-10</w:t>
            </w:r>
          </w:p>
        </w:tc>
        <w:tc>
          <w:tcPr>
            <w:tcW w:w="636" w:type="pct"/>
            <w:shd w:val="clear" w:color="auto" w:fill="auto"/>
            <w:noWrap w:val="0"/>
            <w:vAlign w:val="top"/>
          </w:tcPr>
          <w:p w14:paraId="2FF9BFE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4.758</w:t>
            </w:r>
          </w:p>
        </w:tc>
        <w:tc>
          <w:tcPr>
            <w:tcW w:w="659" w:type="pct"/>
            <w:shd w:val="clear" w:color="auto" w:fill="auto"/>
            <w:noWrap w:val="0"/>
            <w:vAlign w:val="top"/>
          </w:tcPr>
          <w:p w14:paraId="520E8AE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37.02</w:t>
            </w:r>
          </w:p>
        </w:tc>
        <w:tc>
          <w:tcPr>
            <w:tcW w:w="686" w:type="pct"/>
            <w:shd w:val="clear" w:color="auto" w:fill="auto"/>
            <w:noWrap w:val="0"/>
            <w:vAlign w:val="top"/>
          </w:tcPr>
          <w:p w14:paraId="55F4799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5.506</w:t>
            </w:r>
          </w:p>
        </w:tc>
        <w:tc>
          <w:tcPr>
            <w:tcW w:w="659" w:type="pct"/>
            <w:shd w:val="clear" w:color="auto" w:fill="auto"/>
            <w:noWrap w:val="0"/>
            <w:vAlign w:val="top"/>
          </w:tcPr>
          <w:p w14:paraId="2035323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43.26</w:t>
            </w:r>
          </w:p>
        </w:tc>
        <w:tc>
          <w:tcPr>
            <w:tcW w:w="627" w:type="pct"/>
            <w:shd w:val="clear" w:color="auto" w:fill="auto"/>
            <w:noWrap w:val="0"/>
            <w:vAlign w:val="top"/>
          </w:tcPr>
          <w:p w14:paraId="6370FBA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3.620</w:t>
            </w:r>
          </w:p>
        </w:tc>
        <w:tc>
          <w:tcPr>
            <w:tcW w:w="701" w:type="pct"/>
            <w:shd w:val="clear" w:color="auto" w:fill="auto"/>
            <w:noWrap w:val="0"/>
            <w:vAlign w:val="top"/>
          </w:tcPr>
          <w:p w14:paraId="762A02B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28.24</w:t>
            </w:r>
          </w:p>
        </w:tc>
      </w:tr>
      <w:tr w14:paraId="6EED0F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030" w:type="pct"/>
            <w:noWrap w:val="0"/>
            <w:vAlign w:val="center"/>
          </w:tcPr>
          <w:p w14:paraId="4C94F53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-9</w:t>
            </w:r>
          </w:p>
        </w:tc>
        <w:tc>
          <w:tcPr>
            <w:tcW w:w="636" w:type="pct"/>
            <w:shd w:val="clear" w:color="auto" w:fill="auto"/>
            <w:noWrap w:val="0"/>
            <w:vAlign w:val="top"/>
          </w:tcPr>
          <w:p w14:paraId="2031724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5.276</w:t>
            </w:r>
          </w:p>
        </w:tc>
        <w:tc>
          <w:tcPr>
            <w:tcW w:w="659" w:type="pct"/>
            <w:shd w:val="clear" w:color="auto" w:fill="auto"/>
            <w:noWrap w:val="0"/>
            <w:vAlign w:val="top"/>
          </w:tcPr>
          <w:p w14:paraId="4E3448A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41.58</w:t>
            </w:r>
          </w:p>
        </w:tc>
        <w:tc>
          <w:tcPr>
            <w:tcW w:w="686" w:type="pct"/>
            <w:shd w:val="clear" w:color="auto" w:fill="auto"/>
            <w:noWrap w:val="0"/>
            <w:vAlign w:val="top"/>
          </w:tcPr>
          <w:p w14:paraId="506031A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6.322</w:t>
            </w:r>
          </w:p>
        </w:tc>
        <w:tc>
          <w:tcPr>
            <w:tcW w:w="659" w:type="pct"/>
            <w:shd w:val="clear" w:color="auto" w:fill="auto"/>
            <w:noWrap w:val="0"/>
            <w:vAlign w:val="top"/>
          </w:tcPr>
          <w:p w14:paraId="2C68ADE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49.75</w:t>
            </w:r>
          </w:p>
        </w:tc>
        <w:tc>
          <w:tcPr>
            <w:tcW w:w="627" w:type="pct"/>
            <w:shd w:val="clear" w:color="auto" w:fill="auto"/>
            <w:noWrap w:val="0"/>
            <w:vAlign w:val="top"/>
          </w:tcPr>
          <w:p w14:paraId="7858F0F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3.841</w:t>
            </w:r>
          </w:p>
        </w:tc>
        <w:tc>
          <w:tcPr>
            <w:tcW w:w="701" w:type="pct"/>
            <w:shd w:val="clear" w:color="auto" w:fill="auto"/>
            <w:noWrap w:val="0"/>
            <w:vAlign w:val="top"/>
          </w:tcPr>
          <w:p w14:paraId="5125B18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30.82</w:t>
            </w:r>
          </w:p>
        </w:tc>
      </w:tr>
      <w:tr w14:paraId="2CC034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1FED818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-8</w:t>
            </w:r>
          </w:p>
        </w:tc>
        <w:tc>
          <w:tcPr>
            <w:tcW w:w="636" w:type="pct"/>
            <w:shd w:val="clear" w:color="auto" w:fill="auto"/>
            <w:noWrap w:val="0"/>
            <w:vAlign w:val="top"/>
          </w:tcPr>
          <w:p w14:paraId="5A7280F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5.645</w:t>
            </w:r>
          </w:p>
        </w:tc>
        <w:tc>
          <w:tcPr>
            <w:tcW w:w="659" w:type="pct"/>
            <w:shd w:val="clear" w:color="auto" w:fill="auto"/>
            <w:noWrap w:val="0"/>
            <w:vAlign w:val="top"/>
          </w:tcPr>
          <w:p w14:paraId="46AF58F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46.03</w:t>
            </w:r>
          </w:p>
        </w:tc>
        <w:tc>
          <w:tcPr>
            <w:tcW w:w="686" w:type="pct"/>
            <w:shd w:val="clear" w:color="auto" w:fill="auto"/>
            <w:noWrap w:val="0"/>
            <w:vAlign w:val="top"/>
          </w:tcPr>
          <w:p w14:paraId="778D9F5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6.972</w:t>
            </w:r>
          </w:p>
        </w:tc>
        <w:tc>
          <w:tcPr>
            <w:tcW w:w="659" w:type="pct"/>
            <w:shd w:val="clear" w:color="auto" w:fill="auto"/>
            <w:noWrap w:val="0"/>
            <w:vAlign w:val="top"/>
          </w:tcPr>
          <w:p w14:paraId="1ECA52B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56.26</w:t>
            </w:r>
          </w:p>
        </w:tc>
        <w:tc>
          <w:tcPr>
            <w:tcW w:w="627" w:type="pct"/>
            <w:shd w:val="clear" w:color="auto" w:fill="auto"/>
            <w:noWrap w:val="0"/>
            <w:vAlign w:val="top"/>
          </w:tcPr>
          <w:p w14:paraId="0D4DF1B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3.962</w:t>
            </w:r>
          </w:p>
        </w:tc>
        <w:tc>
          <w:tcPr>
            <w:tcW w:w="701" w:type="pct"/>
            <w:shd w:val="clear" w:color="auto" w:fill="auto"/>
            <w:noWrap w:val="0"/>
            <w:vAlign w:val="top"/>
          </w:tcPr>
          <w:p w14:paraId="2AB8E17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33.29</w:t>
            </w:r>
          </w:p>
        </w:tc>
      </w:tr>
      <w:tr w14:paraId="775AF0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292FDBF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-7</w:t>
            </w:r>
          </w:p>
        </w:tc>
        <w:tc>
          <w:tcPr>
            <w:tcW w:w="636" w:type="pct"/>
            <w:shd w:val="clear" w:color="auto" w:fill="auto"/>
            <w:noWrap w:val="0"/>
            <w:vAlign w:val="top"/>
          </w:tcPr>
          <w:p w14:paraId="51C6943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5.768</w:t>
            </w:r>
          </w:p>
        </w:tc>
        <w:tc>
          <w:tcPr>
            <w:tcW w:w="659" w:type="pct"/>
            <w:shd w:val="clear" w:color="auto" w:fill="auto"/>
            <w:noWrap w:val="0"/>
            <w:vAlign w:val="top"/>
          </w:tcPr>
          <w:p w14:paraId="147A353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49.95</w:t>
            </w:r>
          </w:p>
        </w:tc>
        <w:tc>
          <w:tcPr>
            <w:tcW w:w="686" w:type="pct"/>
            <w:shd w:val="clear" w:color="auto" w:fill="auto"/>
            <w:noWrap w:val="0"/>
            <w:vAlign w:val="top"/>
          </w:tcPr>
          <w:p w14:paraId="0086A04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7.269</w:t>
            </w:r>
          </w:p>
        </w:tc>
        <w:tc>
          <w:tcPr>
            <w:tcW w:w="659" w:type="pct"/>
            <w:shd w:val="clear" w:color="auto" w:fill="auto"/>
            <w:noWrap w:val="0"/>
            <w:vAlign w:val="top"/>
          </w:tcPr>
          <w:p w14:paraId="1EA0BBB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61.91</w:t>
            </w:r>
          </w:p>
        </w:tc>
        <w:tc>
          <w:tcPr>
            <w:tcW w:w="627" w:type="pct"/>
            <w:shd w:val="clear" w:color="auto" w:fill="auto"/>
            <w:noWrap w:val="0"/>
            <w:vAlign w:val="top"/>
          </w:tcPr>
          <w:p w14:paraId="5B0EEF9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3.948</w:t>
            </w:r>
          </w:p>
        </w:tc>
        <w:tc>
          <w:tcPr>
            <w:tcW w:w="701" w:type="pct"/>
            <w:shd w:val="clear" w:color="auto" w:fill="auto"/>
            <w:noWrap w:val="0"/>
            <w:vAlign w:val="top"/>
          </w:tcPr>
          <w:p w14:paraId="14AB2A2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35.52</w:t>
            </w:r>
          </w:p>
        </w:tc>
      </w:tr>
      <w:tr w14:paraId="4EE9FA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2537CFE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-6</w:t>
            </w:r>
          </w:p>
        </w:tc>
        <w:tc>
          <w:tcPr>
            <w:tcW w:w="636" w:type="pct"/>
            <w:shd w:val="clear" w:color="auto" w:fill="auto"/>
            <w:noWrap w:val="0"/>
            <w:vAlign w:val="top"/>
          </w:tcPr>
          <w:p w14:paraId="215FE32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5.579</w:t>
            </w:r>
          </w:p>
        </w:tc>
        <w:tc>
          <w:tcPr>
            <w:tcW w:w="659" w:type="pct"/>
            <w:shd w:val="clear" w:color="auto" w:fill="auto"/>
            <w:noWrap w:val="0"/>
            <w:vAlign w:val="top"/>
          </w:tcPr>
          <w:p w14:paraId="7F8E9ED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52.94</w:t>
            </w:r>
          </w:p>
        </w:tc>
        <w:tc>
          <w:tcPr>
            <w:tcW w:w="686" w:type="pct"/>
            <w:shd w:val="clear" w:color="auto" w:fill="auto"/>
            <w:noWrap w:val="0"/>
            <w:vAlign w:val="top"/>
          </w:tcPr>
          <w:p w14:paraId="2023910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7.073</w:t>
            </w:r>
          </w:p>
        </w:tc>
        <w:tc>
          <w:tcPr>
            <w:tcW w:w="659" w:type="pct"/>
            <w:shd w:val="clear" w:color="auto" w:fill="auto"/>
            <w:noWrap w:val="0"/>
            <w:vAlign w:val="top"/>
          </w:tcPr>
          <w:p w14:paraId="45478BF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65.85</w:t>
            </w:r>
          </w:p>
        </w:tc>
        <w:tc>
          <w:tcPr>
            <w:tcW w:w="627" w:type="pct"/>
            <w:shd w:val="clear" w:color="auto" w:fill="auto"/>
            <w:noWrap w:val="0"/>
            <w:vAlign w:val="top"/>
          </w:tcPr>
          <w:p w14:paraId="3C167AC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3.783</w:t>
            </w:r>
          </w:p>
        </w:tc>
        <w:tc>
          <w:tcPr>
            <w:tcW w:w="701" w:type="pct"/>
            <w:shd w:val="clear" w:color="auto" w:fill="auto"/>
            <w:noWrap w:val="0"/>
            <w:vAlign w:val="top"/>
          </w:tcPr>
          <w:p w14:paraId="33D83C6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37.39</w:t>
            </w:r>
          </w:p>
        </w:tc>
      </w:tr>
      <w:tr w14:paraId="57B0C4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030" w:type="pct"/>
            <w:noWrap w:val="0"/>
            <w:vAlign w:val="center"/>
          </w:tcPr>
          <w:p w14:paraId="30872BF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-5</w:t>
            </w:r>
          </w:p>
        </w:tc>
        <w:tc>
          <w:tcPr>
            <w:tcW w:w="636" w:type="pct"/>
            <w:shd w:val="clear" w:color="auto" w:fill="auto"/>
            <w:noWrap w:val="0"/>
            <w:vAlign w:val="top"/>
          </w:tcPr>
          <w:p w14:paraId="5A00487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5.082</w:t>
            </w:r>
          </w:p>
        </w:tc>
        <w:tc>
          <w:tcPr>
            <w:tcW w:w="659" w:type="pct"/>
            <w:shd w:val="clear" w:color="auto" w:fill="auto"/>
            <w:noWrap w:val="0"/>
            <w:vAlign w:val="top"/>
          </w:tcPr>
          <w:p w14:paraId="297C3BB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54.82</w:t>
            </w:r>
          </w:p>
        </w:tc>
        <w:tc>
          <w:tcPr>
            <w:tcW w:w="686" w:type="pct"/>
            <w:shd w:val="clear" w:color="auto" w:fill="auto"/>
            <w:noWrap w:val="0"/>
            <w:vAlign w:val="top"/>
          </w:tcPr>
          <w:p w14:paraId="791797D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6.388</w:t>
            </w:r>
          </w:p>
        </w:tc>
        <w:tc>
          <w:tcPr>
            <w:tcW w:w="659" w:type="pct"/>
            <w:shd w:val="clear" w:color="auto" w:fill="auto"/>
            <w:noWrap w:val="0"/>
            <w:vAlign w:val="top"/>
          </w:tcPr>
          <w:p w14:paraId="251611D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67.73</w:t>
            </w:r>
          </w:p>
        </w:tc>
        <w:tc>
          <w:tcPr>
            <w:tcW w:w="627" w:type="pct"/>
            <w:shd w:val="clear" w:color="auto" w:fill="auto"/>
            <w:noWrap w:val="0"/>
            <w:vAlign w:val="top"/>
          </w:tcPr>
          <w:p w14:paraId="3A9D8B8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3.468</w:t>
            </w:r>
          </w:p>
        </w:tc>
        <w:tc>
          <w:tcPr>
            <w:tcW w:w="701" w:type="pct"/>
            <w:shd w:val="clear" w:color="auto" w:fill="auto"/>
            <w:noWrap w:val="0"/>
            <w:vAlign w:val="top"/>
          </w:tcPr>
          <w:p w14:paraId="7F39D22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38.83</w:t>
            </w:r>
          </w:p>
        </w:tc>
      </w:tr>
      <w:tr w14:paraId="446C23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10D93F3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w:t>
            </w:r>
          </w:p>
        </w:tc>
        <w:tc>
          <w:tcPr>
            <w:tcW w:w="636" w:type="pct"/>
            <w:shd w:val="clear" w:color="auto" w:fill="auto"/>
            <w:noWrap w:val="0"/>
            <w:vAlign w:val="top"/>
          </w:tcPr>
          <w:p w14:paraId="75129C1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4.349</w:t>
            </w:r>
          </w:p>
        </w:tc>
        <w:tc>
          <w:tcPr>
            <w:tcW w:w="659" w:type="pct"/>
            <w:shd w:val="clear" w:color="auto" w:fill="auto"/>
            <w:noWrap w:val="0"/>
            <w:vAlign w:val="top"/>
          </w:tcPr>
          <w:p w14:paraId="6C76014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55.70</w:t>
            </w:r>
          </w:p>
        </w:tc>
        <w:tc>
          <w:tcPr>
            <w:tcW w:w="686" w:type="pct"/>
            <w:shd w:val="clear" w:color="auto" w:fill="auto"/>
            <w:noWrap w:val="0"/>
            <w:vAlign w:val="top"/>
          </w:tcPr>
          <w:p w14:paraId="591388D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5.361</w:t>
            </w:r>
          </w:p>
        </w:tc>
        <w:tc>
          <w:tcPr>
            <w:tcW w:w="659" w:type="pct"/>
            <w:shd w:val="clear" w:color="auto" w:fill="auto"/>
            <w:noWrap w:val="0"/>
            <w:vAlign w:val="top"/>
          </w:tcPr>
          <w:p w14:paraId="11E045C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67.93</w:t>
            </w:r>
          </w:p>
        </w:tc>
        <w:tc>
          <w:tcPr>
            <w:tcW w:w="627" w:type="pct"/>
            <w:shd w:val="clear" w:color="auto" w:fill="auto"/>
            <w:noWrap w:val="0"/>
            <w:vAlign w:val="top"/>
          </w:tcPr>
          <w:p w14:paraId="1272DDF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3.032</w:t>
            </w:r>
          </w:p>
        </w:tc>
        <w:tc>
          <w:tcPr>
            <w:tcW w:w="701" w:type="pct"/>
            <w:shd w:val="clear" w:color="auto" w:fill="auto"/>
            <w:noWrap w:val="0"/>
            <w:vAlign w:val="top"/>
          </w:tcPr>
          <w:p w14:paraId="62E3B45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39.84</w:t>
            </w:r>
          </w:p>
        </w:tc>
      </w:tr>
      <w:tr w14:paraId="276CCE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1231674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w:t>
            </w:r>
          </w:p>
        </w:tc>
        <w:tc>
          <w:tcPr>
            <w:tcW w:w="636" w:type="pct"/>
            <w:shd w:val="clear" w:color="auto" w:fill="auto"/>
            <w:noWrap w:val="0"/>
            <w:vAlign w:val="top"/>
          </w:tcPr>
          <w:p w14:paraId="4BC21BE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3.491</w:t>
            </w:r>
          </w:p>
        </w:tc>
        <w:tc>
          <w:tcPr>
            <w:tcW w:w="659" w:type="pct"/>
            <w:shd w:val="clear" w:color="auto" w:fill="auto"/>
            <w:noWrap w:val="0"/>
            <w:vAlign w:val="top"/>
          </w:tcPr>
          <w:p w14:paraId="2974F1D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55.90</w:t>
            </w:r>
          </w:p>
        </w:tc>
        <w:tc>
          <w:tcPr>
            <w:tcW w:w="686" w:type="pct"/>
            <w:shd w:val="clear" w:color="auto" w:fill="auto"/>
            <w:noWrap w:val="0"/>
            <w:vAlign w:val="top"/>
          </w:tcPr>
          <w:p w14:paraId="0F85BA7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4.192</w:t>
            </w:r>
          </w:p>
        </w:tc>
        <w:tc>
          <w:tcPr>
            <w:tcW w:w="659" w:type="pct"/>
            <w:shd w:val="clear" w:color="auto" w:fill="auto"/>
            <w:noWrap w:val="0"/>
            <w:vAlign w:val="top"/>
          </w:tcPr>
          <w:p w14:paraId="33EE006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67.18</w:t>
            </w:r>
          </w:p>
        </w:tc>
        <w:tc>
          <w:tcPr>
            <w:tcW w:w="627" w:type="pct"/>
            <w:shd w:val="clear" w:color="auto" w:fill="auto"/>
            <w:noWrap w:val="0"/>
            <w:vAlign w:val="top"/>
          </w:tcPr>
          <w:p w14:paraId="4C2F451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2.524</w:t>
            </w:r>
          </w:p>
        </w:tc>
        <w:tc>
          <w:tcPr>
            <w:tcW w:w="701" w:type="pct"/>
            <w:shd w:val="clear" w:color="auto" w:fill="auto"/>
            <w:noWrap w:val="0"/>
            <w:vAlign w:val="top"/>
          </w:tcPr>
          <w:p w14:paraId="3A34BF8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40.48</w:t>
            </w:r>
          </w:p>
        </w:tc>
      </w:tr>
      <w:tr w14:paraId="0BBDDE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030" w:type="pct"/>
            <w:noWrap w:val="0"/>
            <w:vAlign w:val="center"/>
          </w:tcPr>
          <w:p w14:paraId="2BAAF2E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w:t>
            </w:r>
          </w:p>
        </w:tc>
        <w:tc>
          <w:tcPr>
            <w:tcW w:w="636" w:type="pct"/>
            <w:shd w:val="clear" w:color="auto" w:fill="auto"/>
            <w:noWrap w:val="0"/>
            <w:vAlign w:val="top"/>
          </w:tcPr>
          <w:p w14:paraId="1F4CF2E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2.640</w:t>
            </w:r>
          </w:p>
        </w:tc>
        <w:tc>
          <w:tcPr>
            <w:tcW w:w="659" w:type="pct"/>
            <w:shd w:val="clear" w:color="auto" w:fill="auto"/>
            <w:noWrap w:val="0"/>
            <w:vAlign w:val="top"/>
          </w:tcPr>
          <w:p w14:paraId="2616D3C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55.76</w:t>
            </w:r>
          </w:p>
        </w:tc>
        <w:tc>
          <w:tcPr>
            <w:tcW w:w="686" w:type="pct"/>
            <w:shd w:val="clear" w:color="auto" w:fill="auto"/>
            <w:noWrap w:val="0"/>
            <w:vAlign w:val="top"/>
          </w:tcPr>
          <w:p w14:paraId="2432580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3.069</w:t>
            </w:r>
          </w:p>
        </w:tc>
        <w:tc>
          <w:tcPr>
            <w:tcW w:w="659" w:type="pct"/>
            <w:shd w:val="clear" w:color="auto" w:fill="auto"/>
            <w:noWrap w:val="0"/>
            <w:vAlign w:val="top"/>
          </w:tcPr>
          <w:p w14:paraId="27602BD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66.21</w:t>
            </w:r>
          </w:p>
        </w:tc>
        <w:tc>
          <w:tcPr>
            <w:tcW w:w="627" w:type="pct"/>
            <w:shd w:val="clear" w:color="auto" w:fill="auto"/>
            <w:noWrap w:val="0"/>
            <w:vAlign w:val="top"/>
          </w:tcPr>
          <w:p w14:paraId="5EA9D4F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2.018</w:t>
            </w:r>
          </w:p>
        </w:tc>
        <w:tc>
          <w:tcPr>
            <w:tcW w:w="701" w:type="pct"/>
            <w:shd w:val="clear" w:color="auto" w:fill="auto"/>
            <w:noWrap w:val="0"/>
            <w:vAlign w:val="top"/>
          </w:tcPr>
          <w:p w14:paraId="69A7DF7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40.85</w:t>
            </w:r>
          </w:p>
        </w:tc>
      </w:tr>
      <w:tr w14:paraId="151FE9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23E54CC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w:t>
            </w:r>
          </w:p>
        </w:tc>
        <w:tc>
          <w:tcPr>
            <w:tcW w:w="636" w:type="pct"/>
            <w:shd w:val="clear" w:color="auto" w:fill="auto"/>
            <w:noWrap w:val="0"/>
            <w:vAlign w:val="top"/>
          </w:tcPr>
          <w:p w14:paraId="1B12BA2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1.977</w:t>
            </w:r>
          </w:p>
        </w:tc>
        <w:tc>
          <w:tcPr>
            <w:tcW w:w="659" w:type="pct"/>
            <w:shd w:val="clear" w:color="auto" w:fill="auto"/>
            <w:noWrap w:val="0"/>
            <w:vAlign w:val="top"/>
          </w:tcPr>
          <w:p w14:paraId="3EBB85E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55.58</w:t>
            </w:r>
          </w:p>
        </w:tc>
        <w:tc>
          <w:tcPr>
            <w:tcW w:w="686" w:type="pct"/>
            <w:shd w:val="clear" w:color="auto" w:fill="auto"/>
            <w:noWrap w:val="0"/>
            <w:vAlign w:val="top"/>
          </w:tcPr>
          <w:p w14:paraId="4EA91BD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2.208</w:t>
            </w:r>
          </w:p>
        </w:tc>
        <w:tc>
          <w:tcPr>
            <w:tcW w:w="659" w:type="pct"/>
            <w:shd w:val="clear" w:color="auto" w:fill="auto"/>
            <w:noWrap w:val="0"/>
            <w:vAlign w:val="top"/>
          </w:tcPr>
          <w:p w14:paraId="2046C97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65.51</w:t>
            </w:r>
          </w:p>
        </w:tc>
        <w:tc>
          <w:tcPr>
            <w:tcW w:w="627" w:type="pct"/>
            <w:shd w:val="clear" w:color="auto" w:fill="auto"/>
            <w:noWrap w:val="0"/>
            <w:vAlign w:val="top"/>
          </w:tcPr>
          <w:p w14:paraId="6BBA580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1.632</w:t>
            </w:r>
          </w:p>
        </w:tc>
        <w:tc>
          <w:tcPr>
            <w:tcW w:w="701" w:type="pct"/>
            <w:shd w:val="clear" w:color="auto" w:fill="auto"/>
            <w:noWrap w:val="0"/>
            <w:vAlign w:val="top"/>
          </w:tcPr>
          <w:p w14:paraId="786DC84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41.01</w:t>
            </w:r>
          </w:p>
        </w:tc>
      </w:tr>
      <w:tr w14:paraId="334E8D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4073588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w:t>
            </w:r>
          </w:p>
        </w:tc>
        <w:tc>
          <w:tcPr>
            <w:tcW w:w="636" w:type="pct"/>
            <w:shd w:val="clear" w:color="auto" w:fill="auto"/>
            <w:noWrap w:val="0"/>
            <w:vAlign w:val="top"/>
          </w:tcPr>
          <w:p w14:paraId="2E2CB9B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1.800</w:t>
            </w:r>
          </w:p>
        </w:tc>
        <w:tc>
          <w:tcPr>
            <w:tcW w:w="659" w:type="pct"/>
            <w:shd w:val="clear" w:color="auto" w:fill="auto"/>
            <w:noWrap w:val="0"/>
            <w:vAlign w:val="top"/>
          </w:tcPr>
          <w:p w14:paraId="10AD585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55.51</w:t>
            </w:r>
          </w:p>
        </w:tc>
        <w:tc>
          <w:tcPr>
            <w:tcW w:w="686" w:type="pct"/>
            <w:shd w:val="clear" w:color="auto" w:fill="auto"/>
            <w:noWrap w:val="0"/>
            <w:vAlign w:val="top"/>
          </w:tcPr>
          <w:p w14:paraId="5BFE4A7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1.979</w:t>
            </w:r>
          </w:p>
        </w:tc>
        <w:tc>
          <w:tcPr>
            <w:tcW w:w="659" w:type="pct"/>
            <w:shd w:val="clear" w:color="auto" w:fill="auto"/>
            <w:noWrap w:val="0"/>
            <w:vAlign w:val="top"/>
          </w:tcPr>
          <w:p w14:paraId="0E9E068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65.31</w:t>
            </w:r>
          </w:p>
        </w:tc>
        <w:tc>
          <w:tcPr>
            <w:tcW w:w="627" w:type="pct"/>
            <w:shd w:val="clear" w:color="auto" w:fill="auto"/>
            <w:noWrap w:val="0"/>
            <w:vAlign w:val="top"/>
          </w:tcPr>
          <w:p w14:paraId="2334189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1.531</w:t>
            </w:r>
          </w:p>
        </w:tc>
        <w:tc>
          <w:tcPr>
            <w:tcW w:w="701" w:type="pct"/>
            <w:shd w:val="clear" w:color="auto" w:fill="auto"/>
            <w:noWrap w:val="0"/>
            <w:vAlign w:val="top"/>
          </w:tcPr>
          <w:p w14:paraId="2DEB98F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41.02</w:t>
            </w:r>
          </w:p>
        </w:tc>
      </w:tr>
      <w:tr w14:paraId="64D1D6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7823CC7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w:t>
            </w:r>
          </w:p>
        </w:tc>
        <w:tc>
          <w:tcPr>
            <w:tcW w:w="636" w:type="pct"/>
            <w:shd w:val="clear" w:color="auto" w:fill="auto"/>
            <w:noWrap w:val="0"/>
            <w:vAlign w:val="top"/>
          </w:tcPr>
          <w:p w14:paraId="557D268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2.234</w:t>
            </w:r>
          </w:p>
        </w:tc>
        <w:tc>
          <w:tcPr>
            <w:tcW w:w="659" w:type="pct"/>
            <w:shd w:val="clear" w:color="auto" w:fill="auto"/>
            <w:noWrap w:val="0"/>
            <w:vAlign w:val="top"/>
          </w:tcPr>
          <w:p w14:paraId="1261954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55.58</w:t>
            </w:r>
          </w:p>
        </w:tc>
        <w:tc>
          <w:tcPr>
            <w:tcW w:w="686" w:type="pct"/>
            <w:shd w:val="clear" w:color="auto" w:fill="auto"/>
            <w:noWrap w:val="0"/>
            <w:vAlign w:val="top"/>
          </w:tcPr>
          <w:p w14:paraId="642E5C0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2.548</w:t>
            </w:r>
          </w:p>
        </w:tc>
        <w:tc>
          <w:tcPr>
            <w:tcW w:w="659" w:type="pct"/>
            <w:shd w:val="clear" w:color="auto" w:fill="auto"/>
            <w:noWrap w:val="0"/>
            <w:vAlign w:val="top"/>
          </w:tcPr>
          <w:p w14:paraId="15BAA3B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65.69</w:t>
            </w:r>
          </w:p>
        </w:tc>
        <w:tc>
          <w:tcPr>
            <w:tcW w:w="627" w:type="pct"/>
            <w:shd w:val="clear" w:color="auto" w:fill="auto"/>
            <w:noWrap w:val="0"/>
            <w:vAlign w:val="top"/>
          </w:tcPr>
          <w:p w14:paraId="6BBAB59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1.775</w:t>
            </w:r>
          </w:p>
        </w:tc>
        <w:tc>
          <w:tcPr>
            <w:tcW w:w="701" w:type="pct"/>
            <w:shd w:val="clear" w:color="auto" w:fill="auto"/>
            <w:noWrap w:val="0"/>
            <w:vAlign w:val="top"/>
          </w:tcPr>
          <w:p w14:paraId="137173A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40.90</w:t>
            </w:r>
          </w:p>
        </w:tc>
      </w:tr>
      <w:tr w14:paraId="3931C4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030" w:type="pct"/>
            <w:noWrap w:val="0"/>
            <w:vAlign w:val="center"/>
          </w:tcPr>
          <w:p w14:paraId="653C247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w:t>
            </w:r>
          </w:p>
        </w:tc>
        <w:tc>
          <w:tcPr>
            <w:tcW w:w="636" w:type="pct"/>
            <w:shd w:val="clear" w:color="auto" w:fill="auto"/>
            <w:noWrap w:val="0"/>
            <w:vAlign w:val="top"/>
          </w:tcPr>
          <w:p w14:paraId="6E120FD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3.010</w:t>
            </w:r>
          </w:p>
        </w:tc>
        <w:tc>
          <w:tcPr>
            <w:tcW w:w="659" w:type="pct"/>
            <w:shd w:val="clear" w:color="auto" w:fill="auto"/>
            <w:noWrap w:val="0"/>
            <w:vAlign w:val="top"/>
          </w:tcPr>
          <w:p w14:paraId="0E3BC5F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55.71</w:t>
            </w:r>
          </w:p>
        </w:tc>
        <w:tc>
          <w:tcPr>
            <w:tcW w:w="686" w:type="pct"/>
            <w:shd w:val="clear" w:color="auto" w:fill="auto"/>
            <w:noWrap w:val="0"/>
            <w:vAlign w:val="top"/>
          </w:tcPr>
          <w:p w14:paraId="3E95BF7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3.562</w:t>
            </w:r>
          </w:p>
        </w:tc>
        <w:tc>
          <w:tcPr>
            <w:tcW w:w="659" w:type="pct"/>
            <w:shd w:val="clear" w:color="auto" w:fill="auto"/>
            <w:noWrap w:val="0"/>
            <w:vAlign w:val="top"/>
          </w:tcPr>
          <w:p w14:paraId="62D1123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66.49</w:t>
            </w:r>
          </w:p>
        </w:tc>
        <w:tc>
          <w:tcPr>
            <w:tcW w:w="627" w:type="pct"/>
            <w:shd w:val="clear" w:color="auto" w:fill="auto"/>
            <w:noWrap w:val="0"/>
            <w:vAlign w:val="top"/>
          </w:tcPr>
          <w:p w14:paraId="1D2CAC7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2.229</w:t>
            </w:r>
          </w:p>
        </w:tc>
        <w:tc>
          <w:tcPr>
            <w:tcW w:w="701" w:type="pct"/>
            <w:shd w:val="clear" w:color="auto" w:fill="auto"/>
            <w:noWrap w:val="0"/>
            <w:vAlign w:val="top"/>
          </w:tcPr>
          <w:p w14:paraId="5510F8D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40.61</w:t>
            </w:r>
          </w:p>
        </w:tc>
      </w:tr>
      <w:tr w14:paraId="02CE0A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041539C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w:t>
            </w:r>
          </w:p>
        </w:tc>
        <w:tc>
          <w:tcPr>
            <w:tcW w:w="636" w:type="pct"/>
            <w:shd w:val="clear" w:color="auto" w:fill="auto"/>
            <w:noWrap w:val="0"/>
            <w:vAlign w:val="top"/>
          </w:tcPr>
          <w:p w14:paraId="28FB244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3.878</w:t>
            </w:r>
          </w:p>
        </w:tc>
        <w:tc>
          <w:tcPr>
            <w:tcW w:w="659" w:type="pct"/>
            <w:shd w:val="clear" w:color="auto" w:fill="auto"/>
            <w:noWrap w:val="0"/>
            <w:vAlign w:val="top"/>
          </w:tcPr>
          <w:p w14:paraId="3671DF7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55.67</w:t>
            </w:r>
          </w:p>
        </w:tc>
        <w:tc>
          <w:tcPr>
            <w:tcW w:w="686" w:type="pct"/>
            <w:shd w:val="clear" w:color="auto" w:fill="auto"/>
            <w:noWrap w:val="0"/>
            <w:vAlign w:val="top"/>
          </w:tcPr>
          <w:p w14:paraId="14BA94A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4.726</w:t>
            </w:r>
          </w:p>
        </w:tc>
        <w:tc>
          <w:tcPr>
            <w:tcW w:w="659" w:type="pct"/>
            <w:shd w:val="clear" w:color="auto" w:fill="auto"/>
            <w:noWrap w:val="0"/>
            <w:vAlign w:val="top"/>
          </w:tcPr>
          <w:p w14:paraId="0E45E3A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67.36</w:t>
            </w:r>
          </w:p>
        </w:tc>
        <w:tc>
          <w:tcPr>
            <w:tcW w:w="627" w:type="pct"/>
            <w:shd w:val="clear" w:color="auto" w:fill="auto"/>
            <w:noWrap w:val="0"/>
            <w:vAlign w:val="top"/>
          </w:tcPr>
          <w:p w14:paraId="46D8ED4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2.743</w:t>
            </w:r>
          </w:p>
        </w:tc>
        <w:tc>
          <w:tcPr>
            <w:tcW w:w="701" w:type="pct"/>
            <w:shd w:val="clear" w:color="auto" w:fill="auto"/>
            <w:noWrap w:val="0"/>
            <w:vAlign w:val="top"/>
          </w:tcPr>
          <w:p w14:paraId="01E078B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40.10</w:t>
            </w:r>
          </w:p>
        </w:tc>
      </w:tr>
      <w:tr w14:paraId="1F81DD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2ADFAE4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w:t>
            </w:r>
          </w:p>
        </w:tc>
        <w:tc>
          <w:tcPr>
            <w:tcW w:w="636" w:type="pct"/>
            <w:shd w:val="clear" w:color="auto" w:fill="auto"/>
            <w:noWrap w:val="0"/>
            <w:vAlign w:val="top"/>
          </w:tcPr>
          <w:p w14:paraId="71F4D81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4.687</w:t>
            </w:r>
          </w:p>
        </w:tc>
        <w:tc>
          <w:tcPr>
            <w:tcW w:w="659" w:type="pct"/>
            <w:shd w:val="clear" w:color="auto" w:fill="auto"/>
            <w:noWrap w:val="0"/>
            <w:vAlign w:val="top"/>
          </w:tcPr>
          <w:p w14:paraId="7954EBC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55.14</w:t>
            </w:r>
          </w:p>
        </w:tc>
        <w:tc>
          <w:tcPr>
            <w:tcW w:w="686" w:type="pct"/>
            <w:shd w:val="clear" w:color="auto" w:fill="auto"/>
            <w:noWrap w:val="0"/>
            <w:vAlign w:val="top"/>
          </w:tcPr>
          <w:p w14:paraId="39D9437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5.846</w:t>
            </w:r>
          </w:p>
        </w:tc>
        <w:tc>
          <w:tcPr>
            <w:tcW w:w="659" w:type="pct"/>
            <w:shd w:val="clear" w:color="auto" w:fill="auto"/>
            <w:noWrap w:val="0"/>
            <w:vAlign w:val="top"/>
          </w:tcPr>
          <w:p w14:paraId="7787B3B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67.69</w:t>
            </w:r>
          </w:p>
        </w:tc>
        <w:tc>
          <w:tcPr>
            <w:tcW w:w="627" w:type="pct"/>
            <w:shd w:val="clear" w:color="auto" w:fill="auto"/>
            <w:noWrap w:val="0"/>
            <w:vAlign w:val="top"/>
          </w:tcPr>
          <w:p w14:paraId="51E4868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3.220</w:t>
            </w:r>
          </w:p>
        </w:tc>
        <w:tc>
          <w:tcPr>
            <w:tcW w:w="701" w:type="pct"/>
            <w:shd w:val="clear" w:color="auto" w:fill="auto"/>
            <w:noWrap w:val="0"/>
            <w:vAlign w:val="top"/>
          </w:tcPr>
          <w:p w14:paraId="03E1F93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39.26</w:t>
            </w:r>
          </w:p>
        </w:tc>
      </w:tr>
      <w:tr w14:paraId="02AAC0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59A6985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5</w:t>
            </w:r>
          </w:p>
        </w:tc>
        <w:tc>
          <w:tcPr>
            <w:tcW w:w="636" w:type="pct"/>
            <w:shd w:val="clear" w:color="auto" w:fill="auto"/>
            <w:noWrap w:val="0"/>
            <w:vAlign w:val="top"/>
          </w:tcPr>
          <w:p w14:paraId="4D1F63D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5.313</w:t>
            </w:r>
          </w:p>
        </w:tc>
        <w:tc>
          <w:tcPr>
            <w:tcW w:w="659" w:type="pct"/>
            <w:shd w:val="clear" w:color="auto" w:fill="auto"/>
            <w:noWrap w:val="0"/>
            <w:vAlign w:val="top"/>
          </w:tcPr>
          <w:p w14:paraId="5759A51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53.77</w:t>
            </w:r>
          </w:p>
        </w:tc>
        <w:tc>
          <w:tcPr>
            <w:tcW w:w="686" w:type="pct"/>
            <w:shd w:val="clear" w:color="auto" w:fill="auto"/>
            <w:noWrap w:val="0"/>
            <w:vAlign w:val="top"/>
          </w:tcPr>
          <w:p w14:paraId="5E1C247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6.727</w:t>
            </w:r>
          </w:p>
        </w:tc>
        <w:tc>
          <w:tcPr>
            <w:tcW w:w="659" w:type="pct"/>
            <w:shd w:val="clear" w:color="auto" w:fill="auto"/>
            <w:noWrap w:val="0"/>
            <w:vAlign w:val="top"/>
          </w:tcPr>
          <w:p w14:paraId="54AD817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66.72</w:t>
            </w:r>
          </w:p>
        </w:tc>
        <w:tc>
          <w:tcPr>
            <w:tcW w:w="627" w:type="pct"/>
            <w:shd w:val="clear" w:color="auto" w:fill="auto"/>
            <w:noWrap w:val="0"/>
            <w:vAlign w:val="top"/>
          </w:tcPr>
          <w:p w14:paraId="4239BCB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3.599</w:t>
            </w:r>
          </w:p>
        </w:tc>
        <w:tc>
          <w:tcPr>
            <w:tcW w:w="701" w:type="pct"/>
            <w:shd w:val="clear" w:color="auto" w:fill="auto"/>
            <w:noWrap w:val="0"/>
            <w:vAlign w:val="top"/>
          </w:tcPr>
          <w:p w14:paraId="1B6213C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38.03</w:t>
            </w:r>
          </w:p>
        </w:tc>
      </w:tr>
      <w:tr w14:paraId="0BC0A8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030" w:type="pct"/>
            <w:noWrap w:val="0"/>
            <w:vAlign w:val="center"/>
          </w:tcPr>
          <w:p w14:paraId="750522E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6</w:t>
            </w:r>
          </w:p>
        </w:tc>
        <w:tc>
          <w:tcPr>
            <w:tcW w:w="636" w:type="pct"/>
            <w:shd w:val="clear" w:color="auto" w:fill="auto"/>
            <w:noWrap w:val="0"/>
            <w:vAlign w:val="top"/>
          </w:tcPr>
          <w:p w14:paraId="73FEAAF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5.662</w:t>
            </w:r>
          </w:p>
        </w:tc>
        <w:tc>
          <w:tcPr>
            <w:tcW w:w="659" w:type="pct"/>
            <w:shd w:val="clear" w:color="auto" w:fill="auto"/>
            <w:noWrap w:val="0"/>
            <w:vAlign w:val="top"/>
          </w:tcPr>
          <w:p w14:paraId="1B03237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51.34</w:t>
            </w:r>
          </w:p>
        </w:tc>
        <w:tc>
          <w:tcPr>
            <w:tcW w:w="686" w:type="pct"/>
            <w:shd w:val="clear" w:color="auto" w:fill="auto"/>
            <w:noWrap w:val="0"/>
            <w:vAlign w:val="top"/>
          </w:tcPr>
          <w:p w14:paraId="30685A3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7.179</w:t>
            </w:r>
          </w:p>
        </w:tc>
        <w:tc>
          <w:tcPr>
            <w:tcW w:w="659" w:type="pct"/>
            <w:shd w:val="clear" w:color="auto" w:fill="auto"/>
            <w:noWrap w:val="0"/>
            <w:vAlign w:val="top"/>
          </w:tcPr>
          <w:p w14:paraId="03489D4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63.82</w:t>
            </w:r>
          </w:p>
        </w:tc>
        <w:tc>
          <w:tcPr>
            <w:tcW w:w="627" w:type="pct"/>
            <w:shd w:val="clear" w:color="auto" w:fill="auto"/>
            <w:noWrap w:val="0"/>
            <w:vAlign w:val="top"/>
          </w:tcPr>
          <w:p w14:paraId="741B701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3.841</w:t>
            </w:r>
          </w:p>
        </w:tc>
        <w:tc>
          <w:tcPr>
            <w:tcW w:w="701" w:type="pct"/>
            <w:shd w:val="clear" w:color="auto" w:fill="auto"/>
            <w:noWrap w:val="0"/>
            <w:vAlign w:val="top"/>
          </w:tcPr>
          <w:p w14:paraId="764ED52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36.37</w:t>
            </w:r>
          </w:p>
        </w:tc>
      </w:tr>
      <w:tr w14:paraId="1FC79B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6A71BC6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7</w:t>
            </w:r>
          </w:p>
        </w:tc>
        <w:tc>
          <w:tcPr>
            <w:tcW w:w="636" w:type="pct"/>
            <w:shd w:val="clear" w:color="auto" w:fill="auto"/>
            <w:noWrap w:val="0"/>
            <w:vAlign w:val="top"/>
          </w:tcPr>
          <w:p w14:paraId="3F7290A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5.691</w:t>
            </w:r>
          </w:p>
        </w:tc>
        <w:tc>
          <w:tcPr>
            <w:tcW w:w="659" w:type="pct"/>
            <w:shd w:val="clear" w:color="auto" w:fill="auto"/>
            <w:noWrap w:val="0"/>
            <w:vAlign w:val="top"/>
          </w:tcPr>
          <w:p w14:paraId="273126C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47.86</w:t>
            </w:r>
          </w:p>
        </w:tc>
        <w:tc>
          <w:tcPr>
            <w:tcW w:w="686" w:type="pct"/>
            <w:shd w:val="clear" w:color="auto" w:fill="auto"/>
            <w:noWrap w:val="0"/>
            <w:vAlign w:val="top"/>
          </w:tcPr>
          <w:p w14:paraId="221B043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7.120</w:t>
            </w:r>
          </w:p>
        </w:tc>
        <w:tc>
          <w:tcPr>
            <w:tcW w:w="659" w:type="pct"/>
            <w:shd w:val="clear" w:color="auto" w:fill="auto"/>
            <w:noWrap w:val="0"/>
            <w:vAlign w:val="top"/>
          </w:tcPr>
          <w:p w14:paraId="7FC01B5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58.96</w:t>
            </w:r>
          </w:p>
        </w:tc>
        <w:tc>
          <w:tcPr>
            <w:tcW w:w="627" w:type="pct"/>
            <w:shd w:val="clear" w:color="auto" w:fill="auto"/>
            <w:noWrap w:val="0"/>
            <w:vAlign w:val="top"/>
          </w:tcPr>
          <w:p w14:paraId="6E46451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3.929</w:t>
            </w:r>
          </w:p>
        </w:tc>
        <w:tc>
          <w:tcPr>
            <w:tcW w:w="701" w:type="pct"/>
            <w:shd w:val="clear" w:color="auto" w:fill="auto"/>
            <w:noWrap w:val="0"/>
            <w:vAlign w:val="top"/>
          </w:tcPr>
          <w:p w14:paraId="538BCD6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34.31</w:t>
            </w:r>
          </w:p>
        </w:tc>
      </w:tr>
      <w:tr w14:paraId="42935A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515F42C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8</w:t>
            </w:r>
          </w:p>
        </w:tc>
        <w:tc>
          <w:tcPr>
            <w:tcW w:w="636" w:type="pct"/>
            <w:shd w:val="clear" w:color="auto" w:fill="auto"/>
            <w:noWrap w:val="0"/>
            <w:vAlign w:val="top"/>
          </w:tcPr>
          <w:p w14:paraId="00BBBD3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5.435</w:t>
            </w:r>
          </w:p>
        </w:tc>
        <w:tc>
          <w:tcPr>
            <w:tcW w:w="659" w:type="pct"/>
            <w:shd w:val="clear" w:color="auto" w:fill="auto"/>
            <w:noWrap w:val="0"/>
            <w:vAlign w:val="top"/>
          </w:tcPr>
          <w:p w14:paraId="26D4F6C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43.64</w:t>
            </w:r>
          </w:p>
        </w:tc>
        <w:tc>
          <w:tcPr>
            <w:tcW w:w="686" w:type="pct"/>
            <w:shd w:val="clear" w:color="auto" w:fill="auto"/>
            <w:noWrap w:val="0"/>
            <w:vAlign w:val="top"/>
          </w:tcPr>
          <w:p w14:paraId="13FDC59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6.625</w:t>
            </w:r>
          </w:p>
        </w:tc>
        <w:tc>
          <w:tcPr>
            <w:tcW w:w="659" w:type="pct"/>
            <w:shd w:val="clear" w:color="auto" w:fill="auto"/>
            <w:noWrap w:val="0"/>
            <w:vAlign w:val="top"/>
          </w:tcPr>
          <w:p w14:paraId="0DD818F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52.80</w:t>
            </w:r>
          </w:p>
        </w:tc>
        <w:tc>
          <w:tcPr>
            <w:tcW w:w="627" w:type="pct"/>
            <w:shd w:val="clear" w:color="auto" w:fill="auto"/>
            <w:noWrap w:val="0"/>
            <w:vAlign w:val="top"/>
          </w:tcPr>
          <w:p w14:paraId="1175B33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3.873</w:t>
            </w:r>
          </w:p>
        </w:tc>
        <w:tc>
          <w:tcPr>
            <w:tcW w:w="701" w:type="pct"/>
            <w:shd w:val="clear" w:color="auto" w:fill="auto"/>
            <w:noWrap w:val="0"/>
            <w:vAlign w:val="top"/>
          </w:tcPr>
          <w:p w14:paraId="0D4C5BC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31.95</w:t>
            </w:r>
          </w:p>
        </w:tc>
      </w:tr>
      <w:tr w14:paraId="0C3D83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030" w:type="pct"/>
            <w:noWrap w:val="0"/>
            <w:vAlign w:val="center"/>
          </w:tcPr>
          <w:p w14:paraId="516DC42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9</w:t>
            </w:r>
          </w:p>
        </w:tc>
        <w:tc>
          <w:tcPr>
            <w:tcW w:w="636" w:type="pct"/>
            <w:shd w:val="clear" w:color="auto" w:fill="auto"/>
            <w:noWrap w:val="0"/>
            <w:vAlign w:val="top"/>
          </w:tcPr>
          <w:p w14:paraId="112ED64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4.981</w:t>
            </w:r>
          </w:p>
        </w:tc>
        <w:tc>
          <w:tcPr>
            <w:tcW w:w="659" w:type="pct"/>
            <w:shd w:val="clear" w:color="auto" w:fill="auto"/>
            <w:noWrap w:val="0"/>
            <w:vAlign w:val="top"/>
          </w:tcPr>
          <w:p w14:paraId="135AAA9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39.11</w:t>
            </w:r>
          </w:p>
        </w:tc>
        <w:tc>
          <w:tcPr>
            <w:tcW w:w="686" w:type="pct"/>
            <w:shd w:val="clear" w:color="auto" w:fill="auto"/>
            <w:noWrap w:val="0"/>
            <w:vAlign w:val="top"/>
          </w:tcPr>
          <w:p w14:paraId="09F9804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5.871</w:t>
            </w:r>
          </w:p>
        </w:tc>
        <w:tc>
          <w:tcPr>
            <w:tcW w:w="659" w:type="pct"/>
            <w:shd w:val="clear" w:color="auto" w:fill="auto"/>
            <w:noWrap w:val="0"/>
            <w:vAlign w:val="top"/>
          </w:tcPr>
          <w:p w14:paraId="7C2E2A3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46.25</w:t>
            </w:r>
          </w:p>
        </w:tc>
        <w:tc>
          <w:tcPr>
            <w:tcW w:w="627" w:type="pct"/>
            <w:shd w:val="clear" w:color="auto" w:fill="auto"/>
            <w:noWrap w:val="0"/>
            <w:vAlign w:val="top"/>
          </w:tcPr>
          <w:p w14:paraId="17508DC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3.698</w:t>
            </w:r>
          </w:p>
        </w:tc>
        <w:tc>
          <w:tcPr>
            <w:tcW w:w="701" w:type="pct"/>
            <w:shd w:val="clear" w:color="auto" w:fill="auto"/>
            <w:noWrap w:val="0"/>
            <w:vAlign w:val="top"/>
          </w:tcPr>
          <w:p w14:paraId="6BF897F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29.42</w:t>
            </w:r>
          </w:p>
        </w:tc>
      </w:tr>
      <w:tr w14:paraId="1CC52C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57DEF9E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10</w:t>
            </w:r>
          </w:p>
        </w:tc>
        <w:tc>
          <w:tcPr>
            <w:tcW w:w="636" w:type="pct"/>
            <w:shd w:val="clear" w:color="auto" w:fill="auto"/>
            <w:noWrap w:val="0"/>
            <w:vAlign w:val="top"/>
          </w:tcPr>
          <w:p w14:paraId="0A0B046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4.426</w:t>
            </w:r>
          </w:p>
        </w:tc>
        <w:tc>
          <w:tcPr>
            <w:tcW w:w="659" w:type="pct"/>
            <w:shd w:val="clear" w:color="auto" w:fill="auto"/>
            <w:noWrap w:val="0"/>
            <w:vAlign w:val="top"/>
          </w:tcPr>
          <w:p w14:paraId="4B30794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34.66</w:t>
            </w:r>
          </w:p>
        </w:tc>
        <w:tc>
          <w:tcPr>
            <w:tcW w:w="686" w:type="pct"/>
            <w:shd w:val="clear" w:color="auto" w:fill="auto"/>
            <w:noWrap w:val="0"/>
            <w:vAlign w:val="top"/>
          </w:tcPr>
          <w:p w14:paraId="6690A9E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5.036</w:t>
            </w:r>
          </w:p>
        </w:tc>
        <w:tc>
          <w:tcPr>
            <w:tcW w:w="659" w:type="pct"/>
            <w:shd w:val="clear" w:color="auto" w:fill="auto"/>
            <w:noWrap w:val="0"/>
            <w:vAlign w:val="top"/>
          </w:tcPr>
          <w:p w14:paraId="455F246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40.04</w:t>
            </w:r>
          </w:p>
        </w:tc>
        <w:tc>
          <w:tcPr>
            <w:tcW w:w="627" w:type="pct"/>
            <w:shd w:val="clear" w:color="auto" w:fill="auto"/>
            <w:noWrap w:val="0"/>
            <w:vAlign w:val="top"/>
          </w:tcPr>
          <w:p w14:paraId="25E3CC7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3.441</w:t>
            </w:r>
          </w:p>
        </w:tc>
        <w:tc>
          <w:tcPr>
            <w:tcW w:w="701" w:type="pct"/>
            <w:shd w:val="clear" w:color="auto" w:fill="auto"/>
            <w:noWrap w:val="0"/>
            <w:vAlign w:val="top"/>
          </w:tcPr>
          <w:p w14:paraId="46A6116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26.85</w:t>
            </w:r>
          </w:p>
        </w:tc>
      </w:tr>
      <w:tr w14:paraId="6EDAEB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3350A86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11</w:t>
            </w:r>
          </w:p>
        </w:tc>
        <w:tc>
          <w:tcPr>
            <w:tcW w:w="636" w:type="pct"/>
            <w:shd w:val="clear" w:color="auto" w:fill="auto"/>
            <w:noWrap w:val="0"/>
            <w:vAlign w:val="top"/>
          </w:tcPr>
          <w:p w14:paraId="3194EA1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3.852</w:t>
            </w:r>
          </w:p>
        </w:tc>
        <w:tc>
          <w:tcPr>
            <w:tcW w:w="659" w:type="pct"/>
            <w:shd w:val="clear" w:color="auto" w:fill="auto"/>
            <w:noWrap w:val="0"/>
            <w:vAlign w:val="top"/>
          </w:tcPr>
          <w:p w14:paraId="703E06D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30.55</w:t>
            </w:r>
          </w:p>
        </w:tc>
        <w:tc>
          <w:tcPr>
            <w:tcW w:w="686" w:type="pct"/>
            <w:shd w:val="clear" w:color="auto" w:fill="auto"/>
            <w:noWrap w:val="0"/>
            <w:vAlign w:val="top"/>
          </w:tcPr>
          <w:p w14:paraId="5313913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4.236</w:t>
            </w:r>
          </w:p>
        </w:tc>
        <w:tc>
          <w:tcPr>
            <w:tcW w:w="659" w:type="pct"/>
            <w:shd w:val="clear" w:color="auto" w:fill="auto"/>
            <w:noWrap w:val="0"/>
            <w:vAlign w:val="top"/>
          </w:tcPr>
          <w:p w14:paraId="092F606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34.54</w:t>
            </w:r>
          </w:p>
        </w:tc>
        <w:tc>
          <w:tcPr>
            <w:tcW w:w="627" w:type="pct"/>
            <w:shd w:val="clear" w:color="auto" w:fill="auto"/>
            <w:noWrap w:val="0"/>
            <w:vAlign w:val="top"/>
          </w:tcPr>
          <w:p w14:paraId="1FB8B83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3.139</w:t>
            </w:r>
          </w:p>
        </w:tc>
        <w:tc>
          <w:tcPr>
            <w:tcW w:w="701" w:type="pct"/>
            <w:shd w:val="clear" w:color="auto" w:fill="auto"/>
            <w:noWrap w:val="0"/>
            <w:vAlign w:val="top"/>
          </w:tcPr>
          <w:p w14:paraId="644232F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24.36</w:t>
            </w:r>
          </w:p>
        </w:tc>
      </w:tr>
      <w:tr w14:paraId="484B3F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3F7A3E4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12</w:t>
            </w:r>
          </w:p>
        </w:tc>
        <w:tc>
          <w:tcPr>
            <w:tcW w:w="636" w:type="pct"/>
            <w:shd w:val="clear" w:color="auto" w:fill="auto"/>
            <w:noWrap w:val="0"/>
            <w:vAlign w:val="top"/>
          </w:tcPr>
          <w:p w14:paraId="3ADB3A2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3.309</w:t>
            </w:r>
          </w:p>
        </w:tc>
        <w:tc>
          <w:tcPr>
            <w:tcW w:w="659" w:type="pct"/>
            <w:shd w:val="clear" w:color="auto" w:fill="auto"/>
            <w:noWrap w:val="0"/>
            <w:vAlign w:val="top"/>
          </w:tcPr>
          <w:p w14:paraId="6032395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26.88</w:t>
            </w:r>
          </w:p>
        </w:tc>
        <w:tc>
          <w:tcPr>
            <w:tcW w:w="686" w:type="pct"/>
            <w:shd w:val="clear" w:color="auto" w:fill="auto"/>
            <w:noWrap w:val="0"/>
            <w:vAlign w:val="top"/>
          </w:tcPr>
          <w:p w14:paraId="3AD271B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3.530</w:t>
            </w:r>
          </w:p>
        </w:tc>
        <w:tc>
          <w:tcPr>
            <w:tcW w:w="659" w:type="pct"/>
            <w:shd w:val="clear" w:color="auto" w:fill="auto"/>
            <w:noWrap w:val="0"/>
            <w:vAlign w:val="top"/>
          </w:tcPr>
          <w:p w14:paraId="799F6ED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29.84</w:t>
            </w:r>
          </w:p>
        </w:tc>
        <w:tc>
          <w:tcPr>
            <w:tcW w:w="627" w:type="pct"/>
            <w:shd w:val="clear" w:color="auto" w:fill="auto"/>
            <w:noWrap w:val="0"/>
            <w:vAlign w:val="top"/>
          </w:tcPr>
          <w:p w14:paraId="47C969B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2.821</w:t>
            </w:r>
          </w:p>
        </w:tc>
        <w:tc>
          <w:tcPr>
            <w:tcW w:w="701" w:type="pct"/>
            <w:shd w:val="clear" w:color="auto" w:fill="auto"/>
            <w:noWrap w:val="0"/>
            <w:vAlign w:val="top"/>
          </w:tcPr>
          <w:p w14:paraId="2F92271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22.03</w:t>
            </w:r>
          </w:p>
        </w:tc>
      </w:tr>
      <w:tr w14:paraId="7FB904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030" w:type="pct"/>
            <w:noWrap w:val="0"/>
            <w:vAlign w:val="center"/>
          </w:tcPr>
          <w:p w14:paraId="5EED72B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13</w:t>
            </w:r>
          </w:p>
        </w:tc>
        <w:tc>
          <w:tcPr>
            <w:tcW w:w="636" w:type="pct"/>
            <w:shd w:val="clear" w:color="auto" w:fill="auto"/>
            <w:noWrap w:val="0"/>
            <w:vAlign w:val="top"/>
          </w:tcPr>
          <w:p w14:paraId="38CAE03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2.823</w:t>
            </w:r>
          </w:p>
        </w:tc>
        <w:tc>
          <w:tcPr>
            <w:tcW w:w="659" w:type="pct"/>
            <w:shd w:val="clear" w:color="auto" w:fill="auto"/>
            <w:noWrap w:val="0"/>
            <w:vAlign w:val="top"/>
          </w:tcPr>
          <w:p w14:paraId="1C086F3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23.70</w:t>
            </w:r>
          </w:p>
        </w:tc>
        <w:tc>
          <w:tcPr>
            <w:tcW w:w="686" w:type="pct"/>
            <w:shd w:val="clear" w:color="auto" w:fill="auto"/>
            <w:noWrap w:val="0"/>
            <w:vAlign w:val="top"/>
          </w:tcPr>
          <w:p w14:paraId="4AC3792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2.932</w:t>
            </w:r>
          </w:p>
        </w:tc>
        <w:tc>
          <w:tcPr>
            <w:tcW w:w="659" w:type="pct"/>
            <w:shd w:val="clear" w:color="auto" w:fill="auto"/>
            <w:noWrap w:val="0"/>
            <w:vAlign w:val="top"/>
          </w:tcPr>
          <w:p w14:paraId="5E7CF4A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25.90</w:t>
            </w:r>
          </w:p>
        </w:tc>
        <w:tc>
          <w:tcPr>
            <w:tcW w:w="627" w:type="pct"/>
            <w:shd w:val="clear" w:color="auto" w:fill="auto"/>
            <w:noWrap w:val="0"/>
            <w:vAlign w:val="top"/>
          </w:tcPr>
          <w:p w14:paraId="38E0BFE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2.509</w:t>
            </w:r>
          </w:p>
        </w:tc>
        <w:tc>
          <w:tcPr>
            <w:tcW w:w="701" w:type="pct"/>
            <w:shd w:val="clear" w:color="auto" w:fill="auto"/>
            <w:noWrap w:val="0"/>
            <w:vAlign w:val="top"/>
          </w:tcPr>
          <w:p w14:paraId="592B64F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19.89</w:t>
            </w:r>
          </w:p>
        </w:tc>
      </w:tr>
      <w:tr w14:paraId="0756A7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0B0A983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14</w:t>
            </w:r>
          </w:p>
        </w:tc>
        <w:tc>
          <w:tcPr>
            <w:tcW w:w="636" w:type="pct"/>
            <w:shd w:val="clear" w:color="auto" w:fill="auto"/>
            <w:noWrap w:val="0"/>
            <w:vAlign w:val="top"/>
          </w:tcPr>
          <w:p w14:paraId="3BFEFA7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2.402</w:t>
            </w:r>
          </w:p>
        </w:tc>
        <w:tc>
          <w:tcPr>
            <w:tcW w:w="659" w:type="pct"/>
            <w:shd w:val="clear" w:color="auto" w:fill="auto"/>
            <w:noWrap w:val="0"/>
            <w:vAlign w:val="top"/>
          </w:tcPr>
          <w:p w14:paraId="162498F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20.95</w:t>
            </w:r>
          </w:p>
        </w:tc>
        <w:tc>
          <w:tcPr>
            <w:tcW w:w="686" w:type="pct"/>
            <w:shd w:val="clear" w:color="auto" w:fill="auto"/>
            <w:noWrap w:val="0"/>
            <w:vAlign w:val="top"/>
          </w:tcPr>
          <w:p w14:paraId="010D08A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2.438</w:t>
            </w:r>
          </w:p>
        </w:tc>
        <w:tc>
          <w:tcPr>
            <w:tcW w:w="659" w:type="pct"/>
            <w:shd w:val="clear" w:color="auto" w:fill="auto"/>
            <w:noWrap w:val="0"/>
            <w:vAlign w:val="top"/>
          </w:tcPr>
          <w:p w14:paraId="1D285DF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22.62</w:t>
            </w:r>
          </w:p>
        </w:tc>
        <w:tc>
          <w:tcPr>
            <w:tcW w:w="627" w:type="pct"/>
            <w:shd w:val="clear" w:color="auto" w:fill="auto"/>
            <w:noWrap w:val="0"/>
            <w:vAlign w:val="top"/>
          </w:tcPr>
          <w:p w14:paraId="7B886A9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2.216</w:t>
            </w:r>
          </w:p>
        </w:tc>
        <w:tc>
          <w:tcPr>
            <w:tcW w:w="701" w:type="pct"/>
            <w:shd w:val="clear" w:color="auto" w:fill="auto"/>
            <w:noWrap w:val="0"/>
            <w:vAlign w:val="top"/>
          </w:tcPr>
          <w:p w14:paraId="38B8222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17.96</w:t>
            </w:r>
          </w:p>
        </w:tc>
      </w:tr>
      <w:tr w14:paraId="34C6B4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355DADF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15</w:t>
            </w:r>
          </w:p>
        </w:tc>
        <w:tc>
          <w:tcPr>
            <w:tcW w:w="636" w:type="pct"/>
            <w:shd w:val="clear" w:color="auto" w:fill="auto"/>
            <w:noWrap w:val="0"/>
            <w:vAlign w:val="top"/>
          </w:tcPr>
          <w:p w14:paraId="1F3E00F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2.044</w:t>
            </w:r>
          </w:p>
        </w:tc>
        <w:tc>
          <w:tcPr>
            <w:tcW w:w="659" w:type="pct"/>
            <w:shd w:val="clear" w:color="auto" w:fill="auto"/>
            <w:noWrap w:val="0"/>
            <w:vAlign w:val="top"/>
          </w:tcPr>
          <w:p w14:paraId="22D422F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18.60</w:t>
            </w:r>
          </w:p>
        </w:tc>
        <w:tc>
          <w:tcPr>
            <w:tcW w:w="686" w:type="pct"/>
            <w:shd w:val="clear" w:color="auto" w:fill="auto"/>
            <w:noWrap w:val="0"/>
            <w:vAlign w:val="top"/>
          </w:tcPr>
          <w:p w14:paraId="1F7BEF7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2.035</w:t>
            </w:r>
          </w:p>
        </w:tc>
        <w:tc>
          <w:tcPr>
            <w:tcW w:w="659" w:type="pct"/>
            <w:shd w:val="clear" w:color="auto" w:fill="auto"/>
            <w:noWrap w:val="0"/>
            <w:vAlign w:val="top"/>
          </w:tcPr>
          <w:p w14:paraId="78AE672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19.88</w:t>
            </w:r>
          </w:p>
        </w:tc>
        <w:tc>
          <w:tcPr>
            <w:tcW w:w="627" w:type="pct"/>
            <w:shd w:val="clear" w:color="auto" w:fill="auto"/>
            <w:noWrap w:val="0"/>
            <w:vAlign w:val="top"/>
          </w:tcPr>
          <w:p w14:paraId="4A2DFAF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1.950</w:t>
            </w:r>
          </w:p>
        </w:tc>
        <w:tc>
          <w:tcPr>
            <w:tcW w:w="701" w:type="pct"/>
            <w:shd w:val="clear" w:color="auto" w:fill="auto"/>
            <w:noWrap w:val="0"/>
            <w:vAlign w:val="top"/>
          </w:tcPr>
          <w:p w14:paraId="56BCC5A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16.24</w:t>
            </w:r>
          </w:p>
        </w:tc>
      </w:tr>
      <w:tr w14:paraId="219074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030" w:type="pct"/>
            <w:noWrap w:val="0"/>
            <w:vAlign w:val="center"/>
          </w:tcPr>
          <w:p w14:paraId="4BA09B3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16</w:t>
            </w:r>
          </w:p>
        </w:tc>
        <w:tc>
          <w:tcPr>
            <w:tcW w:w="636" w:type="pct"/>
            <w:shd w:val="clear" w:color="auto" w:fill="auto"/>
            <w:noWrap w:val="0"/>
            <w:vAlign w:val="top"/>
          </w:tcPr>
          <w:p w14:paraId="3D723F4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1.744</w:t>
            </w:r>
          </w:p>
        </w:tc>
        <w:tc>
          <w:tcPr>
            <w:tcW w:w="659" w:type="pct"/>
            <w:shd w:val="clear" w:color="auto" w:fill="auto"/>
            <w:noWrap w:val="0"/>
            <w:vAlign w:val="top"/>
          </w:tcPr>
          <w:p w14:paraId="69CB103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16.59</w:t>
            </w:r>
          </w:p>
        </w:tc>
        <w:tc>
          <w:tcPr>
            <w:tcW w:w="686" w:type="pct"/>
            <w:shd w:val="clear" w:color="auto" w:fill="auto"/>
            <w:noWrap w:val="0"/>
            <w:vAlign w:val="top"/>
          </w:tcPr>
          <w:p w14:paraId="1351A39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1.707</w:t>
            </w:r>
          </w:p>
        </w:tc>
        <w:tc>
          <w:tcPr>
            <w:tcW w:w="659" w:type="pct"/>
            <w:shd w:val="clear" w:color="auto" w:fill="auto"/>
            <w:noWrap w:val="0"/>
            <w:vAlign w:val="top"/>
          </w:tcPr>
          <w:p w14:paraId="493E42F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17.58</w:t>
            </w:r>
          </w:p>
        </w:tc>
        <w:tc>
          <w:tcPr>
            <w:tcW w:w="627" w:type="pct"/>
            <w:shd w:val="clear" w:color="auto" w:fill="auto"/>
            <w:noWrap w:val="0"/>
            <w:vAlign w:val="top"/>
          </w:tcPr>
          <w:p w14:paraId="534D44B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1.713</w:t>
            </w:r>
          </w:p>
        </w:tc>
        <w:tc>
          <w:tcPr>
            <w:tcW w:w="701" w:type="pct"/>
            <w:shd w:val="clear" w:color="auto" w:fill="auto"/>
            <w:noWrap w:val="0"/>
            <w:vAlign w:val="top"/>
          </w:tcPr>
          <w:p w14:paraId="614D822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14.71</w:t>
            </w:r>
          </w:p>
        </w:tc>
      </w:tr>
      <w:tr w14:paraId="616DAE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3A01FE9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17</w:t>
            </w:r>
          </w:p>
        </w:tc>
        <w:tc>
          <w:tcPr>
            <w:tcW w:w="636" w:type="pct"/>
            <w:shd w:val="clear" w:color="auto" w:fill="auto"/>
            <w:noWrap w:val="0"/>
            <w:vAlign w:val="top"/>
          </w:tcPr>
          <w:p w14:paraId="4897AE7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1.492</w:t>
            </w:r>
          </w:p>
        </w:tc>
        <w:tc>
          <w:tcPr>
            <w:tcW w:w="659" w:type="pct"/>
            <w:shd w:val="clear" w:color="auto" w:fill="auto"/>
            <w:noWrap w:val="0"/>
            <w:vAlign w:val="top"/>
          </w:tcPr>
          <w:p w14:paraId="5DB8F4B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14.87</w:t>
            </w:r>
          </w:p>
        </w:tc>
        <w:tc>
          <w:tcPr>
            <w:tcW w:w="686" w:type="pct"/>
            <w:shd w:val="clear" w:color="auto" w:fill="auto"/>
            <w:noWrap w:val="0"/>
            <w:vAlign w:val="top"/>
          </w:tcPr>
          <w:p w14:paraId="3DBB459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1.441</w:t>
            </w:r>
          </w:p>
        </w:tc>
        <w:tc>
          <w:tcPr>
            <w:tcW w:w="659" w:type="pct"/>
            <w:shd w:val="clear" w:color="auto" w:fill="auto"/>
            <w:noWrap w:val="0"/>
            <w:vAlign w:val="top"/>
          </w:tcPr>
          <w:p w14:paraId="2C2AE35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15.65</w:t>
            </w:r>
          </w:p>
        </w:tc>
        <w:tc>
          <w:tcPr>
            <w:tcW w:w="627" w:type="pct"/>
            <w:shd w:val="clear" w:color="auto" w:fill="auto"/>
            <w:noWrap w:val="0"/>
            <w:vAlign w:val="top"/>
          </w:tcPr>
          <w:p w14:paraId="6A9F9BD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1.504</w:t>
            </w:r>
          </w:p>
        </w:tc>
        <w:tc>
          <w:tcPr>
            <w:tcW w:w="701" w:type="pct"/>
            <w:shd w:val="clear" w:color="auto" w:fill="auto"/>
            <w:noWrap w:val="0"/>
            <w:vAlign w:val="top"/>
          </w:tcPr>
          <w:p w14:paraId="291D06C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13.35</w:t>
            </w:r>
          </w:p>
        </w:tc>
      </w:tr>
      <w:tr w14:paraId="4D886E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5C81E55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18</w:t>
            </w:r>
          </w:p>
        </w:tc>
        <w:tc>
          <w:tcPr>
            <w:tcW w:w="636" w:type="pct"/>
            <w:shd w:val="clear" w:color="auto" w:fill="auto"/>
            <w:noWrap w:val="0"/>
            <w:vAlign w:val="top"/>
          </w:tcPr>
          <w:p w14:paraId="7C44D67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1.283</w:t>
            </w:r>
          </w:p>
        </w:tc>
        <w:tc>
          <w:tcPr>
            <w:tcW w:w="659" w:type="pct"/>
            <w:shd w:val="clear" w:color="auto" w:fill="auto"/>
            <w:noWrap w:val="0"/>
            <w:vAlign w:val="top"/>
          </w:tcPr>
          <w:p w14:paraId="43BF9EA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13.39</w:t>
            </w:r>
          </w:p>
        </w:tc>
        <w:tc>
          <w:tcPr>
            <w:tcW w:w="686" w:type="pct"/>
            <w:shd w:val="clear" w:color="auto" w:fill="auto"/>
            <w:noWrap w:val="0"/>
            <w:vAlign w:val="top"/>
          </w:tcPr>
          <w:p w14:paraId="1B5A6A5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1.225</w:t>
            </w:r>
          </w:p>
        </w:tc>
        <w:tc>
          <w:tcPr>
            <w:tcW w:w="659" w:type="pct"/>
            <w:shd w:val="clear" w:color="auto" w:fill="auto"/>
            <w:noWrap w:val="0"/>
            <w:vAlign w:val="top"/>
          </w:tcPr>
          <w:p w14:paraId="37F89D0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14.01</w:t>
            </w:r>
          </w:p>
        </w:tc>
        <w:tc>
          <w:tcPr>
            <w:tcW w:w="627" w:type="pct"/>
            <w:shd w:val="clear" w:color="auto" w:fill="auto"/>
            <w:noWrap w:val="0"/>
            <w:vAlign w:val="top"/>
          </w:tcPr>
          <w:p w14:paraId="4375005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1.321</w:t>
            </w:r>
          </w:p>
        </w:tc>
        <w:tc>
          <w:tcPr>
            <w:tcW w:w="701" w:type="pct"/>
            <w:shd w:val="clear" w:color="auto" w:fill="auto"/>
            <w:noWrap w:val="0"/>
            <w:vAlign w:val="top"/>
          </w:tcPr>
          <w:p w14:paraId="2F30690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12.16</w:t>
            </w:r>
          </w:p>
        </w:tc>
      </w:tr>
      <w:tr w14:paraId="65759B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274B47B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19</w:t>
            </w:r>
          </w:p>
        </w:tc>
        <w:tc>
          <w:tcPr>
            <w:tcW w:w="636" w:type="pct"/>
            <w:shd w:val="clear" w:color="auto" w:fill="auto"/>
            <w:noWrap w:val="0"/>
            <w:vAlign w:val="top"/>
          </w:tcPr>
          <w:p w14:paraId="6E48D84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1.108</w:t>
            </w:r>
          </w:p>
        </w:tc>
        <w:tc>
          <w:tcPr>
            <w:tcW w:w="659" w:type="pct"/>
            <w:shd w:val="clear" w:color="auto" w:fill="auto"/>
            <w:noWrap w:val="0"/>
            <w:vAlign w:val="top"/>
          </w:tcPr>
          <w:p w14:paraId="7402F5B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12.11</w:t>
            </w:r>
          </w:p>
        </w:tc>
        <w:tc>
          <w:tcPr>
            <w:tcW w:w="686" w:type="pct"/>
            <w:shd w:val="clear" w:color="auto" w:fill="auto"/>
            <w:noWrap w:val="0"/>
            <w:vAlign w:val="top"/>
          </w:tcPr>
          <w:p w14:paraId="748FCEA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1.048</w:t>
            </w:r>
          </w:p>
        </w:tc>
        <w:tc>
          <w:tcPr>
            <w:tcW w:w="659" w:type="pct"/>
            <w:shd w:val="clear" w:color="auto" w:fill="auto"/>
            <w:noWrap w:val="0"/>
            <w:vAlign w:val="top"/>
          </w:tcPr>
          <w:p w14:paraId="3A7B80B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12.61</w:t>
            </w:r>
          </w:p>
        </w:tc>
        <w:tc>
          <w:tcPr>
            <w:tcW w:w="627" w:type="pct"/>
            <w:shd w:val="clear" w:color="auto" w:fill="auto"/>
            <w:noWrap w:val="0"/>
            <w:vAlign w:val="top"/>
          </w:tcPr>
          <w:p w14:paraId="3E8777C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1.163</w:t>
            </w:r>
          </w:p>
        </w:tc>
        <w:tc>
          <w:tcPr>
            <w:tcW w:w="701" w:type="pct"/>
            <w:shd w:val="clear" w:color="auto" w:fill="auto"/>
            <w:noWrap w:val="0"/>
            <w:vAlign w:val="top"/>
          </w:tcPr>
          <w:p w14:paraId="2848F18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11.10</w:t>
            </w:r>
          </w:p>
        </w:tc>
      </w:tr>
      <w:tr w14:paraId="1EF2E5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030" w:type="pct"/>
            <w:noWrap w:val="0"/>
            <w:vAlign w:val="center"/>
          </w:tcPr>
          <w:p w14:paraId="39190DD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20</w:t>
            </w:r>
          </w:p>
        </w:tc>
        <w:tc>
          <w:tcPr>
            <w:tcW w:w="636" w:type="pct"/>
            <w:shd w:val="clear" w:color="auto" w:fill="auto"/>
            <w:noWrap w:val="0"/>
            <w:vAlign w:val="top"/>
          </w:tcPr>
          <w:p w14:paraId="3DC008A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0.962</w:t>
            </w:r>
          </w:p>
        </w:tc>
        <w:tc>
          <w:tcPr>
            <w:tcW w:w="659" w:type="pct"/>
            <w:shd w:val="clear" w:color="auto" w:fill="auto"/>
            <w:noWrap w:val="0"/>
            <w:vAlign w:val="top"/>
          </w:tcPr>
          <w:p w14:paraId="4AFF321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11.00</w:t>
            </w:r>
          </w:p>
        </w:tc>
        <w:tc>
          <w:tcPr>
            <w:tcW w:w="686" w:type="pct"/>
            <w:shd w:val="clear" w:color="auto" w:fill="auto"/>
            <w:noWrap w:val="0"/>
            <w:vAlign w:val="top"/>
          </w:tcPr>
          <w:p w14:paraId="4AD3514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0.902</w:t>
            </w:r>
          </w:p>
        </w:tc>
        <w:tc>
          <w:tcPr>
            <w:tcW w:w="659" w:type="pct"/>
            <w:shd w:val="clear" w:color="auto" w:fill="auto"/>
            <w:noWrap w:val="0"/>
            <w:vAlign w:val="top"/>
          </w:tcPr>
          <w:p w14:paraId="32F17C7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11.40</w:t>
            </w:r>
          </w:p>
        </w:tc>
        <w:tc>
          <w:tcPr>
            <w:tcW w:w="627" w:type="pct"/>
            <w:shd w:val="clear" w:color="auto" w:fill="auto"/>
            <w:noWrap w:val="0"/>
            <w:vAlign w:val="top"/>
          </w:tcPr>
          <w:p w14:paraId="4161F18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1.026</w:t>
            </w:r>
          </w:p>
        </w:tc>
        <w:tc>
          <w:tcPr>
            <w:tcW w:w="701" w:type="pct"/>
            <w:shd w:val="clear" w:color="auto" w:fill="auto"/>
            <w:noWrap w:val="0"/>
            <w:vAlign w:val="top"/>
          </w:tcPr>
          <w:p w14:paraId="5B48C21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10.17</w:t>
            </w:r>
          </w:p>
        </w:tc>
      </w:tr>
      <w:tr w14:paraId="3459C3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3B72712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21</w:t>
            </w:r>
          </w:p>
        </w:tc>
        <w:tc>
          <w:tcPr>
            <w:tcW w:w="636" w:type="pct"/>
            <w:shd w:val="clear" w:color="auto" w:fill="auto"/>
            <w:noWrap w:val="0"/>
            <w:vAlign w:val="top"/>
          </w:tcPr>
          <w:p w14:paraId="510BB60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0.839</w:t>
            </w:r>
          </w:p>
        </w:tc>
        <w:tc>
          <w:tcPr>
            <w:tcW w:w="659" w:type="pct"/>
            <w:shd w:val="clear" w:color="auto" w:fill="auto"/>
            <w:noWrap w:val="0"/>
            <w:vAlign w:val="top"/>
          </w:tcPr>
          <w:p w14:paraId="2205FE8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10.03</w:t>
            </w:r>
          </w:p>
        </w:tc>
        <w:tc>
          <w:tcPr>
            <w:tcW w:w="686" w:type="pct"/>
            <w:shd w:val="clear" w:color="auto" w:fill="auto"/>
            <w:noWrap w:val="0"/>
            <w:vAlign w:val="top"/>
          </w:tcPr>
          <w:p w14:paraId="54C6271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0.782</w:t>
            </w:r>
          </w:p>
        </w:tc>
        <w:tc>
          <w:tcPr>
            <w:tcW w:w="659" w:type="pct"/>
            <w:shd w:val="clear" w:color="auto" w:fill="auto"/>
            <w:noWrap w:val="0"/>
            <w:vAlign w:val="top"/>
          </w:tcPr>
          <w:p w14:paraId="6F7CB5E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10.36</w:t>
            </w:r>
          </w:p>
        </w:tc>
        <w:tc>
          <w:tcPr>
            <w:tcW w:w="627" w:type="pct"/>
            <w:shd w:val="clear" w:color="auto" w:fill="auto"/>
            <w:noWrap w:val="0"/>
            <w:vAlign w:val="top"/>
          </w:tcPr>
          <w:p w14:paraId="5F8EE44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0.908</w:t>
            </w:r>
          </w:p>
        </w:tc>
        <w:tc>
          <w:tcPr>
            <w:tcW w:w="701" w:type="pct"/>
            <w:shd w:val="clear" w:color="auto" w:fill="auto"/>
            <w:noWrap w:val="0"/>
            <w:vAlign w:val="top"/>
          </w:tcPr>
          <w:p w14:paraId="41B6FE1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9.34</w:t>
            </w:r>
          </w:p>
        </w:tc>
      </w:tr>
      <w:tr w14:paraId="3B8406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6FA21F6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22</w:t>
            </w:r>
          </w:p>
        </w:tc>
        <w:tc>
          <w:tcPr>
            <w:tcW w:w="636" w:type="pct"/>
            <w:shd w:val="clear" w:color="auto" w:fill="auto"/>
            <w:noWrap w:val="0"/>
            <w:vAlign w:val="top"/>
          </w:tcPr>
          <w:p w14:paraId="68F6BCD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0.736</w:t>
            </w:r>
          </w:p>
        </w:tc>
        <w:tc>
          <w:tcPr>
            <w:tcW w:w="659" w:type="pct"/>
            <w:shd w:val="clear" w:color="auto" w:fill="auto"/>
            <w:noWrap w:val="0"/>
            <w:vAlign w:val="top"/>
          </w:tcPr>
          <w:p w14:paraId="38CE77C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9.18</w:t>
            </w:r>
          </w:p>
        </w:tc>
        <w:tc>
          <w:tcPr>
            <w:tcW w:w="686" w:type="pct"/>
            <w:shd w:val="clear" w:color="auto" w:fill="auto"/>
            <w:noWrap w:val="0"/>
            <w:vAlign w:val="top"/>
          </w:tcPr>
          <w:p w14:paraId="4618B40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0.682</w:t>
            </w:r>
          </w:p>
        </w:tc>
        <w:tc>
          <w:tcPr>
            <w:tcW w:w="659" w:type="pct"/>
            <w:shd w:val="clear" w:color="auto" w:fill="auto"/>
            <w:noWrap w:val="0"/>
            <w:vAlign w:val="top"/>
          </w:tcPr>
          <w:p w14:paraId="1C1791C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9.45</w:t>
            </w:r>
          </w:p>
        </w:tc>
        <w:tc>
          <w:tcPr>
            <w:tcW w:w="627" w:type="pct"/>
            <w:shd w:val="clear" w:color="auto" w:fill="auto"/>
            <w:noWrap w:val="0"/>
            <w:vAlign w:val="top"/>
          </w:tcPr>
          <w:p w14:paraId="1FB0133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0.806</w:t>
            </w:r>
          </w:p>
        </w:tc>
        <w:tc>
          <w:tcPr>
            <w:tcW w:w="701" w:type="pct"/>
            <w:shd w:val="clear" w:color="auto" w:fill="auto"/>
            <w:noWrap w:val="0"/>
            <w:vAlign w:val="top"/>
          </w:tcPr>
          <w:p w14:paraId="27E0490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8.60</w:t>
            </w:r>
          </w:p>
        </w:tc>
      </w:tr>
      <w:tr w14:paraId="4A550F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72D0981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23</w:t>
            </w:r>
          </w:p>
        </w:tc>
        <w:tc>
          <w:tcPr>
            <w:tcW w:w="636" w:type="pct"/>
            <w:shd w:val="clear" w:color="auto" w:fill="auto"/>
            <w:noWrap w:val="0"/>
            <w:vAlign w:val="top"/>
          </w:tcPr>
          <w:p w14:paraId="51663D3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0.648</w:t>
            </w:r>
          </w:p>
        </w:tc>
        <w:tc>
          <w:tcPr>
            <w:tcW w:w="659" w:type="pct"/>
            <w:shd w:val="clear" w:color="auto" w:fill="auto"/>
            <w:noWrap w:val="0"/>
            <w:vAlign w:val="top"/>
          </w:tcPr>
          <w:p w14:paraId="541587A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8.43</w:t>
            </w:r>
          </w:p>
        </w:tc>
        <w:tc>
          <w:tcPr>
            <w:tcW w:w="686" w:type="pct"/>
            <w:shd w:val="clear" w:color="auto" w:fill="auto"/>
            <w:noWrap w:val="0"/>
            <w:vAlign w:val="top"/>
          </w:tcPr>
          <w:p w14:paraId="6D724B0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0.598</w:t>
            </w:r>
          </w:p>
        </w:tc>
        <w:tc>
          <w:tcPr>
            <w:tcW w:w="659" w:type="pct"/>
            <w:shd w:val="clear" w:color="auto" w:fill="auto"/>
            <w:noWrap w:val="0"/>
            <w:vAlign w:val="top"/>
          </w:tcPr>
          <w:p w14:paraId="60229ED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8.66</w:t>
            </w:r>
          </w:p>
        </w:tc>
        <w:tc>
          <w:tcPr>
            <w:tcW w:w="627" w:type="pct"/>
            <w:shd w:val="clear" w:color="auto" w:fill="auto"/>
            <w:noWrap w:val="0"/>
            <w:vAlign w:val="top"/>
          </w:tcPr>
          <w:p w14:paraId="62C4117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0.717</w:t>
            </w:r>
          </w:p>
        </w:tc>
        <w:tc>
          <w:tcPr>
            <w:tcW w:w="701" w:type="pct"/>
            <w:shd w:val="clear" w:color="auto" w:fill="auto"/>
            <w:noWrap w:val="0"/>
            <w:vAlign w:val="top"/>
          </w:tcPr>
          <w:p w14:paraId="7C1237D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7.94</w:t>
            </w:r>
          </w:p>
        </w:tc>
      </w:tr>
      <w:tr w14:paraId="09D380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030" w:type="pct"/>
            <w:noWrap w:val="0"/>
            <w:vAlign w:val="center"/>
          </w:tcPr>
          <w:p w14:paraId="2ED0143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24</w:t>
            </w:r>
          </w:p>
        </w:tc>
        <w:tc>
          <w:tcPr>
            <w:tcW w:w="636" w:type="pct"/>
            <w:shd w:val="clear" w:color="auto" w:fill="auto"/>
            <w:noWrap w:val="0"/>
            <w:vAlign w:val="top"/>
          </w:tcPr>
          <w:p w14:paraId="07E7DE3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0.574</w:t>
            </w:r>
          </w:p>
        </w:tc>
        <w:tc>
          <w:tcPr>
            <w:tcW w:w="659" w:type="pct"/>
            <w:shd w:val="clear" w:color="auto" w:fill="auto"/>
            <w:noWrap w:val="0"/>
            <w:vAlign w:val="top"/>
          </w:tcPr>
          <w:p w14:paraId="2AD5FC4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7.77</w:t>
            </w:r>
          </w:p>
        </w:tc>
        <w:tc>
          <w:tcPr>
            <w:tcW w:w="686" w:type="pct"/>
            <w:shd w:val="clear" w:color="auto" w:fill="auto"/>
            <w:noWrap w:val="0"/>
            <w:vAlign w:val="top"/>
          </w:tcPr>
          <w:p w14:paraId="46D3A99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0.528</w:t>
            </w:r>
          </w:p>
        </w:tc>
        <w:tc>
          <w:tcPr>
            <w:tcW w:w="659" w:type="pct"/>
            <w:shd w:val="clear" w:color="auto" w:fill="auto"/>
            <w:noWrap w:val="0"/>
            <w:vAlign w:val="top"/>
          </w:tcPr>
          <w:p w14:paraId="3F89F33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7.96</w:t>
            </w:r>
          </w:p>
        </w:tc>
        <w:tc>
          <w:tcPr>
            <w:tcW w:w="627" w:type="pct"/>
            <w:shd w:val="clear" w:color="auto" w:fill="auto"/>
            <w:noWrap w:val="0"/>
            <w:vAlign w:val="top"/>
          </w:tcPr>
          <w:p w14:paraId="79A6381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0.641</w:t>
            </w:r>
          </w:p>
        </w:tc>
        <w:tc>
          <w:tcPr>
            <w:tcW w:w="701" w:type="pct"/>
            <w:shd w:val="clear" w:color="auto" w:fill="auto"/>
            <w:noWrap w:val="0"/>
            <w:vAlign w:val="top"/>
          </w:tcPr>
          <w:p w14:paraId="78001F0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7.36</w:t>
            </w:r>
          </w:p>
        </w:tc>
      </w:tr>
      <w:tr w14:paraId="495B2D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3011296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25</w:t>
            </w:r>
          </w:p>
        </w:tc>
        <w:tc>
          <w:tcPr>
            <w:tcW w:w="636" w:type="pct"/>
            <w:shd w:val="clear" w:color="auto" w:fill="auto"/>
            <w:noWrap w:val="0"/>
            <w:vAlign w:val="top"/>
          </w:tcPr>
          <w:p w14:paraId="51FCA2D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0.510</w:t>
            </w:r>
          </w:p>
        </w:tc>
        <w:tc>
          <w:tcPr>
            <w:tcW w:w="659" w:type="pct"/>
            <w:shd w:val="clear" w:color="auto" w:fill="auto"/>
            <w:noWrap w:val="0"/>
            <w:vAlign w:val="top"/>
          </w:tcPr>
          <w:p w14:paraId="372C0A1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7.18</w:t>
            </w:r>
          </w:p>
        </w:tc>
        <w:tc>
          <w:tcPr>
            <w:tcW w:w="686" w:type="pct"/>
            <w:shd w:val="clear" w:color="auto" w:fill="auto"/>
            <w:noWrap w:val="0"/>
            <w:vAlign w:val="top"/>
          </w:tcPr>
          <w:p w14:paraId="7E537EC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0.468</w:t>
            </w:r>
          </w:p>
        </w:tc>
        <w:tc>
          <w:tcPr>
            <w:tcW w:w="659" w:type="pct"/>
            <w:shd w:val="clear" w:color="auto" w:fill="auto"/>
            <w:noWrap w:val="0"/>
            <w:vAlign w:val="top"/>
          </w:tcPr>
          <w:p w14:paraId="4BB2E5B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7.34</w:t>
            </w:r>
          </w:p>
        </w:tc>
        <w:tc>
          <w:tcPr>
            <w:tcW w:w="627" w:type="pct"/>
            <w:shd w:val="clear" w:color="auto" w:fill="auto"/>
            <w:noWrap w:val="0"/>
            <w:vAlign w:val="top"/>
          </w:tcPr>
          <w:p w14:paraId="64CDF1A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0.574</w:t>
            </w:r>
          </w:p>
        </w:tc>
        <w:tc>
          <w:tcPr>
            <w:tcW w:w="701" w:type="pct"/>
            <w:shd w:val="clear" w:color="auto" w:fill="auto"/>
            <w:noWrap w:val="0"/>
            <w:vAlign w:val="top"/>
          </w:tcPr>
          <w:p w14:paraId="24EC0BF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6.83</w:t>
            </w:r>
          </w:p>
        </w:tc>
      </w:tr>
      <w:tr w14:paraId="4320CF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7180CFA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26</w:t>
            </w:r>
          </w:p>
        </w:tc>
        <w:tc>
          <w:tcPr>
            <w:tcW w:w="636" w:type="pct"/>
            <w:shd w:val="clear" w:color="auto" w:fill="auto"/>
            <w:noWrap w:val="0"/>
            <w:vAlign w:val="top"/>
          </w:tcPr>
          <w:p w14:paraId="241B2E3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0.456</w:t>
            </w:r>
          </w:p>
        </w:tc>
        <w:tc>
          <w:tcPr>
            <w:tcW w:w="659" w:type="pct"/>
            <w:shd w:val="clear" w:color="auto" w:fill="auto"/>
            <w:noWrap w:val="0"/>
            <w:vAlign w:val="top"/>
          </w:tcPr>
          <w:p w14:paraId="3DA13CB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6.66</w:t>
            </w:r>
          </w:p>
        </w:tc>
        <w:tc>
          <w:tcPr>
            <w:tcW w:w="686" w:type="pct"/>
            <w:shd w:val="clear" w:color="auto" w:fill="auto"/>
            <w:noWrap w:val="0"/>
            <w:vAlign w:val="top"/>
          </w:tcPr>
          <w:p w14:paraId="2EE443F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0.418</w:t>
            </w:r>
          </w:p>
        </w:tc>
        <w:tc>
          <w:tcPr>
            <w:tcW w:w="659" w:type="pct"/>
            <w:shd w:val="clear" w:color="auto" w:fill="auto"/>
            <w:noWrap w:val="0"/>
            <w:vAlign w:val="top"/>
          </w:tcPr>
          <w:p w14:paraId="1306815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6.79</w:t>
            </w:r>
          </w:p>
        </w:tc>
        <w:tc>
          <w:tcPr>
            <w:tcW w:w="627" w:type="pct"/>
            <w:shd w:val="clear" w:color="auto" w:fill="auto"/>
            <w:noWrap w:val="0"/>
            <w:vAlign w:val="top"/>
          </w:tcPr>
          <w:p w14:paraId="7780080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0.516</w:t>
            </w:r>
          </w:p>
        </w:tc>
        <w:tc>
          <w:tcPr>
            <w:tcW w:w="701" w:type="pct"/>
            <w:shd w:val="clear" w:color="auto" w:fill="auto"/>
            <w:noWrap w:val="0"/>
            <w:vAlign w:val="top"/>
          </w:tcPr>
          <w:p w14:paraId="670BC45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6.35</w:t>
            </w:r>
          </w:p>
        </w:tc>
      </w:tr>
      <w:tr w14:paraId="400402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030" w:type="pct"/>
            <w:noWrap w:val="0"/>
            <w:vAlign w:val="center"/>
          </w:tcPr>
          <w:p w14:paraId="323B2AB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27</w:t>
            </w:r>
          </w:p>
        </w:tc>
        <w:tc>
          <w:tcPr>
            <w:tcW w:w="636" w:type="pct"/>
            <w:shd w:val="clear" w:color="auto" w:fill="auto"/>
            <w:noWrap w:val="0"/>
            <w:vAlign w:val="top"/>
          </w:tcPr>
          <w:p w14:paraId="1D9ADCC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0.409</w:t>
            </w:r>
          </w:p>
        </w:tc>
        <w:tc>
          <w:tcPr>
            <w:tcW w:w="659" w:type="pct"/>
            <w:shd w:val="clear" w:color="auto" w:fill="auto"/>
            <w:noWrap w:val="0"/>
            <w:vAlign w:val="top"/>
          </w:tcPr>
          <w:p w14:paraId="5557123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6.19</w:t>
            </w:r>
          </w:p>
        </w:tc>
        <w:tc>
          <w:tcPr>
            <w:tcW w:w="686" w:type="pct"/>
            <w:shd w:val="clear" w:color="auto" w:fill="auto"/>
            <w:noWrap w:val="0"/>
            <w:vAlign w:val="top"/>
          </w:tcPr>
          <w:p w14:paraId="246B0C0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0.374</w:t>
            </w:r>
          </w:p>
        </w:tc>
        <w:tc>
          <w:tcPr>
            <w:tcW w:w="659" w:type="pct"/>
            <w:shd w:val="clear" w:color="auto" w:fill="auto"/>
            <w:noWrap w:val="0"/>
            <w:vAlign w:val="top"/>
          </w:tcPr>
          <w:p w14:paraId="697745C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6.31</w:t>
            </w:r>
          </w:p>
        </w:tc>
        <w:tc>
          <w:tcPr>
            <w:tcW w:w="627" w:type="pct"/>
            <w:shd w:val="clear" w:color="auto" w:fill="auto"/>
            <w:noWrap w:val="0"/>
            <w:vAlign w:val="top"/>
          </w:tcPr>
          <w:p w14:paraId="24055C8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0.465</w:t>
            </w:r>
          </w:p>
        </w:tc>
        <w:tc>
          <w:tcPr>
            <w:tcW w:w="701" w:type="pct"/>
            <w:shd w:val="clear" w:color="auto" w:fill="auto"/>
            <w:noWrap w:val="0"/>
            <w:vAlign w:val="top"/>
          </w:tcPr>
          <w:p w14:paraId="17E2C39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5.93</w:t>
            </w:r>
          </w:p>
        </w:tc>
      </w:tr>
      <w:tr w14:paraId="286F1B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61735F9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28</w:t>
            </w:r>
          </w:p>
        </w:tc>
        <w:tc>
          <w:tcPr>
            <w:tcW w:w="636" w:type="pct"/>
            <w:shd w:val="clear" w:color="auto" w:fill="auto"/>
            <w:noWrap w:val="0"/>
            <w:vAlign w:val="top"/>
          </w:tcPr>
          <w:p w14:paraId="26DEEDE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0.369</w:t>
            </w:r>
          </w:p>
        </w:tc>
        <w:tc>
          <w:tcPr>
            <w:tcW w:w="659" w:type="pct"/>
            <w:shd w:val="clear" w:color="auto" w:fill="auto"/>
            <w:noWrap w:val="0"/>
            <w:vAlign w:val="top"/>
          </w:tcPr>
          <w:p w14:paraId="3238482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5.76</w:t>
            </w:r>
          </w:p>
        </w:tc>
        <w:tc>
          <w:tcPr>
            <w:tcW w:w="686" w:type="pct"/>
            <w:shd w:val="clear" w:color="auto" w:fill="auto"/>
            <w:noWrap w:val="0"/>
            <w:vAlign w:val="top"/>
          </w:tcPr>
          <w:p w14:paraId="3797B57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0.337</w:t>
            </w:r>
          </w:p>
        </w:tc>
        <w:tc>
          <w:tcPr>
            <w:tcW w:w="659" w:type="pct"/>
            <w:shd w:val="clear" w:color="auto" w:fill="auto"/>
            <w:noWrap w:val="0"/>
            <w:vAlign w:val="top"/>
          </w:tcPr>
          <w:p w14:paraId="05595B3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5.87</w:t>
            </w:r>
          </w:p>
        </w:tc>
        <w:tc>
          <w:tcPr>
            <w:tcW w:w="627" w:type="pct"/>
            <w:shd w:val="clear" w:color="auto" w:fill="auto"/>
            <w:noWrap w:val="0"/>
            <w:vAlign w:val="top"/>
          </w:tcPr>
          <w:p w14:paraId="2A27E9A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0.421</w:t>
            </w:r>
          </w:p>
        </w:tc>
        <w:tc>
          <w:tcPr>
            <w:tcW w:w="701" w:type="pct"/>
            <w:shd w:val="clear" w:color="auto" w:fill="auto"/>
            <w:noWrap w:val="0"/>
            <w:vAlign w:val="top"/>
          </w:tcPr>
          <w:p w14:paraId="3443090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5.54</w:t>
            </w:r>
          </w:p>
        </w:tc>
      </w:tr>
      <w:tr w14:paraId="76E47C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27805E7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29</w:t>
            </w:r>
          </w:p>
        </w:tc>
        <w:tc>
          <w:tcPr>
            <w:tcW w:w="636" w:type="pct"/>
            <w:shd w:val="clear" w:color="auto" w:fill="auto"/>
            <w:noWrap w:val="0"/>
            <w:vAlign w:val="top"/>
          </w:tcPr>
          <w:p w14:paraId="371A651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0.333</w:t>
            </w:r>
          </w:p>
        </w:tc>
        <w:tc>
          <w:tcPr>
            <w:tcW w:w="659" w:type="pct"/>
            <w:shd w:val="clear" w:color="auto" w:fill="auto"/>
            <w:noWrap w:val="0"/>
            <w:vAlign w:val="top"/>
          </w:tcPr>
          <w:p w14:paraId="2AA6FFE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5.38</w:t>
            </w:r>
          </w:p>
        </w:tc>
        <w:tc>
          <w:tcPr>
            <w:tcW w:w="686" w:type="pct"/>
            <w:shd w:val="clear" w:color="auto" w:fill="auto"/>
            <w:noWrap w:val="0"/>
            <w:vAlign w:val="top"/>
          </w:tcPr>
          <w:p w14:paraId="7BC9BB8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0.305</w:t>
            </w:r>
          </w:p>
        </w:tc>
        <w:tc>
          <w:tcPr>
            <w:tcW w:w="659" w:type="pct"/>
            <w:shd w:val="clear" w:color="auto" w:fill="auto"/>
            <w:noWrap w:val="0"/>
            <w:vAlign w:val="top"/>
          </w:tcPr>
          <w:p w14:paraId="749B52A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5.47</w:t>
            </w:r>
          </w:p>
        </w:tc>
        <w:tc>
          <w:tcPr>
            <w:tcW w:w="627" w:type="pct"/>
            <w:shd w:val="clear" w:color="auto" w:fill="auto"/>
            <w:noWrap w:val="0"/>
            <w:vAlign w:val="top"/>
          </w:tcPr>
          <w:p w14:paraId="6DF26DF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0.382</w:t>
            </w:r>
          </w:p>
        </w:tc>
        <w:tc>
          <w:tcPr>
            <w:tcW w:w="701" w:type="pct"/>
            <w:shd w:val="clear" w:color="auto" w:fill="auto"/>
            <w:noWrap w:val="0"/>
            <w:vAlign w:val="top"/>
          </w:tcPr>
          <w:p w14:paraId="3A49701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5.19</w:t>
            </w:r>
          </w:p>
        </w:tc>
      </w:tr>
      <w:tr w14:paraId="697382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4BEA1D0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30</w:t>
            </w:r>
          </w:p>
        </w:tc>
        <w:tc>
          <w:tcPr>
            <w:tcW w:w="636" w:type="pct"/>
            <w:shd w:val="clear" w:color="auto" w:fill="auto"/>
            <w:noWrap w:val="0"/>
            <w:vAlign w:val="top"/>
          </w:tcPr>
          <w:p w14:paraId="7FD0111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0.303</w:t>
            </w:r>
          </w:p>
        </w:tc>
        <w:tc>
          <w:tcPr>
            <w:tcW w:w="659" w:type="pct"/>
            <w:shd w:val="clear" w:color="auto" w:fill="auto"/>
            <w:noWrap w:val="0"/>
            <w:vAlign w:val="top"/>
          </w:tcPr>
          <w:p w14:paraId="4AF8885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5.04</w:t>
            </w:r>
          </w:p>
        </w:tc>
        <w:tc>
          <w:tcPr>
            <w:tcW w:w="686" w:type="pct"/>
            <w:shd w:val="clear" w:color="auto" w:fill="auto"/>
            <w:noWrap w:val="0"/>
            <w:vAlign w:val="top"/>
          </w:tcPr>
          <w:p w14:paraId="021E7E2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0.277</w:t>
            </w:r>
          </w:p>
        </w:tc>
        <w:tc>
          <w:tcPr>
            <w:tcW w:w="659" w:type="pct"/>
            <w:shd w:val="clear" w:color="auto" w:fill="auto"/>
            <w:noWrap w:val="0"/>
            <w:vAlign w:val="top"/>
          </w:tcPr>
          <w:p w14:paraId="3DA0870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5.12</w:t>
            </w:r>
          </w:p>
        </w:tc>
        <w:tc>
          <w:tcPr>
            <w:tcW w:w="627" w:type="pct"/>
            <w:shd w:val="clear" w:color="auto" w:fill="auto"/>
            <w:noWrap w:val="0"/>
            <w:vAlign w:val="top"/>
          </w:tcPr>
          <w:p w14:paraId="279D3EB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0.348</w:t>
            </w:r>
          </w:p>
        </w:tc>
        <w:tc>
          <w:tcPr>
            <w:tcW w:w="701" w:type="pct"/>
            <w:shd w:val="clear" w:color="auto" w:fill="auto"/>
            <w:noWrap w:val="0"/>
            <w:vAlign w:val="top"/>
          </w:tcPr>
          <w:p w14:paraId="6AD3C18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4.87</w:t>
            </w:r>
          </w:p>
        </w:tc>
      </w:tr>
      <w:tr w14:paraId="4D4208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030" w:type="pct"/>
            <w:noWrap w:val="0"/>
            <w:vAlign w:val="center"/>
          </w:tcPr>
          <w:p w14:paraId="3E89F34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31</w:t>
            </w:r>
          </w:p>
        </w:tc>
        <w:tc>
          <w:tcPr>
            <w:tcW w:w="636" w:type="pct"/>
            <w:shd w:val="clear" w:color="auto" w:fill="auto"/>
            <w:noWrap w:val="0"/>
            <w:vAlign w:val="top"/>
          </w:tcPr>
          <w:p w14:paraId="47E4CF3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0.276</w:t>
            </w:r>
          </w:p>
        </w:tc>
        <w:tc>
          <w:tcPr>
            <w:tcW w:w="659" w:type="pct"/>
            <w:shd w:val="clear" w:color="auto" w:fill="auto"/>
            <w:noWrap w:val="0"/>
            <w:vAlign w:val="top"/>
          </w:tcPr>
          <w:p w14:paraId="063FA70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4.72</w:t>
            </w:r>
          </w:p>
        </w:tc>
        <w:tc>
          <w:tcPr>
            <w:tcW w:w="686" w:type="pct"/>
            <w:shd w:val="clear" w:color="auto" w:fill="auto"/>
            <w:noWrap w:val="0"/>
            <w:vAlign w:val="top"/>
          </w:tcPr>
          <w:p w14:paraId="6B038CD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0.252</w:t>
            </w:r>
          </w:p>
        </w:tc>
        <w:tc>
          <w:tcPr>
            <w:tcW w:w="659" w:type="pct"/>
            <w:shd w:val="clear" w:color="auto" w:fill="auto"/>
            <w:noWrap w:val="0"/>
            <w:vAlign w:val="top"/>
          </w:tcPr>
          <w:p w14:paraId="3952ACB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4.79</w:t>
            </w:r>
          </w:p>
        </w:tc>
        <w:tc>
          <w:tcPr>
            <w:tcW w:w="627" w:type="pct"/>
            <w:shd w:val="clear" w:color="auto" w:fill="auto"/>
            <w:noWrap w:val="0"/>
            <w:vAlign w:val="top"/>
          </w:tcPr>
          <w:p w14:paraId="6870B63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0.317</w:t>
            </w:r>
          </w:p>
        </w:tc>
        <w:tc>
          <w:tcPr>
            <w:tcW w:w="701" w:type="pct"/>
            <w:shd w:val="clear" w:color="auto" w:fill="auto"/>
            <w:noWrap w:val="0"/>
            <w:vAlign w:val="top"/>
          </w:tcPr>
          <w:p w14:paraId="2D44CE0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4.57</w:t>
            </w:r>
          </w:p>
        </w:tc>
      </w:tr>
      <w:tr w14:paraId="289F8E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5F5F015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32</w:t>
            </w:r>
          </w:p>
        </w:tc>
        <w:tc>
          <w:tcPr>
            <w:tcW w:w="636" w:type="pct"/>
            <w:shd w:val="clear" w:color="auto" w:fill="auto"/>
            <w:noWrap w:val="0"/>
            <w:vAlign w:val="top"/>
          </w:tcPr>
          <w:p w14:paraId="08B6E1A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0.252</w:t>
            </w:r>
          </w:p>
        </w:tc>
        <w:tc>
          <w:tcPr>
            <w:tcW w:w="659" w:type="pct"/>
            <w:shd w:val="clear" w:color="auto" w:fill="auto"/>
            <w:noWrap w:val="0"/>
            <w:vAlign w:val="top"/>
          </w:tcPr>
          <w:p w14:paraId="66F21AB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4.44</w:t>
            </w:r>
          </w:p>
        </w:tc>
        <w:tc>
          <w:tcPr>
            <w:tcW w:w="686" w:type="pct"/>
            <w:shd w:val="clear" w:color="auto" w:fill="auto"/>
            <w:noWrap w:val="0"/>
            <w:vAlign w:val="top"/>
          </w:tcPr>
          <w:p w14:paraId="0F7BDB7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0.231</w:t>
            </w:r>
          </w:p>
        </w:tc>
        <w:tc>
          <w:tcPr>
            <w:tcW w:w="659" w:type="pct"/>
            <w:shd w:val="clear" w:color="auto" w:fill="auto"/>
            <w:noWrap w:val="0"/>
            <w:vAlign w:val="top"/>
          </w:tcPr>
          <w:p w14:paraId="35B947C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4.50</w:t>
            </w:r>
          </w:p>
        </w:tc>
        <w:tc>
          <w:tcPr>
            <w:tcW w:w="627" w:type="pct"/>
            <w:shd w:val="clear" w:color="auto" w:fill="auto"/>
            <w:noWrap w:val="0"/>
            <w:vAlign w:val="top"/>
          </w:tcPr>
          <w:p w14:paraId="4AAAD61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0.290</w:t>
            </w:r>
          </w:p>
        </w:tc>
        <w:tc>
          <w:tcPr>
            <w:tcW w:w="701" w:type="pct"/>
            <w:shd w:val="clear" w:color="auto" w:fill="auto"/>
            <w:noWrap w:val="0"/>
            <w:vAlign w:val="top"/>
          </w:tcPr>
          <w:p w14:paraId="5DAB856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4.31</w:t>
            </w:r>
          </w:p>
        </w:tc>
      </w:tr>
      <w:tr w14:paraId="10FEB7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10D4BB9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33</w:t>
            </w:r>
          </w:p>
        </w:tc>
        <w:tc>
          <w:tcPr>
            <w:tcW w:w="636" w:type="pct"/>
            <w:shd w:val="clear" w:color="auto" w:fill="auto"/>
            <w:noWrap w:val="0"/>
            <w:vAlign w:val="top"/>
          </w:tcPr>
          <w:p w14:paraId="4463B5D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0.231</w:t>
            </w:r>
          </w:p>
        </w:tc>
        <w:tc>
          <w:tcPr>
            <w:tcW w:w="659" w:type="pct"/>
            <w:shd w:val="clear" w:color="auto" w:fill="auto"/>
            <w:noWrap w:val="0"/>
            <w:vAlign w:val="top"/>
          </w:tcPr>
          <w:p w14:paraId="307F240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4.18</w:t>
            </w:r>
          </w:p>
        </w:tc>
        <w:tc>
          <w:tcPr>
            <w:tcW w:w="686" w:type="pct"/>
            <w:shd w:val="clear" w:color="auto" w:fill="auto"/>
            <w:noWrap w:val="0"/>
            <w:vAlign w:val="top"/>
          </w:tcPr>
          <w:p w14:paraId="626080C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0.212</w:t>
            </w:r>
          </w:p>
        </w:tc>
        <w:tc>
          <w:tcPr>
            <w:tcW w:w="659" w:type="pct"/>
            <w:shd w:val="clear" w:color="auto" w:fill="auto"/>
            <w:noWrap w:val="0"/>
            <w:vAlign w:val="top"/>
          </w:tcPr>
          <w:p w14:paraId="276478D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4.23</w:t>
            </w:r>
          </w:p>
        </w:tc>
        <w:tc>
          <w:tcPr>
            <w:tcW w:w="627" w:type="pct"/>
            <w:shd w:val="clear" w:color="auto" w:fill="auto"/>
            <w:noWrap w:val="0"/>
            <w:vAlign w:val="top"/>
          </w:tcPr>
          <w:p w14:paraId="79076EF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0.266</w:t>
            </w:r>
          </w:p>
        </w:tc>
        <w:tc>
          <w:tcPr>
            <w:tcW w:w="701" w:type="pct"/>
            <w:shd w:val="clear" w:color="auto" w:fill="auto"/>
            <w:noWrap w:val="0"/>
            <w:vAlign w:val="top"/>
          </w:tcPr>
          <w:p w14:paraId="30F2F59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4.06</w:t>
            </w:r>
          </w:p>
        </w:tc>
      </w:tr>
      <w:tr w14:paraId="337D46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75AB931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34</w:t>
            </w:r>
          </w:p>
        </w:tc>
        <w:tc>
          <w:tcPr>
            <w:tcW w:w="636" w:type="pct"/>
            <w:shd w:val="clear" w:color="auto" w:fill="auto"/>
            <w:noWrap w:val="0"/>
            <w:vAlign w:val="top"/>
          </w:tcPr>
          <w:p w14:paraId="3E68778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0.212</w:t>
            </w:r>
          </w:p>
        </w:tc>
        <w:tc>
          <w:tcPr>
            <w:tcW w:w="659" w:type="pct"/>
            <w:shd w:val="clear" w:color="auto" w:fill="auto"/>
            <w:noWrap w:val="0"/>
            <w:vAlign w:val="top"/>
          </w:tcPr>
          <w:p w14:paraId="1A1F09A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3.94</w:t>
            </w:r>
          </w:p>
        </w:tc>
        <w:tc>
          <w:tcPr>
            <w:tcW w:w="686" w:type="pct"/>
            <w:shd w:val="clear" w:color="auto" w:fill="auto"/>
            <w:noWrap w:val="0"/>
            <w:vAlign w:val="top"/>
          </w:tcPr>
          <w:p w14:paraId="190991B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0.195</w:t>
            </w:r>
          </w:p>
        </w:tc>
        <w:tc>
          <w:tcPr>
            <w:tcW w:w="659" w:type="pct"/>
            <w:shd w:val="clear" w:color="auto" w:fill="auto"/>
            <w:noWrap w:val="0"/>
            <w:vAlign w:val="top"/>
          </w:tcPr>
          <w:p w14:paraId="3934AA2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3.99</w:t>
            </w:r>
          </w:p>
        </w:tc>
        <w:tc>
          <w:tcPr>
            <w:tcW w:w="627" w:type="pct"/>
            <w:shd w:val="clear" w:color="auto" w:fill="auto"/>
            <w:noWrap w:val="0"/>
            <w:vAlign w:val="top"/>
          </w:tcPr>
          <w:p w14:paraId="0BB54AA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0.245</w:t>
            </w:r>
          </w:p>
        </w:tc>
        <w:tc>
          <w:tcPr>
            <w:tcW w:w="701" w:type="pct"/>
            <w:shd w:val="clear" w:color="auto" w:fill="auto"/>
            <w:noWrap w:val="0"/>
            <w:vAlign w:val="top"/>
          </w:tcPr>
          <w:p w14:paraId="2C33E45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3.84</w:t>
            </w:r>
          </w:p>
        </w:tc>
      </w:tr>
      <w:tr w14:paraId="5CA83C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3D4003E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35</w:t>
            </w:r>
          </w:p>
        </w:tc>
        <w:tc>
          <w:tcPr>
            <w:tcW w:w="636" w:type="pct"/>
            <w:shd w:val="clear" w:color="auto" w:fill="auto"/>
            <w:noWrap w:val="0"/>
            <w:vAlign w:val="top"/>
          </w:tcPr>
          <w:p w14:paraId="341CFCF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0.196</w:t>
            </w:r>
          </w:p>
        </w:tc>
        <w:tc>
          <w:tcPr>
            <w:tcW w:w="659" w:type="pct"/>
            <w:shd w:val="clear" w:color="auto" w:fill="auto"/>
            <w:noWrap w:val="0"/>
            <w:vAlign w:val="top"/>
          </w:tcPr>
          <w:p w14:paraId="362F777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3.72</w:t>
            </w:r>
          </w:p>
        </w:tc>
        <w:tc>
          <w:tcPr>
            <w:tcW w:w="686" w:type="pct"/>
            <w:shd w:val="clear" w:color="auto" w:fill="auto"/>
            <w:noWrap w:val="0"/>
            <w:vAlign w:val="top"/>
          </w:tcPr>
          <w:p w14:paraId="452DD3C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0.180</w:t>
            </w:r>
          </w:p>
        </w:tc>
        <w:tc>
          <w:tcPr>
            <w:tcW w:w="659" w:type="pct"/>
            <w:shd w:val="clear" w:color="auto" w:fill="auto"/>
            <w:noWrap w:val="0"/>
            <w:vAlign w:val="top"/>
          </w:tcPr>
          <w:p w14:paraId="0ED1B90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3.77</w:t>
            </w:r>
          </w:p>
        </w:tc>
        <w:tc>
          <w:tcPr>
            <w:tcW w:w="627" w:type="pct"/>
            <w:shd w:val="clear" w:color="auto" w:fill="auto"/>
            <w:noWrap w:val="0"/>
            <w:vAlign w:val="top"/>
          </w:tcPr>
          <w:p w14:paraId="4C15110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0.226</w:t>
            </w:r>
          </w:p>
        </w:tc>
        <w:tc>
          <w:tcPr>
            <w:tcW w:w="701" w:type="pct"/>
            <w:shd w:val="clear" w:color="auto" w:fill="auto"/>
            <w:noWrap w:val="0"/>
            <w:vAlign w:val="top"/>
          </w:tcPr>
          <w:p w14:paraId="00CAE66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3.63</w:t>
            </w:r>
          </w:p>
        </w:tc>
      </w:tr>
      <w:tr w14:paraId="4B1FF3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5557E97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36</w:t>
            </w:r>
          </w:p>
        </w:tc>
        <w:tc>
          <w:tcPr>
            <w:tcW w:w="636" w:type="pct"/>
            <w:shd w:val="clear" w:color="auto" w:fill="auto"/>
            <w:noWrap w:val="0"/>
            <w:vAlign w:val="top"/>
          </w:tcPr>
          <w:p w14:paraId="411463F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0.181</w:t>
            </w:r>
          </w:p>
        </w:tc>
        <w:tc>
          <w:tcPr>
            <w:tcW w:w="659" w:type="pct"/>
            <w:shd w:val="clear" w:color="auto" w:fill="auto"/>
            <w:noWrap w:val="0"/>
            <w:vAlign w:val="top"/>
          </w:tcPr>
          <w:p w14:paraId="2485323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3.52</w:t>
            </w:r>
          </w:p>
        </w:tc>
        <w:tc>
          <w:tcPr>
            <w:tcW w:w="686" w:type="pct"/>
            <w:shd w:val="clear" w:color="auto" w:fill="auto"/>
            <w:noWrap w:val="0"/>
            <w:vAlign w:val="top"/>
          </w:tcPr>
          <w:p w14:paraId="5594253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0.167</w:t>
            </w:r>
          </w:p>
        </w:tc>
        <w:tc>
          <w:tcPr>
            <w:tcW w:w="659" w:type="pct"/>
            <w:shd w:val="clear" w:color="auto" w:fill="auto"/>
            <w:noWrap w:val="0"/>
            <w:vAlign w:val="top"/>
          </w:tcPr>
          <w:p w14:paraId="78C5566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3.56</w:t>
            </w:r>
          </w:p>
        </w:tc>
        <w:tc>
          <w:tcPr>
            <w:tcW w:w="627" w:type="pct"/>
            <w:shd w:val="clear" w:color="auto" w:fill="auto"/>
            <w:noWrap w:val="0"/>
            <w:vAlign w:val="top"/>
          </w:tcPr>
          <w:p w14:paraId="52FBF8A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0.209</w:t>
            </w:r>
          </w:p>
        </w:tc>
        <w:tc>
          <w:tcPr>
            <w:tcW w:w="701" w:type="pct"/>
            <w:shd w:val="clear" w:color="auto" w:fill="auto"/>
            <w:noWrap w:val="0"/>
            <w:vAlign w:val="top"/>
          </w:tcPr>
          <w:p w14:paraId="74DA19D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3.44</w:t>
            </w:r>
          </w:p>
        </w:tc>
      </w:tr>
      <w:tr w14:paraId="2781F3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64016A8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37</w:t>
            </w:r>
          </w:p>
        </w:tc>
        <w:tc>
          <w:tcPr>
            <w:tcW w:w="636" w:type="pct"/>
            <w:shd w:val="clear" w:color="auto" w:fill="auto"/>
            <w:noWrap w:val="0"/>
            <w:vAlign w:val="top"/>
          </w:tcPr>
          <w:p w14:paraId="02D708D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0.168</w:t>
            </w:r>
          </w:p>
        </w:tc>
        <w:tc>
          <w:tcPr>
            <w:tcW w:w="659" w:type="pct"/>
            <w:shd w:val="clear" w:color="auto" w:fill="auto"/>
            <w:noWrap w:val="0"/>
            <w:vAlign w:val="top"/>
          </w:tcPr>
          <w:p w14:paraId="28C441F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3.34</w:t>
            </w:r>
          </w:p>
        </w:tc>
        <w:tc>
          <w:tcPr>
            <w:tcW w:w="686" w:type="pct"/>
            <w:shd w:val="clear" w:color="auto" w:fill="auto"/>
            <w:noWrap w:val="0"/>
            <w:vAlign w:val="top"/>
          </w:tcPr>
          <w:p w14:paraId="51D336B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0.155</w:t>
            </w:r>
          </w:p>
        </w:tc>
        <w:tc>
          <w:tcPr>
            <w:tcW w:w="659" w:type="pct"/>
            <w:shd w:val="clear" w:color="auto" w:fill="auto"/>
            <w:noWrap w:val="0"/>
            <w:vAlign w:val="top"/>
          </w:tcPr>
          <w:p w14:paraId="3B6BC6E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3.37</w:t>
            </w:r>
          </w:p>
        </w:tc>
        <w:tc>
          <w:tcPr>
            <w:tcW w:w="627" w:type="pct"/>
            <w:shd w:val="clear" w:color="auto" w:fill="auto"/>
            <w:noWrap w:val="0"/>
            <w:vAlign w:val="top"/>
          </w:tcPr>
          <w:p w14:paraId="6AB09E1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0.193</w:t>
            </w:r>
          </w:p>
        </w:tc>
        <w:tc>
          <w:tcPr>
            <w:tcW w:w="701" w:type="pct"/>
            <w:shd w:val="clear" w:color="auto" w:fill="auto"/>
            <w:noWrap w:val="0"/>
            <w:vAlign w:val="top"/>
          </w:tcPr>
          <w:p w14:paraId="4880E38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3.26</w:t>
            </w:r>
          </w:p>
        </w:tc>
      </w:tr>
      <w:tr w14:paraId="71CCD0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3BA4FB9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38</w:t>
            </w:r>
          </w:p>
        </w:tc>
        <w:tc>
          <w:tcPr>
            <w:tcW w:w="636" w:type="pct"/>
            <w:shd w:val="clear" w:color="auto" w:fill="auto"/>
            <w:noWrap w:val="0"/>
            <w:vAlign w:val="top"/>
          </w:tcPr>
          <w:p w14:paraId="07DC9C9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0.156</w:t>
            </w:r>
          </w:p>
        </w:tc>
        <w:tc>
          <w:tcPr>
            <w:tcW w:w="659" w:type="pct"/>
            <w:shd w:val="clear" w:color="auto" w:fill="auto"/>
            <w:noWrap w:val="0"/>
            <w:vAlign w:val="top"/>
          </w:tcPr>
          <w:p w14:paraId="668C4D3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3.17</w:t>
            </w:r>
          </w:p>
        </w:tc>
        <w:tc>
          <w:tcPr>
            <w:tcW w:w="686" w:type="pct"/>
            <w:shd w:val="clear" w:color="auto" w:fill="auto"/>
            <w:noWrap w:val="0"/>
            <w:vAlign w:val="top"/>
          </w:tcPr>
          <w:p w14:paraId="6181516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0.144</w:t>
            </w:r>
          </w:p>
        </w:tc>
        <w:tc>
          <w:tcPr>
            <w:tcW w:w="659" w:type="pct"/>
            <w:shd w:val="clear" w:color="auto" w:fill="auto"/>
            <w:noWrap w:val="0"/>
            <w:vAlign w:val="top"/>
          </w:tcPr>
          <w:p w14:paraId="2374AF5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3.20</w:t>
            </w:r>
          </w:p>
        </w:tc>
        <w:tc>
          <w:tcPr>
            <w:tcW w:w="627" w:type="pct"/>
            <w:shd w:val="clear" w:color="auto" w:fill="auto"/>
            <w:noWrap w:val="0"/>
            <w:vAlign w:val="top"/>
          </w:tcPr>
          <w:p w14:paraId="092E5C9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0.180</w:t>
            </w:r>
          </w:p>
        </w:tc>
        <w:tc>
          <w:tcPr>
            <w:tcW w:w="701" w:type="pct"/>
            <w:shd w:val="clear" w:color="auto" w:fill="auto"/>
            <w:noWrap w:val="0"/>
            <w:vAlign w:val="top"/>
          </w:tcPr>
          <w:p w14:paraId="6031C0D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3.10</w:t>
            </w:r>
          </w:p>
        </w:tc>
      </w:tr>
      <w:tr w14:paraId="4EF9D0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2B8DB21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39</w:t>
            </w:r>
          </w:p>
        </w:tc>
        <w:tc>
          <w:tcPr>
            <w:tcW w:w="636" w:type="pct"/>
            <w:shd w:val="clear" w:color="auto" w:fill="auto"/>
            <w:noWrap w:val="0"/>
            <w:vAlign w:val="top"/>
          </w:tcPr>
          <w:p w14:paraId="589EA46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0.145</w:t>
            </w:r>
          </w:p>
        </w:tc>
        <w:tc>
          <w:tcPr>
            <w:tcW w:w="659" w:type="pct"/>
            <w:shd w:val="clear" w:color="auto" w:fill="auto"/>
            <w:noWrap w:val="0"/>
            <w:vAlign w:val="top"/>
          </w:tcPr>
          <w:p w14:paraId="565A1F2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3.01</w:t>
            </w:r>
          </w:p>
        </w:tc>
        <w:tc>
          <w:tcPr>
            <w:tcW w:w="686" w:type="pct"/>
            <w:shd w:val="clear" w:color="auto" w:fill="auto"/>
            <w:noWrap w:val="0"/>
            <w:vAlign w:val="top"/>
          </w:tcPr>
          <w:p w14:paraId="58B45A4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0.134</w:t>
            </w:r>
          </w:p>
        </w:tc>
        <w:tc>
          <w:tcPr>
            <w:tcW w:w="659" w:type="pct"/>
            <w:shd w:val="clear" w:color="auto" w:fill="auto"/>
            <w:noWrap w:val="0"/>
            <w:vAlign w:val="top"/>
          </w:tcPr>
          <w:p w14:paraId="5085D67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3.04</w:t>
            </w:r>
          </w:p>
        </w:tc>
        <w:tc>
          <w:tcPr>
            <w:tcW w:w="627" w:type="pct"/>
            <w:shd w:val="clear" w:color="auto" w:fill="auto"/>
            <w:noWrap w:val="0"/>
            <w:vAlign w:val="top"/>
          </w:tcPr>
          <w:p w14:paraId="65291CB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0.167</w:t>
            </w:r>
          </w:p>
        </w:tc>
        <w:tc>
          <w:tcPr>
            <w:tcW w:w="701" w:type="pct"/>
            <w:shd w:val="clear" w:color="auto" w:fill="auto"/>
            <w:noWrap w:val="0"/>
            <w:vAlign w:val="top"/>
          </w:tcPr>
          <w:p w14:paraId="1CDCF98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2.95</w:t>
            </w:r>
          </w:p>
        </w:tc>
      </w:tr>
      <w:tr w14:paraId="4FFA52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78AF3DC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40</w:t>
            </w:r>
          </w:p>
        </w:tc>
        <w:tc>
          <w:tcPr>
            <w:tcW w:w="636" w:type="pct"/>
            <w:shd w:val="clear" w:color="auto" w:fill="auto"/>
            <w:noWrap w:val="0"/>
            <w:vAlign w:val="top"/>
          </w:tcPr>
          <w:p w14:paraId="54D66E9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0.136</w:t>
            </w:r>
          </w:p>
        </w:tc>
        <w:tc>
          <w:tcPr>
            <w:tcW w:w="659" w:type="pct"/>
            <w:shd w:val="clear" w:color="auto" w:fill="auto"/>
            <w:noWrap w:val="0"/>
            <w:vAlign w:val="top"/>
          </w:tcPr>
          <w:p w14:paraId="447C20B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2.86</w:t>
            </w:r>
          </w:p>
        </w:tc>
        <w:tc>
          <w:tcPr>
            <w:tcW w:w="686" w:type="pct"/>
            <w:shd w:val="clear" w:color="auto" w:fill="auto"/>
            <w:noWrap w:val="0"/>
            <w:vAlign w:val="top"/>
          </w:tcPr>
          <w:p w14:paraId="12B8B79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0.126</w:t>
            </w:r>
          </w:p>
        </w:tc>
        <w:tc>
          <w:tcPr>
            <w:tcW w:w="659" w:type="pct"/>
            <w:shd w:val="clear" w:color="auto" w:fill="auto"/>
            <w:noWrap w:val="0"/>
            <w:vAlign w:val="top"/>
          </w:tcPr>
          <w:p w14:paraId="4178B4D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2.89</w:t>
            </w:r>
          </w:p>
        </w:tc>
        <w:tc>
          <w:tcPr>
            <w:tcW w:w="627" w:type="pct"/>
            <w:shd w:val="clear" w:color="auto" w:fill="auto"/>
            <w:noWrap w:val="0"/>
            <w:vAlign w:val="top"/>
          </w:tcPr>
          <w:p w14:paraId="1A5DCA9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0.156</w:t>
            </w:r>
          </w:p>
        </w:tc>
        <w:tc>
          <w:tcPr>
            <w:tcW w:w="701" w:type="pct"/>
            <w:shd w:val="clear" w:color="auto" w:fill="auto"/>
            <w:noWrap w:val="0"/>
            <w:vAlign w:val="top"/>
          </w:tcPr>
          <w:p w14:paraId="4BEDFE8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2.81</w:t>
            </w:r>
          </w:p>
        </w:tc>
      </w:tr>
      <w:tr w14:paraId="00BFDE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705B135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41</w:t>
            </w:r>
          </w:p>
        </w:tc>
        <w:tc>
          <w:tcPr>
            <w:tcW w:w="636" w:type="pct"/>
            <w:shd w:val="clear" w:color="auto" w:fill="auto"/>
            <w:noWrap w:val="0"/>
            <w:vAlign w:val="top"/>
          </w:tcPr>
          <w:p w14:paraId="40E6D45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0.127</w:t>
            </w:r>
          </w:p>
        </w:tc>
        <w:tc>
          <w:tcPr>
            <w:tcW w:w="659" w:type="pct"/>
            <w:shd w:val="clear" w:color="auto" w:fill="auto"/>
            <w:noWrap w:val="0"/>
            <w:vAlign w:val="top"/>
          </w:tcPr>
          <w:p w14:paraId="51D2BA9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2.73</w:t>
            </w:r>
          </w:p>
        </w:tc>
        <w:tc>
          <w:tcPr>
            <w:tcW w:w="686" w:type="pct"/>
            <w:shd w:val="clear" w:color="auto" w:fill="auto"/>
            <w:noWrap w:val="0"/>
            <w:vAlign w:val="top"/>
          </w:tcPr>
          <w:p w14:paraId="7B7D7F4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0.118</w:t>
            </w:r>
          </w:p>
        </w:tc>
        <w:tc>
          <w:tcPr>
            <w:tcW w:w="659" w:type="pct"/>
            <w:shd w:val="clear" w:color="auto" w:fill="auto"/>
            <w:noWrap w:val="0"/>
            <w:vAlign w:val="top"/>
          </w:tcPr>
          <w:p w14:paraId="4AB9314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2.75</w:t>
            </w:r>
          </w:p>
        </w:tc>
        <w:tc>
          <w:tcPr>
            <w:tcW w:w="627" w:type="pct"/>
            <w:shd w:val="clear" w:color="auto" w:fill="auto"/>
            <w:noWrap w:val="0"/>
            <w:vAlign w:val="top"/>
          </w:tcPr>
          <w:p w14:paraId="0226F96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0.145</w:t>
            </w:r>
          </w:p>
        </w:tc>
        <w:tc>
          <w:tcPr>
            <w:tcW w:w="701" w:type="pct"/>
            <w:shd w:val="clear" w:color="auto" w:fill="auto"/>
            <w:noWrap w:val="0"/>
            <w:vAlign w:val="top"/>
          </w:tcPr>
          <w:p w14:paraId="4083ED8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2.68</w:t>
            </w:r>
          </w:p>
        </w:tc>
      </w:tr>
      <w:tr w14:paraId="15F4E4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5DE6CBB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42</w:t>
            </w:r>
          </w:p>
        </w:tc>
        <w:tc>
          <w:tcPr>
            <w:tcW w:w="636" w:type="pct"/>
            <w:shd w:val="clear" w:color="auto" w:fill="auto"/>
            <w:noWrap w:val="0"/>
            <w:vAlign w:val="top"/>
          </w:tcPr>
          <w:p w14:paraId="10CD3F1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0.119</w:t>
            </w:r>
          </w:p>
        </w:tc>
        <w:tc>
          <w:tcPr>
            <w:tcW w:w="659" w:type="pct"/>
            <w:shd w:val="clear" w:color="auto" w:fill="auto"/>
            <w:noWrap w:val="0"/>
            <w:vAlign w:val="top"/>
          </w:tcPr>
          <w:p w14:paraId="7B61254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2.60</w:t>
            </w:r>
          </w:p>
        </w:tc>
        <w:tc>
          <w:tcPr>
            <w:tcW w:w="686" w:type="pct"/>
            <w:shd w:val="clear" w:color="auto" w:fill="auto"/>
            <w:noWrap w:val="0"/>
            <w:vAlign w:val="top"/>
          </w:tcPr>
          <w:p w14:paraId="60D2939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0.111</w:t>
            </w:r>
          </w:p>
        </w:tc>
        <w:tc>
          <w:tcPr>
            <w:tcW w:w="659" w:type="pct"/>
            <w:shd w:val="clear" w:color="auto" w:fill="auto"/>
            <w:noWrap w:val="0"/>
            <w:vAlign w:val="top"/>
          </w:tcPr>
          <w:p w14:paraId="7C48EB3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2.62</w:t>
            </w:r>
          </w:p>
        </w:tc>
        <w:tc>
          <w:tcPr>
            <w:tcW w:w="627" w:type="pct"/>
            <w:shd w:val="clear" w:color="auto" w:fill="auto"/>
            <w:noWrap w:val="0"/>
            <w:vAlign w:val="top"/>
          </w:tcPr>
          <w:p w14:paraId="48923BC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0.136</w:t>
            </w:r>
          </w:p>
        </w:tc>
        <w:tc>
          <w:tcPr>
            <w:tcW w:w="701" w:type="pct"/>
            <w:shd w:val="clear" w:color="auto" w:fill="auto"/>
            <w:noWrap w:val="0"/>
            <w:vAlign w:val="top"/>
          </w:tcPr>
          <w:p w14:paraId="5B81A9F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2.55</w:t>
            </w:r>
          </w:p>
        </w:tc>
      </w:tr>
      <w:tr w14:paraId="29AB01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79342E8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43</w:t>
            </w:r>
          </w:p>
        </w:tc>
        <w:tc>
          <w:tcPr>
            <w:tcW w:w="636" w:type="pct"/>
            <w:shd w:val="clear" w:color="auto" w:fill="auto"/>
            <w:noWrap w:val="0"/>
            <w:vAlign w:val="top"/>
          </w:tcPr>
          <w:p w14:paraId="296C060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0.112</w:t>
            </w:r>
          </w:p>
        </w:tc>
        <w:tc>
          <w:tcPr>
            <w:tcW w:w="659" w:type="pct"/>
            <w:shd w:val="clear" w:color="auto" w:fill="auto"/>
            <w:noWrap w:val="0"/>
            <w:vAlign w:val="top"/>
          </w:tcPr>
          <w:p w14:paraId="6EF1468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2.48</w:t>
            </w:r>
          </w:p>
        </w:tc>
        <w:tc>
          <w:tcPr>
            <w:tcW w:w="686" w:type="pct"/>
            <w:shd w:val="clear" w:color="auto" w:fill="auto"/>
            <w:noWrap w:val="0"/>
            <w:vAlign w:val="top"/>
          </w:tcPr>
          <w:p w14:paraId="025B48A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0.104</w:t>
            </w:r>
          </w:p>
        </w:tc>
        <w:tc>
          <w:tcPr>
            <w:tcW w:w="659" w:type="pct"/>
            <w:shd w:val="clear" w:color="auto" w:fill="auto"/>
            <w:noWrap w:val="0"/>
            <w:vAlign w:val="top"/>
          </w:tcPr>
          <w:p w14:paraId="0616477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2.50</w:t>
            </w:r>
          </w:p>
        </w:tc>
        <w:tc>
          <w:tcPr>
            <w:tcW w:w="627" w:type="pct"/>
            <w:shd w:val="clear" w:color="auto" w:fill="auto"/>
            <w:noWrap w:val="0"/>
            <w:vAlign w:val="top"/>
          </w:tcPr>
          <w:p w14:paraId="46EB4F6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0.128</w:t>
            </w:r>
          </w:p>
        </w:tc>
        <w:tc>
          <w:tcPr>
            <w:tcW w:w="701" w:type="pct"/>
            <w:shd w:val="clear" w:color="auto" w:fill="auto"/>
            <w:noWrap w:val="0"/>
            <w:vAlign w:val="top"/>
          </w:tcPr>
          <w:p w14:paraId="0E1C553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2.44</w:t>
            </w:r>
          </w:p>
        </w:tc>
      </w:tr>
      <w:tr w14:paraId="2223C2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3E3EE97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44</w:t>
            </w:r>
          </w:p>
        </w:tc>
        <w:tc>
          <w:tcPr>
            <w:tcW w:w="636" w:type="pct"/>
            <w:shd w:val="clear" w:color="auto" w:fill="auto"/>
            <w:noWrap w:val="0"/>
            <w:vAlign w:val="top"/>
          </w:tcPr>
          <w:p w14:paraId="7FCA45D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0.105</w:t>
            </w:r>
          </w:p>
        </w:tc>
        <w:tc>
          <w:tcPr>
            <w:tcW w:w="659" w:type="pct"/>
            <w:shd w:val="clear" w:color="auto" w:fill="auto"/>
            <w:noWrap w:val="0"/>
            <w:vAlign w:val="top"/>
          </w:tcPr>
          <w:p w14:paraId="26DCBBE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2.37</w:t>
            </w:r>
          </w:p>
        </w:tc>
        <w:tc>
          <w:tcPr>
            <w:tcW w:w="686" w:type="pct"/>
            <w:shd w:val="clear" w:color="auto" w:fill="auto"/>
            <w:noWrap w:val="0"/>
            <w:vAlign w:val="top"/>
          </w:tcPr>
          <w:p w14:paraId="6886A59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0.098</w:t>
            </w:r>
          </w:p>
        </w:tc>
        <w:tc>
          <w:tcPr>
            <w:tcW w:w="659" w:type="pct"/>
            <w:shd w:val="clear" w:color="auto" w:fill="auto"/>
            <w:noWrap w:val="0"/>
            <w:vAlign w:val="top"/>
          </w:tcPr>
          <w:p w14:paraId="4F1D153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2.39</w:t>
            </w:r>
          </w:p>
        </w:tc>
        <w:tc>
          <w:tcPr>
            <w:tcW w:w="627" w:type="pct"/>
            <w:shd w:val="clear" w:color="auto" w:fill="auto"/>
            <w:noWrap w:val="0"/>
            <w:vAlign w:val="top"/>
          </w:tcPr>
          <w:p w14:paraId="2C1471B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0.120</w:t>
            </w:r>
          </w:p>
        </w:tc>
        <w:tc>
          <w:tcPr>
            <w:tcW w:w="701" w:type="pct"/>
            <w:shd w:val="clear" w:color="auto" w:fill="auto"/>
            <w:noWrap w:val="0"/>
            <w:vAlign w:val="top"/>
          </w:tcPr>
          <w:p w14:paraId="54C55B4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2.33</w:t>
            </w:r>
          </w:p>
        </w:tc>
      </w:tr>
      <w:tr w14:paraId="2A6DDE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32A3169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45</w:t>
            </w:r>
          </w:p>
        </w:tc>
        <w:tc>
          <w:tcPr>
            <w:tcW w:w="636" w:type="pct"/>
            <w:shd w:val="clear" w:color="auto" w:fill="auto"/>
            <w:noWrap w:val="0"/>
            <w:vAlign w:val="top"/>
          </w:tcPr>
          <w:p w14:paraId="5867371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0.099</w:t>
            </w:r>
          </w:p>
        </w:tc>
        <w:tc>
          <w:tcPr>
            <w:tcW w:w="659" w:type="pct"/>
            <w:shd w:val="clear" w:color="auto" w:fill="auto"/>
            <w:noWrap w:val="0"/>
            <w:vAlign w:val="top"/>
          </w:tcPr>
          <w:p w14:paraId="7F47963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2.27</w:t>
            </w:r>
          </w:p>
        </w:tc>
        <w:tc>
          <w:tcPr>
            <w:tcW w:w="686" w:type="pct"/>
            <w:shd w:val="clear" w:color="auto" w:fill="auto"/>
            <w:noWrap w:val="0"/>
            <w:vAlign w:val="top"/>
          </w:tcPr>
          <w:p w14:paraId="4D27D6F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0.093</w:t>
            </w:r>
          </w:p>
        </w:tc>
        <w:tc>
          <w:tcPr>
            <w:tcW w:w="659" w:type="pct"/>
            <w:shd w:val="clear" w:color="auto" w:fill="auto"/>
            <w:noWrap w:val="0"/>
            <w:vAlign w:val="top"/>
          </w:tcPr>
          <w:p w14:paraId="60EC78E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2.28</w:t>
            </w:r>
          </w:p>
        </w:tc>
        <w:tc>
          <w:tcPr>
            <w:tcW w:w="627" w:type="pct"/>
            <w:shd w:val="clear" w:color="auto" w:fill="auto"/>
            <w:noWrap w:val="0"/>
            <w:vAlign w:val="top"/>
          </w:tcPr>
          <w:p w14:paraId="3571C59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0.113</w:t>
            </w:r>
          </w:p>
        </w:tc>
        <w:tc>
          <w:tcPr>
            <w:tcW w:w="701" w:type="pct"/>
            <w:shd w:val="clear" w:color="auto" w:fill="auto"/>
            <w:noWrap w:val="0"/>
            <w:vAlign w:val="top"/>
          </w:tcPr>
          <w:p w14:paraId="32638E2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2.23</w:t>
            </w:r>
          </w:p>
        </w:tc>
      </w:tr>
      <w:tr w14:paraId="62399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27A822E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46</w:t>
            </w:r>
          </w:p>
        </w:tc>
        <w:tc>
          <w:tcPr>
            <w:tcW w:w="636" w:type="pct"/>
            <w:shd w:val="clear" w:color="auto" w:fill="auto"/>
            <w:noWrap w:val="0"/>
            <w:vAlign w:val="top"/>
          </w:tcPr>
          <w:p w14:paraId="1B52830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0.094</w:t>
            </w:r>
          </w:p>
        </w:tc>
        <w:tc>
          <w:tcPr>
            <w:tcW w:w="659" w:type="pct"/>
            <w:shd w:val="clear" w:color="auto" w:fill="auto"/>
            <w:noWrap w:val="0"/>
            <w:vAlign w:val="top"/>
          </w:tcPr>
          <w:p w14:paraId="2393989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2.17</w:t>
            </w:r>
          </w:p>
        </w:tc>
        <w:tc>
          <w:tcPr>
            <w:tcW w:w="686" w:type="pct"/>
            <w:shd w:val="clear" w:color="auto" w:fill="auto"/>
            <w:noWrap w:val="0"/>
            <w:vAlign w:val="top"/>
          </w:tcPr>
          <w:p w14:paraId="6F54471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0.088</w:t>
            </w:r>
          </w:p>
        </w:tc>
        <w:tc>
          <w:tcPr>
            <w:tcW w:w="659" w:type="pct"/>
            <w:shd w:val="clear" w:color="auto" w:fill="auto"/>
            <w:noWrap w:val="0"/>
            <w:vAlign w:val="top"/>
          </w:tcPr>
          <w:p w14:paraId="4D45795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2.19</w:t>
            </w:r>
          </w:p>
        </w:tc>
        <w:tc>
          <w:tcPr>
            <w:tcW w:w="627" w:type="pct"/>
            <w:shd w:val="clear" w:color="auto" w:fill="auto"/>
            <w:noWrap w:val="0"/>
            <w:vAlign w:val="top"/>
          </w:tcPr>
          <w:p w14:paraId="1802F34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0.106</w:t>
            </w:r>
          </w:p>
        </w:tc>
        <w:tc>
          <w:tcPr>
            <w:tcW w:w="701" w:type="pct"/>
            <w:shd w:val="clear" w:color="auto" w:fill="auto"/>
            <w:noWrap w:val="0"/>
            <w:vAlign w:val="top"/>
          </w:tcPr>
          <w:p w14:paraId="6FF4175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2.14</w:t>
            </w:r>
          </w:p>
        </w:tc>
      </w:tr>
      <w:tr w14:paraId="7C360C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2878C98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47</w:t>
            </w:r>
          </w:p>
        </w:tc>
        <w:tc>
          <w:tcPr>
            <w:tcW w:w="636" w:type="pct"/>
            <w:shd w:val="clear" w:color="auto" w:fill="auto"/>
            <w:noWrap w:val="0"/>
            <w:vAlign w:val="top"/>
          </w:tcPr>
          <w:p w14:paraId="0B78ACC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0.089</w:t>
            </w:r>
          </w:p>
        </w:tc>
        <w:tc>
          <w:tcPr>
            <w:tcW w:w="659" w:type="pct"/>
            <w:shd w:val="clear" w:color="auto" w:fill="auto"/>
            <w:noWrap w:val="0"/>
            <w:vAlign w:val="top"/>
          </w:tcPr>
          <w:p w14:paraId="423EB96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2.08</w:t>
            </w:r>
          </w:p>
        </w:tc>
        <w:tc>
          <w:tcPr>
            <w:tcW w:w="686" w:type="pct"/>
            <w:shd w:val="clear" w:color="auto" w:fill="auto"/>
            <w:noWrap w:val="0"/>
            <w:vAlign w:val="top"/>
          </w:tcPr>
          <w:p w14:paraId="26F0BD5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0.083</w:t>
            </w:r>
          </w:p>
        </w:tc>
        <w:tc>
          <w:tcPr>
            <w:tcW w:w="659" w:type="pct"/>
            <w:shd w:val="clear" w:color="auto" w:fill="auto"/>
            <w:noWrap w:val="0"/>
            <w:vAlign w:val="top"/>
          </w:tcPr>
          <w:p w14:paraId="612AB70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2.09</w:t>
            </w:r>
          </w:p>
        </w:tc>
        <w:tc>
          <w:tcPr>
            <w:tcW w:w="627" w:type="pct"/>
            <w:shd w:val="clear" w:color="auto" w:fill="auto"/>
            <w:noWrap w:val="0"/>
            <w:vAlign w:val="top"/>
          </w:tcPr>
          <w:p w14:paraId="4D2AFA4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0.100</w:t>
            </w:r>
          </w:p>
        </w:tc>
        <w:tc>
          <w:tcPr>
            <w:tcW w:w="701" w:type="pct"/>
            <w:shd w:val="clear" w:color="auto" w:fill="auto"/>
            <w:noWrap w:val="0"/>
            <w:vAlign w:val="top"/>
          </w:tcPr>
          <w:p w14:paraId="1DC9E76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2.05</w:t>
            </w:r>
          </w:p>
        </w:tc>
      </w:tr>
      <w:tr w14:paraId="5D3F44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3E73869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48</w:t>
            </w:r>
          </w:p>
        </w:tc>
        <w:tc>
          <w:tcPr>
            <w:tcW w:w="636" w:type="pct"/>
            <w:shd w:val="clear" w:color="auto" w:fill="auto"/>
            <w:noWrap w:val="0"/>
            <w:vAlign w:val="top"/>
          </w:tcPr>
          <w:p w14:paraId="38CDCA3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0.084</w:t>
            </w:r>
          </w:p>
        </w:tc>
        <w:tc>
          <w:tcPr>
            <w:tcW w:w="659" w:type="pct"/>
            <w:shd w:val="clear" w:color="auto" w:fill="auto"/>
            <w:noWrap w:val="0"/>
            <w:vAlign w:val="top"/>
          </w:tcPr>
          <w:p w14:paraId="4978844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2.00</w:t>
            </w:r>
          </w:p>
        </w:tc>
        <w:tc>
          <w:tcPr>
            <w:tcW w:w="686" w:type="pct"/>
            <w:shd w:val="clear" w:color="auto" w:fill="auto"/>
            <w:noWrap w:val="0"/>
            <w:vAlign w:val="top"/>
          </w:tcPr>
          <w:p w14:paraId="4790F09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0.079</w:t>
            </w:r>
          </w:p>
        </w:tc>
        <w:tc>
          <w:tcPr>
            <w:tcW w:w="659" w:type="pct"/>
            <w:shd w:val="clear" w:color="auto" w:fill="auto"/>
            <w:noWrap w:val="0"/>
            <w:vAlign w:val="top"/>
          </w:tcPr>
          <w:p w14:paraId="0812A66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2.01</w:t>
            </w:r>
          </w:p>
        </w:tc>
        <w:tc>
          <w:tcPr>
            <w:tcW w:w="627" w:type="pct"/>
            <w:shd w:val="clear" w:color="auto" w:fill="auto"/>
            <w:noWrap w:val="0"/>
            <w:vAlign w:val="top"/>
          </w:tcPr>
          <w:p w14:paraId="00B2A71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0.095</w:t>
            </w:r>
          </w:p>
        </w:tc>
        <w:tc>
          <w:tcPr>
            <w:tcW w:w="701" w:type="pct"/>
            <w:shd w:val="clear" w:color="auto" w:fill="auto"/>
            <w:noWrap w:val="0"/>
            <w:vAlign w:val="top"/>
          </w:tcPr>
          <w:p w14:paraId="109BB31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1.97</w:t>
            </w:r>
          </w:p>
        </w:tc>
      </w:tr>
      <w:tr w14:paraId="612917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007024F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49</w:t>
            </w:r>
          </w:p>
        </w:tc>
        <w:tc>
          <w:tcPr>
            <w:tcW w:w="636" w:type="pct"/>
            <w:shd w:val="clear" w:color="auto" w:fill="auto"/>
            <w:noWrap w:val="0"/>
            <w:vAlign w:val="top"/>
          </w:tcPr>
          <w:p w14:paraId="7AF2472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0.080</w:t>
            </w:r>
          </w:p>
        </w:tc>
        <w:tc>
          <w:tcPr>
            <w:tcW w:w="659" w:type="pct"/>
            <w:shd w:val="clear" w:color="auto" w:fill="auto"/>
            <w:noWrap w:val="0"/>
            <w:vAlign w:val="top"/>
          </w:tcPr>
          <w:p w14:paraId="70D0DE7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1.92</w:t>
            </w:r>
          </w:p>
        </w:tc>
        <w:tc>
          <w:tcPr>
            <w:tcW w:w="686" w:type="pct"/>
            <w:shd w:val="clear" w:color="auto" w:fill="auto"/>
            <w:noWrap w:val="0"/>
            <w:vAlign w:val="top"/>
          </w:tcPr>
          <w:p w14:paraId="4F22E2C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0.075</w:t>
            </w:r>
          </w:p>
        </w:tc>
        <w:tc>
          <w:tcPr>
            <w:tcW w:w="659" w:type="pct"/>
            <w:shd w:val="clear" w:color="auto" w:fill="auto"/>
            <w:noWrap w:val="0"/>
            <w:vAlign w:val="top"/>
          </w:tcPr>
          <w:p w14:paraId="310B180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1.93</w:t>
            </w:r>
          </w:p>
        </w:tc>
        <w:tc>
          <w:tcPr>
            <w:tcW w:w="627" w:type="pct"/>
            <w:shd w:val="clear" w:color="auto" w:fill="auto"/>
            <w:noWrap w:val="0"/>
            <w:vAlign w:val="top"/>
          </w:tcPr>
          <w:p w14:paraId="64DF132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0.089</w:t>
            </w:r>
          </w:p>
        </w:tc>
        <w:tc>
          <w:tcPr>
            <w:tcW w:w="701" w:type="pct"/>
            <w:shd w:val="clear" w:color="auto" w:fill="auto"/>
            <w:noWrap w:val="0"/>
            <w:vAlign w:val="top"/>
          </w:tcPr>
          <w:p w14:paraId="6EA1ECA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1.89</w:t>
            </w:r>
          </w:p>
        </w:tc>
      </w:tr>
      <w:tr w14:paraId="73018A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5582121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50</w:t>
            </w:r>
          </w:p>
        </w:tc>
        <w:tc>
          <w:tcPr>
            <w:tcW w:w="636" w:type="pct"/>
            <w:shd w:val="clear" w:color="auto" w:fill="auto"/>
            <w:noWrap w:val="0"/>
            <w:vAlign w:val="top"/>
          </w:tcPr>
          <w:p w14:paraId="35FC8E8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0.075</w:t>
            </w:r>
          </w:p>
        </w:tc>
        <w:tc>
          <w:tcPr>
            <w:tcW w:w="659" w:type="pct"/>
            <w:shd w:val="clear" w:color="auto" w:fill="auto"/>
            <w:noWrap w:val="0"/>
            <w:vAlign w:val="top"/>
          </w:tcPr>
          <w:p w14:paraId="4CD9A4E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1.84</w:t>
            </w:r>
          </w:p>
        </w:tc>
        <w:tc>
          <w:tcPr>
            <w:tcW w:w="686" w:type="pct"/>
            <w:shd w:val="clear" w:color="auto" w:fill="auto"/>
            <w:noWrap w:val="0"/>
            <w:vAlign w:val="top"/>
          </w:tcPr>
          <w:p w14:paraId="0D1F5C8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0.071</w:t>
            </w:r>
          </w:p>
        </w:tc>
        <w:tc>
          <w:tcPr>
            <w:tcW w:w="659" w:type="pct"/>
            <w:shd w:val="clear" w:color="auto" w:fill="auto"/>
            <w:noWrap w:val="0"/>
            <w:vAlign w:val="top"/>
          </w:tcPr>
          <w:p w14:paraId="0B8E2B2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1.85</w:t>
            </w:r>
          </w:p>
        </w:tc>
        <w:tc>
          <w:tcPr>
            <w:tcW w:w="627" w:type="pct"/>
            <w:shd w:val="clear" w:color="auto" w:fill="auto"/>
            <w:noWrap w:val="0"/>
            <w:vAlign w:val="top"/>
          </w:tcPr>
          <w:p w14:paraId="5F5A783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0.085</w:t>
            </w:r>
          </w:p>
        </w:tc>
        <w:tc>
          <w:tcPr>
            <w:tcW w:w="701" w:type="pct"/>
            <w:shd w:val="clear" w:color="auto" w:fill="auto"/>
            <w:noWrap w:val="0"/>
            <w:vAlign w:val="top"/>
          </w:tcPr>
          <w:p w14:paraId="1493243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1.82</w:t>
            </w:r>
          </w:p>
        </w:tc>
      </w:tr>
      <w:tr w14:paraId="165B5A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457D8BF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最大值</w:t>
            </w:r>
          </w:p>
        </w:tc>
        <w:tc>
          <w:tcPr>
            <w:tcW w:w="636" w:type="pct"/>
            <w:shd w:val="clear" w:color="auto" w:fill="auto"/>
            <w:noWrap w:val="0"/>
            <w:vAlign w:val="top"/>
          </w:tcPr>
          <w:p w14:paraId="6379010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5.769</w:t>
            </w:r>
          </w:p>
        </w:tc>
        <w:tc>
          <w:tcPr>
            <w:tcW w:w="659" w:type="pct"/>
            <w:shd w:val="clear" w:color="auto" w:fill="auto"/>
            <w:noWrap w:val="0"/>
            <w:vAlign w:val="top"/>
          </w:tcPr>
          <w:p w14:paraId="404DB3F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55.90</w:t>
            </w:r>
          </w:p>
        </w:tc>
        <w:tc>
          <w:tcPr>
            <w:tcW w:w="686" w:type="pct"/>
            <w:shd w:val="clear" w:color="auto" w:fill="auto"/>
            <w:noWrap w:val="0"/>
            <w:vAlign w:val="top"/>
          </w:tcPr>
          <w:p w14:paraId="5F2E083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7.273</w:t>
            </w:r>
          </w:p>
        </w:tc>
        <w:tc>
          <w:tcPr>
            <w:tcW w:w="659" w:type="pct"/>
            <w:shd w:val="clear" w:color="auto" w:fill="auto"/>
            <w:noWrap w:val="0"/>
            <w:vAlign w:val="top"/>
          </w:tcPr>
          <w:p w14:paraId="1C73D85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68.01</w:t>
            </w:r>
          </w:p>
        </w:tc>
        <w:tc>
          <w:tcPr>
            <w:tcW w:w="627" w:type="pct"/>
            <w:shd w:val="clear" w:color="auto" w:fill="auto"/>
            <w:noWrap w:val="0"/>
            <w:vAlign w:val="top"/>
          </w:tcPr>
          <w:p w14:paraId="2F319A0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3.974</w:t>
            </w:r>
          </w:p>
        </w:tc>
        <w:tc>
          <w:tcPr>
            <w:tcW w:w="701" w:type="pct"/>
            <w:shd w:val="clear" w:color="auto" w:fill="auto"/>
            <w:noWrap w:val="0"/>
            <w:vAlign w:val="top"/>
          </w:tcPr>
          <w:p w14:paraId="18A3711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41.03</w:t>
            </w:r>
          </w:p>
        </w:tc>
      </w:tr>
      <w:tr w14:paraId="1C68C7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3A29A50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最大值处距线路走廊中心距离（m）</w:t>
            </w:r>
          </w:p>
        </w:tc>
        <w:tc>
          <w:tcPr>
            <w:tcW w:w="636" w:type="pct"/>
            <w:shd w:val="clear" w:color="auto" w:fill="auto"/>
            <w:noWrap w:val="0"/>
            <w:vAlign w:val="center"/>
          </w:tcPr>
          <w:p w14:paraId="553471C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color w:val="0000FF"/>
                <w:kern w:val="2"/>
                <w:sz w:val="21"/>
                <w:szCs w:val="21"/>
                <w:vertAlign w:val="baseline"/>
                <w:lang w:val="en-US" w:eastAsia="zh-CN" w:bidi="ar-SA"/>
              </w:rPr>
            </w:pPr>
            <w:r>
              <w:rPr>
                <w:rFonts w:hint="eastAsia" w:asciiTheme="minorEastAsia" w:hAnsiTheme="minorEastAsia" w:eastAsiaTheme="minorEastAsia" w:cstheme="minorEastAsia"/>
                <w:b w:val="0"/>
                <w:sz w:val="21"/>
                <w:szCs w:val="21"/>
                <w:vertAlign w:val="baseline"/>
                <w:lang w:eastAsia="zh-CN"/>
              </w:rPr>
              <w:t>-7.1</w:t>
            </w:r>
          </w:p>
        </w:tc>
        <w:tc>
          <w:tcPr>
            <w:tcW w:w="659" w:type="pct"/>
            <w:shd w:val="clear" w:color="auto" w:fill="auto"/>
            <w:noWrap w:val="0"/>
            <w:vAlign w:val="center"/>
          </w:tcPr>
          <w:p w14:paraId="2029602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-3.1</w:t>
            </w:r>
          </w:p>
        </w:tc>
        <w:tc>
          <w:tcPr>
            <w:tcW w:w="686" w:type="pct"/>
            <w:shd w:val="clear" w:color="auto" w:fill="auto"/>
            <w:noWrap w:val="0"/>
            <w:vAlign w:val="center"/>
          </w:tcPr>
          <w:p w14:paraId="38E7994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-6.9</w:t>
            </w:r>
          </w:p>
        </w:tc>
        <w:tc>
          <w:tcPr>
            <w:tcW w:w="659" w:type="pct"/>
            <w:shd w:val="clear" w:color="auto" w:fill="auto"/>
            <w:noWrap w:val="0"/>
            <w:vAlign w:val="center"/>
          </w:tcPr>
          <w:p w14:paraId="1CB4380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-4.4</w:t>
            </w:r>
          </w:p>
        </w:tc>
        <w:tc>
          <w:tcPr>
            <w:tcW w:w="627" w:type="pct"/>
            <w:shd w:val="clear" w:color="auto" w:fill="auto"/>
            <w:noWrap w:val="0"/>
            <w:vAlign w:val="center"/>
          </w:tcPr>
          <w:p w14:paraId="213ECA7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eastAsia" w:asciiTheme="minorEastAsia" w:hAnsiTheme="minorEastAsia" w:eastAsiaTheme="minorEastAsia" w:cstheme="minorEastAsia"/>
                <w:b w:val="0"/>
                <w:sz w:val="21"/>
                <w:szCs w:val="21"/>
                <w:vertAlign w:val="baseline"/>
                <w:lang w:eastAsia="zh-CN"/>
              </w:rPr>
              <w:t>-7.6</w:t>
            </w:r>
          </w:p>
        </w:tc>
        <w:tc>
          <w:tcPr>
            <w:tcW w:w="701" w:type="pct"/>
            <w:shd w:val="clear" w:color="auto" w:fill="auto"/>
            <w:noWrap w:val="0"/>
            <w:vAlign w:val="center"/>
          </w:tcPr>
          <w:p w14:paraId="521501B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sz w:val="21"/>
                <w:szCs w:val="21"/>
                <w:vertAlign w:val="baseline"/>
                <w:lang w:val="en-US" w:eastAsia="zh-CN"/>
              </w:rPr>
            </w:pPr>
            <w:r>
              <w:rPr>
                <w:rFonts w:hint="default" w:asciiTheme="minorEastAsia" w:hAnsiTheme="minorEastAsia" w:eastAsiaTheme="minorEastAsia" w:cstheme="minorEastAsia"/>
                <w:b w:val="0"/>
                <w:sz w:val="21"/>
                <w:szCs w:val="21"/>
                <w:vertAlign w:val="baseline"/>
                <w:lang w:eastAsia="zh-CN"/>
              </w:rPr>
              <w:t>-0.4</w:t>
            </w:r>
          </w:p>
        </w:tc>
      </w:tr>
    </w:tbl>
    <w:p w14:paraId="219016E1">
      <w:pPr>
        <w:jc w:val="center"/>
        <w:rPr>
          <w:rFonts w:hint="default" w:ascii="Times New Roman" w:hAnsi="Times New Roman" w:eastAsia="宋体" w:cs="Times New Roman"/>
          <w:b w:val="0"/>
          <w:sz w:val="20"/>
          <w:lang w:eastAsia="zh-CN"/>
        </w:rPr>
      </w:pPr>
    </w:p>
    <w:p w14:paraId="2EB7969E">
      <w:pPr>
        <w:keepNext w:val="0"/>
        <w:keepLines w:val="0"/>
        <w:pageBreakBefore w:val="0"/>
        <w:widowControl w:val="0"/>
        <w:kinsoku/>
        <w:wordWrap/>
        <w:overflowPunct/>
        <w:topLinePunct w:val="0"/>
        <w:autoSpaceDE/>
        <w:autoSpaceDN/>
        <w:bidi w:val="0"/>
        <w:adjustRightInd/>
        <w:snapToGrid/>
        <w:ind w:firstLine="482" w:firstLineChars="200"/>
        <w:jc w:val="center"/>
        <w:textAlignment w:val="auto"/>
        <w:rPr>
          <w:rFonts w:hint="default" w:ascii="宋体" w:hAnsi="宋体" w:eastAsia="宋体" w:cs="宋体"/>
          <w:b/>
          <w:bCs/>
          <w:color w:val="auto"/>
          <w:sz w:val="24"/>
          <w:szCs w:val="24"/>
          <w:highlight w:val="none"/>
          <w:lang w:eastAsia="zh-CN"/>
        </w:rPr>
      </w:pPr>
      <w:r>
        <w:rPr>
          <w:rFonts w:hint="default" w:ascii="宋体" w:hAnsi="宋体" w:eastAsia="宋体" w:cs="宋体"/>
          <w:b/>
          <w:bCs/>
          <w:color w:val="auto"/>
          <w:sz w:val="24"/>
          <w:szCs w:val="24"/>
          <w:highlight w:val="none"/>
          <w:lang w:eastAsia="zh-CN"/>
        </w:rPr>
        <w:t>表</w:t>
      </w:r>
      <w:r>
        <w:rPr>
          <w:rFonts w:hint="eastAsia" w:ascii="宋体" w:hAnsi="宋体" w:eastAsia="宋体" w:cs="宋体"/>
          <w:b/>
          <w:bCs/>
          <w:color w:val="auto"/>
          <w:sz w:val="24"/>
          <w:szCs w:val="24"/>
          <w:highlight w:val="none"/>
          <w:lang w:val="en-US" w:eastAsia="zh-CN"/>
        </w:rPr>
        <w:t>3.2-4   单回线路工频</w:t>
      </w:r>
      <w:r>
        <w:rPr>
          <w:rFonts w:hint="default" w:ascii="宋体" w:hAnsi="宋体" w:eastAsia="宋体" w:cs="宋体"/>
          <w:b/>
          <w:bCs/>
          <w:color w:val="auto"/>
          <w:sz w:val="24"/>
          <w:szCs w:val="24"/>
          <w:highlight w:val="none"/>
          <w:lang w:eastAsia="zh-CN"/>
        </w:rPr>
        <w:t>电场强度等值线数据表  单位：kV/m</w:t>
      </w:r>
    </w:p>
    <w:tbl>
      <w:tblPr>
        <w:tblStyle w:val="3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86"/>
        <w:gridCol w:w="2547"/>
        <w:gridCol w:w="2293"/>
        <w:gridCol w:w="2628"/>
      </w:tblGrid>
      <w:tr w14:paraId="13F7F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03" w:type="pct"/>
            <w:gridSpan w:val="2"/>
            <w:tcBorders>
              <w:tl2br w:val="nil"/>
              <w:tr2bl w:val="nil"/>
            </w:tcBorders>
            <w:vAlign w:val="center"/>
          </w:tcPr>
          <w:p w14:paraId="0E005A1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sz w:val="21"/>
                <w:szCs w:val="21"/>
                <w:vertAlign w:val="baseline"/>
                <w:lang w:eastAsia="zh-CN"/>
              </w:rPr>
            </w:pPr>
            <w:r>
              <w:rPr>
                <w:rFonts w:hint="default" w:ascii="Times New Roman" w:hAnsi="Times New Roman" w:eastAsia="宋体" w:cs="Times New Roman"/>
                <w:b/>
                <w:sz w:val="21"/>
                <w:szCs w:val="21"/>
                <w:vertAlign w:val="baseline"/>
                <w:lang w:eastAsia="zh-CN"/>
              </w:rPr>
              <w:t>左侧</w:t>
            </w:r>
          </w:p>
        </w:tc>
        <w:tc>
          <w:tcPr>
            <w:tcW w:w="2496" w:type="pct"/>
            <w:gridSpan w:val="2"/>
            <w:tcBorders>
              <w:tl2br w:val="nil"/>
              <w:tr2bl w:val="nil"/>
            </w:tcBorders>
            <w:vAlign w:val="center"/>
          </w:tcPr>
          <w:p w14:paraId="1DD7D5C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sz w:val="21"/>
                <w:szCs w:val="21"/>
                <w:vertAlign w:val="baseline"/>
                <w:lang w:eastAsia="zh-CN"/>
              </w:rPr>
            </w:pPr>
            <w:r>
              <w:rPr>
                <w:rFonts w:hint="default" w:ascii="Times New Roman" w:hAnsi="Times New Roman" w:eastAsia="宋体" w:cs="Times New Roman"/>
                <w:b/>
                <w:sz w:val="21"/>
                <w:szCs w:val="21"/>
                <w:vertAlign w:val="baseline"/>
                <w:lang w:eastAsia="zh-CN"/>
              </w:rPr>
              <w:t>右侧</w:t>
            </w:r>
          </w:p>
        </w:tc>
      </w:tr>
      <w:tr w14:paraId="0D18E4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1" w:type="pct"/>
            <w:tcBorders>
              <w:tl2br w:val="nil"/>
              <w:tr2bl w:val="nil"/>
            </w:tcBorders>
            <w:vAlign w:val="center"/>
          </w:tcPr>
          <w:p w14:paraId="6CBFC52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sz w:val="21"/>
                <w:szCs w:val="21"/>
                <w:vertAlign w:val="baseline"/>
                <w:lang w:eastAsia="zh-CN"/>
              </w:rPr>
            </w:pPr>
            <w:r>
              <w:rPr>
                <w:rFonts w:hint="default" w:ascii="Times New Roman" w:hAnsi="Times New Roman" w:eastAsia="宋体" w:cs="Times New Roman"/>
                <w:b/>
                <w:sz w:val="21"/>
                <w:szCs w:val="21"/>
                <w:vertAlign w:val="baseline"/>
                <w:lang w:eastAsia="zh-CN"/>
              </w:rPr>
              <w:t>导线对地最小线高</w:t>
            </w:r>
          </w:p>
          <w:p w14:paraId="3A1EAE2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sz w:val="21"/>
                <w:szCs w:val="21"/>
                <w:vertAlign w:val="baseline"/>
                <w:lang w:eastAsia="zh-CN"/>
              </w:rPr>
            </w:pPr>
            <w:r>
              <w:rPr>
                <w:rFonts w:hint="default" w:ascii="Times New Roman" w:hAnsi="Times New Roman" w:eastAsia="宋体" w:cs="Times New Roman"/>
                <w:b/>
                <w:sz w:val="21"/>
                <w:szCs w:val="21"/>
                <w:vertAlign w:val="baseline"/>
                <w:lang w:eastAsia="zh-CN"/>
              </w:rPr>
              <w:t>(m)</w:t>
            </w:r>
          </w:p>
        </w:tc>
        <w:tc>
          <w:tcPr>
            <w:tcW w:w="1292" w:type="pct"/>
            <w:tcBorders>
              <w:tl2br w:val="nil"/>
              <w:tr2bl w:val="nil"/>
            </w:tcBorders>
            <w:vAlign w:val="center"/>
          </w:tcPr>
          <w:p w14:paraId="13548BB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sz w:val="21"/>
                <w:szCs w:val="21"/>
                <w:vertAlign w:val="baseline"/>
                <w:lang w:eastAsia="zh-CN"/>
              </w:rPr>
            </w:pPr>
            <w:r>
              <w:rPr>
                <w:rFonts w:hint="default" w:ascii="Times New Roman" w:hAnsi="Times New Roman" w:eastAsia="宋体" w:cs="Times New Roman"/>
                <w:b/>
                <w:sz w:val="21"/>
                <w:szCs w:val="21"/>
                <w:vertAlign w:val="baseline"/>
                <w:lang w:eastAsia="zh-CN"/>
              </w:rPr>
              <w:t>距线路走廊中心距离</w:t>
            </w:r>
            <w:r>
              <w:rPr>
                <w:rFonts w:hint="eastAsia" w:cs="Times New Roman"/>
                <w:b/>
                <w:sz w:val="21"/>
                <w:szCs w:val="21"/>
                <w:vertAlign w:val="baseline"/>
                <w:lang w:eastAsia="zh-CN"/>
              </w:rPr>
              <w:t>（</w:t>
            </w:r>
            <w:r>
              <w:rPr>
                <w:rFonts w:hint="default" w:ascii="Times New Roman" w:hAnsi="Times New Roman" w:eastAsia="宋体" w:cs="Times New Roman"/>
                <w:b/>
                <w:sz w:val="21"/>
                <w:szCs w:val="21"/>
                <w:vertAlign w:val="baseline"/>
                <w:lang w:eastAsia="zh-CN"/>
              </w:rPr>
              <w:t>m</w:t>
            </w:r>
            <w:r>
              <w:rPr>
                <w:rFonts w:hint="eastAsia" w:cs="Times New Roman"/>
                <w:b/>
                <w:sz w:val="21"/>
                <w:szCs w:val="21"/>
                <w:vertAlign w:val="baseline"/>
                <w:lang w:eastAsia="zh-CN"/>
              </w:rPr>
              <w:t>）</w:t>
            </w:r>
          </w:p>
        </w:tc>
        <w:tc>
          <w:tcPr>
            <w:tcW w:w="1163" w:type="pct"/>
            <w:tcBorders>
              <w:tl2br w:val="nil"/>
              <w:tr2bl w:val="nil"/>
            </w:tcBorders>
            <w:vAlign w:val="center"/>
          </w:tcPr>
          <w:p w14:paraId="39D2A34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sz w:val="21"/>
                <w:szCs w:val="21"/>
                <w:vertAlign w:val="baseline"/>
                <w:lang w:eastAsia="zh-CN"/>
              </w:rPr>
            </w:pPr>
            <w:r>
              <w:rPr>
                <w:rFonts w:hint="default" w:ascii="Times New Roman" w:hAnsi="Times New Roman" w:eastAsia="宋体" w:cs="Times New Roman"/>
                <w:b/>
                <w:sz w:val="21"/>
                <w:szCs w:val="21"/>
                <w:vertAlign w:val="baseline"/>
                <w:lang w:eastAsia="zh-CN"/>
              </w:rPr>
              <w:t>导线对地最小线高</w:t>
            </w:r>
            <w:r>
              <w:rPr>
                <w:rFonts w:hint="eastAsia" w:cs="Times New Roman"/>
                <w:b/>
                <w:sz w:val="21"/>
                <w:szCs w:val="21"/>
                <w:vertAlign w:val="baseline"/>
                <w:lang w:eastAsia="zh-CN"/>
              </w:rPr>
              <w:t>（</w:t>
            </w:r>
            <w:r>
              <w:rPr>
                <w:rFonts w:hint="default" w:ascii="Times New Roman" w:hAnsi="Times New Roman" w:eastAsia="宋体" w:cs="Times New Roman"/>
                <w:b/>
                <w:sz w:val="21"/>
                <w:szCs w:val="21"/>
                <w:vertAlign w:val="baseline"/>
                <w:lang w:eastAsia="zh-CN"/>
              </w:rPr>
              <w:t>m</w:t>
            </w:r>
            <w:r>
              <w:rPr>
                <w:rFonts w:hint="eastAsia" w:cs="Times New Roman"/>
                <w:b/>
                <w:sz w:val="21"/>
                <w:szCs w:val="21"/>
                <w:vertAlign w:val="baseline"/>
                <w:lang w:eastAsia="zh-CN"/>
              </w:rPr>
              <w:t>）</w:t>
            </w:r>
          </w:p>
        </w:tc>
        <w:tc>
          <w:tcPr>
            <w:tcW w:w="1332" w:type="pct"/>
            <w:tcBorders>
              <w:tl2br w:val="nil"/>
              <w:tr2bl w:val="nil"/>
            </w:tcBorders>
            <w:vAlign w:val="center"/>
          </w:tcPr>
          <w:p w14:paraId="1846014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sz w:val="21"/>
                <w:szCs w:val="21"/>
                <w:vertAlign w:val="baseline"/>
                <w:lang w:eastAsia="zh-CN"/>
              </w:rPr>
            </w:pPr>
            <w:r>
              <w:rPr>
                <w:rFonts w:hint="default" w:ascii="Times New Roman" w:hAnsi="Times New Roman" w:eastAsia="宋体" w:cs="Times New Roman"/>
                <w:b/>
                <w:sz w:val="21"/>
                <w:szCs w:val="21"/>
                <w:vertAlign w:val="baseline"/>
                <w:lang w:eastAsia="zh-CN"/>
              </w:rPr>
              <w:t>距线路走廊中心距离</w:t>
            </w:r>
          </w:p>
          <w:p w14:paraId="462CD7F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sz w:val="21"/>
                <w:szCs w:val="21"/>
                <w:vertAlign w:val="baseline"/>
                <w:lang w:eastAsia="zh-CN"/>
              </w:rPr>
            </w:pPr>
            <w:r>
              <w:rPr>
                <w:rFonts w:hint="default" w:ascii="Times New Roman" w:hAnsi="Times New Roman" w:eastAsia="宋体" w:cs="Times New Roman"/>
                <w:b/>
                <w:sz w:val="21"/>
                <w:szCs w:val="21"/>
                <w:vertAlign w:val="baseline"/>
                <w:lang w:eastAsia="zh-CN"/>
              </w:rPr>
              <w:t>(m)</w:t>
            </w:r>
          </w:p>
        </w:tc>
      </w:tr>
      <w:tr w14:paraId="248C74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1" w:type="pct"/>
            <w:tcBorders>
              <w:tl2br w:val="nil"/>
              <w:tr2bl w:val="nil"/>
            </w:tcBorders>
            <w:vAlign w:val="center"/>
          </w:tcPr>
          <w:p w14:paraId="764BAB5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sz w:val="21"/>
                <w:szCs w:val="21"/>
                <w:vertAlign w:val="baseline"/>
                <w:lang w:eastAsia="zh-CN"/>
              </w:rPr>
            </w:pPr>
            <w:r>
              <w:rPr>
                <w:rFonts w:hint="default" w:ascii="Times New Roman" w:hAnsi="Times New Roman" w:eastAsia="宋体" w:cs="Times New Roman"/>
                <w:b w:val="0"/>
                <w:sz w:val="21"/>
                <w:szCs w:val="21"/>
                <w:vertAlign w:val="baseline"/>
                <w:lang w:eastAsia="zh-CN"/>
              </w:rPr>
              <w:t>9.4</w:t>
            </w:r>
          </w:p>
        </w:tc>
        <w:tc>
          <w:tcPr>
            <w:tcW w:w="1292" w:type="pct"/>
            <w:tcBorders>
              <w:tl2br w:val="nil"/>
              <w:tr2bl w:val="nil"/>
            </w:tcBorders>
            <w:vAlign w:val="center"/>
          </w:tcPr>
          <w:p w14:paraId="3CFF128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sz w:val="21"/>
                <w:szCs w:val="21"/>
                <w:vertAlign w:val="baseline"/>
                <w:lang w:eastAsia="zh-CN"/>
              </w:rPr>
            </w:pPr>
            <w:r>
              <w:rPr>
                <w:rFonts w:hint="default" w:ascii="Times New Roman" w:hAnsi="Times New Roman" w:eastAsia="宋体" w:cs="Times New Roman"/>
                <w:b w:val="0"/>
                <w:sz w:val="21"/>
                <w:szCs w:val="21"/>
                <w:vertAlign w:val="baseline"/>
                <w:lang w:eastAsia="zh-CN"/>
              </w:rPr>
              <w:t>-7.60</w:t>
            </w:r>
          </w:p>
        </w:tc>
        <w:tc>
          <w:tcPr>
            <w:tcW w:w="1163" w:type="pct"/>
            <w:tcBorders>
              <w:tl2br w:val="nil"/>
              <w:tr2bl w:val="nil"/>
            </w:tcBorders>
            <w:vAlign w:val="center"/>
          </w:tcPr>
          <w:p w14:paraId="5F162BA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sz w:val="21"/>
                <w:szCs w:val="21"/>
                <w:vertAlign w:val="baseline"/>
                <w:lang w:eastAsia="zh-CN"/>
              </w:rPr>
            </w:pPr>
            <w:r>
              <w:rPr>
                <w:rFonts w:hint="default" w:ascii="Times New Roman" w:hAnsi="Times New Roman" w:eastAsia="宋体" w:cs="Times New Roman"/>
                <w:b w:val="0"/>
                <w:sz w:val="21"/>
                <w:szCs w:val="21"/>
                <w:vertAlign w:val="baseline"/>
                <w:lang w:eastAsia="zh-CN"/>
              </w:rPr>
              <w:t>9.3</w:t>
            </w:r>
          </w:p>
        </w:tc>
        <w:tc>
          <w:tcPr>
            <w:tcW w:w="1332" w:type="pct"/>
            <w:tcBorders>
              <w:tl2br w:val="nil"/>
              <w:tr2bl w:val="nil"/>
            </w:tcBorders>
            <w:vAlign w:val="center"/>
          </w:tcPr>
          <w:p w14:paraId="125B113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sz w:val="21"/>
                <w:szCs w:val="21"/>
                <w:vertAlign w:val="baseline"/>
                <w:lang w:eastAsia="zh-CN"/>
              </w:rPr>
            </w:pPr>
            <w:r>
              <w:rPr>
                <w:rFonts w:hint="default" w:ascii="Times New Roman" w:hAnsi="Times New Roman" w:eastAsia="宋体" w:cs="Times New Roman"/>
                <w:b w:val="0"/>
                <w:sz w:val="21"/>
                <w:szCs w:val="21"/>
                <w:vertAlign w:val="baseline"/>
                <w:lang w:eastAsia="zh-CN"/>
              </w:rPr>
              <w:t>7.00</w:t>
            </w:r>
          </w:p>
        </w:tc>
      </w:tr>
      <w:tr w14:paraId="26E820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1" w:type="pct"/>
            <w:tcBorders>
              <w:tl2br w:val="nil"/>
              <w:tr2bl w:val="nil"/>
            </w:tcBorders>
            <w:vAlign w:val="center"/>
          </w:tcPr>
          <w:p w14:paraId="5C155BF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sz w:val="21"/>
                <w:szCs w:val="21"/>
                <w:vertAlign w:val="baseline"/>
                <w:lang w:eastAsia="zh-CN"/>
              </w:rPr>
            </w:pPr>
            <w:r>
              <w:rPr>
                <w:rFonts w:hint="default" w:ascii="Times New Roman" w:hAnsi="Times New Roman" w:eastAsia="宋体" w:cs="Times New Roman"/>
                <w:b w:val="0"/>
                <w:sz w:val="21"/>
                <w:szCs w:val="21"/>
                <w:vertAlign w:val="baseline"/>
                <w:lang w:eastAsia="zh-CN"/>
              </w:rPr>
              <w:t>8.5</w:t>
            </w:r>
          </w:p>
        </w:tc>
        <w:tc>
          <w:tcPr>
            <w:tcW w:w="1292" w:type="pct"/>
            <w:tcBorders>
              <w:tl2br w:val="nil"/>
              <w:tr2bl w:val="nil"/>
            </w:tcBorders>
            <w:vAlign w:val="center"/>
          </w:tcPr>
          <w:p w14:paraId="3524FE8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sz w:val="21"/>
                <w:szCs w:val="21"/>
                <w:vertAlign w:val="baseline"/>
                <w:lang w:eastAsia="zh-CN"/>
              </w:rPr>
            </w:pPr>
            <w:r>
              <w:rPr>
                <w:rFonts w:hint="default" w:ascii="Times New Roman" w:hAnsi="Times New Roman" w:eastAsia="宋体" w:cs="Times New Roman"/>
                <w:b w:val="0"/>
                <w:sz w:val="21"/>
                <w:szCs w:val="21"/>
                <w:vertAlign w:val="baseline"/>
                <w:lang w:eastAsia="zh-CN"/>
              </w:rPr>
              <w:t>-10.30</w:t>
            </w:r>
          </w:p>
        </w:tc>
        <w:tc>
          <w:tcPr>
            <w:tcW w:w="1163" w:type="pct"/>
            <w:tcBorders>
              <w:tl2br w:val="nil"/>
              <w:tr2bl w:val="nil"/>
            </w:tcBorders>
            <w:vAlign w:val="center"/>
          </w:tcPr>
          <w:p w14:paraId="6FE67F0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sz w:val="21"/>
                <w:szCs w:val="21"/>
                <w:vertAlign w:val="baseline"/>
                <w:lang w:eastAsia="zh-CN"/>
              </w:rPr>
            </w:pPr>
            <w:r>
              <w:rPr>
                <w:rFonts w:hint="default" w:ascii="Times New Roman" w:hAnsi="Times New Roman" w:eastAsia="宋体" w:cs="Times New Roman"/>
                <w:b w:val="0"/>
                <w:sz w:val="21"/>
                <w:szCs w:val="21"/>
                <w:vertAlign w:val="baseline"/>
                <w:lang w:eastAsia="zh-CN"/>
              </w:rPr>
              <w:t>8.5</w:t>
            </w:r>
          </w:p>
        </w:tc>
        <w:tc>
          <w:tcPr>
            <w:tcW w:w="1332" w:type="pct"/>
            <w:tcBorders>
              <w:tl2br w:val="nil"/>
              <w:tr2bl w:val="nil"/>
            </w:tcBorders>
            <w:vAlign w:val="center"/>
          </w:tcPr>
          <w:p w14:paraId="63F5141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sz w:val="21"/>
                <w:szCs w:val="21"/>
                <w:vertAlign w:val="baseline"/>
                <w:lang w:eastAsia="zh-CN"/>
              </w:rPr>
            </w:pPr>
            <w:r>
              <w:rPr>
                <w:rFonts w:hint="default" w:ascii="Times New Roman" w:hAnsi="Times New Roman" w:eastAsia="宋体" w:cs="Times New Roman"/>
                <w:b w:val="0"/>
                <w:sz w:val="21"/>
                <w:szCs w:val="21"/>
                <w:vertAlign w:val="baseline"/>
                <w:lang w:eastAsia="zh-CN"/>
              </w:rPr>
              <w:t>9.68</w:t>
            </w:r>
          </w:p>
        </w:tc>
      </w:tr>
      <w:tr w14:paraId="326D49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1" w:type="pct"/>
            <w:tcBorders>
              <w:tl2br w:val="nil"/>
              <w:tr2bl w:val="nil"/>
            </w:tcBorders>
            <w:vAlign w:val="center"/>
          </w:tcPr>
          <w:p w14:paraId="6792A3B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sz w:val="21"/>
                <w:szCs w:val="21"/>
                <w:vertAlign w:val="baseline"/>
                <w:lang w:eastAsia="zh-CN"/>
              </w:rPr>
            </w:pPr>
            <w:r>
              <w:rPr>
                <w:rFonts w:hint="default" w:ascii="Times New Roman" w:hAnsi="Times New Roman" w:eastAsia="宋体" w:cs="Times New Roman"/>
                <w:b w:val="0"/>
                <w:sz w:val="21"/>
                <w:szCs w:val="21"/>
                <w:vertAlign w:val="baseline"/>
                <w:lang w:eastAsia="zh-CN"/>
              </w:rPr>
              <w:t>7.5</w:t>
            </w:r>
          </w:p>
        </w:tc>
        <w:tc>
          <w:tcPr>
            <w:tcW w:w="1292" w:type="pct"/>
            <w:tcBorders>
              <w:tl2br w:val="nil"/>
              <w:tr2bl w:val="nil"/>
            </w:tcBorders>
            <w:vAlign w:val="center"/>
          </w:tcPr>
          <w:p w14:paraId="38B1829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sz w:val="21"/>
                <w:szCs w:val="21"/>
                <w:vertAlign w:val="baseline"/>
                <w:lang w:eastAsia="zh-CN"/>
              </w:rPr>
            </w:pPr>
            <w:r>
              <w:rPr>
                <w:rFonts w:hint="default" w:ascii="Times New Roman" w:hAnsi="Times New Roman" w:eastAsia="宋体" w:cs="Times New Roman"/>
                <w:b w:val="0"/>
                <w:sz w:val="21"/>
                <w:szCs w:val="21"/>
                <w:vertAlign w:val="baseline"/>
                <w:lang w:eastAsia="zh-CN"/>
              </w:rPr>
              <w:t>-11.32</w:t>
            </w:r>
          </w:p>
        </w:tc>
        <w:tc>
          <w:tcPr>
            <w:tcW w:w="1163" w:type="pct"/>
            <w:tcBorders>
              <w:tl2br w:val="nil"/>
              <w:tr2bl w:val="nil"/>
            </w:tcBorders>
            <w:vAlign w:val="center"/>
          </w:tcPr>
          <w:p w14:paraId="7B44232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sz w:val="21"/>
                <w:szCs w:val="21"/>
                <w:vertAlign w:val="baseline"/>
                <w:lang w:eastAsia="zh-CN"/>
              </w:rPr>
            </w:pPr>
            <w:r>
              <w:rPr>
                <w:rFonts w:hint="default" w:ascii="Times New Roman" w:hAnsi="Times New Roman" w:eastAsia="宋体" w:cs="Times New Roman"/>
                <w:b w:val="0"/>
                <w:sz w:val="21"/>
                <w:szCs w:val="21"/>
                <w:vertAlign w:val="baseline"/>
                <w:lang w:eastAsia="zh-CN"/>
              </w:rPr>
              <w:t>7.5</w:t>
            </w:r>
          </w:p>
        </w:tc>
        <w:tc>
          <w:tcPr>
            <w:tcW w:w="1332" w:type="pct"/>
            <w:tcBorders>
              <w:tl2br w:val="nil"/>
              <w:tr2bl w:val="nil"/>
            </w:tcBorders>
            <w:vAlign w:val="center"/>
          </w:tcPr>
          <w:p w14:paraId="2EF00EE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sz w:val="21"/>
                <w:szCs w:val="21"/>
                <w:vertAlign w:val="baseline"/>
                <w:lang w:eastAsia="zh-CN"/>
              </w:rPr>
            </w:pPr>
            <w:r>
              <w:rPr>
                <w:rFonts w:hint="default" w:ascii="Times New Roman" w:hAnsi="Times New Roman" w:eastAsia="宋体" w:cs="Times New Roman"/>
                <w:b w:val="0"/>
                <w:sz w:val="21"/>
                <w:szCs w:val="21"/>
                <w:vertAlign w:val="baseline"/>
                <w:lang w:eastAsia="zh-CN"/>
              </w:rPr>
              <w:t>10.74</w:t>
            </w:r>
          </w:p>
        </w:tc>
      </w:tr>
      <w:tr w14:paraId="3D3A31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1" w:type="pct"/>
            <w:tcBorders>
              <w:tl2br w:val="nil"/>
              <w:tr2bl w:val="nil"/>
            </w:tcBorders>
            <w:vAlign w:val="center"/>
          </w:tcPr>
          <w:p w14:paraId="44AC12C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sz w:val="21"/>
                <w:szCs w:val="21"/>
                <w:vertAlign w:val="baseline"/>
                <w:lang w:eastAsia="zh-CN"/>
              </w:rPr>
            </w:pPr>
            <w:r>
              <w:rPr>
                <w:rFonts w:hint="default" w:ascii="Times New Roman" w:hAnsi="Times New Roman" w:eastAsia="宋体" w:cs="Times New Roman"/>
                <w:b w:val="0"/>
                <w:sz w:val="21"/>
                <w:szCs w:val="21"/>
                <w:vertAlign w:val="baseline"/>
                <w:lang w:eastAsia="zh-CN"/>
              </w:rPr>
              <w:t>6.5</w:t>
            </w:r>
          </w:p>
        </w:tc>
        <w:tc>
          <w:tcPr>
            <w:tcW w:w="1292" w:type="pct"/>
            <w:tcBorders>
              <w:tl2br w:val="nil"/>
              <w:tr2bl w:val="nil"/>
            </w:tcBorders>
            <w:vAlign w:val="center"/>
          </w:tcPr>
          <w:p w14:paraId="585C585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sz w:val="21"/>
                <w:szCs w:val="21"/>
                <w:vertAlign w:val="baseline"/>
                <w:lang w:eastAsia="zh-CN"/>
              </w:rPr>
            </w:pPr>
            <w:r>
              <w:rPr>
                <w:rFonts w:hint="default" w:ascii="Times New Roman" w:hAnsi="Times New Roman" w:eastAsia="宋体" w:cs="Times New Roman"/>
                <w:b w:val="0"/>
                <w:sz w:val="21"/>
                <w:szCs w:val="21"/>
                <w:vertAlign w:val="baseline"/>
                <w:lang w:eastAsia="zh-CN"/>
              </w:rPr>
              <w:t>-11.88</w:t>
            </w:r>
          </w:p>
        </w:tc>
        <w:tc>
          <w:tcPr>
            <w:tcW w:w="1163" w:type="pct"/>
            <w:tcBorders>
              <w:tl2br w:val="nil"/>
              <w:tr2bl w:val="nil"/>
            </w:tcBorders>
            <w:vAlign w:val="center"/>
          </w:tcPr>
          <w:p w14:paraId="484D25C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sz w:val="21"/>
                <w:szCs w:val="21"/>
                <w:vertAlign w:val="baseline"/>
                <w:lang w:eastAsia="zh-CN"/>
              </w:rPr>
            </w:pPr>
            <w:r>
              <w:rPr>
                <w:rFonts w:hint="default" w:ascii="Times New Roman" w:hAnsi="Times New Roman" w:eastAsia="宋体" w:cs="Times New Roman"/>
                <w:b w:val="0"/>
                <w:sz w:val="21"/>
                <w:szCs w:val="21"/>
                <w:vertAlign w:val="baseline"/>
                <w:lang w:eastAsia="zh-CN"/>
              </w:rPr>
              <w:t>6.5</w:t>
            </w:r>
          </w:p>
        </w:tc>
        <w:tc>
          <w:tcPr>
            <w:tcW w:w="1332" w:type="pct"/>
            <w:tcBorders>
              <w:tl2br w:val="nil"/>
              <w:tr2bl w:val="nil"/>
            </w:tcBorders>
            <w:vAlign w:val="center"/>
          </w:tcPr>
          <w:p w14:paraId="0EAC4B1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sz w:val="21"/>
                <w:szCs w:val="21"/>
                <w:vertAlign w:val="baseline"/>
                <w:lang w:eastAsia="zh-CN"/>
              </w:rPr>
            </w:pPr>
            <w:r>
              <w:rPr>
                <w:rFonts w:hint="default" w:ascii="Times New Roman" w:hAnsi="Times New Roman" w:eastAsia="宋体" w:cs="Times New Roman"/>
                <w:b w:val="0"/>
                <w:sz w:val="21"/>
                <w:szCs w:val="21"/>
                <w:vertAlign w:val="baseline"/>
                <w:lang w:eastAsia="zh-CN"/>
              </w:rPr>
              <w:t>11.32</w:t>
            </w:r>
          </w:p>
        </w:tc>
      </w:tr>
    </w:tbl>
    <w:p w14:paraId="7C52DA8D">
      <w:pPr>
        <w:jc w:val="center"/>
        <w:rPr>
          <w:rFonts w:hint="default" w:ascii="Times New Roman" w:hAnsi="Times New Roman" w:eastAsia="宋体" w:cs="Times New Roman"/>
          <w:b w:val="0"/>
          <w:sz w:val="20"/>
          <w:lang w:eastAsia="zh-CN"/>
        </w:rPr>
      </w:pPr>
    </w:p>
    <w:p w14:paraId="56A4883C">
      <w:pPr>
        <w:keepNext w:val="0"/>
        <w:keepLines w:val="0"/>
        <w:pageBreakBefore w:val="0"/>
        <w:widowControl w:val="0"/>
        <w:kinsoku/>
        <w:wordWrap/>
        <w:overflowPunct/>
        <w:topLinePunct w:val="0"/>
        <w:autoSpaceDE/>
        <w:autoSpaceDN/>
        <w:bidi w:val="0"/>
        <w:adjustRightInd/>
        <w:snapToGrid/>
        <w:spacing w:before="313" w:beforeLines="100" w:line="240" w:lineRule="auto"/>
        <w:jc w:val="center"/>
        <w:textAlignment w:val="auto"/>
        <w:rPr>
          <w:rFonts w:hint="default" w:ascii="Times New Roman" w:hAnsi="Times New Roman" w:eastAsia="宋体" w:cs="Times New Roman"/>
          <w:b w:val="0"/>
          <w:sz w:val="24"/>
          <w:lang w:eastAsia="zh-CN"/>
        </w:rPr>
      </w:pPr>
    </w:p>
    <w:p w14:paraId="206AAE60">
      <w:pPr>
        <w:keepNext w:val="0"/>
        <w:keepLines w:val="0"/>
        <w:pageBreakBefore w:val="0"/>
        <w:widowControl w:val="0"/>
        <w:kinsoku/>
        <w:wordWrap/>
        <w:overflowPunct/>
        <w:topLinePunct w:val="0"/>
        <w:autoSpaceDE/>
        <w:autoSpaceDN/>
        <w:bidi w:val="0"/>
        <w:adjustRightInd/>
        <w:snapToGrid/>
        <w:spacing w:before="313" w:beforeLines="100" w:line="240" w:lineRule="auto"/>
        <w:jc w:val="center"/>
        <w:textAlignment w:val="auto"/>
        <w:rPr>
          <w:rFonts w:ascii="Calibri" w:hAnsi="Calibri" w:eastAsia="宋体" w:cs="Calibri"/>
          <w:color w:val="0000FF"/>
          <w:szCs w:val="21"/>
          <w:highlight w:val="none"/>
        </w:rPr>
      </w:pPr>
      <w:r>
        <w:rPr>
          <w:rFonts w:hint="default" w:ascii="Times New Roman" w:hAnsi="Times New Roman" w:eastAsia="宋体" w:cs="Times New Roman"/>
          <w:b w:val="0"/>
          <w:sz w:val="24"/>
          <w:lang w:eastAsia="zh-CN"/>
        </w:rPr>
        <w:drawing>
          <wp:inline distT="0" distB="0" distL="114300" distR="114300">
            <wp:extent cx="5270500" cy="3503295"/>
            <wp:effectExtent l="0" t="0" r="6350" b="1905"/>
            <wp:docPr id="53" name="图片 53" descr="Graph_DifLowH_elecIntensity"/>
            <wp:cNvGraphicFramePr/>
            <a:graphic xmlns:a="http://schemas.openxmlformats.org/drawingml/2006/main">
              <a:graphicData uri="http://schemas.openxmlformats.org/drawingml/2006/picture">
                <pic:pic xmlns:pic="http://schemas.openxmlformats.org/drawingml/2006/picture">
                  <pic:nvPicPr>
                    <pic:cNvPr id="53" name="图片 53" descr="Graph_DifLowH_elecIntensity"/>
                    <pic:cNvPicPr/>
                  </pic:nvPicPr>
                  <pic:blipFill>
                    <a:blip r:embed="rId76"/>
                    <a:stretch>
                      <a:fillRect/>
                    </a:stretch>
                  </pic:blipFill>
                  <pic:spPr>
                    <a:xfrm>
                      <a:off x="0" y="0"/>
                      <a:ext cx="5270500" cy="3503295"/>
                    </a:xfrm>
                    <a:prstGeom prst="rect">
                      <a:avLst/>
                    </a:prstGeom>
                  </pic:spPr>
                </pic:pic>
              </a:graphicData>
            </a:graphic>
          </wp:inline>
        </w:drawing>
      </w:r>
    </w:p>
    <w:p w14:paraId="7ED263E9">
      <w:pPr>
        <w:spacing w:line="360" w:lineRule="auto"/>
        <w:jc w:val="center"/>
        <w:rPr>
          <w:rFonts w:hint="eastAsia" w:ascii="宋体" w:hAnsi="宋体" w:eastAsia="宋体" w:cs="Calibri"/>
          <w:b/>
          <w:color w:val="auto"/>
          <w:sz w:val="24"/>
          <w:szCs w:val="21"/>
          <w:highlight w:val="none"/>
        </w:rPr>
      </w:pPr>
      <w:r>
        <w:rPr>
          <w:rFonts w:hint="eastAsia" w:ascii="宋体" w:hAnsi="宋体" w:eastAsia="宋体" w:cs="Calibri"/>
          <w:b/>
          <w:color w:val="auto"/>
          <w:sz w:val="24"/>
          <w:szCs w:val="21"/>
          <w:highlight w:val="none"/>
        </w:rPr>
        <w:t>图3-</w:t>
      </w:r>
      <w:r>
        <w:rPr>
          <w:rFonts w:hint="eastAsia" w:ascii="宋体" w:hAnsi="宋体" w:eastAsia="宋体" w:cs="Calibri"/>
          <w:b/>
          <w:color w:val="auto"/>
          <w:sz w:val="24"/>
          <w:szCs w:val="21"/>
          <w:highlight w:val="none"/>
          <w:lang w:val="en-US" w:eastAsia="zh-CN"/>
        </w:rPr>
        <w:t>7</w:t>
      </w:r>
      <w:r>
        <w:rPr>
          <w:rFonts w:hint="eastAsia" w:ascii="宋体" w:hAnsi="宋体" w:cs="Calibri"/>
          <w:b/>
          <w:color w:val="auto"/>
          <w:sz w:val="24"/>
          <w:szCs w:val="21"/>
          <w:highlight w:val="none"/>
          <w:lang w:val="en-US" w:eastAsia="zh-CN"/>
        </w:rPr>
        <w:t xml:space="preserve">    </w:t>
      </w:r>
      <w:r>
        <w:rPr>
          <w:rFonts w:hint="eastAsia" w:ascii="宋体" w:hAnsi="宋体" w:eastAsia="宋体" w:cs="Calibri"/>
          <w:b/>
          <w:color w:val="auto"/>
          <w:sz w:val="24"/>
          <w:szCs w:val="21"/>
          <w:highlight w:val="none"/>
          <w:lang w:val="en-US" w:eastAsia="zh-CN"/>
        </w:rPr>
        <w:t>220kV</w:t>
      </w:r>
      <w:r>
        <w:rPr>
          <w:rFonts w:hint="eastAsia" w:ascii="宋体" w:hAnsi="宋体" w:cs="Calibri"/>
          <w:b/>
          <w:color w:val="auto"/>
          <w:sz w:val="24"/>
          <w:szCs w:val="21"/>
          <w:highlight w:val="none"/>
          <w:lang w:val="en-US" w:eastAsia="zh-CN"/>
        </w:rPr>
        <w:t>单回路</w:t>
      </w:r>
      <w:r>
        <w:rPr>
          <w:rFonts w:hint="eastAsia" w:ascii="宋体" w:hAnsi="宋体" w:eastAsia="宋体" w:cs="Calibri"/>
          <w:b/>
          <w:bCs/>
          <w:color w:val="auto"/>
          <w:sz w:val="24"/>
          <w:szCs w:val="21"/>
          <w:highlight w:val="none"/>
        </w:rPr>
        <w:t>线路工频电场强度预测分布曲线</w:t>
      </w:r>
    </w:p>
    <w:p w14:paraId="75583A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Calibri"/>
          <w:color w:val="0000FF"/>
          <w:sz w:val="24"/>
          <w:szCs w:val="21"/>
          <w:highlight w:val="none"/>
        </w:rPr>
      </w:pPr>
      <w:r>
        <w:rPr>
          <w:rFonts w:hint="default" w:ascii="Times New Roman" w:hAnsi="Times New Roman" w:eastAsia="宋体" w:cs="Times New Roman"/>
          <w:b w:val="0"/>
          <w:sz w:val="24"/>
          <w:lang w:eastAsia="zh-CN"/>
        </w:rPr>
        <w:drawing>
          <wp:inline distT="0" distB="0" distL="114300" distR="114300">
            <wp:extent cx="5270500" cy="3503295"/>
            <wp:effectExtent l="0" t="0" r="6350" b="1905"/>
            <wp:docPr id="2" name="图片 2" descr="Graph_DifLowH_magIntensity"/>
            <wp:cNvGraphicFramePr/>
            <a:graphic xmlns:a="http://schemas.openxmlformats.org/drawingml/2006/main">
              <a:graphicData uri="http://schemas.openxmlformats.org/drawingml/2006/picture">
                <pic:pic xmlns:pic="http://schemas.openxmlformats.org/drawingml/2006/picture">
                  <pic:nvPicPr>
                    <pic:cNvPr id="2" name="图片 2" descr="Graph_DifLowH_magIntensity"/>
                    <pic:cNvPicPr/>
                  </pic:nvPicPr>
                  <pic:blipFill>
                    <a:blip r:embed="rId77"/>
                    <a:stretch>
                      <a:fillRect/>
                    </a:stretch>
                  </pic:blipFill>
                  <pic:spPr>
                    <a:xfrm>
                      <a:off x="0" y="0"/>
                      <a:ext cx="5270500" cy="3503295"/>
                    </a:xfrm>
                    <a:prstGeom prst="rect">
                      <a:avLst/>
                    </a:prstGeom>
                  </pic:spPr>
                </pic:pic>
              </a:graphicData>
            </a:graphic>
          </wp:inline>
        </w:drawing>
      </w:r>
    </w:p>
    <w:p w14:paraId="326DAE2B">
      <w:pPr>
        <w:jc w:val="center"/>
        <w:rPr>
          <w:rFonts w:hint="eastAsia" w:ascii="宋体" w:hAnsi="宋体" w:eastAsia="宋体" w:cs="Calibri"/>
          <w:b/>
          <w:color w:val="auto"/>
          <w:sz w:val="24"/>
          <w:szCs w:val="21"/>
          <w:highlight w:val="none"/>
          <w:lang w:eastAsia="zh-CN"/>
        </w:rPr>
      </w:pPr>
      <w:r>
        <w:rPr>
          <w:rFonts w:hint="eastAsia" w:ascii="宋体" w:hAnsi="宋体" w:eastAsia="宋体" w:cs="Calibri"/>
          <w:b/>
          <w:color w:val="auto"/>
          <w:sz w:val="24"/>
          <w:szCs w:val="21"/>
          <w:highlight w:val="none"/>
        </w:rPr>
        <w:t>图3</w:t>
      </w:r>
      <w:r>
        <w:rPr>
          <w:rFonts w:hint="eastAsia" w:ascii="宋体" w:hAnsi="宋体" w:eastAsia="宋体" w:cs="Calibri"/>
          <w:b/>
          <w:color w:val="auto"/>
          <w:sz w:val="24"/>
          <w:szCs w:val="21"/>
          <w:highlight w:val="none"/>
          <w:lang w:val="en-US" w:eastAsia="zh-CN"/>
        </w:rPr>
        <w:t>-8</w:t>
      </w:r>
      <w:r>
        <w:rPr>
          <w:rFonts w:hint="eastAsia" w:ascii="宋体" w:hAnsi="宋体" w:cs="Calibri"/>
          <w:b/>
          <w:color w:val="auto"/>
          <w:sz w:val="24"/>
          <w:szCs w:val="21"/>
          <w:highlight w:val="none"/>
          <w:lang w:val="en-US" w:eastAsia="zh-CN"/>
        </w:rPr>
        <w:t xml:space="preserve">    </w:t>
      </w:r>
      <w:r>
        <w:rPr>
          <w:rFonts w:hint="eastAsia" w:ascii="宋体" w:hAnsi="宋体" w:eastAsia="宋体" w:cs="Calibri"/>
          <w:b/>
          <w:bCs/>
          <w:color w:val="auto"/>
          <w:sz w:val="24"/>
          <w:szCs w:val="21"/>
          <w:highlight w:val="none"/>
          <w:lang w:val="en-US" w:eastAsia="zh-CN"/>
        </w:rPr>
        <w:t>220kV</w:t>
      </w:r>
      <w:r>
        <w:rPr>
          <w:rFonts w:hint="eastAsia" w:ascii="宋体" w:hAnsi="宋体" w:cs="Calibri"/>
          <w:b/>
          <w:bCs/>
          <w:color w:val="auto"/>
          <w:sz w:val="24"/>
          <w:szCs w:val="21"/>
          <w:highlight w:val="none"/>
          <w:lang w:val="en-US" w:eastAsia="zh-CN"/>
        </w:rPr>
        <w:t>单回路</w:t>
      </w:r>
      <w:r>
        <w:rPr>
          <w:rFonts w:hint="eastAsia" w:ascii="宋体" w:hAnsi="宋体" w:eastAsia="宋体" w:cs="Calibri"/>
          <w:b/>
          <w:bCs/>
          <w:color w:val="auto"/>
          <w:sz w:val="24"/>
          <w:szCs w:val="21"/>
          <w:highlight w:val="none"/>
        </w:rPr>
        <w:t>线路工频磁感应强度预测分布曲线</w:t>
      </w:r>
    </w:p>
    <w:p w14:paraId="3C373CED">
      <w:pPr>
        <w:keepNext w:val="0"/>
        <w:keepLines w:val="0"/>
        <w:pageBreakBefore w:val="0"/>
        <w:widowControl w:val="0"/>
        <w:kinsoku/>
        <w:wordWrap/>
        <w:overflowPunct/>
        <w:topLinePunct w:val="0"/>
        <w:autoSpaceDE/>
        <w:autoSpaceDN/>
        <w:bidi w:val="0"/>
        <w:adjustRightInd/>
        <w:snapToGrid/>
        <w:spacing w:before="313" w:beforeLines="100" w:line="360" w:lineRule="auto"/>
        <w:jc w:val="center"/>
        <w:textAlignment w:val="auto"/>
        <w:rPr>
          <w:rFonts w:ascii="宋体" w:hAnsi="宋体" w:cs="Calibri"/>
          <w:color w:val="0000FF"/>
          <w:sz w:val="24"/>
          <w:szCs w:val="21"/>
          <w:highlight w:val="cyan"/>
        </w:rPr>
      </w:pPr>
      <w:bookmarkStart w:id="211" w:name="_Toc490170076"/>
      <w:bookmarkStart w:id="212" w:name="_Toc61882586"/>
      <w:bookmarkStart w:id="213" w:name="_Toc38780089"/>
      <w:r>
        <w:rPr>
          <w:rFonts w:hint="default" w:ascii="Times New Roman" w:hAnsi="Times New Roman" w:eastAsia="宋体" w:cs="Times New Roman"/>
          <w:b w:val="0"/>
          <w:sz w:val="24"/>
          <w:lang w:eastAsia="zh-CN"/>
        </w:rPr>
        <w:drawing>
          <wp:inline distT="0" distB="0" distL="114300" distR="114300">
            <wp:extent cx="5270500" cy="3503295"/>
            <wp:effectExtent l="0" t="0" r="6350" b="1905"/>
            <wp:docPr id="54" name="图片 54" descr="Graph_nkVIsoline"/>
            <wp:cNvGraphicFramePr/>
            <a:graphic xmlns:a="http://schemas.openxmlformats.org/drawingml/2006/main">
              <a:graphicData uri="http://schemas.openxmlformats.org/drawingml/2006/picture">
                <pic:pic xmlns:pic="http://schemas.openxmlformats.org/drawingml/2006/picture">
                  <pic:nvPicPr>
                    <pic:cNvPr id="54" name="图片 54" descr="Graph_nkVIsoline"/>
                    <pic:cNvPicPr/>
                  </pic:nvPicPr>
                  <pic:blipFill>
                    <a:blip r:embed="rId78"/>
                    <a:stretch>
                      <a:fillRect/>
                    </a:stretch>
                  </pic:blipFill>
                  <pic:spPr>
                    <a:xfrm>
                      <a:off x="0" y="0"/>
                      <a:ext cx="5270500" cy="3503295"/>
                    </a:xfrm>
                    <a:prstGeom prst="rect">
                      <a:avLst/>
                    </a:prstGeom>
                  </pic:spPr>
                </pic:pic>
              </a:graphicData>
            </a:graphic>
          </wp:inline>
        </w:drawing>
      </w:r>
    </w:p>
    <w:p w14:paraId="2C62F290">
      <w:pPr>
        <w:spacing w:line="360" w:lineRule="auto"/>
        <w:jc w:val="center"/>
        <w:rPr>
          <w:rFonts w:hint="eastAsia" w:ascii="宋体" w:hAnsi="宋体" w:cs="Calibri"/>
          <w:b/>
          <w:bCs/>
          <w:color w:val="auto"/>
          <w:sz w:val="24"/>
          <w:szCs w:val="21"/>
          <w:highlight w:val="none"/>
        </w:rPr>
      </w:pPr>
      <w:r>
        <w:rPr>
          <w:rFonts w:hint="eastAsia" w:ascii="宋体" w:hAnsi="宋体" w:eastAsia="宋体" w:cs="宋体"/>
          <w:b/>
          <w:bCs w:val="0"/>
          <w:color w:val="auto"/>
          <w:sz w:val="24"/>
          <w:szCs w:val="21"/>
          <w:highlight w:val="none"/>
        </w:rPr>
        <w:t>图3-</w:t>
      </w:r>
      <w:r>
        <w:rPr>
          <w:rFonts w:hint="eastAsia" w:ascii="宋体" w:hAnsi="宋体" w:cs="宋体"/>
          <w:b/>
          <w:bCs w:val="0"/>
          <w:color w:val="auto"/>
          <w:sz w:val="24"/>
          <w:szCs w:val="21"/>
          <w:highlight w:val="none"/>
          <w:lang w:val="en-US" w:eastAsia="zh-CN"/>
        </w:rPr>
        <w:t xml:space="preserve">9    </w:t>
      </w:r>
      <w:r>
        <w:rPr>
          <w:rFonts w:hint="eastAsia" w:ascii="宋体" w:hAnsi="宋体" w:cs="Calibri"/>
          <w:b/>
          <w:color w:val="auto"/>
          <w:sz w:val="24"/>
          <w:szCs w:val="21"/>
          <w:highlight w:val="none"/>
        </w:rPr>
        <w:t>220kV</w:t>
      </w:r>
      <w:r>
        <w:rPr>
          <w:rFonts w:hint="eastAsia" w:ascii="宋体" w:hAnsi="宋体" w:cs="Calibri"/>
          <w:b/>
          <w:color w:val="auto"/>
          <w:sz w:val="24"/>
          <w:szCs w:val="21"/>
          <w:highlight w:val="none"/>
          <w:lang w:val="en-US" w:eastAsia="zh-CN"/>
        </w:rPr>
        <w:t>单</w:t>
      </w:r>
      <w:r>
        <w:rPr>
          <w:rFonts w:hint="eastAsia" w:ascii="宋体" w:hAnsi="宋体" w:eastAsia="宋体" w:cs="Calibri"/>
          <w:b/>
          <w:color w:val="auto"/>
          <w:sz w:val="24"/>
          <w:szCs w:val="21"/>
          <w:highlight w:val="none"/>
          <w:lang w:val="en-US" w:eastAsia="zh-CN"/>
        </w:rPr>
        <w:t>回路</w:t>
      </w:r>
      <w:r>
        <w:rPr>
          <w:rFonts w:hint="eastAsia" w:ascii="宋体" w:hAnsi="宋体" w:eastAsia="宋体" w:cs="Calibri"/>
          <w:b/>
          <w:bCs/>
          <w:color w:val="auto"/>
          <w:sz w:val="24"/>
          <w:szCs w:val="21"/>
          <w:highlight w:val="none"/>
        </w:rPr>
        <w:t>线路</w:t>
      </w:r>
      <w:r>
        <w:rPr>
          <w:rFonts w:hint="eastAsia" w:ascii="宋体" w:hAnsi="宋体" w:cs="Calibri"/>
          <w:b/>
          <w:bCs/>
          <w:color w:val="auto"/>
          <w:sz w:val="24"/>
          <w:szCs w:val="21"/>
          <w:highlight w:val="none"/>
          <w:lang w:val="en-US" w:eastAsia="zh-CN"/>
        </w:rPr>
        <w:t>工频</w:t>
      </w:r>
      <w:r>
        <w:rPr>
          <w:rFonts w:hint="eastAsia" w:ascii="宋体" w:hAnsi="宋体" w:eastAsia="宋体" w:cs="Calibri"/>
          <w:b/>
          <w:bCs/>
          <w:color w:val="auto"/>
          <w:sz w:val="24"/>
          <w:szCs w:val="21"/>
          <w:highlight w:val="none"/>
        </w:rPr>
        <w:t>电场强度</w:t>
      </w:r>
      <w:r>
        <w:rPr>
          <w:rFonts w:hint="eastAsia" w:ascii="宋体" w:hAnsi="宋体" w:cs="Calibri"/>
          <w:b/>
          <w:bCs/>
          <w:color w:val="auto"/>
          <w:sz w:val="24"/>
          <w:szCs w:val="21"/>
          <w:highlight w:val="none"/>
          <w:lang w:val="en-US" w:eastAsia="zh-CN"/>
        </w:rPr>
        <w:t>4kV/m</w:t>
      </w:r>
      <w:r>
        <w:rPr>
          <w:rFonts w:hint="eastAsia" w:ascii="宋体" w:hAnsi="宋体" w:cs="Calibri"/>
          <w:b/>
          <w:bCs/>
          <w:color w:val="auto"/>
          <w:sz w:val="24"/>
          <w:szCs w:val="21"/>
          <w:highlight w:val="none"/>
        </w:rPr>
        <w:t>等值线图</w:t>
      </w:r>
    </w:p>
    <w:bookmarkEnd w:id="211"/>
    <w:bookmarkEnd w:id="212"/>
    <w:bookmarkEnd w:id="213"/>
    <w:p w14:paraId="0C1C49EB">
      <w:pPr>
        <w:keepNext w:val="0"/>
        <w:keepLines w:val="0"/>
        <w:pageBreakBefore w:val="0"/>
        <w:widowControl w:val="0"/>
        <w:kinsoku/>
        <w:wordWrap/>
        <w:overflowPunct/>
        <w:topLinePunct w:val="0"/>
        <w:autoSpaceDE/>
        <w:autoSpaceDN/>
        <w:bidi w:val="0"/>
        <w:adjustRightInd/>
        <w:snapToGrid/>
        <w:spacing w:before="313" w:beforeLines="100"/>
        <w:ind w:firstLine="482" w:firstLineChars="200"/>
        <w:jc w:val="center"/>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表</w:t>
      </w:r>
      <w:r>
        <w:rPr>
          <w:rFonts w:hint="eastAsia" w:ascii="宋体" w:hAnsi="宋体" w:eastAsia="宋体" w:cs="宋体"/>
          <w:b/>
          <w:bCs/>
          <w:color w:val="auto"/>
          <w:sz w:val="24"/>
          <w:szCs w:val="24"/>
          <w:highlight w:val="none"/>
          <w:lang w:val="en-US" w:eastAsia="zh-CN"/>
        </w:rPr>
        <w:t>3.2-</w:t>
      </w:r>
      <w:r>
        <w:rPr>
          <w:rFonts w:hint="eastAsia" w:ascii="宋体" w:hAnsi="宋体" w:cs="宋体"/>
          <w:b/>
          <w:bCs/>
          <w:color w:val="auto"/>
          <w:sz w:val="24"/>
          <w:szCs w:val="24"/>
          <w:highlight w:val="none"/>
          <w:lang w:val="en-US" w:eastAsia="zh-CN"/>
        </w:rPr>
        <w:t xml:space="preserve">5    </w:t>
      </w:r>
      <w:r>
        <w:rPr>
          <w:rFonts w:hint="eastAsia" w:ascii="宋体" w:hAnsi="宋体" w:eastAsia="宋体" w:cs="宋体"/>
          <w:b/>
          <w:bCs/>
          <w:color w:val="auto"/>
          <w:sz w:val="24"/>
          <w:szCs w:val="24"/>
          <w:highlight w:val="none"/>
          <w:lang w:val="en-US" w:eastAsia="zh-CN"/>
        </w:rPr>
        <w:t>双回路</w:t>
      </w:r>
      <w:r>
        <w:rPr>
          <w:rFonts w:hint="eastAsia" w:ascii="宋体" w:hAnsi="宋体" w:eastAsia="宋体" w:cs="宋体"/>
          <w:b/>
          <w:bCs/>
          <w:color w:val="auto"/>
          <w:sz w:val="24"/>
          <w:szCs w:val="24"/>
          <w:highlight w:val="none"/>
          <w:lang w:eastAsia="zh-CN"/>
        </w:rPr>
        <w:t>线路段电磁环境预测值</w:t>
      </w:r>
    </w:p>
    <w:tbl>
      <w:tblPr>
        <w:tblStyle w:val="32"/>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29"/>
        <w:gridCol w:w="1253"/>
        <w:gridCol w:w="1298"/>
        <w:gridCol w:w="1351"/>
        <w:gridCol w:w="1298"/>
        <w:gridCol w:w="1235"/>
        <w:gridCol w:w="1382"/>
      </w:tblGrid>
      <w:tr w14:paraId="22AEBB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030" w:type="pct"/>
            <w:vMerge w:val="restart"/>
            <w:noWrap w:val="0"/>
            <w:vAlign w:val="center"/>
          </w:tcPr>
          <w:p w14:paraId="64B2B43D">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预测点与原点</w:t>
            </w:r>
          </w:p>
          <w:p w14:paraId="3E3014A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sz w:val="21"/>
                <w:szCs w:val="21"/>
                <w:highlight w:val="none"/>
              </w:rPr>
              <w:t>的水平距离</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m</w:t>
            </w:r>
            <w:r>
              <w:rPr>
                <w:rFonts w:hint="eastAsia" w:ascii="宋体" w:hAnsi="宋体" w:cs="宋体"/>
                <w:color w:val="auto"/>
                <w:sz w:val="21"/>
                <w:szCs w:val="21"/>
                <w:highlight w:val="none"/>
                <w:lang w:eastAsia="zh-CN"/>
              </w:rPr>
              <w:t>）</w:t>
            </w:r>
          </w:p>
        </w:tc>
        <w:tc>
          <w:tcPr>
            <w:tcW w:w="1295" w:type="pct"/>
            <w:gridSpan w:val="2"/>
            <w:noWrap w:val="0"/>
            <w:vAlign w:val="center"/>
          </w:tcPr>
          <w:p w14:paraId="007B74DD">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导线对地高度7.</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m</w:t>
            </w:r>
          </w:p>
        </w:tc>
        <w:tc>
          <w:tcPr>
            <w:tcW w:w="1345" w:type="pct"/>
            <w:gridSpan w:val="2"/>
            <w:noWrap w:val="0"/>
            <w:vAlign w:val="center"/>
          </w:tcPr>
          <w:p w14:paraId="474F6559">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导线对地高度6.</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m</w:t>
            </w:r>
          </w:p>
        </w:tc>
        <w:tc>
          <w:tcPr>
            <w:tcW w:w="1328" w:type="pct"/>
            <w:gridSpan w:val="2"/>
            <w:noWrap w:val="0"/>
            <w:vAlign w:val="center"/>
          </w:tcPr>
          <w:p w14:paraId="3FDF746A">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导线对地高度</w:t>
            </w:r>
            <w:r>
              <w:rPr>
                <w:rFonts w:hint="eastAsia" w:ascii="宋体" w:hAnsi="宋体" w:cs="宋体"/>
                <w:color w:val="auto"/>
                <w:sz w:val="21"/>
                <w:szCs w:val="21"/>
                <w:highlight w:val="none"/>
                <w:lang w:val="en-US" w:eastAsia="zh-CN"/>
              </w:rPr>
              <w:t>10.6</w:t>
            </w:r>
            <w:r>
              <w:rPr>
                <w:rFonts w:hint="eastAsia" w:ascii="宋体" w:hAnsi="宋体" w:eastAsia="宋体" w:cs="宋体"/>
                <w:color w:val="auto"/>
                <w:sz w:val="21"/>
                <w:szCs w:val="21"/>
                <w:highlight w:val="none"/>
              </w:rPr>
              <w:t>m</w:t>
            </w:r>
          </w:p>
        </w:tc>
      </w:tr>
      <w:tr w14:paraId="569401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vMerge w:val="continue"/>
            <w:noWrap w:val="0"/>
            <w:vAlign w:val="center"/>
          </w:tcPr>
          <w:p w14:paraId="7CB37DA0">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rPr>
            </w:pPr>
          </w:p>
        </w:tc>
        <w:tc>
          <w:tcPr>
            <w:tcW w:w="636" w:type="pct"/>
            <w:noWrap w:val="0"/>
            <w:vAlign w:val="center"/>
          </w:tcPr>
          <w:p w14:paraId="018DCD86">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E</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kV/m</w:t>
            </w:r>
            <w:r>
              <w:rPr>
                <w:rFonts w:hint="eastAsia" w:ascii="宋体" w:hAnsi="宋体" w:eastAsia="宋体" w:cs="宋体"/>
                <w:color w:val="auto"/>
                <w:sz w:val="21"/>
                <w:szCs w:val="21"/>
                <w:lang w:eastAsia="zh-CN"/>
              </w:rPr>
              <w:t>)</w:t>
            </w:r>
          </w:p>
        </w:tc>
        <w:tc>
          <w:tcPr>
            <w:tcW w:w="659" w:type="pct"/>
            <w:noWrap w:val="0"/>
            <w:vAlign w:val="center"/>
          </w:tcPr>
          <w:p w14:paraId="5611606B">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B</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μT</w:t>
            </w:r>
            <w:r>
              <w:rPr>
                <w:rFonts w:hint="eastAsia" w:ascii="宋体" w:hAnsi="宋体" w:eastAsia="宋体" w:cs="宋体"/>
                <w:color w:val="auto"/>
                <w:sz w:val="21"/>
                <w:szCs w:val="21"/>
                <w:lang w:eastAsia="zh-CN"/>
              </w:rPr>
              <w:t>)</w:t>
            </w:r>
          </w:p>
        </w:tc>
        <w:tc>
          <w:tcPr>
            <w:tcW w:w="686" w:type="pct"/>
            <w:noWrap w:val="0"/>
            <w:vAlign w:val="center"/>
          </w:tcPr>
          <w:p w14:paraId="31CDD063">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E</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kV/m</w:t>
            </w:r>
            <w:r>
              <w:rPr>
                <w:rFonts w:hint="eastAsia" w:ascii="宋体" w:hAnsi="宋体" w:eastAsia="宋体" w:cs="宋体"/>
                <w:color w:val="auto"/>
                <w:sz w:val="21"/>
                <w:szCs w:val="21"/>
                <w:lang w:eastAsia="zh-CN"/>
              </w:rPr>
              <w:t>)</w:t>
            </w:r>
          </w:p>
        </w:tc>
        <w:tc>
          <w:tcPr>
            <w:tcW w:w="659" w:type="pct"/>
            <w:noWrap w:val="0"/>
            <w:vAlign w:val="center"/>
          </w:tcPr>
          <w:p w14:paraId="02AAB5E6">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B</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μT</w:t>
            </w:r>
            <w:r>
              <w:rPr>
                <w:rFonts w:hint="eastAsia" w:ascii="宋体" w:hAnsi="宋体" w:eastAsia="宋体" w:cs="宋体"/>
                <w:color w:val="auto"/>
                <w:sz w:val="21"/>
                <w:szCs w:val="21"/>
                <w:lang w:eastAsia="zh-CN"/>
              </w:rPr>
              <w:t>)</w:t>
            </w:r>
          </w:p>
        </w:tc>
        <w:tc>
          <w:tcPr>
            <w:tcW w:w="627" w:type="pct"/>
            <w:noWrap w:val="0"/>
            <w:vAlign w:val="center"/>
          </w:tcPr>
          <w:p w14:paraId="0C73A92C">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E</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kV/m</w:t>
            </w:r>
            <w:r>
              <w:rPr>
                <w:rFonts w:hint="eastAsia" w:ascii="宋体" w:hAnsi="宋体" w:eastAsia="宋体" w:cs="宋体"/>
                <w:color w:val="auto"/>
                <w:sz w:val="21"/>
                <w:szCs w:val="21"/>
                <w:lang w:eastAsia="zh-CN"/>
              </w:rPr>
              <w:t>)</w:t>
            </w:r>
          </w:p>
        </w:tc>
        <w:tc>
          <w:tcPr>
            <w:tcW w:w="701" w:type="pct"/>
            <w:noWrap w:val="0"/>
            <w:vAlign w:val="center"/>
          </w:tcPr>
          <w:p w14:paraId="36E22DF4">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B</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μT</w:t>
            </w:r>
            <w:r>
              <w:rPr>
                <w:rFonts w:hint="eastAsia" w:ascii="宋体" w:hAnsi="宋体" w:eastAsia="宋体" w:cs="宋体"/>
                <w:color w:val="auto"/>
                <w:sz w:val="21"/>
                <w:szCs w:val="21"/>
                <w:lang w:eastAsia="zh-CN"/>
              </w:rPr>
              <w:t>)</w:t>
            </w:r>
          </w:p>
        </w:tc>
      </w:tr>
      <w:tr w14:paraId="56D235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2A9FC12E">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-50</w:t>
            </w:r>
          </w:p>
        </w:tc>
        <w:tc>
          <w:tcPr>
            <w:tcW w:w="636" w:type="pct"/>
            <w:shd w:val="clear" w:color="auto" w:fill="auto"/>
            <w:noWrap w:val="0"/>
            <w:vAlign w:val="center"/>
          </w:tcPr>
          <w:p w14:paraId="7052F070">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0.168</w:t>
            </w:r>
          </w:p>
        </w:tc>
        <w:tc>
          <w:tcPr>
            <w:tcW w:w="659" w:type="pct"/>
            <w:shd w:val="clear" w:color="auto" w:fill="auto"/>
            <w:noWrap w:val="0"/>
            <w:vAlign w:val="center"/>
          </w:tcPr>
          <w:p w14:paraId="3A5B730A">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3.30</w:t>
            </w:r>
          </w:p>
        </w:tc>
        <w:tc>
          <w:tcPr>
            <w:tcW w:w="686" w:type="pct"/>
            <w:shd w:val="clear" w:color="auto" w:fill="auto"/>
            <w:noWrap w:val="0"/>
            <w:vAlign w:val="center"/>
          </w:tcPr>
          <w:p w14:paraId="0511E09E">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0.177</w:t>
            </w:r>
          </w:p>
        </w:tc>
        <w:tc>
          <w:tcPr>
            <w:tcW w:w="659" w:type="pct"/>
            <w:shd w:val="clear" w:color="auto" w:fill="auto"/>
            <w:noWrap w:val="0"/>
            <w:vAlign w:val="center"/>
          </w:tcPr>
          <w:p w14:paraId="55F680AA">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3.34</w:t>
            </w:r>
          </w:p>
        </w:tc>
        <w:tc>
          <w:tcPr>
            <w:tcW w:w="627" w:type="pct"/>
            <w:shd w:val="clear" w:color="auto" w:fill="auto"/>
            <w:noWrap w:val="0"/>
            <w:vAlign w:val="center"/>
          </w:tcPr>
          <w:p w14:paraId="79729EEA">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0.139</w:t>
            </w:r>
          </w:p>
        </w:tc>
        <w:tc>
          <w:tcPr>
            <w:tcW w:w="701" w:type="pct"/>
            <w:shd w:val="clear" w:color="auto" w:fill="auto"/>
            <w:noWrap w:val="0"/>
            <w:vAlign w:val="center"/>
          </w:tcPr>
          <w:p w14:paraId="200A0AC2">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3.19</w:t>
            </w:r>
          </w:p>
        </w:tc>
      </w:tr>
      <w:tr w14:paraId="47FD8D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2C76F79B">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-49</w:t>
            </w:r>
          </w:p>
        </w:tc>
        <w:tc>
          <w:tcPr>
            <w:tcW w:w="636" w:type="pct"/>
            <w:shd w:val="clear" w:color="auto" w:fill="auto"/>
            <w:noWrap w:val="0"/>
            <w:vAlign w:val="center"/>
          </w:tcPr>
          <w:p w14:paraId="45342FAD">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0.173</w:t>
            </w:r>
          </w:p>
        </w:tc>
        <w:tc>
          <w:tcPr>
            <w:tcW w:w="659" w:type="pct"/>
            <w:shd w:val="clear" w:color="auto" w:fill="auto"/>
            <w:noWrap w:val="0"/>
            <w:vAlign w:val="center"/>
          </w:tcPr>
          <w:p w14:paraId="5FB47DCE">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3.44</w:t>
            </w:r>
          </w:p>
        </w:tc>
        <w:tc>
          <w:tcPr>
            <w:tcW w:w="686" w:type="pct"/>
            <w:shd w:val="clear" w:color="auto" w:fill="auto"/>
            <w:noWrap w:val="0"/>
            <w:vAlign w:val="center"/>
          </w:tcPr>
          <w:p w14:paraId="794924E7">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0.182</w:t>
            </w:r>
          </w:p>
        </w:tc>
        <w:tc>
          <w:tcPr>
            <w:tcW w:w="659" w:type="pct"/>
            <w:shd w:val="clear" w:color="auto" w:fill="auto"/>
            <w:noWrap w:val="0"/>
            <w:vAlign w:val="center"/>
          </w:tcPr>
          <w:p w14:paraId="02AFFA9D">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3.47</w:t>
            </w:r>
          </w:p>
        </w:tc>
        <w:tc>
          <w:tcPr>
            <w:tcW w:w="627" w:type="pct"/>
            <w:shd w:val="clear" w:color="auto" w:fill="auto"/>
            <w:noWrap w:val="0"/>
            <w:vAlign w:val="center"/>
          </w:tcPr>
          <w:p w14:paraId="227DF4B0">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0.141</w:t>
            </w:r>
          </w:p>
        </w:tc>
        <w:tc>
          <w:tcPr>
            <w:tcW w:w="701" w:type="pct"/>
            <w:shd w:val="clear" w:color="auto" w:fill="auto"/>
            <w:noWrap w:val="0"/>
            <w:vAlign w:val="center"/>
          </w:tcPr>
          <w:p w14:paraId="500C17DA">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3.31</w:t>
            </w:r>
          </w:p>
        </w:tc>
      </w:tr>
      <w:tr w14:paraId="02C275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5DB9553C">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-48</w:t>
            </w:r>
          </w:p>
        </w:tc>
        <w:tc>
          <w:tcPr>
            <w:tcW w:w="636" w:type="pct"/>
            <w:shd w:val="clear" w:color="auto" w:fill="auto"/>
            <w:noWrap w:val="0"/>
            <w:vAlign w:val="center"/>
          </w:tcPr>
          <w:p w14:paraId="12E04CD6">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0.178</w:t>
            </w:r>
          </w:p>
        </w:tc>
        <w:tc>
          <w:tcPr>
            <w:tcW w:w="659" w:type="pct"/>
            <w:shd w:val="clear" w:color="auto" w:fill="auto"/>
            <w:noWrap w:val="0"/>
            <w:vAlign w:val="center"/>
          </w:tcPr>
          <w:p w14:paraId="6F4B194C">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3.58</w:t>
            </w:r>
          </w:p>
        </w:tc>
        <w:tc>
          <w:tcPr>
            <w:tcW w:w="686" w:type="pct"/>
            <w:shd w:val="clear" w:color="auto" w:fill="auto"/>
            <w:noWrap w:val="0"/>
            <w:vAlign w:val="center"/>
          </w:tcPr>
          <w:p w14:paraId="5436E809">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0.188</w:t>
            </w:r>
          </w:p>
        </w:tc>
        <w:tc>
          <w:tcPr>
            <w:tcW w:w="659" w:type="pct"/>
            <w:shd w:val="clear" w:color="auto" w:fill="auto"/>
            <w:noWrap w:val="0"/>
            <w:vAlign w:val="center"/>
          </w:tcPr>
          <w:p w14:paraId="0831D2C2">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3.62</w:t>
            </w:r>
          </w:p>
        </w:tc>
        <w:tc>
          <w:tcPr>
            <w:tcW w:w="627" w:type="pct"/>
            <w:shd w:val="clear" w:color="auto" w:fill="auto"/>
            <w:noWrap w:val="0"/>
            <w:vAlign w:val="center"/>
          </w:tcPr>
          <w:p w14:paraId="3BC840E7">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0.144</w:t>
            </w:r>
          </w:p>
        </w:tc>
        <w:tc>
          <w:tcPr>
            <w:tcW w:w="701" w:type="pct"/>
            <w:shd w:val="clear" w:color="auto" w:fill="auto"/>
            <w:noWrap w:val="0"/>
            <w:vAlign w:val="center"/>
          </w:tcPr>
          <w:p w14:paraId="4273B128">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3.44</w:t>
            </w:r>
          </w:p>
        </w:tc>
      </w:tr>
      <w:tr w14:paraId="617843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2EF67C27">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-47</w:t>
            </w:r>
          </w:p>
        </w:tc>
        <w:tc>
          <w:tcPr>
            <w:tcW w:w="636" w:type="pct"/>
            <w:shd w:val="clear" w:color="auto" w:fill="auto"/>
            <w:noWrap w:val="0"/>
            <w:vAlign w:val="center"/>
          </w:tcPr>
          <w:p w14:paraId="593FCA04">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0.182</w:t>
            </w:r>
          </w:p>
        </w:tc>
        <w:tc>
          <w:tcPr>
            <w:tcW w:w="659" w:type="pct"/>
            <w:shd w:val="clear" w:color="auto" w:fill="auto"/>
            <w:noWrap w:val="0"/>
            <w:vAlign w:val="center"/>
          </w:tcPr>
          <w:p w14:paraId="2DCD6656">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3.73</w:t>
            </w:r>
          </w:p>
        </w:tc>
        <w:tc>
          <w:tcPr>
            <w:tcW w:w="686" w:type="pct"/>
            <w:shd w:val="clear" w:color="auto" w:fill="auto"/>
            <w:noWrap w:val="0"/>
            <w:vAlign w:val="center"/>
          </w:tcPr>
          <w:p w14:paraId="5906E19C">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0.193</w:t>
            </w:r>
          </w:p>
        </w:tc>
        <w:tc>
          <w:tcPr>
            <w:tcW w:w="659" w:type="pct"/>
            <w:shd w:val="clear" w:color="auto" w:fill="auto"/>
            <w:noWrap w:val="0"/>
            <w:vAlign w:val="center"/>
          </w:tcPr>
          <w:p w14:paraId="56CF17A4">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3.77</w:t>
            </w:r>
          </w:p>
        </w:tc>
        <w:tc>
          <w:tcPr>
            <w:tcW w:w="627" w:type="pct"/>
            <w:shd w:val="clear" w:color="auto" w:fill="auto"/>
            <w:noWrap w:val="0"/>
            <w:vAlign w:val="center"/>
          </w:tcPr>
          <w:p w14:paraId="71F27D25">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0.146</w:t>
            </w:r>
          </w:p>
        </w:tc>
        <w:tc>
          <w:tcPr>
            <w:tcW w:w="701" w:type="pct"/>
            <w:shd w:val="clear" w:color="auto" w:fill="auto"/>
            <w:noWrap w:val="0"/>
            <w:vAlign w:val="center"/>
          </w:tcPr>
          <w:p w14:paraId="239797FE">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3.58</w:t>
            </w:r>
          </w:p>
        </w:tc>
      </w:tr>
      <w:tr w14:paraId="780E7E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4B888496">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-46</w:t>
            </w:r>
          </w:p>
        </w:tc>
        <w:tc>
          <w:tcPr>
            <w:tcW w:w="636" w:type="pct"/>
            <w:shd w:val="clear" w:color="auto" w:fill="auto"/>
            <w:noWrap w:val="0"/>
            <w:vAlign w:val="center"/>
          </w:tcPr>
          <w:p w14:paraId="68415591">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0.187</w:t>
            </w:r>
          </w:p>
        </w:tc>
        <w:tc>
          <w:tcPr>
            <w:tcW w:w="659" w:type="pct"/>
            <w:shd w:val="clear" w:color="auto" w:fill="auto"/>
            <w:noWrap w:val="0"/>
            <w:vAlign w:val="center"/>
          </w:tcPr>
          <w:p w14:paraId="2E754B6F">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3.89</w:t>
            </w:r>
          </w:p>
        </w:tc>
        <w:tc>
          <w:tcPr>
            <w:tcW w:w="686" w:type="pct"/>
            <w:shd w:val="clear" w:color="auto" w:fill="auto"/>
            <w:noWrap w:val="0"/>
            <w:vAlign w:val="center"/>
          </w:tcPr>
          <w:p w14:paraId="1C9C321D">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0.199</w:t>
            </w:r>
          </w:p>
        </w:tc>
        <w:tc>
          <w:tcPr>
            <w:tcW w:w="659" w:type="pct"/>
            <w:shd w:val="clear" w:color="auto" w:fill="auto"/>
            <w:noWrap w:val="0"/>
            <w:vAlign w:val="center"/>
          </w:tcPr>
          <w:p w14:paraId="6253CB9A">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3.93</w:t>
            </w:r>
          </w:p>
        </w:tc>
        <w:tc>
          <w:tcPr>
            <w:tcW w:w="627" w:type="pct"/>
            <w:shd w:val="clear" w:color="auto" w:fill="auto"/>
            <w:noWrap w:val="0"/>
            <w:vAlign w:val="center"/>
          </w:tcPr>
          <w:p w14:paraId="73E5235E">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0.148</w:t>
            </w:r>
          </w:p>
        </w:tc>
        <w:tc>
          <w:tcPr>
            <w:tcW w:w="701" w:type="pct"/>
            <w:shd w:val="clear" w:color="auto" w:fill="auto"/>
            <w:noWrap w:val="0"/>
            <w:vAlign w:val="center"/>
          </w:tcPr>
          <w:p w14:paraId="57F7045D">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3.73</w:t>
            </w:r>
          </w:p>
        </w:tc>
      </w:tr>
      <w:tr w14:paraId="21AE3A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444BC183">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-45</w:t>
            </w:r>
          </w:p>
        </w:tc>
        <w:tc>
          <w:tcPr>
            <w:tcW w:w="636" w:type="pct"/>
            <w:shd w:val="clear" w:color="auto" w:fill="auto"/>
            <w:noWrap w:val="0"/>
            <w:vAlign w:val="center"/>
          </w:tcPr>
          <w:p w14:paraId="42399F38">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0.192</w:t>
            </w:r>
          </w:p>
        </w:tc>
        <w:tc>
          <w:tcPr>
            <w:tcW w:w="659" w:type="pct"/>
            <w:shd w:val="clear" w:color="auto" w:fill="auto"/>
            <w:noWrap w:val="0"/>
            <w:vAlign w:val="center"/>
          </w:tcPr>
          <w:p w14:paraId="67DE09D5">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4.06</w:t>
            </w:r>
          </w:p>
        </w:tc>
        <w:tc>
          <w:tcPr>
            <w:tcW w:w="686" w:type="pct"/>
            <w:shd w:val="clear" w:color="auto" w:fill="auto"/>
            <w:noWrap w:val="0"/>
            <w:vAlign w:val="center"/>
          </w:tcPr>
          <w:p w14:paraId="6A68D2D0">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0.205</w:t>
            </w:r>
          </w:p>
        </w:tc>
        <w:tc>
          <w:tcPr>
            <w:tcW w:w="659" w:type="pct"/>
            <w:shd w:val="clear" w:color="auto" w:fill="auto"/>
            <w:noWrap w:val="0"/>
            <w:vAlign w:val="center"/>
          </w:tcPr>
          <w:p w14:paraId="6C4CD43B">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4.11</w:t>
            </w:r>
          </w:p>
        </w:tc>
        <w:tc>
          <w:tcPr>
            <w:tcW w:w="627" w:type="pct"/>
            <w:shd w:val="clear" w:color="auto" w:fill="auto"/>
            <w:noWrap w:val="0"/>
            <w:vAlign w:val="center"/>
          </w:tcPr>
          <w:p w14:paraId="64558B0F">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0.150</w:t>
            </w:r>
          </w:p>
        </w:tc>
        <w:tc>
          <w:tcPr>
            <w:tcW w:w="701" w:type="pct"/>
            <w:shd w:val="clear" w:color="auto" w:fill="auto"/>
            <w:noWrap w:val="0"/>
            <w:vAlign w:val="center"/>
          </w:tcPr>
          <w:p w14:paraId="6385F7A3">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3.88</w:t>
            </w:r>
          </w:p>
        </w:tc>
      </w:tr>
      <w:tr w14:paraId="0B438D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39727E31">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-44</w:t>
            </w:r>
          </w:p>
        </w:tc>
        <w:tc>
          <w:tcPr>
            <w:tcW w:w="636" w:type="pct"/>
            <w:shd w:val="clear" w:color="auto" w:fill="auto"/>
            <w:noWrap w:val="0"/>
            <w:vAlign w:val="center"/>
          </w:tcPr>
          <w:p w14:paraId="27928702">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0.198</w:t>
            </w:r>
          </w:p>
        </w:tc>
        <w:tc>
          <w:tcPr>
            <w:tcW w:w="659" w:type="pct"/>
            <w:shd w:val="clear" w:color="auto" w:fill="auto"/>
            <w:noWrap w:val="0"/>
            <w:vAlign w:val="center"/>
          </w:tcPr>
          <w:p w14:paraId="16CC0C0C">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4.24</w:t>
            </w:r>
          </w:p>
        </w:tc>
        <w:tc>
          <w:tcPr>
            <w:tcW w:w="686" w:type="pct"/>
            <w:shd w:val="clear" w:color="auto" w:fill="auto"/>
            <w:noWrap w:val="0"/>
            <w:vAlign w:val="center"/>
          </w:tcPr>
          <w:p w14:paraId="3DA84B85">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0.212</w:t>
            </w:r>
          </w:p>
        </w:tc>
        <w:tc>
          <w:tcPr>
            <w:tcW w:w="659" w:type="pct"/>
            <w:shd w:val="clear" w:color="auto" w:fill="auto"/>
            <w:noWrap w:val="0"/>
            <w:vAlign w:val="center"/>
          </w:tcPr>
          <w:p w14:paraId="2E1C4909">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4.29</w:t>
            </w:r>
          </w:p>
        </w:tc>
        <w:tc>
          <w:tcPr>
            <w:tcW w:w="627" w:type="pct"/>
            <w:shd w:val="clear" w:color="auto" w:fill="auto"/>
            <w:noWrap w:val="0"/>
            <w:vAlign w:val="center"/>
          </w:tcPr>
          <w:p w14:paraId="282A86FF">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0.152</w:t>
            </w:r>
          </w:p>
        </w:tc>
        <w:tc>
          <w:tcPr>
            <w:tcW w:w="701" w:type="pct"/>
            <w:shd w:val="clear" w:color="auto" w:fill="auto"/>
            <w:noWrap w:val="0"/>
            <w:vAlign w:val="center"/>
          </w:tcPr>
          <w:p w14:paraId="52648322">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4.05</w:t>
            </w:r>
          </w:p>
        </w:tc>
      </w:tr>
      <w:tr w14:paraId="7EF29B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60F5A898">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-43</w:t>
            </w:r>
          </w:p>
        </w:tc>
        <w:tc>
          <w:tcPr>
            <w:tcW w:w="636" w:type="pct"/>
            <w:shd w:val="clear" w:color="auto" w:fill="auto"/>
            <w:noWrap w:val="0"/>
            <w:vAlign w:val="center"/>
          </w:tcPr>
          <w:p w14:paraId="0D7C9302">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0.203</w:t>
            </w:r>
          </w:p>
        </w:tc>
        <w:tc>
          <w:tcPr>
            <w:tcW w:w="659" w:type="pct"/>
            <w:shd w:val="clear" w:color="auto" w:fill="auto"/>
            <w:noWrap w:val="0"/>
            <w:vAlign w:val="center"/>
          </w:tcPr>
          <w:p w14:paraId="2FFFF5A7">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4.43</w:t>
            </w:r>
          </w:p>
        </w:tc>
        <w:tc>
          <w:tcPr>
            <w:tcW w:w="686" w:type="pct"/>
            <w:shd w:val="clear" w:color="auto" w:fill="auto"/>
            <w:noWrap w:val="0"/>
            <w:vAlign w:val="center"/>
          </w:tcPr>
          <w:p w14:paraId="199AAD12">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0.218</w:t>
            </w:r>
          </w:p>
        </w:tc>
        <w:tc>
          <w:tcPr>
            <w:tcW w:w="659" w:type="pct"/>
            <w:shd w:val="clear" w:color="auto" w:fill="auto"/>
            <w:noWrap w:val="0"/>
            <w:vAlign w:val="center"/>
          </w:tcPr>
          <w:p w14:paraId="1274CBA6">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4.49</w:t>
            </w:r>
          </w:p>
        </w:tc>
        <w:tc>
          <w:tcPr>
            <w:tcW w:w="627" w:type="pct"/>
            <w:shd w:val="clear" w:color="auto" w:fill="auto"/>
            <w:noWrap w:val="0"/>
            <w:vAlign w:val="center"/>
          </w:tcPr>
          <w:p w14:paraId="09C27B61">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0.154</w:t>
            </w:r>
          </w:p>
        </w:tc>
        <w:tc>
          <w:tcPr>
            <w:tcW w:w="701" w:type="pct"/>
            <w:shd w:val="clear" w:color="auto" w:fill="auto"/>
            <w:noWrap w:val="0"/>
            <w:vAlign w:val="center"/>
          </w:tcPr>
          <w:p w14:paraId="6E142DDC">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4.22</w:t>
            </w:r>
          </w:p>
        </w:tc>
      </w:tr>
      <w:tr w14:paraId="3A0431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3136734B">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-42</w:t>
            </w:r>
          </w:p>
        </w:tc>
        <w:tc>
          <w:tcPr>
            <w:tcW w:w="636" w:type="pct"/>
            <w:shd w:val="clear" w:color="auto" w:fill="auto"/>
            <w:noWrap w:val="0"/>
            <w:vAlign w:val="center"/>
          </w:tcPr>
          <w:p w14:paraId="28E4DE75">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0.208</w:t>
            </w:r>
          </w:p>
        </w:tc>
        <w:tc>
          <w:tcPr>
            <w:tcW w:w="659" w:type="pct"/>
            <w:shd w:val="clear" w:color="auto" w:fill="auto"/>
            <w:noWrap w:val="0"/>
            <w:vAlign w:val="center"/>
          </w:tcPr>
          <w:p w14:paraId="558A1F90">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4.63</w:t>
            </w:r>
          </w:p>
        </w:tc>
        <w:tc>
          <w:tcPr>
            <w:tcW w:w="686" w:type="pct"/>
            <w:shd w:val="clear" w:color="auto" w:fill="auto"/>
            <w:noWrap w:val="0"/>
            <w:vAlign w:val="center"/>
          </w:tcPr>
          <w:p w14:paraId="70381A94">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0.224</w:t>
            </w:r>
          </w:p>
        </w:tc>
        <w:tc>
          <w:tcPr>
            <w:tcW w:w="659" w:type="pct"/>
            <w:shd w:val="clear" w:color="auto" w:fill="auto"/>
            <w:noWrap w:val="0"/>
            <w:vAlign w:val="center"/>
          </w:tcPr>
          <w:p w14:paraId="139F01F6">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4.70</w:t>
            </w:r>
          </w:p>
        </w:tc>
        <w:tc>
          <w:tcPr>
            <w:tcW w:w="627" w:type="pct"/>
            <w:shd w:val="clear" w:color="auto" w:fill="auto"/>
            <w:noWrap w:val="0"/>
            <w:vAlign w:val="center"/>
          </w:tcPr>
          <w:p w14:paraId="15E2C9AB">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0.155</w:t>
            </w:r>
          </w:p>
        </w:tc>
        <w:tc>
          <w:tcPr>
            <w:tcW w:w="701" w:type="pct"/>
            <w:shd w:val="clear" w:color="auto" w:fill="auto"/>
            <w:noWrap w:val="0"/>
            <w:vAlign w:val="center"/>
          </w:tcPr>
          <w:p w14:paraId="280197E7">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4.41</w:t>
            </w:r>
          </w:p>
        </w:tc>
      </w:tr>
      <w:tr w14:paraId="506512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0FA8D1BF">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-41</w:t>
            </w:r>
          </w:p>
        </w:tc>
        <w:tc>
          <w:tcPr>
            <w:tcW w:w="636" w:type="pct"/>
            <w:shd w:val="clear" w:color="auto" w:fill="auto"/>
            <w:noWrap w:val="0"/>
            <w:vAlign w:val="center"/>
          </w:tcPr>
          <w:p w14:paraId="50A4CDFA">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0.213</w:t>
            </w:r>
          </w:p>
        </w:tc>
        <w:tc>
          <w:tcPr>
            <w:tcW w:w="659" w:type="pct"/>
            <w:shd w:val="clear" w:color="auto" w:fill="auto"/>
            <w:noWrap w:val="0"/>
            <w:vAlign w:val="center"/>
          </w:tcPr>
          <w:p w14:paraId="4935E6D8">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4.85</w:t>
            </w:r>
          </w:p>
        </w:tc>
        <w:tc>
          <w:tcPr>
            <w:tcW w:w="686" w:type="pct"/>
            <w:shd w:val="clear" w:color="auto" w:fill="auto"/>
            <w:noWrap w:val="0"/>
            <w:vAlign w:val="center"/>
          </w:tcPr>
          <w:p w14:paraId="379BF092">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0.231</w:t>
            </w:r>
          </w:p>
        </w:tc>
        <w:tc>
          <w:tcPr>
            <w:tcW w:w="659" w:type="pct"/>
            <w:shd w:val="clear" w:color="auto" w:fill="auto"/>
            <w:noWrap w:val="0"/>
            <w:vAlign w:val="center"/>
          </w:tcPr>
          <w:p w14:paraId="1DBA5F7A">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4.93</w:t>
            </w:r>
          </w:p>
        </w:tc>
        <w:tc>
          <w:tcPr>
            <w:tcW w:w="627" w:type="pct"/>
            <w:shd w:val="clear" w:color="auto" w:fill="auto"/>
            <w:noWrap w:val="0"/>
            <w:vAlign w:val="center"/>
          </w:tcPr>
          <w:p w14:paraId="1E0A9F17">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0.156</w:t>
            </w:r>
          </w:p>
        </w:tc>
        <w:tc>
          <w:tcPr>
            <w:tcW w:w="701" w:type="pct"/>
            <w:shd w:val="clear" w:color="auto" w:fill="auto"/>
            <w:noWrap w:val="0"/>
            <w:vAlign w:val="center"/>
          </w:tcPr>
          <w:p w14:paraId="086D072E">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4.61</w:t>
            </w:r>
          </w:p>
        </w:tc>
      </w:tr>
      <w:tr w14:paraId="4ECB7B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22D4625F">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-40</w:t>
            </w:r>
          </w:p>
        </w:tc>
        <w:tc>
          <w:tcPr>
            <w:tcW w:w="636" w:type="pct"/>
            <w:shd w:val="clear" w:color="auto" w:fill="auto"/>
            <w:noWrap w:val="0"/>
            <w:vAlign w:val="center"/>
          </w:tcPr>
          <w:p w14:paraId="09122A17">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0.218</w:t>
            </w:r>
          </w:p>
        </w:tc>
        <w:tc>
          <w:tcPr>
            <w:tcW w:w="659" w:type="pct"/>
            <w:shd w:val="clear" w:color="auto" w:fill="auto"/>
            <w:noWrap w:val="0"/>
            <w:vAlign w:val="center"/>
          </w:tcPr>
          <w:p w14:paraId="241B28BE">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5.09</w:t>
            </w:r>
          </w:p>
        </w:tc>
        <w:tc>
          <w:tcPr>
            <w:tcW w:w="686" w:type="pct"/>
            <w:shd w:val="clear" w:color="auto" w:fill="auto"/>
            <w:noWrap w:val="0"/>
            <w:vAlign w:val="center"/>
          </w:tcPr>
          <w:p w14:paraId="6BF262D4">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0.238</w:t>
            </w:r>
          </w:p>
        </w:tc>
        <w:tc>
          <w:tcPr>
            <w:tcW w:w="659" w:type="pct"/>
            <w:shd w:val="clear" w:color="auto" w:fill="auto"/>
            <w:noWrap w:val="0"/>
            <w:vAlign w:val="center"/>
          </w:tcPr>
          <w:p w14:paraId="104E4E1D">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5.17</w:t>
            </w:r>
          </w:p>
        </w:tc>
        <w:tc>
          <w:tcPr>
            <w:tcW w:w="627" w:type="pct"/>
            <w:shd w:val="clear" w:color="auto" w:fill="auto"/>
            <w:noWrap w:val="0"/>
            <w:vAlign w:val="center"/>
          </w:tcPr>
          <w:p w14:paraId="58373339">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0.157</w:t>
            </w:r>
          </w:p>
        </w:tc>
        <w:tc>
          <w:tcPr>
            <w:tcW w:w="701" w:type="pct"/>
            <w:shd w:val="clear" w:color="auto" w:fill="auto"/>
            <w:noWrap w:val="0"/>
            <w:vAlign w:val="center"/>
          </w:tcPr>
          <w:p w14:paraId="68E052AC">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4.82</w:t>
            </w:r>
          </w:p>
        </w:tc>
      </w:tr>
      <w:tr w14:paraId="207BF5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4703CAEA">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-39</w:t>
            </w:r>
          </w:p>
        </w:tc>
        <w:tc>
          <w:tcPr>
            <w:tcW w:w="636" w:type="pct"/>
            <w:shd w:val="clear" w:color="auto" w:fill="auto"/>
            <w:noWrap w:val="0"/>
            <w:vAlign w:val="center"/>
          </w:tcPr>
          <w:p w14:paraId="7F40F5B5">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0.223</w:t>
            </w:r>
          </w:p>
        </w:tc>
        <w:tc>
          <w:tcPr>
            <w:tcW w:w="659" w:type="pct"/>
            <w:shd w:val="clear" w:color="auto" w:fill="auto"/>
            <w:noWrap w:val="0"/>
            <w:vAlign w:val="center"/>
          </w:tcPr>
          <w:p w14:paraId="3009EF28">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5.34</w:t>
            </w:r>
          </w:p>
        </w:tc>
        <w:tc>
          <w:tcPr>
            <w:tcW w:w="686" w:type="pct"/>
            <w:shd w:val="clear" w:color="auto" w:fill="auto"/>
            <w:noWrap w:val="0"/>
            <w:vAlign w:val="center"/>
          </w:tcPr>
          <w:p w14:paraId="326AC6BB">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0.245</w:t>
            </w:r>
          </w:p>
        </w:tc>
        <w:tc>
          <w:tcPr>
            <w:tcW w:w="659" w:type="pct"/>
            <w:shd w:val="clear" w:color="auto" w:fill="auto"/>
            <w:noWrap w:val="0"/>
            <w:vAlign w:val="center"/>
          </w:tcPr>
          <w:p w14:paraId="7A387526">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5.43</w:t>
            </w:r>
          </w:p>
        </w:tc>
        <w:tc>
          <w:tcPr>
            <w:tcW w:w="627" w:type="pct"/>
            <w:shd w:val="clear" w:color="auto" w:fill="auto"/>
            <w:noWrap w:val="0"/>
            <w:vAlign w:val="center"/>
          </w:tcPr>
          <w:p w14:paraId="5E9EE35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0.157</w:t>
            </w:r>
          </w:p>
        </w:tc>
        <w:tc>
          <w:tcPr>
            <w:tcW w:w="701" w:type="pct"/>
            <w:shd w:val="clear" w:color="auto" w:fill="auto"/>
            <w:noWrap w:val="0"/>
            <w:vAlign w:val="center"/>
          </w:tcPr>
          <w:p w14:paraId="0DA873BF">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5.05</w:t>
            </w:r>
          </w:p>
        </w:tc>
      </w:tr>
      <w:tr w14:paraId="584031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036310D2">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-38</w:t>
            </w:r>
          </w:p>
        </w:tc>
        <w:tc>
          <w:tcPr>
            <w:tcW w:w="636" w:type="pct"/>
            <w:shd w:val="clear" w:color="auto" w:fill="auto"/>
            <w:noWrap w:val="0"/>
            <w:vAlign w:val="center"/>
          </w:tcPr>
          <w:p w14:paraId="20F6BE72">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0.228</w:t>
            </w:r>
          </w:p>
        </w:tc>
        <w:tc>
          <w:tcPr>
            <w:tcW w:w="659" w:type="pct"/>
            <w:shd w:val="clear" w:color="auto" w:fill="auto"/>
            <w:noWrap w:val="0"/>
            <w:vAlign w:val="center"/>
          </w:tcPr>
          <w:p w14:paraId="6FD1D625">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5.61</w:t>
            </w:r>
          </w:p>
        </w:tc>
        <w:tc>
          <w:tcPr>
            <w:tcW w:w="686" w:type="pct"/>
            <w:shd w:val="clear" w:color="auto" w:fill="auto"/>
            <w:noWrap w:val="0"/>
            <w:vAlign w:val="center"/>
          </w:tcPr>
          <w:p w14:paraId="7E937D6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0.251</w:t>
            </w:r>
          </w:p>
        </w:tc>
        <w:tc>
          <w:tcPr>
            <w:tcW w:w="659" w:type="pct"/>
            <w:shd w:val="clear" w:color="auto" w:fill="auto"/>
            <w:noWrap w:val="0"/>
            <w:vAlign w:val="center"/>
          </w:tcPr>
          <w:p w14:paraId="3AC7BBE9">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5.71</w:t>
            </w:r>
          </w:p>
        </w:tc>
        <w:tc>
          <w:tcPr>
            <w:tcW w:w="627" w:type="pct"/>
            <w:shd w:val="clear" w:color="auto" w:fill="auto"/>
            <w:noWrap w:val="0"/>
            <w:vAlign w:val="center"/>
          </w:tcPr>
          <w:p w14:paraId="5B7E2FA1">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0.156</w:t>
            </w:r>
          </w:p>
        </w:tc>
        <w:tc>
          <w:tcPr>
            <w:tcW w:w="701" w:type="pct"/>
            <w:shd w:val="clear" w:color="auto" w:fill="auto"/>
            <w:noWrap w:val="0"/>
            <w:vAlign w:val="center"/>
          </w:tcPr>
          <w:p w14:paraId="3090758F">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5.29</w:t>
            </w:r>
          </w:p>
        </w:tc>
      </w:tr>
      <w:tr w14:paraId="406BA9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77AFA101">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-37</w:t>
            </w:r>
          </w:p>
        </w:tc>
        <w:tc>
          <w:tcPr>
            <w:tcW w:w="636" w:type="pct"/>
            <w:shd w:val="clear" w:color="auto" w:fill="auto"/>
            <w:noWrap w:val="0"/>
            <w:vAlign w:val="center"/>
          </w:tcPr>
          <w:p w14:paraId="76F428A2">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0.233</w:t>
            </w:r>
          </w:p>
        </w:tc>
        <w:tc>
          <w:tcPr>
            <w:tcW w:w="659" w:type="pct"/>
            <w:shd w:val="clear" w:color="auto" w:fill="auto"/>
            <w:noWrap w:val="0"/>
            <w:vAlign w:val="center"/>
          </w:tcPr>
          <w:p w14:paraId="4D321BD3">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5.90</w:t>
            </w:r>
          </w:p>
        </w:tc>
        <w:tc>
          <w:tcPr>
            <w:tcW w:w="686" w:type="pct"/>
            <w:shd w:val="clear" w:color="auto" w:fill="auto"/>
            <w:noWrap w:val="0"/>
            <w:vAlign w:val="center"/>
          </w:tcPr>
          <w:p w14:paraId="77AC89E1">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0.258</w:t>
            </w:r>
          </w:p>
        </w:tc>
        <w:tc>
          <w:tcPr>
            <w:tcW w:w="659" w:type="pct"/>
            <w:shd w:val="clear" w:color="auto" w:fill="auto"/>
            <w:noWrap w:val="0"/>
            <w:vAlign w:val="center"/>
          </w:tcPr>
          <w:p w14:paraId="41B416BE">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6.01</w:t>
            </w:r>
          </w:p>
        </w:tc>
        <w:tc>
          <w:tcPr>
            <w:tcW w:w="627" w:type="pct"/>
            <w:shd w:val="clear" w:color="auto" w:fill="auto"/>
            <w:noWrap w:val="0"/>
            <w:vAlign w:val="center"/>
          </w:tcPr>
          <w:p w14:paraId="38479D47">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0.155</w:t>
            </w:r>
          </w:p>
        </w:tc>
        <w:tc>
          <w:tcPr>
            <w:tcW w:w="701" w:type="pct"/>
            <w:shd w:val="clear" w:color="auto" w:fill="auto"/>
            <w:noWrap w:val="0"/>
            <w:vAlign w:val="center"/>
          </w:tcPr>
          <w:p w14:paraId="5CC9407B">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5.54</w:t>
            </w:r>
          </w:p>
        </w:tc>
      </w:tr>
      <w:tr w14:paraId="43A917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69D72CA4">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-36</w:t>
            </w:r>
          </w:p>
        </w:tc>
        <w:tc>
          <w:tcPr>
            <w:tcW w:w="636" w:type="pct"/>
            <w:shd w:val="clear" w:color="auto" w:fill="auto"/>
            <w:noWrap w:val="0"/>
            <w:vAlign w:val="center"/>
          </w:tcPr>
          <w:p w14:paraId="1AF846D5">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0.238</w:t>
            </w:r>
          </w:p>
        </w:tc>
        <w:tc>
          <w:tcPr>
            <w:tcW w:w="659" w:type="pct"/>
            <w:shd w:val="clear" w:color="auto" w:fill="auto"/>
            <w:noWrap w:val="0"/>
            <w:vAlign w:val="center"/>
          </w:tcPr>
          <w:p w14:paraId="4BAFFA2F">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6.22</w:t>
            </w:r>
          </w:p>
        </w:tc>
        <w:tc>
          <w:tcPr>
            <w:tcW w:w="686" w:type="pct"/>
            <w:shd w:val="clear" w:color="auto" w:fill="auto"/>
            <w:noWrap w:val="0"/>
            <w:vAlign w:val="center"/>
          </w:tcPr>
          <w:p w14:paraId="2E52C5C7">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0.265</w:t>
            </w:r>
          </w:p>
        </w:tc>
        <w:tc>
          <w:tcPr>
            <w:tcW w:w="659" w:type="pct"/>
            <w:shd w:val="clear" w:color="auto" w:fill="auto"/>
            <w:noWrap w:val="0"/>
            <w:vAlign w:val="center"/>
          </w:tcPr>
          <w:p w14:paraId="620645EB">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6.34</w:t>
            </w:r>
          </w:p>
        </w:tc>
        <w:tc>
          <w:tcPr>
            <w:tcW w:w="627" w:type="pct"/>
            <w:shd w:val="clear" w:color="auto" w:fill="auto"/>
            <w:noWrap w:val="0"/>
            <w:vAlign w:val="center"/>
          </w:tcPr>
          <w:p w14:paraId="30C9A2D1">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0.153</w:t>
            </w:r>
          </w:p>
        </w:tc>
        <w:tc>
          <w:tcPr>
            <w:tcW w:w="701" w:type="pct"/>
            <w:shd w:val="clear" w:color="auto" w:fill="auto"/>
            <w:noWrap w:val="0"/>
            <w:vAlign w:val="center"/>
          </w:tcPr>
          <w:p w14:paraId="25AB6B09">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5.82</w:t>
            </w:r>
          </w:p>
        </w:tc>
      </w:tr>
      <w:tr w14:paraId="64B662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79D43393">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-35</w:t>
            </w:r>
          </w:p>
        </w:tc>
        <w:tc>
          <w:tcPr>
            <w:tcW w:w="636" w:type="pct"/>
            <w:shd w:val="clear" w:color="auto" w:fill="auto"/>
            <w:noWrap w:val="0"/>
            <w:vAlign w:val="center"/>
          </w:tcPr>
          <w:p w14:paraId="424DCC1D">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0.242</w:t>
            </w:r>
          </w:p>
        </w:tc>
        <w:tc>
          <w:tcPr>
            <w:tcW w:w="659" w:type="pct"/>
            <w:shd w:val="clear" w:color="auto" w:fill="auto"/>
            <w:noWrap w:val="0"/>
            <w:vAlign w:val="center"/>
          </w:tcPr>
          <w:p w14:paraId="319C6268">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6.55</w:t>
            </w:r>
          </w:p>
        </w:tc>
        <w:tc>
          <w:tcPr>
            <w:tcW w:w="686" w:type="pct"/>
            <w:shd w:val="clear" w:color="auto" w:fill="auto"/>
            <w:noWrap w:val="0"/>
            <w:vAlign w:val="center"/>
          </w:tcPr>
          <w:p w14:paraId="44AC5CAA">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0.272</w:t>
            </w:r>
          </w:p>
        </w:tc>
        <w:tc>
          <w:tcPr>
            <w:tcW w:w="659" w:type="pct"/>
            <w:shd w:val="clear" w:color="auto" w:fill="auto"/>
            <w:noWrap w:val="0"/>
            <w:vAlign w:val="center"/>
          </w:tcPr>
          <w:p w14:paraId="7975C546">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6.69</w:t>
            </w:r>
          </w:p>
        </w:tc>
        <w:tc>
          <w:tcPr>
            <w:tcW w:w="627" w:type="pct"/>
            <w:shd w:val="clear" w:color="auto" w:fill="auto"/>
            <w:noWrap w:val="0"/>
            <w:vAlign w:val="center"/>
          </w:tcPr>
          <w:p w14:paraId="0C96BF84">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0.151</w:t>
            </w:r>
          </w:p>
        </w:tc>
        <w:tc>
          <w:tcPr>
            <w:tcW w:w="701" w:type="pct"/>
            <w:shd w:val="clear" w:color="auto" w:fill="auto"/>
            <w:noWrap w:val="0"/>
            <w:vAlign w:val="center"/>
          </w:tcPr>
          <w:p w14:paraId="30CFAC8A">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6.11</w:t>
            </w:r>
          </w:p>
        </w:tc>
      </w:tr>
      <w:tr w14:paraId="1AF3C0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7BF8EAD2">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-34</w:t>
            </w:r>
          </w:p>
        </w:tc>
        <w:tc>
          <w:tcPr>
            <w:tcW w:w="636" w:type="pct"/>
            <w:shd w:val="clear" w:color="auto" w:fill="auto"/>
            <w:noWrap w:val="0"/>
            <w:vAlign w:val="center"/>
          </w:tcPr>
          <w:p w14:paraId="29598E5F">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0.245</w:t>
            </w:r>
          </w:p>
        </w:tc>
        <w:tc>
          <w:tcPr>
            <w:tcW w:w="659" w:type="pct"/>
            <w:shd w:val="clear" w:color="auto" w:fill="auto"/>
            <w:noWrap w:val="0"/>
            <w:vAlign w:val="center"/>
          </w:tcPr>
          <w:p w14:paraId="5401AB82">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6.92</w:t>
            </w:r>
          </w:p>
        </w:tc>
        <w:tc>
          <w:tcPr>
            <w:tcW w:w="686" w:type="pct"/>
            <w:shd w:val="clear" w:color="auto" w:fill="auto"/>
            <w:noWrap w:val="0"/>
            <w:vAlign w:val="center"/>
          </w:tcPr>
          <w:p w14:paraId="33C5078D">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0.278</w:t>
            </w:r>
          </w:p>
        </w:tc>
        <w:tc>
          <w:tcPr>
            <w:tcW w:w="659" w:type="pct"/>
            <w:shd w:val="clear" w:color="auto" w:fill="auto"/>
            <w:noWrap w:val="0"/>
            <w:vAlign w:val="center"/>
          </w:tcPr>
          <w:p w14:paraId="020BEBD2">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7.07</w:t>
            </w:r>
          </w:p>
        </w:tc>
        <w:tc>
          <w:tcPr>
            <w:tcW w:w="627" w:type="pct"/>
            <w:shd w:val="clear" w:color="auto" w:fill="auto"/>
            <w:noWrap w:val="0"/>
            <w:vAlign w:val="center"/>
          </w:tcPr>
          <w:p w14:paraId="202F1169">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0.147</w:t>
            </w:r>
          </w:p>
        </w:tc>
        <w:tc>
          <w:tcPr>
            <w:tcW w:w="701" w:type="pct"/>
            <w:shd w:val="clear" w:color="auto" w:fill="auto"/>
            <w:noWrap w:val="0"/>
            <w:vAlign w:val="center"/>
          </w:tcPr>
          <w:p w14:paraId="4A412962">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6.43</w:t>
            </w:r>
          </w:p>
        </w:tc>
      </w:tr>
      <w:tr w14:paraId="70B970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0B608841">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-33</w:t>
            </w:r>
          </w:p>
        </w:tc>
        <w:tc>
          <w:tcPr>
            <w:tcW w:w="636" w:type="pct"/>
            <w:shd w:val="clear" w:color="auto" w:fill="auto"/>
            <w:noWrap w:val="0"/>
            <w:vAlign w:val="center"/>
          </w:tcPr>
          <w:p w14:paraId="1D83F177">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0.249</w:t>
            </w:r>
          </w:p>
        </w:tc>
        <w:tc>
          <w:tcPr>
            <w:tcW w:w="659" w:type="pct"/>
            <w:shd w:val="clear" w:color="auto" w:fill="auto"/>
            <w:noWrap w:val="0"/>
            <w:vAlign w:val="center"/>
          </w:tcPr>
          <w:p w14:paraId="1004D68A">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7.32</w:t>
            </w:r>
          </w:p>
        </w:tc>
        <w:tc>
          <w:tcPr>
            <w:tcW w:w="686" w:type="pct"/>
            <w:shd w:val="clear" w:color="auto" w:fill="auto"/>
            <w:noWrap w:val="0"/>
            <w:vAlign w:val="center"/>
          </w:tcPr>
          <w:p w14:paraId="2DC6C5DD">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0.285</w:t>
            </w:r>
          </w:p>
        </w:tc>
        <w:tc>
          <w:tcPr>
            <w:tcW w:w="659" w:type="pct"/>
            <w:shd w:val="clear" w:color="auto" w:fill="auto"/>
            <w:noWrap w:val="0"/>
            <w:vAlign w:val="center"/>
          </w:tcPr>
          <w:p w14:paraId="3E5298A4">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7.48</w:t>
            </w:r>
          </w:p>
        </w:tc>
        <w:tc>
          <w:tcPr>
            <w:tcW w:w="627" w:type="pct"/>
            <w:shd w:val="clear" w:color="auto" w:fill="auto"/>
            <w:noWrap w:val="0"/>
            <w:vAlign w:val="center"/>
          </w:tcPr>
          <w:p w14:paraId="347946A4">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0.143</w:t>
            </w:r>
          </w:p>
        </w:tc>
        <w:tc>
          <w:tcPr>
            <w:tcW w:w="701" w:type="pct"/>
            <w:shd w:val="clear" w:color="auto" w:fill="auto"/>
            <w:noWrap w:val="0"/>
            <w:vAlign w:val="center"/>
          </w:tcPr>
          <w:p w14:paraId="5C46741E">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6.77</w:t>
            </w:r>
          </w:p>
        </w:tc>
      </w:tr>
      <w:tr w14:paraId="61E5DA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51A5E388">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-32</w:t>
            </w:r>
          </w:p>
        </w:tc>
        <w:tc>
          <w:tcPr>
            <w:tcW w:w="636" w:type="pct"/>
            <w:shd w:val="clear" w:color="auto" w:fill="auto"/>
            <w:noWrap w:val="0"/>
            <w:vAlign w:val="center"/>
          </w:tcPr>
          <w:p w14:paraId="2BBA54C2">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0.251</w:t>
            </w:r>
          </w:p>
        </w:tc>
        <w:tc>
          <w:tcPr>
            <w:tcW w:w="659" w:type="pct"/>
            <w:shd w:val="clear" w:color="auto" w:fill="auto"/>
            <w:noWrap w:val="0"/>
            <w:vAlign w:val="center"/>
          </w:tcPr>
          <w:p w14:paraId="6346C77D">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7.75</w:t>
            </w:r>
          </w:p>
        </w:tc>
        <w:tc>
          <w:tcPr>
            <w:tcW w:w="686" w:type="pct"/>
            <w:shd w:val="clear" w:color="auto" w:fill="auto"/>
            <w:noWrap w:val="0"/>
            <w:vAlign w:val="center"/>
          </w:tcPr>
          <w:p w14:paraId="45077B97">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0.290</w:t>
            </w:r>
          </w:p>
        </w:tc>
        <w:tc>
          <w:tcPr>
            <w:tcW w:w="659" w:type="pct"/>
            <w:shd w:val="clear" w:color="auto" w:fill="auto"/>
            <w:noWrap w:val="0"/>
            <w:vAlign w:val="center"/>
          </w:tcPr>
          <w:p w14:paraId="2BC0346C">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7.93</w:t>
            </w:r>
          </w:p>
        </w:tc>
        <w:tc>
          <w:tcPr>
            <w:tcW w:w="627" w:type="pct"/>
            <w:shd w:val="clear" w:color="auto" w:fill="auto"/>
            <w:noWrap w:val="0"/>
            <w:vAlign w:val="center"/>
          </w:tcPr>
          <w:p w14:paraId="693C2988">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0.138</w:t>
            </w:r>
          </w:p>
        </w:tc>
        <w:tc>
          <w:tcPr>
            <w:tcW w:w="701" w:type="pct"/>
            <w:shd w:val="clear" w:color="auto" w:fill="auto"/>
            <w:noWrap w:val="0"/>
            <w:vAlign w:val="center"/>
          </w:tcPr>
          <w:p w14:paraId="245E9519">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7.13</w:t>
            </w:r>
          </w:p>
        </w:tc>
      </w:tr>
      <w:tr w14:paraId="551889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3D9453E2">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-31</w:t>
            </w:r>
          </w:p>
        </w:tc>
        <w:tc>
          <w:tcPr>
            <w:tcW w:w="636" w:type="pct"/>
            <w:shd w:val="clear" w:color="auto" w:fill="auto"/>
            <w:noWrap w:val="0"/>
            <w:vAlign w:val="center"/>
          </w:tcPr>
          <w:p w14:paraId="3DE12ED2">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0.253</w:t>
            </w:r>
          </w:p>
        </w:tc>
        <w:tc>
          <w:tcPr>
            <w:tcW w:w="659" w:type="pct"/>
            <w:shd w:val="clear" w:color="auto" w:fill="auto"/>
            <w:noWrap w:val="0"/>
            <w:vAlign w:val="center"/>
          </w:tcPr>
          <w:p w14:paraId="1C8F231F">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8.21</w:t>
            </w:r>
          </w:p>
        </w:tc>
        <w:tc>
          <w:tcPr>
            <w:tcW w:w="686" w:type="pct"/>
            <w:shd w:val="clear" w:color="auto" w:fill="auto"/>
            <w:noWrap w:val="0"/>
            <w:vAlign w:val="center"/>
          </w:tcPr>
          <w:p w14:paraId="554B3A47">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0.296</w:t>
            </w:r>
          </w:p>
        </w:tc>
        <w:tc>
          <w:tcPr>
            <w:tcW w:w="659" w:type="pct"/>
            <w:shd w:val="clear" w:color="auto" w:fill="auto"/>
            <w:noWrap w:val="0"/>
            <w:vAlign w:val="center"/>
          </w:tcPr>
          <w:p w14:paraId="3A19FCA0">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8.42</w:t>
            </w:r>
          </w:p>
        </w:tc>
        <w:tc>
          <w:tcPr>
            <w:tcW w:w="627" w:type="pct"/>
            <w:shd w:val="clear" w:color="auto" w:fill="auto"/>
            <w:noWrap w:val="0"/>
            <w:vAlign w:val="center"/>
          </w:tcPr>
          <w:p w14:paraId="399ECC56">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0.133</w:t>
            </w:r>
          </w:p>
        </w:tc>
        <w:tc>
          <w:tcPr>
            <w:tcW w:w="701" w:type="pct"/>
            <w:shd w:val="clear" w:color="auto" w:fill="auto"/>
            <w:noWrap w:val="0"/>
            <w:vAlign w:val="center"/>
          </w:tcPr>
          <w:p w14:paraId="0B475712">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7.52</w:t>
            </w:r>
          </w:p>
        </w:tc>
      </w:tr>
      <w:tr w14:paraId="68AD94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73F9C9C8">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-30</w:t>
            </w:r>
          </w:p>
        </w:tc>
        <w:tc>
          <w:tcPr>
            <w:tcW w:w="636" w:type="pct"/>
            <w:shd w:val="clear" w:color="auto" w:fill="auto"/>
            <w:noWrap w:val="0"/>
            <w:vAlign w:val="center"/>
          </w:tcPr>
          <w:p w14:paraId="2C9A5729">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0.254</w:t>
            </w:r>
          </w:p>
        </w:tc>
        <w:tc>
          <w:tcPr>
            <w:tcW w:w="659" w:type="pct"/>
            <w:shd w:val="clear" w:color="auto" w:fill="auto"/>
            <w:noWrap w:val="0"/>
            <w:vAlign w:val="center"/>
          </w:tcPr>
          <w:p w14:paraId="50369736">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8.72</w:t>
            </w:r>
          </w:p>
        </w:tc>
        <w:tc>
          <w:tcPr>
            <w:tcW w:w="686" w:type="pct"/>
            <w:shd w:val="clear" w:color="auto" w:fill="auto"/>
            <w:noWrap w:val="0"/>
            <w:vAlign w:val="center"/>
          </w:tcPr>
          <w:p w14:paraId="783E6CA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0.301</w:t>
            </w:r>
          </w:p>
        </w:tc>
        <w:tc>
          <w:tcPr>
            <w:tcW w:w="659" w:type="pct"/>
            <w:shd w:val="clear" w:color="auto" w:fill="auto"/>
            <w:noWrap w:val="0"/>
            <w:vAlign w:val="center"/>
          </w:tcPr>
          <w:p w14:paraId="1C083803">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8.96</w:t>
            </w:r>
          </w:p>
        </w:tc>
        <w:tc>
          <w:tcPr>
            <w:tcW w:w="627" w:type="pct"/>
            <w:shd w:val="clear" w:color="auto" w:fill="auto"/>
            <w:noWrap w:val="0"/>
            <w:vAlign w:val="center"/>
          </w:tcPr>
          <w:p w14:paraId="198EC0E7">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0.129</w:t>
            </w:r>
          </w:p>
        </w:tc>
        <w:tc>
          <w:tcPr>
            <w:tcW w:w="701" w:type="pct"/>
            <w:shd w:val="clear" w:color="auto" w:fill="auto"/>
            <w:noWrap w:val="0"/>
            <w:vAlign w:val="center"/>
          </w:tcPr>
          <w:p w14:paraId="7A10694C">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7.94</w:t>
            </w:r>
          </w:p>
        </w:tc>
      </w:tr>
      <w:tr w14:paraId="21A416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78917164">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-29</w:t>
            </w:r>
          </w:p>
        </w:tc>
        <w:tc>
          <w:tcPr>
            <w:tcW w:w="636" w:type="pct"/>
            <w:shd w:val="clear" w:color="auto" w:fill="auto"/>
            <w:noWrap w:val="0"/>
            <w:vAlign w:val="center"/>
          </w:tcPr>
          <w:p w14:paraId="78F1207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0.254</w:t>
            </w:r>
          </w:p>
        </w:tc>
        <w:tc>
          <w:tcPr>
            <w:tcW w:w="659" w:type="pct"/>
            <w:shd w:val="clear" w:color="auto" w:fill="auto"/>
            <w:noWrap w:val="0"/>
            <w:vAlign w:val="center"/>
          </w:tcPr>
          <w:p w14:paraId="6F4FB090">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9.27</w:t>
            </w:r>
          </w:p>
        </w:tc>
        <w:tc>
          <w:tcPr>
            <w:tcW w:w="686" w:type="pct"/>
            <w:shd w:val="clear" w:color="auto" w:fill="auto"/>
            <w:noWrap w:val="0"/>
            <w:vAlign w:val="center"/>
          </w:tcPr>
          <w:p w14:paraId="79DF51D4">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0.305</w:t>
            </w:r>
          </w:p>
        </w:tc>
        <w:tc>
          <w:tcPr>
            <w:tcW w:w="659" w:type="pct"/>
            <w:shd w:val="clear" w:color="auto" w:fill="auto"/>
            <w:noWrap w:val="0"/>
            <w:vAlign w:val="center"/>
          </w:tcPr>
          <w:p w14:paraId="3B90569A">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9.55</w:t>
            </w:r>
          </w:p>
        </w:tc>
        <w:tc>
          <w:tcPr>
            <w:tcW w:w="627" w:type="pct"/>
            <w:shd w:val="clear" w:color="auto" w:fill="auto"/>
            <w:noWrap w:val="0"/>
            <w:vAlign w:val="center"/>
          </w:tcPr>
          <w:p w14:paraId="061B82A1">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0.127</w:t>
            </w:r>
          </w:p>
        </w:tc>
        <w:tc>
          <w:tcPr>
            <w:tcW w:w="701" w:type="pct"/>
            <w:shd w:val="clear" w:color="auto" w:fill="auto"/>
            <w:noWrap w:val="0"/>
            <w:vAlign w:val="center"/>
          </w:tcPr>
          <w:p w14:paraId="6514B3EA">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8.40</w:t>
            </w:r>
          </w:p>
        </w:tc>
      </w:tr>
      <w:tr w14:paraId="06C8B2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12D70956">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-28</w:t>
            </w:r>
          </w:p>
        </w:tc>
        <w:tc>
          <w:tcPr>
            <w:tcW w:w="636" w:type="pct"/>
            <w:shd w:val="clear" w:color="auto" w:fill="auto"/>
            <w:noWrap w:val="0"/>
            <w:vAlign w:val="center"/>
          </w:tcPr>
          <w:p w14:paraId="7712BC0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0.253</w:t>
            </w:r>
          </w:p>
        </w:tc>
        <w:tc>
          <w:tcPr>
            <w:tcW w:w="659" w:type="pct"/>
            <w:shd w:val="clear" w:color="auto" w:fill="auto"/>
            <w:noWrap w:val="0"/>
            <w:vAlign w:val="center"/>
          </w:tcPr>
          <w:p w14:paraId="5E955A27">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9.88</w:t>
            </w:r>
          </w:p>
        </w:tc>
        <w:tc>
          <w:tcPr>
            <w:tcW w:w="686" w:type="pct"/>
            <w:shd w:val="clear" w:color="auto" w:fill="auto"/>
            <w:noWrap w:val="0"/>
            <w:vAlign w:val="center"/>
          </w:tcPr>
          <w:p w14:paraId="37B617E0">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0.308</w:t>
            </w:r>
          </w:p>
        </w:tc>
        <w:tc>
          <w:tcPr>
            <w:tcW w:w="659" w:type="pct"/>
            <w:shd w:val="clear" w:color="auto" w:fill="auto"/>
            <w:noWrap w:val="0"/>
            <w:vAlign w:val="center"/>
          </w:tcPr>
          <w:p w14:paraId="4F96832B">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10.19</w:t>
            </w:r>
          </w:p>
        </w:tc>
        <w:tc>
          <w:tcPr>
            <w:tcW w:w="627" w:type="pct"/>
            <w:shd w:val="clear" w:color="auto" w:fill="auto"/>
            <w:noWrap w:val="0"/>
            <w:vAlign w:val="center"/>
          </w:tcPr>
          <w:p w14:paraId="2241C310">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0.130</w:t>
            </w:r>
          </w:p>
        </w:tc>
        <w:tc>
          <w:tcPr>
            <w:tcW w:w="701" w:type="pct"/>
            <w:shd w:val="clear" w:color="auto" w:fill="auto"/>
            <w:noWrap w:val="0"/>
            <w:vAlign w:val="center"/>
          </w:tcPr>
          <w:p w14:paraId="2498CC4B">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8.89</w:t>
            </w:r>
          </w:p>
        </w:tc>
      </w:tr>
      <w:tr w14:paraId="1AE5E1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50BA5FA9">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-27</w:t>
            </w:r>
          </w:p>
        </w:tc>
        <w:tc>
          <w:tcPr>
            <w:tcW w:w="636" w:type="pct"/>
            <w:shd w:val="clear" w:color="auto" w:fill="auto"/>
            <w:noWrap w:val="0"/>
            <w:vAlign w:val="center"/>
          </w:tcPr>
          <w:p w14:paraId="2EA4CFA9">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0.252</w:t>
            </w:r>
          </w:p>
        </w:tc>
        <w:tc>
          <w:tcPr>
            <w:tcW w:w="659" w:type="pct"/>
            <w:shd w:val="clear" w:color="auto" w:fill="auto"/>
            <w:noWrap w:val="0"/>
            <w:vAlign w:val="center"/>
          </w:tcPr>
          <w:p w14:paraId="59CED9D8">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10.54</w:t>
            </w:r>
          </w:p>
        </w:tc>
        <w:tc>
          <w:tcPr>
            <w:tcW w:w="686" w:type="pct"/>
            <w:shd w:val="clear" w:color="auto" w:fill="auto"/>
            <w:noWrap w:val="0"/>
            <w:vAlign w:val="center"/>
          </w:tcPr>
          <w:p w14:paraId="00CFE0C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0.311</w:t>
            </w:r>
          </w:p>
        </w:tc>
        <w:tc>
          <w:tcPr>
            <w:tcW w:w="659" w:type="pct"/>
            <w:shd w:val="clear" w:color="auto" w:fill="auto"/>
            <w:noWrap w:val="0"/>
            <w:vAlign w:val="center"/>
          </w:tcPr>
          <w:p w14:paraId="5DFAFF1B">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10.89</w:t>
            </w:r>
          </w:p>
        </w:tc>
        <w:tc>
          <w:tcPr>
            <w:tcW w:w="627" w:type="pct"/>
            <w:shd w:val="clear" w:color="auto" w:fill="auto"/>
            <w:noWrap w:val="0"/>
            <w:vAlign w:val="center"/>
          </w:tcPr>
          <w:p w14:paraId="2DB265F9">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0.140</w:t>
            </w:r>
          </w:p>
        </w:tc>
        <w:tc>
          <w:tcPr>
            <w:tcW w:w="701" w:type="pct"/>
            <w:shd w:val="clear" w:color="auto" w:fill="auto"/>
            <w:noWrap w:val="0"/>
            <w:vAlign w:val="center"/>
          </w:tcPr>
          <w:p w14:paraId="5A1DAE9B">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9.42</w:t>
            </w:r>
          </w:p>
        </w:tc>
      </w:tr>
      <w:tr w14:paraId="3A0A0E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6D411040">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-26</w:t>
            </w:r>
          </w:p>
        </w:tc>
        <w:tc>
          <w:tcPr>
            <w:tcW w:w="636" w:type="pct"/>
            <w:shd w:val="clear" w:color="auto" w:fill="auto"/>
            <w:noWrap w:val="0"/>
            <w:vAlign w:val="center"/>
          </w:tcPr>
          <w:p w14:paraId="591D9A14">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0.252</w:t>
            </w:r>
          </w:p>
        </w:tc>
        <w:tc>
          <w:tcPr>
            <w:tcW w:w="659" w:type="pct"/>
            <w:shd w:val="clear" w:color="auto" w:fill="auto"/>
            <w:noWrap w:val="0"/>
            <w:vAlign w:val="center"/>
          </w:tcPr>
          <w:p w14:paraId="3858CA9E">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11.26</w:t>
            </w:r>
          </w:p>
        </w:tc>
        <w:tc>
          <w:tcPr>
            <w:tcW w:w="686" w:type="pct"/>
            <w:shd w:val="clear" w:color="auto" w:fill="auto"/>
            <w:noWrap w:val="0"/>
            <w:vAlign w:val="center"/>
          </w:tcPr>
          <w:p w14:paraId="3285E435">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0.314</w:t>
            </w:r>
          </w:p>
        </w:tc>
        <w:tc>
          <w:tcPr>
            <w:tcW w:w="659" w:type="pct"/>
            <w:shd w:val="clear" w:color="auto" w:fill="auto"/>
            <w:noWrap w:val="0"/>
            <w:vAlign w:val="center"/>
          </w:tcPr>
          <w:p w14:paraId="1489A40B">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11.67</w:t>
            </w:r>
          </w:p>
        </w:tc>
        <w:tc>
          <w:tcPr>
            <w:tcW w:w="627" w:type="pct"/>
            <w:shd w:val="clear" w:color="auto" w:fill="auto"/>
            <w:noWrap w:val="0"/>
            <w:vAlign w:val="center"/>
          </w:tcPr>
          <w:p w14:paraId="4DCC59F5">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0.161</w:t>
            </w:r>
          </w:p>
        </w:tc>
        <w:tc>
          <w:tcPr>
            <w:tcW w:w="701" w:type="pct"/>
            <w:shd w:val="clear" w:color="auto" w:fill="auto"/>
            <w:noWrap w:val="0"/>
            <w:vAlign w:val="center"/>
          </w:tcPr>
          <w:p w14:paraId="47096B71">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9.99</w:t>
            </w:r>
          </w:p>
        </w:tc>
      </w:tr>
      <w:tr w14:paraId="6A4D81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7F4FE4E9">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-25</w:t>
            </w:r>
          </w:p>
        </w:tc>
        <w:tc>
          <w:tcPr>
            <w:tcW w:w="636" w:type="pct"/>
            <w:shd w:val="clear" w:color="auto" w:fill="auto"/>
            <w:noWrap w:val="0"/>
            <w:vAlign w:val="center"/>
          </w:tcPr>
          <w:p w14:paraId="2BD9AC7C">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0.255</w:t>
            </w:r>
          </w:p>
        </w:tc>
        <w:tc>
          <w:tcPr>
            <w:tcW w:w="659" w:type="pct"/>
            <w:shd w:val="clear" w:color="auto" w:fill="auto"/>
            <w:noWrap w:val="0"/>
            <w:vAlign w:val="center"/>
          </w:tcPr>
          <w:p w14:paraId="58817633">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12.06</w:t>
            </w:r>
          </w:p>
        </w:tc>
        <w:tc>
          <w:tcPr>
            <w:tcW w:w="686" w:type="pct"/>
            <w:shd w:val="clear" w:color="auto" w:fill="auto"/>
            <w:noWrap w:val="0"/>
            <w:vAlign w:val="center"/>
          </w:tcPr>
          <w:p w14:paraId="3C3E95C8">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0.317</w:t>
            </w:r>
          </w:p>
        </w:tc>
        <w:tc>
          <w:tcPr>
            <w:tcW w:w="659" w:type="pct"/>
            <w:shd w:val="clear" w:color="auto" w:fill="auto"/>
            <w:noWrap w:val="0"/>
            <w:vAlign w:val="center"/>
          </w:tcPr>
          <w:p w14:paraId="568C3C22">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12.53</w:t>
            </w:r>
          </w:p>
        </w:tc>
        <w:tc>
          <w:tcPr>
            <w:tcW w:w="627" w:type="pct"/>
            <w:shd w:val="clear" w:color="auto" w:fill="auto"/>
            <w:noWrap w:val="0"/>
            <w:vAlign w:val="center"/>
          </w:tcPr>
          <w:p w14:paraId="47A3438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0.194</w:t>
            </w:r>
          </w:p>
        </w:tc>
        <w:tc>
          <w:tcPr>
            <w:tcW w:w="701" w:type="pct"/>
            <w:shd w:val="clear" w:color="auto" w:fill="auto"/>
            <w:noWrap w:val="0"/>
            <w:vAlign w:val="center"/>
          </w:tcPr>
          <w:p w14:paraId="3AC71933">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10.61</w:t>
            </w:r>
          </w:p>
        </w:tc>
      </w:tr>
      <w:tr w14:paraId="5E846B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1C25F0BD">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-24</w:t>
            </w:r>
          </w:p>
        </w:tc>
        <w:tc>
          <w:tcPr>
            <w:tcW w:w="636" w:type="pct"/>
            <w:shd w:val="clear" w:color="auto" w:fill="auto"/>
            <w:noWrap w:val="0"/>
            <w:vAlign w:val="center"/>
          </w:tcPr>
          <w:p w14:paraId="0858C8F1">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0.263</w:t>
            </w:r>
          </w:p>
        </w:tc>
        <w:tc>
          <w:tcPr>
            <w:tcW w:w="659" w:type="pct"/>
            <w:shd w:val="clear" w:color="auto" w:fill="auto"/>
            <w:noWrap w:val="0"/>
            <w:vAlign w:val="center"/>
          </w:tcPr>
          <w:p w14:paraId="4F8C54F1">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12.94</w:t>
            </w:r>
          </w:p>
        </w:tc>
        <w:tc>
          <w:tcPr>
            <w:tcW w:w="686" w:type="pct"/>
            <w:shd w:val="clear" w:color="auto" w:fill="auto"/>
            <w:noWrap w:val="0"/>
            <w:vAlign w:val="center"/>
          </w:tcPr>
          <w:p w14:paraId="0C94A6FA">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0.322</w:t>
            </w:r>
          </w:p>
        </w:tc>
        <w:tc>
          <w:tcPr>
            <w:tcW w:w="659" w:type="pct"/>
            <w:shd w:val="clear" w:color="auto" w:fill="auto"/>
            <w:noWrap w:val="0"/>
            <w:vAlign w:val="center"/>
          </w:tcPr>
          <w:p w14:paraId="1D5907F6">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13.49</w:t>
            </w:r>
          </w:p>
        </w:tc>
        <w:tc>
          <w:tcPr>
            <w:tcW w:w="627" w:type="pct"/>
            <w:shd w:val="clear" w:color="auto" w:fill="auto"/>
            <w:noWrap w:val="0"/>
            <w:vAlign w:val="center"/>
          </w:tcPr>
          <w:p w14:paraId="4A95DB14">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0.240</w:t>
            </w:r>
          </w:p>
        </w:tc>
        <w:tc>
          <w:tcPr>
            <w:tcW w:w="701" w:type="pct"/>
            <w:shd w:val="clear" w:color="auto" w:fill="auto"/>
            <w:noWrap w:val="0"/>
            <w:vAlign w:val="center"/>
          </w:tcPr>
          <w:p w14:paraId="0470704F">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11.27</w:t>
            </w:r>
          </w:p>
        </w:tc>
      </w:tr>
      <w:tr w14:paraId="210574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71763415">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-23</w:t>
            </w:r>
          </w:p>
        </w:tc>
        <w:tc>
          <w:tcPr>
            <w:tcW w:w="636" w:type="pct"/>
            <w:shd w:val="clear" w:color="auto" w:fill="auto"/>
            <w:noWrap w:val="0"/>
            <w:vAlign w:val="center"/>
          </w:tcPr>
          <w:p w14:paraId="7860751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0.280</w:t>
            </w:r>
          </w:p>
        </w:tc>
        <w:tc>
          <w:tcPr>
            <w:tcW w:w="659" w:type="pct"/>
            <w:shd w:val="clear" w:color="auto" w:fill="auto"/>
            <w:noWrap w:val="0"/>
            <w:vAlign w:val="center"/>
          </w:tcPr>
          <w:p w14:paraId="786A051E">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13.91</w:t>
            </w:r>
          </w:p>
        </w:tc>
        <w:tc>
          <w:tcPr>
            <w:tcW w:w="686" w:type="pct"/>
            <w:shd w:val="clear" w:color="auto" w:fill="auto"/>
            <w:noWrap w:val="0"/>
            <w:vAlign w:val="center"/>
          </w:tcPr>
          <w:p w14:paraId="6BECFDB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0.333</w:t>
            </w:r>
          </w:p>
        </w:tc>
        <w:tc>
          <w:tcPr>
            <w:tcW w:w="659" w:type="pct"/>
            <w:shd w:val="clear" w:color="auto" w:fill="auto"/>
            <w:noWrap w:val="0"/>
            <w:vAlign w:val="center"/>
          </w:tcPr>
          <w:p w14:paraId="1D48ACAD">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14.55</w:t>
            </w:r>
          </w:p>
        </w:tc>
        <w:tc>
          <w:tcPr>
            <w:tcW w:w="627" w:type="pct"/>
            <w:shd w:val="clear" w:color="auto" w:fill="auto"/>
            <w:noWrap w:val="0"/>
            <w:vAlign w:val="center"/>
          </w:tcPr>
          <w:p w14:paraId="2EE5A0D2">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0.300</w:t>
            </w:r>
          </w:p>
        </w:tc>
        <w:tc>
          <w:tcPr>
            <w:tcW w:w="701" w:type="pct"/>
            <w:shd w:val="clear" w:color="auto" w:fill="auto"/>
            <w:noWrap w:val="0"/>
            <w:vAlign w:val="center"/>
          </w:tcPr>
          <w:p w14:paraId="179B122B">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11.99</w:t>
            </w:r>
          </w:p>
        </w:tc>
      </w:tr>
      <w:tr w14:paraId="134C13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416496A1">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-22</w:t>
            </w:r>
          </w:p>
        </w:tc>
        <w:tc>
          <w:tcPr>
            <w:tcW w:w="636" w:type="pct"/>
            <w:shd w:val="clear" w:color="auto" w:fill="auto"/>
            <w:noWrap w:val="0"/>
            <w:vAlign w:val="center"/>
          </w:tcPr>
          <w:p w14:paraId="17041C50">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0.313</w:t>
            </w:r>
          </w:p>
        </w:tc>
        <w:tc>
          <w:tcPr>
            <w:tcW w:w="659" w:type="pct"/>
            <w:shd w:val="clear" w:color="auto" w:fill="auto"/>
            <w:noWrap w:val="0"/>
            <w:vAlign w:val="center"/>
          </w:tcPr>
          <w:p w14:paraId="064BBC64">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14.98</w:t>
            </w:r>
          </w:p>
        </w:tc>
        <w:tc>
          <w:tcPr>
            <w:tcW w:w="686" w:type="pct"/>
            <w:shd w:val="clear" w:color="auto" w:fill="auto"/>
            <w:noWrap w:val="0"/>
            <w:vAlign w:val="center"/>
          </w:tcPr>
          <w:p w14:paraId="7B36DC57">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0.352</w:t>
            </w:r>
          </w:p>
        </w:tc>
        <w:tc>
          <w:tcPr>
            <w:tcW w:w="659" w:type="pct"/>
            <w:shd w:val="clear" w:color="auto" w:fill="auto"/>
            <w:noWrap w:val="0"/>
            <w:vAlign w:val="center"/>
          </w:tcPr>
          <w:p w14:paraId="6CF1FABE">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15.73</w:t>
            </w:r>
          </w:p>
        </w:tc>
        <w:tc>
          <w:tcPr>
            <w:tcW w:w="627" w:type="pct"/>
            <w:shd w:val="clear" w:color="auto" w:fill="auto"/>
            <w:noWrap w:val="0"/>
            <w:vAlign w:val="center"/>
          </w:tcPr>
          <w:p w14:paraId="00466B3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0.376</w:t>
            </w:r>
          </w:p>
        </w:tc>
        <w:tc>
          <w:tcPr>
            <w:tcW w:w="701" w:type="pct"/>
            <w:shd w:val="clear" w:color="auto" w:fill="auto"/>
            <w:noWrap w:val="0"/>
            <w:vAlign w:val="center"/>
          </w:tcPr>
          <w:p w14:paraId="6FED3CB6">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12.76</w:t>
            </w:r>
          </w:p>
        </w:tc>
      </w:tr>
      <w:tr w14:paraId="018599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6F6A6C8D">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-21</w:t>
            </w:r>
          </w:p>
        </w:tc>
        <w:tc>
          <w:tcPr>
            <w:tcW w:w="636" w:type="pct"/>
            <w:shd w:val="clear" w:color="auto" w:fill="auto"/>
            <w:noWrap w:val="0"/>
            <w:vAlign w:val="center"/>
          </w:tcPr>
          <w:p w14:paraId="4BAED2DE">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0.368</w:t>
            </w:r>
          </w:p>
        </w:tc>
        <w:tc>
          <w:tcPr>
            <w:tcW w:w="659" w:type="pct"/>
            <w:shd w:val="clear" w:color="auto" w:fill="auto"/>
            <w:noWrap w:val="0"/>
            <w:vAlign w:val="center"/>
          </w:tcPr>
          <w:p w14:paraId="324A1D6F">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16.16</w:t>
            </w:r>
          </w:p>
        </w:tc>
        <w:tc>
          <w:tcPr>
            <w:tcW w:w="686" w:type="pct"/>
            <w:shd w:val="clear" w:color="auto" w:fill="auto"/>
            <w:noWrap w:val="0"/>
            <w:vAlign w:val="center"/>
          </w:tcPr>
          <w:p w14:paraId="468CB559">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0.387</w:t>
            </w:r>
          </w:p>
        </w:tc>
        <w:tc>
          <w:tcPr>
            <w:tcW w:w="659" w:type="pct"/>
            <w:shd w:val="clear" w:color="auto" w:fill="auto"/>
            <w:noWrap w:val="0"/>
            <w:vAlign w:val="center"/>
          </w:tcPr>
          <w:p w14:paraId="469A30F8">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17.04</w:t>
            </w:r>
          </w:p>
        </w:tc>
        <w:tc>
          <w:tcPr>
            <w:tcW w:w="627" w:type="pct"/>
            <w:shd w:val="clear" w:color="auto" w:fill="auto"/>
            <w:noWrap w:val="0"/>
            <w:vAlign w:val="center"/>
          </w:tcPr>
          <w:p w14:paraId="1A895C8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0.469</w:t>
            </w:r>
          </w:p>
        </w:tc>
        <w:tc>
          <w:tcPr>
            <w:tcW w:w="701" w:type="pct"/>
            <w:shd w:val="clear" w:color="auto" w:fill="auto"/>
            <w:noWrap w:val="0"/>
            <w:vAlign w:val="center"/>
          </w:tcPr>
          <w:p w14:paraId="456CD9C9">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13.60</w:t>
            </w:r>
          </w:p>
        </w:tc>
      </w:tr>
      <w:tr w14:paraId="029A3B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5A091A7F">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-20</w:t>
            </w:r>
          </w:p>
        </w:tc>
        <w:tc>
          <w:tcPr>
            <w:tcW w:w="636" w:type="pct"/>
            <w:shd w:val="clear" w:color="auto" w:fill="auto"/>
            <w:noWrap w:val="0"/>
            <w:vAlign w:val="center"/>
          </w:tcPr>
          <w:p w14:paraId="1A19EA88">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0.450</w:t>
            </w:r>
          </w:p>
        </w:tc>
        <w:tc>
          <w:tcPr>
            <w:tcW w:w="659" w:type="pct"/>
            <w:shd w:val="clear" w:color="auto" w:fill="auto"/>
            <w:noWrap w:val="0"/>
            <w:vAlign w:val="center"/>
          </w:tcPr>
          <w:p w14:paraId="105B8E5A">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17.48</w:t>
            </w:r>
          </w:p>
        </w:tc>
        <w:tc>
          <w:tcPr>
            <w:tcW w:w="686" w:type="pct"/>
            <w:shd w:val="clear" w:color="auto" w:fill="auto"/>
            <w:noWrap w:val="0"/>
            <w:vAlign w:val="center"/>
          </w:tcPr>
          <w:p w14:paraId="7315EBF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0.446</w:t>
            </w:r>
          </w:p>
        </w:tc>
        <w:tc>
          <w:tcPr>
            <w:tcW w:w="659" w:type="pct"/>
            <w:shd w:val="clear" w:color="auto" w:fill="auto"/>
            <w:noWrap w:val="0"/>
            <w:vAlign w:val="center"/>
          </w:tcPr>
          <w:p w14:paraId="1C40FE1B">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18.52</w:t>
            </w:r>
          </w:p>
        </w:tc>
        <w:tc>
          <w:tcPr>
            <w:tcW w:w="627" w:type="pct"/>
            <w:shd w:val="clear" w:color="auto" w:fill="auto"/>
            <w:noWrap w:val="0"/>
            <w:vAlign w:val="center"/>
          </w:tcPr>
          <w:p w14:paraId="76000F54">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0.581</w:t>
            </w:r>
          </w:p>
        </w:tc>
        <w:tc>
          <w:tcPr>
            <w:tcW w:w="701" w:type="pct"/>
            <w:shd w:val="clear" w:color="auto" w:fill="auto"/>
            <w:noWrap w:val="0"/>
            <w:vAlign w:val="center"/>
          </w:tcPr>
          <w:p w14:paraId="2B50E1F0">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14.49</w:t>
            </w:r>
          </w:p>
        </w:tc>
      </w:tr>
      <w:tr w14:paraId="10B1BE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471D0451">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-19</w:t>
            </w:r>
          </w:p>
        </w:tc>
        <w:tc>
          <w:tcPr>
            <w:tcW w:w="636" w:type="pct"/>
            <w:shd w:val="clear" w:color="auto" w:fill="auto"/>
            <w:noWrap w:val="0"/>
            <w:vAlign w:val="center"/>
          </w:tcPr>
          <w:p w14:paraId="650915B6">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0.566</w:t>
            </w:r>
          </w:p>
        </w:tc>
        <w:tc>
          <w:tcPr>
            <w:tcW w:w="659" w:type="pct"/>
            <w:shd w:val="clear" w:color="auto" w:fill="auto"/>
            <w:noWrap w:val="0"/>
            <w:vAlign w:val="center"/>
          </w:tcPr>
          <w:p w14:paraId="45591C5D">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18.93</w:t>
            </w:r>
          </w:p>
        </w:tc>
        <w:tc>
          <w:tcPr>
            <w:tcW w:w="686" w:type="pct"/>
            <w:shd w:val="clear" w:color="auto" w:fill="auto"/>
            <w:noWrap w:val="0"/>
            <w:vAlign w:val="center"/>
          </w:tcPr>
          <w:p w14:paraId="134E06E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0.538</w:t>
            </w:r>
          </w:p>
        </w:tc>
        <w:tc>
          <w:tcPr>
            <w:tcW w:w="659" w:type="pct"/>
            <w:shd w:val="clear" w:color="auto" w:fill="auto"/>
            <w:noWrap w:val="0"/>
            <w:vAlign w:val="center"/>
          </w:tcPr>
          <w:p w14:paraId="13F91484">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20.17</w:t>
            </w:r>
          </w:p>
        </w:tc>
        <w:tc>
          <w:tcPr>
            <w:tcW w:w="627" w:type="pct"/>
            <w:shd w:val="clear" w:color="auto" w:fill="auto"/>
            <w:noWrap w:val="0"/>
            <w:vAlign w:val="center"/>
          </w:tcPr>
          <w:p w14:paraId="084B5839">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0.715</w:t>
            </w:r>
          </w:p>
        </w:tc>
        <w:tc>
          <w:tcPr>
            <w:tcW w:w="701" w:type="pct"/>
            <w:shd w:val="clear" w:color="auto" w:fill="auto"/>
            <w:noWrap w:val="0"/>
            <w:vAlign w:val="center"/>
          </w:tcPr>
          <w:p w14:paraId="44EB475E">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15.45</w:t>
            </w:r>
          </w:p>
        </w:tc>
      </w:tr>
      <w:tr w14:paraId="414039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2C625BA2">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-18</w:t>
            </w:r>
          </w:p>
        </w:tc>
        <w:tc>
          <w:tcPr>
            <w:tcW w:w="636" w:type="pct"/>
            <w:shd w:val="clear" w:color="auto" w:fill="auto"/>
            <w:noWrap w:val="0"/>
            <w:vAlign w:val="center"/>
          </w:tcPr>
          <w:p w14:paraId="0E577CE8">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0.722</w:t>
            </w:r>
          </w:p>
        </w:tc>
        <w:tc>
          <w:tcPr>
            <w:tcW w:w="659" w:type="pct"/>
            <w:shd w:val="clear" w:color="auto" w:fill="auto"/>
            <w:noWrap w:val="0"/>
            <w:vAlign w:val="center"/>
          </w:tcPr>
          <w:p w14:paraId="35E1CFA6">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20.55</w:t>
            </w:r>
          </w:p>
        </w:tc>
        <w:tc>
          <w:tcPr>
            <w:tcW w:w="686" w:type="pct"/>
            <w:shd w:val="clear" w:color="auto" w:fill="auto"/>
            <w:noWrap w:val="0"/>
            <w:vAlign w:val="center"/>
          </w:tcPr>
          <w:p w14:paraId="66AB862E">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0.672</w:t>
            </w:r>
          </w:p>
        </w:tc>
        <w:tc>
          <w:tcPr>
            <w:tcW w:w="659" w:type="pct"/>
            <w:shd w:val="clear" w:color="auto" w:fill="auto"/>
            <w:noWrap w:val="0"/>
            <w:vAlign w:val="center"/>
          </w:tcPr>
          <w:p w14:paraId="0B6F9977">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22.03</w:t>
            </w:r>
          </w:p>
        </w:tc>
        <w:tc>
          <w:tcPr>
            <w:tcW w:w="627" w:type="pct"/>
            <w:shd w:val="clear" w:color="auto" w:fill="auto"/>
            <w:noWrap w:val="0"/>
            <w:vAlign w:val="center"/>
          </w:tcPr>
          <w:p w14:paraId="36416CBD">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0.874</w:t>
            </w:r>
          </w:p>
        </w:tc>
        <w:tc>
          <w:tcPr>
            <w:tcW w:w="701" w:type="pct"/>
            <w:shd w:val="clear" w:color="auto" w:fill="auto"/>
            <w:noWrap w:val="0"/>
            <w:vAlign w:val="center"/>
          </w:tcPr>
          <w:p w14:paraId="6AEF5AD0">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16.47</w:t>
            </w:r>
          </w:p>
        </w:tc>
      </w:tr>
      <w:tr w14:paraId="40B92B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42C15C8A">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-17</w:t>
            </w:r>
          </w:p>
        </w:tc>
        <w:tc>
          <w:tcPr>
            <w:tcW w:w="636" w:type="pct"/>
            <w:shd w:val="clear" w:color="auto" w:fill="auto"/>
            <w:noWrap w:val="0"/>
            <w:vAlign w:val="center"/>
          </w:tcPr>
          <w:p w14:paraId="05E49731">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0.925</w:t>
            </w:r>
          </w:p>
        </w:tc>
        <w:tc>
          <w:tcPr>
            <w:tcW w:w="659" w:type="pct"/>
            <w:shd w:val="clear" w:color="auto" w:fill="auto"/>
            <w:noWrap w:val="0"/>
            <w:vAlign w:val="center"/>
          </w:tcPr>
          <w:p w14:paraId="13AA059A">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22.33</w:t>
            </w:r>
          </w:p>
        </w:tc>
        <w:tc>
          <w:tcPr>
            <w:tcW w:w="686" w:type="pct"/>
            <w:shd w:val="clear" w:color="auto" w:fill="auto"/>
            <w:noWrap w:val="0"/>
            <w:vAlign w:val="center"/>
          </w:tcPr>
          <w:p w14:paraId="1B30EB0F">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0.862</w:t>
            </w:r>
          </w:p>
        </w:tc>
        <w:tc>
          <w:tcPr>
            <w:tcW w:w="659" w:type="pct"/>
            <w:shd w:val="clear" w:color="auto" w:fill="auto"/>
            <w:noWrap w:val="0"/>
            <w:vAlign w:val="center"/>
          </w:tcPr>
          <w:p w14:paraId="549AB474">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24.13</w:t>
            </w:r>
          </w:p>
        </w:tc>
        <w:tc>
          <w:tcPr>
            <w:tcW w:w="627" w:type="pct"/>
            <w:shd w:val="clear" w:color="auto" w:fill="auto"/>
            <w:noWrap w:val="0"/>
            <w:vAlign w:val="center"/>
          </w:tcPr>
          <w:p w14:paraId="32455C97">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1.060</w:t>
            </w:r>
          </w:p>
        </w:tc>
        <w:tc>
          <w:tcPr>
            <w:tcW w:w="701" w:type="pct"/>
            <w:shd w:val="clear" w:color="auto" w:fill="auto"/>
            <w:noWrap w:val="0"/>
            <w:vAlign w:val="center"/>
          </w:tcPr>
          <w:p w14:paraId="55BA6AFD">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17.55</w:t>
            </w:r>
          </w:p>
        </w:tc>
      </w:tr>
      <w:tr w14:paraId="696533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07F6BE94">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-16</w:t>
            </w:r>
          </w:p>
        </w:tc>
        <w:tc>
          <w:tcPr>
            <w:tcW w:w="636" w:type="pct"/>
            <w:shd w:val="clear" w:color="auto" w:fill="auto"/>
            <w:noWrap w:val="0"/>
            <w:vAlign w:val="center"/>
          </w:tcPr>
          <w:p w14:paraId="7900811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1.187</w:t>
            </w:r>
          </w:p>
        </w:tc>
        <w:tc>
          <w:tcPr>
            <w:tcW w:w="659" w:type="pct"/>
            <w:shd w:val="clear" w:color="auto" w:fill="auto"/>
            <w:noWrap w:val="0"/>
            <w:vAlign w:val="center"/>
          </w:tcPr>
          <w:p w14:paraId="54A9FF0F">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24.31</w:t>
            </w:r>
          </w:p>
        </w:tc>
        <w:tc>
          <w:tcPr>
            <w:tcW w:w="686" w:type="pct"/>
            <w:shd w:val="clear" w:color="auto" w:fill="auto"/>
            <w:noWrap w:val="0"/>
            <w:vAlign w:val="center"/>
          </w:tcPr>
          <w:p w14:paraId="0A74D21F">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1.119</w:t>
            </w:r>
          </w:p>
        </w:tc>
        <w:tc>
          <w:tcPr>
            <w:tcW w:w="659" w:type="pct"/>
            <w:shd w:val="clear" w:color="auto" w:fill="auto"/>
            <w:noWrap w:val="0"/>
            <w:vAlign w:val="center"/>
          </w:tcPr>
          <w:p w14:paraId="2CB91724">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26.49</w:t>
            </w:r>
          </w:p>
        </w:tc>
        <w:tc>
          <w:tcPr>
            <w:tcW w:w="627" w:type="pct"/>
            <w:shd w:val="clear" w:color="auto" w:fill="auto"/>
            <w:noWrap w:val="0"/>
            <w:vAlign w:val="center"/>
          </w:tcPr>
          <w:p w14:paraId="1741E64D">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1.276</w:t>
            </w:r>
          </w:p>
        </w:tc>
        <w:tc>
          <w:tcPr>
            <w:tcW w:w="701" w:type="pct"/>
            <w:shd w:val="clear" w:color="auto" w:fill="auto"/>
            <w:noWrap w:val="0"/>
            <w:vAlign w:val="center"/>
          </w:tcPr>
          <w:p w14:paraId="31913BC3">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18.68</w:t>
            </w:r>
          </w:p>
        </w:tc>
      </w:tr>
      <w:tr w14:paraId="2BE7B2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13D9D247">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-15</w:t>
            </w:r>
          </w:p>
        </w:tc>
        <w:tc>
          <w:tcPr>
            <w:tcW w:w="636" w:type="pct"/>
            <w:shd w:val="clear" w:color="auto" w:fill="auto"/>
            <w:noWrap w:val="0"/>
            <w:vAlign w:val="center"/>
          </w:tcPr>
          <w:p w14:paraId="36882B8B">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1.517</w:t>
            </w:r>
          </w:p>
        </w:tc>
        <w:tc>
          <w:tcPr>
            <w:tcW w:w="659" w:type="pct"/>
            <w:shd w:val="clear" w:color="auto" w:fill="auto"/>
            <w:noWrap w:val="0"/>
            <w:vAlign w:val="center"/>
          </w:tcPr>
          <w:p w14:paraId="26A759DE">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26.47</w:t>
            </w:r>
          </w:p>
        </w:tc>
        <w:tc>
          <w:tcPr>
            <w:tcW w:w="686" w:type="pct"/>
            <w:shd w:val="clear" w:color="auto" w:fill="auto"/>
            <w:noWrap w:val="0"/>
            <w:vAlign w:val="center"/>
          </w:tcPr>
          <w:p w14:paraId="2727DEC4">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1.462</w:t>
            </w:r>
          </w:p>
        </w:tc>
        <w:tc>
          <w:tcPr>
            <w:tcW w:w="659" w:type="pct"/>
            <w:shd w:val="clear" w:color="auto" w:fill="auto"/>
            <w:noWrap w:val="0"/>
            <w:vAlign w:val="center"/>
          </w:tcPr>
          <w:p w14:paraId="57AB471E">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29.14</w:t>
            </w:r>
          </w:p>
        </w:tc>
        <w:tc>
          <w:tcPr>
            <w:tcW w:w="627" w:type="pct"/>
            <w:shd w:val="clear" w:color="auto" w:fill="auto"/>
            <w:noWrap w:val="0"/>
            <w:vAlign w:val="center"/>
          </w:tcPr>
          <w:p w14:paraId="5A79AE2E">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1.523</w:t>
            </w:r>
          </w:p>
        </w:tc>
        <w:tc>
          <w:tcPr>
            <w:tcW w:w="701" w:type="pct"/>
            <w:shd w:val="clear" w:color="auto" w:fill="auto"/>
            <w:noWrap w:val="0"/>
            <w:vAlign w:val="center"/>
          </w:tcPr>
          <w:p w14:paraId="0CBA5480">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19.84</w:t>
            </w:r>
          </w:p>
        </w:tc>
      </w:tr>
      <w:tr w14:paraId="4EE6E7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5E1DC05C">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-14</w:t>
            </w:r>
          </w:p>
        </w:tc>
        <w:tc>
          <w:tcPr>
            <w:tcW w:w="636" w:type="pct"/>
            <w:shd w:val="clear" w:color="auto" w:fill="auto"/>
            <w:noWrap w:val="0"/>
            <w:vAlign w:val="center"/>
          </w:tcPr>
          <w:p w14:paraId="53E7F050">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1.928</w:t>
            </w:r>
          </w:p>
        </w:tc>
        <w:tc>
          <w:tcPr>
            <w:tcW w:w="659" w:type="pct"/>
            <w:shd w:val="clear" w:color="auto" w:fill="auto"/>
            <w:noWrap w:val="0"/>
            <w:vAlign w:val="center"/>
          </w:tcPr>
          <w:p w14:paraId="4D37D56A">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28.82</w:t>
            </w:r>
          </w:p>
        </w:tc>
        <w:tc>
          <w:tcPr>
            <w:tcW w:w="686" w:type="pct"/>
            <w:shd w:val="clear" w:color="auto" w:fill="auto"/>
            <w:noWrap w:val="0"/>
            <w:vAlign w:val="center"/>
          </w:tcPr>
          <w:p w14:paraId="418167E8">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1.910</w:t>
            </w:r>
          </w:p>
        </w:tc>
        <w:tc>
          <w:tcPr>
            <w:tcW w:w="659" w:type="pct"/>
            <w:shd w:val="clear" w:color="auto" w:fill="auto"/>
            <w:noWrap w:val="0"/>
            <w:vAlign w:val="center"/>
          </w:tcPr>
          <w:p w14:paraId="7491B911">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32.11</w:t>
            </w:r>
          </w:p>
        </w:tc>
        <w:tc>
          <w:tcPr>
            <w:tcW w:w="627" w:type="pct"/>
            <w:shd w:val="clear" w:color="auto" w:fill="auto"/>
            <w:noWrap w:val="0"/>
            <w:vAlign w:val="center"/>
          </w:tcPr>
          <w:p w14:paraId="4221E92D">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1.800</w:t>
            </w:r>
          </w:p>
        </w:tc>
        <w:tc>
          <w:tcPr>
            <w:tcW w:w="701" w:type="pct"/>
            <w:shd w:val="clear" w:color="auto" w:fill="auto"/>
            <w:noWrap w:val="0"/>
            <w:vAlign w:val="center"/>
          </w:tcPr>
          <w:p w14:paraId="3F505BE7">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21.01</w:t>
            </w:r>
          </w:p>
        </w:tc>
      </w:tr>
      <w:tr w14:paraId="33FC93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09548366">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-13</w:t>
            </w:r>
          </w:p>
        </w:tc>
        <w:tc>
          <w:tcPr>
            <w:tcW w:w="636" w:type="pct"/>
            <w:shd w:val="clear" w:color="auto" w:fill="auto"/>
            <w:noWrap w:val="0"/>
            <w:vAlign w:val="center"/>
          </w:tcPr>
          <w:p w14:paraId="333BE4C8">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2.429</w:t>
            </w:r>
          </w:p>
        </w:tc>
        <w:tc>
          <w:tcPr>
            <w:tcW w:w="659" w:type="pct"/>
            <w:shd w:val="clear" w:color="auto" w:fill="auto"/>
            <w:noWrap w:val="0"/>
            <w:vAlign w:val="center"/>
          </w:tcPr>
          <w:p w14:paraId="4A50A1F6">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31.31</w:t>
            </w:r>
          </w:p>
        </w:tc>
        <w:tc>
          <w:tcPr>
            <w:tcW w:w="686" w:type="pct"/>
            <w:shd w:val="clear" w:color="auto" w:fill="auto"/>
            <w:noWrap w:val="0"/>
            <w:vAlign w:val="center"/>
          </w:tcPr>
          <w:p w14:paraId="039DFCA1">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2.485</w:t>
            </w:r>
          </w:p>
        </w:tc>
        <w:tc>
          <w:tcPr>
            <w:tcW w:w="659" w:type="pct"/>
            <w:shd w:val="clear" w:color="auto" w:fill="auto"/>
            <w:noWrap w:val="0"/>
            <w:vAlign w:val="center"/>
          </w:tcPr>
          <w:p w14:paraId="2B1DD056">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35.39</w:t>
            </w:r>
          </w:p>
        </w:tc>
        <w:tc>
          <w:tcPr>
            <w:tcW w:w="627" w:type="pct"/>
            <w:shd w:val="clear" w:color="auto" w:fill="auto"/>
            <w:noWrap w:val="0"/>
            <w:vAlign w:val="center"/>
          </w:tcPr>
          <w:p w14:paraId="4EC775FE">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2.104</w:t>
            </w:r>
          </w:p>
        </w:tc>
        <w:tc>
          <w:tcPr>
            <w:tcW w:w="701" w:type="pct"/>
            <w:shd w:val="clear" w:color="auto" w:fill="auto"/>
            <w:noWrap w:val="0"/>
            <w:vAlign w:val="center"/>
          </w:tcPr>
          <w:p w14:paraId="7F40A9C2">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22.15</w:t>
            </w:r>
          </w:p>
        </w:tc>
      </w:tr>
      <w:tr w14:paraId="653B48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34554AE4">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-12</w:t>
            </w:r>
          </w:p>
        </w:tc>
        <w:tc>
          <w:tcPr>
            <w:tcW w:w="636" w:type="pct"/>
            <w:shd w:val="clear" w:color="auto" w:fill="auto"/>
            <w:noWrap w:val="0"/>
            <w:vAlign w:val="center"/>
          </w:tcPr>
          <w:p w14:paraId="2448757E">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3.019</w:t>
            </w:r>
          </w:p>
        </w:tc>
        <w:tc>
          <w:tcPr>
            <w:tcW w:w="659" w:type="pct"/>
            <w:shd w:val="clear" w:color="auto" w:fill="auto"/>
            <w:noWrap w:val="0"/>
            <w:vAlign w:val="center"/>
          </w:tcPr>
          <w:p w14:paraId="5E73EAE8">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33.88</w:t>
            </w:r>
          </w:p>
        </w:tc>
        <w:tc>
          <w:tcPr>
            <w:tcW w:w="686" w:type="pct"/>
            <w:shd w:val="clear" w:color="auto" w:fill="auto"/>
            <w:noWrap w:val="0"/>
            <w:vAlign w:val="center"/>
          </w:tcPr>
          <w:p w14:paraId="0B1898F0">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3.202</w:t>
            </w:r>
          </w:p>
        </w:tc>
        <w:tc>
          <w:tcPr>
            <w:tcW w:w="659" w:type="pct"/>
            <w:shd w:val="clear" w:color="auto" w:fill="auto"/>
            <w:noWrap w:val="0"/>
            <w:vAlign w:val="center"/>
          </w:tcPr>
          <w:p w14:paraId="7B39E58E">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38.94</w:t>
            </w:r>
          </w:p>
        </w:tc>
        <w:tc>
          <w:tcPr>
            <w:tcW w:w="627" w:type="pct"/>
            <w:shd w:val="clear" w:color="auto" w:fill="auto"/>
            <w:noWrap w:val="0"/>
            <w:vAlign w:val="center"/>
          </w:tcPr>
          <w:p w14:paraId="01D79591">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2.427</w:t>
            </w:r>
          </w:p>
        </w:tc>
        <w:tc>
          <w:tcPr>
            <w:tcW w:w="701" w:type="pct"/>
            <w:shd w:val="clear" w:color="auto" w:fill="auto"/>
            <w:noWrap w:val="0"/>
            <w:vAlign w:val="center"/>
          </w:tcPr>
          <w:p w14:paraId="1D9ADDE5">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23.23</w:t>
            </w:r>
          </w:p>
        </w:tc>
      </w:tr>
      <w:tr w14:paraId="4F2F7C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50CD9BEB">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-11</w:t>
            </w:r>
          </w:p>
        </w:tc>
        <w:tc>
          <w:tcPr>
            <w:tcW w:w="636" w:type="pct"/>
            <w:shd w:val="clear" w:color="auto" w:fill="auto"/>
            <w:noWrap w:val="0"/>
            <w:vAlign w:val="center"/>
          </w:tcPr>
          <w:p w14:paraId="5CD53334">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3.686</w:t>
            </w:r>
          </w:p>
        </w:tc>
        <w:tc>
          <w:tcPr>
            <w:tcW w:w="659" w:type="pct"/>
            <w:shd w:val="clear" w:color="auto" w:fill="auto"/>
            <w:noWrap w:val="0"/>
            <w:vAlign w:val="center"/>
          </w:tcPr>
          <w:p w14:paraId="3F624C28">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36.37</w:t>
            </w:r>
          </w:p>
        </w:tc>
        <w:tc>
          <w:tcPr>
            <w:tcW w:w="686" w:type="pct"/>
            <w:shd w:val="clear" w:color="auto" w:fill="auto"/>
            <w:noWrap w:val="0"/>
            <w:vAlign w:val="center"/>
          </w:tcPr>
          <w:p w14:paraId="30F887E9">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4.061</w:t>
            </w:r>
          </w:p>
        </w:tc>
        <w:tc>
          <w:tcPr>
            <w:tcW w:w="659" w:type="pct"/>
            <w:shd w:val="clear" w:color="auto" w:fill="auto"/>
            <w:noWrap w:val="0"/>
            <w:vAlign w:val="center"/>
          </w:tcPr>
          <w:p w14:paraId="4DA854FC">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42.59</w:t>
            </w:r>
          </w:p>
        </w:tc>
        <w:tc>
          <w:tcPr>
            <w:tcW w:w="627" w:type="pct"/>
            <w:shd w:val="clear" w:color="auto" w:fill="auto"/>
            <w:noWrap w:val="0"/>
            <w:vAlign w:val="center"/>
          </w:tcPr>
          <w:p w14:paraId="14706C9E">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2.757</w:t>
            </w:r>
          </w:p>
        </w:tc>
        <w:tc>
          <w:tcPr>
            <w:tcW w:w="701" w:type="pct"/>
            <w:shd w:val="clear" w:color="auto" w:fill="auto"/>
            <w:noWrap w:val="0"/>
            <w:vAlign w:val="center"/>
          </w:tcPr>
          <w:p w14:paraId="25CA6F69">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24.18</w:t>
            </w:r>
          </w:p>
        </w:tc>
      </w:tr>
      <w:tr w14:paraId="5C1C55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030" w:type="pct"/>
            <w:noWrap w:val="0"/>
            <w:vAlign w:val="center"/>
          </w:tcPr>
          <w:p w14:paraId="7A464209">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-10</w:t>
            </w:r>
          </w:p>
        </w:tc>
        <w:tc>
          <w:tcPr>
            <w:tcW w:w="636" w:type="pct"/>
            <w:shd w:val="clear" w:color="auto" w:fill="auto"/>
            <w:noWrap w:val="0"/>
            <w:vAlign w:val="center"/>
          </w:tcPr>
          <w:p w14:paraId="62F0A78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4.391</w:t>
            </w:r>
          </w:p>
        </w:tc>
        <w:tc>
          <w:tcPr>
            <w:tcW w:w="659" w:type="pct"/>
            <w:shd w:val="clear" w:color="auto" w:fill="auto"/>
            <w:noWrap w:val="0"/>
            <w:vAlign w:val="center"/>
          </w:tcPr>
          <w:p w14:paraId="1A096591">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38.54</w:t>
            </w:r>
          </w:p>
        </w:tc>
        <w:tc>
          <w:tcPr>
            <w:tcW w:w="686" w:type="pct"/>
            <w:shd w:val="clear" w:color="auto" w:fill="auto"/>
            <w:noWrap w:val="0"/>
            <w:vAlign w:val="center"/>
          </w:tcPr>
          <w:p w14:paraId="1D2C7210">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5.021</w:t>
            </w:r>
          </w:p>
        </w:tc>
        <w:tc>
          <w:tcPr>
            <w:tcW w:w="659" w:type="pct"/>
            <w:shd w:val="clear" w:color="auto" w:fill="auto"/>
            <w:noWrap w:val="0"/>
            <w:vAlign w:val="center"/>
          </w:tcPr>
          <w:p w14:paraId="0E44E24A">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46.04</w:t>
            </w:r>
          </w:p>
        </w:tc>
        <w:tc>
          <w:tcPr>
            <w:tcW w:w="627" w:type="pct"/>
            <w:shd w:val="clear" w:color="auto" w:fill="auto"/>
            <w:noWrap w:val="0"/>
            <w:vAlign w:val="center"/>
          </w:tcPr>
          <w:p w14:paraId="5B148A7C">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3.079</w:t>
            </w:r>
          </w:p>
        </w:tc>
        <w:tc>
          <w:tcPr>
            <w:tcW w:w="701" w:type="pct"/>
            <w:shd w:val="clear" w:color="auto" w:fill="auto"/>
            <w:noWrap w:val="0"/>
            <w:vAlign w:val="center"/>
          </w:tcPr>
          <w:p w14:paraId="0DAC780B">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24.93</w:t>
            </w:r>
          </w:p>
        </w:tc>
      </w:tr>
      <w:tr w14:paraId="1FE1AC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030" w:type="pct"/>
            <w:noWrap w:val="0"/>
            <w:vAlign w:val="center"/>
          </w:tcPr>
          <w:p w14:paraId="36A29BFE">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-9</w:t>
            </w:r>
          </w:p>
        </w:tc>
        <w:tc>
          <w:tcPr>
            <w:tcW w:w="636" w:type="pct"/>
            <w:shd w:val="clear" w:color="auto" w:fill="auto"/>
            <w:noWrap w:val="0"/>
            <w:vAlign w:val="center"/>
          </w:tcPr>
          <w:p w14:paraId="2E605C5E">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5.064</w:t>
            </w:r>
          </w:p>
        </w:tc>
        <w:tc>
          <w:tcPr>
            <w:tcW w:w="659" w:type="pct"/>
            <w:shd w:val="clear" w:color="auto" w:fill="auto"/>
            <w:noWrap w:val="0"/>
            <w:vAlign w:val="center"/>
          </w:tcPr>
          <w:p w14:paraId="13678051">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40.06</w:t>
            </w:r>
          </w:p>
        </w:tc>
        <w:tc>
          <w:tcPr>
            <w:tcW w:w="686" w:type="pct"/>
            <w:shd w:val="clear" w:color="auto" w:fill="auto"/>
            <w:noWrap w:val="0"/>
            <w:vAlign w:val="center"/>
          </w:tcPr>
          <w:p w14:paraId="4B76EF7B">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5.986</w:t>
            </w:r>
          </w:p>
        </w:tc>
        <w:tc>
          <w:tcPr>
            <w:tcW w:w="659" w:type="pct"/>
            <w:shd w:val="clear" w:color="auto" w:fill="auto"/>
            <w:noWrap w:val="0"/>
            <w:vAlign w:val="center"/>
          </w:tcPr>
          <w:p w14:paraId="08515AE4">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48.73</w:t>
            </w:r>
          </w:p>
        </w:tc>
        <w:tc>
          <w:tcPr>
            <w:tcW w:w="627" w:type="pct"/>
            <w:shd w:val="clear" w:color="auto" w:fill="auto"/>
            <w:noWrap w:val="0"/>
            <w:vAlign w:val="center"/>
          </w:tcPr>
          <w:p w14:paraId="369DDE52">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3.373</w:t>
            </w:r>
          </w:p>
        </w:tc>
        <w:tc>
          <w:tcPr>
            <w:tcW w:w="701" w:type="pct"/>
            <w:shd w:val="clear" w:color="auto" w:fill="auto"/>
            <w:noWrap w:val="0"/>
            <w:vAlign w:val="center"/>
          </w:tcPr>
          <w:p w14:paraId="0567507F">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25.42</w:t>
            </w:r>
          </w:p>
        </w:tc>
      </w:tr>
      <w:tr w14:paraId="741065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70064E9A">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-8</w:t>
            </w:r>
          </w:p>
        </w:tc>
        <w:tc>
          <w:tcPr>
            <w:tcW w:w="636" w:type="pct"/>
            <w:shd w:val="clear" w:color="auto" w:fill="auto"/>
            <w:noWrap w:val="0"/>
            <w:vAlign w:val="center"/>
          </w:tcPr>
          <w:p w14:paraId="48DEC651">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5.611</w:t>
            </w:r>
          </w:p>
        </w:tc>
        <w:tc>
          <w:tcPr>
            <w:tcW w:w="659" w:type="pct"/>
            <w:shd w:val="clear" w:color="auto" w:fill="auto"/>
            <w:noWrap w:val="0"/>
            <w:vAlign w:val="center"/>
          </w:tcPr>
          <w:p w14:paraId="462EFE82">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40.54</w:t>
            </w:r>
          </w:p>
        </w:tc>
        <w:tc>
          <w:tcPr>
            <w:tcW w:w="686" w:type="pct"/>
            <w:shd w:val="clear" w:color="auto" w:fill="auto"/>
            <w:noWrap w:val="0"/>
            <w:vAlign w:val="center"/>
          </w:tcPr>
          <w:p w14:paraId="0D8714E4">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6.790</w:t>
            </w:r>
          </w:p>
        </w:tc>
        <w:tc>
          <w:tcPr>
            <w:tcW w:w="659" w:type="pct"/>
            <w:shd w:val="clear" w:color="auto" w:fill="auto"/>
            <w:noWrap w:val="0"/>
            <w:vAlign w:val="center"/>
          </w:tcPr>
          <w:p w14:paraId="0F925929">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49.90</w:t>
            </w:r>
          </w:p>
        </w:tc>
        <w:tc>
          <w:tcPr>
            <w:tcW w:w="627" w:type="pct"/>
            <w:shd w:val="clear" w:color="auto" w:fill="auto"/>
            <w:noWrap w:val="0"/>
            <w:vAlign w:val="center"/>
          </w:tcPr>
          <w:p w14:paraId="154308DE">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3.619</w:t>
            </w:r>
          </w:p>
        </w:tc>
        <w:tc>
          <w:tcPr>
            <w:tcW w:w="701" w:type="pct"/>
            <w:shd w:val="clear" w:color="auto" w:fill="auto"/>
            <w:noWrap w:val="0"/>
            <w:vAlign w:val="center"/>
          </w:tcPr>
          <w:p w14:paraId="223EA497">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25.61</w:t>
            </w:r>
          </w:p>
        </w:tc>
      </w:tr>
      <w:tr w14:paraId="0CBA12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531DA405">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-7</w:t>
            </w:r>
          </w:p>
        </w:tc>
        <w:tc>
          <w:tcPr>
            <w:tcW w:w="636" w:type="pct"/>
            <w:shd w:val="clear" w:color="auto" w:fill="auto"/>
            <w:noWrap w:val="0"/>
            <w:vAlign w:val="center"/>
          </w:tcPr>
          <w:p w14:paraId="3EA774F4">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5.941</w:t>
            </w:r>
          </w:p>
        </w:tc>
        <w:tc>
          <w:tcPr>
            <w:tcW w:w="659" w:type="pct"/>
            <w:shd w:val="clear" w:color="auto" w:fill="auto"/>
            <w:noWrap w:val="0"/>
            <w:vAlign w:val="center"/>
          </w:tcPr>
          <w:p w14:paraId="6B9F76B6">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39.68</w:t>
            </w:r>
          </w:p>
        </w:tc>
        <w:tc>
          <w:tcPr>
            <w:tcW w:w="686" w:type="pct"/>
            <w:shd w:val="clear" w:color="auto" w:fill="auto"/>
            <w:noWrap w:val="0"/>
            <w:vAlign w:val="center"/>
          </w:tcPr>
          <w:p w14:paraId="79885B5F">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7.244</w:t>
            </w:r>
          </w:p>
        </w:tc>
        <w:tc>
          <w:tcPr>
            <w:tcW w:w="659" w:type="pct"/>
            <w:shd w:val="clear" w:color="auto" w:fill="auto"/>
            <w:noWrap w:val="0"/>
            <w:vAlign w:val="center"/>
          </w:tcPr>
          <w:p w14:paraId="6CD2A737">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48.82</w:t>
            </w:r>
          </w:p>
        </w:tc>
        <w:tc>
          <w:tcPr>
            <w:tcW w:w="627" w:type="pct"/>
            <w:shd w:val="clear" w:color="auto" w:fill="auto"/>
            <w:noWrap w:val="0"/>
            <w:vAlign w:val="center"/>
          </w:tcPr>
          <w:p w14:paraId="19ABC3E0">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3.802</w:t>
            </w:r>
          </w:p>
        </w:tc>
        <w:tc>
          <w:tcPr>
            <w:tcW w:w="701" w:type="pct"/>
            <w:shd w:val="clear" w:color="auto" w:fill="auto"/>
            <w:noWrap w:val="0"/>
            <w:vAlign w:val="center"/>
          </w:tcPr>
          <w:p w14:paraId="2470B6FF">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25.46</w:t>
            </w:r>
          </w:p>
        </w:tc>
      </w:tr>
      <w:tr w14:paraId="288599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3B3A18CD">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-6</w:t>
            </w:r>
          </w:p>
        </w:tc>
        <w:tc>
          <w:tcPr>
            <w:tcW w:w="636" w:type="pct"/>
            <w:shd w:val="clear" w:color="auto" w:fill="auto"/>
            <w:noWrap w:val="0"/>
            <w:vAlign w:val="center"/>
          </w:tcPr>
          <w:p w14:paraId="5D9CFF87">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6.007</w:t>
            </w:r>
          </w:p>
        </w:tc>
        <w:tc>
          <w:tcPr>
            <w:tcW w:w="659" w:type="pct"/>
            <w:shd w:val="clear" w:color="auto" w:fill="auto"/>
            <w:noWrap w:val="0"/>
            <w:vAlign w:val="center"/>
          </w:tcPr>
          <w:p w14:paraId="1488F7F1">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37.43</w:t>
            </w:r>
          </w:p>
        </w:tc>
        <w:tc>
          <w:tcPr>
            <w:tcW w:w="686" w:type="pct"/>
            <w:shd w:val="clear" w:color="auto" w:fill="auto"/>
            <w:noWrap w:val="0"/>
            <w:vAlign w:val="center"/>
          </w:tcPr>
          <w:p w14:paraId="5F6E0922">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7.243</w:t>
            </w:r>
          </w:p>
        </w:tc>
        <w:tc>
          <w:tcPr>
            <w:tcW w:w="659" w:type="pct"/>
            <w:shd w:val="clear" w:color="auto" w:fill="auto"/>
            <w:noWrap w:val="0"/>
            <w:vAlign w:val="center"/>
          </w:tcPr>
          <w:p w14:paraId="2DCC60FD">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45.28</w:t>
            </w:r>
          </w:p>
        </w:tc>
        <w:tc>
          <w:tcPr>
            <w:tcW w:w="627" w:type="pct"/>
            <w:shd w:val="clear" w:color="auto" w:fill="auto"/>
            <w:noWrap w:val="0"/>
            <w:vAlign w:val="center"/>
          </w:tcPr>
          <w:p w14:paraId="1D1C1B26">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3.918</w:t>
            </w:r>
          </w:p>
        </w:tc>
        <w:tc>
          <w:tcPr>
            <w:tcW w:w="701" w:type="pct"/>
            <w:shd w:val="clear" w:color="auto" w:fill="auto"/>
            <w:noWrap w:val="0"/>
            <w:vAlign w:val="center"/>
          </w:tcPr>
          <w:p w14:paraId="2757DA91">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25.01</w:t>
            </w:r>
          </w:p>
        </w:tc>
      </w:tr>
      <w:tr w14:paraId="775919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030" w:type="pct"/>
            <w:noWrap w:val="0"/>
            <w:vAlign w:val="center"/>
          </w:tcPr>
          <w:p w14:paraId="0B30F526">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-5</w:t>
            </w:r>
          </w:p>
        </w:tc>
        <w:tc>
          <w:tcPr>
            <w:tcW w:w="636" w:type="pct"/>
            <w:shd w:val="clear" w:color="auto" w:fill="auto"/>
            <w:noWrap w:val="0"/>
            <w:vAlign w:val="center"/>
          </w:tcPr>
          <w:p w14:paraId="0E66BFB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5.836</w:t>
            </w:r>
          </w:p>
        </w:tc>
        <w:tc>
          <w:tcPr>
            <w:tcW w:w="659" w:type="pct"/>
            <w:shd w:val="clear" w:color="auto" w:fill="auto"/>
            <w:noWrap w:val="0"/>
            <w:vAlign w:val="center"/>
          </w:tcPr>
          <w:p w14:paraId="59AB43F1">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34.07</w:t>
            </w:r>
          </w:p>
        </w:tc>
        <w:tc>
          <w:tcPr>
            <w:tcW w:w="686" w:type="pct"/>
            <w:shd w:val="clear" w:color="auto" w:fill="auto"/>
            <w:noWrap w:val="0"/>
            <w:vAlign w:val="center"/>
          </w:tcPr>
          <w:p w14:paraId="55587B6B">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6.840</w:t>
            </w:r>
          </w:p>
        </w:tc>
        <w:tc>
          <w:tcPr>
            <w:tcW w:w="659" w:type="pct"/>
            <w:shd w:val="clear" w:color="auto" w:fill="auto"/>
            <w:noWrap w:val="0"/>
            <w:vAlign w:val="center"/>
          </w:tcPr>
          <w:p w14:paraId="5076DE5C">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39.79</w:t>
            </w:r>
          </w:p>
        </w:tc>
        <w:tc>
          <w:tcPr>
            <w:tcW w:w="627" w:type="pct"/>
            <w:shd w:val="clear" w:color="auto" w:fill="auto"/>
            <w:noWrap w:val="0"/>
            <w:vAlign w:val="center"/>
          </w:tcPr>
          <w:p w14:paraId="3263F4BD">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3.970</w:t>
            </w:r>
          </w:p>
        </w:tc>
        <w:tc>
          <w:tcPr>
            <w:tcW w:w="701" w:type="pct"/>
            <w:shd w:val="clear" w:color="auto" w:fill="auto"/>
            <w:noWrap w:val="0"/>
            <w:vAlign w:val="center"/>
          </w:tcPr>
          <w:p w14:paraId="320813F0">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24.34</w:t>
            </w:r>
          </w:p>
        </w:tc>
      </w:tr>
      <w:tr w14:paraId="35A68A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7A610611">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-4</w:t>
            </w:r>
          </w:p>
        </w:tc>
        <w:tc>
          <w:tcPr>
            <w:tcW w:w="636" w:type="pct"/>
            <w:shd w:val="clear" w:color="auto" w:fill="auto"/>
            <w:noWrap w:val="0"/>
            <w:vAlign w:val="center"/>
          </w:tcPr>
          <w:p w14:paraId="61E7DC1B">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5.518</w:t>
            </w:r>
          </w:p>
        </w:tc>
        <w:tc>
          <w:tcPr>
            <w:tcW w:w="659" w:type="pct"/>
            <w:shd w:val="clear" w:color="auto" w:fill="auto"/>
            <w:noWrap w:val="0"/>
            <w:vAlign w:val="center"/>
          </w:tcPr>
          <w:p w14:paraId="6055C246">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30.16</w:t>
            </w:r>
          </w:p>
        </w:tc>
        <w:tc>
          <w:tcPr>
            <w:tcW w:w="686" w:type="pct"/>
            <w:shd w:val="clear" w:color="auto" w:fill="auto"/>
            <w:noWrap w:val="0"/>
            <w:vAlign w:val="center"/>
          </w:tcPr>
          <w:p w14:paraId="4ABC8A5B">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6.219</w:t>
            </w:r>
          </w:p>
        </w:tc>
        <w:tc>
          <w:tcPr>
            <w:tcW w:w="659" w:type="pct"/>
            <w:shd w:val="clear" w:color="auto" w:fill="auto"/>
            <w:noWrap w:val="0"/>
            <w:vAlign w:val="center"/>
          </w:tcPr>
          <w:p w14:paraId="710032F2">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33.36</w:t>
            </w:r>
          </w:p>
        </w:tc>
        <w:tc>
          <w:tcPr>
            <w:tcW w:w="627" w:type="pct"/>
            <w:shd w:val="clear" w:color="auto" w:fill="auto"/>
            <w:noWrap w:val="0"/>
            <w:vAlign w:val="center"/>
          </w:tcPr>
          <w:p w14:paraId="1B91298C">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3.975</w:t>
            </w:r>
          </w:p>
        </w:tc>
        <w:tc>
          <w:tcPr>
            <w:tcW w:w="701" w:type="pct"/>
            <w:shd w:val="clear" w:color="auto" w:fill="auto"/>
            <w:noWrap w:val="0"/>
            <w:vAlign w:val="center"/>
          </w:tcPr>
          <w:p w14:paraId="5CD2C20B">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23.55</w:t>
            </w:r>
          </w:p>
        </w:tc>
      </w:tr>
      <w:tr w14:paraId="369E2D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27D0BE79">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-3</w:t>
            </w:r>
          </w:p>
        </w:tc>
        <w:tc>
          <w:tcPr>
            <w:tcW w:w="636" w:type="pct"/>
            <w:shd w:val="clear" w:color="auto" w:fill="auto"/>
            <w:noWrap w:val="0"/>
            <w:vAlign w:val="center"/>
          </w:tcPr>
          <w:p w14:paraId="31B4DF34">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5.168</w:t>
            </w:r>
          </w:p>
        </w:tc>
        <w:tc>
          <w:tcPr>
            <w:tcW w:w="659" w:type="pct"/>
            <w:shd w:val="clear" w:color="auto" w:fill="auto"/>
            <w:noWrap w:val="0"/>
            <w:vAlign w:val="center"/>
          </w:tcPr>
          <w:p w14:paraId="34DEF427">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26.36</w:t>
            </w:r>
          </w:p>
        </w:tc>
        <w:tc>
          <w:tcPr>
            <w:tcW w:w="686" w:type="pct"/>
            <w:shd w:val="clear" w:color="auto" w:fill="auto"/>
            <w:noWrap w:val="0"/>
            <w:vAlign w:val="center"/>
          </w:tcPr>
          <w:p w14:paraId="3F3787A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5.586</w:t>
            </w:r>
          </w:p>
        </w:tc>
        <w:tc>
          <w:tcPr>
            <w:tcW w:w="659" w:type="pct"/>
            <w:shd w:val="clear" w:color="auto" w:fill="auto"/>
            <w:noWrap w:val="0"/>
            <w:vAlign w:val="center"/>
          </w:tcPr>
          <w:p w14:paraId="291325E8">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27.07</w:t>
            </w:r>
          </w:p>
        </w:tc>
        <w:tc>
          <w:tcPr>
            <w:tcW w:w="627" w:type="pct"/>
            <w:shd w:val="clear" w:color="auto" w:fill="auto"/>
            <w:noWrap w:val="0"/>
            <w:vAlign w:val="center"/>
          </w:tcPr>
          <w:p w14:paraId="6A4F7CDD">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3.953</w:t>
            </w:r>
          </w:p>
        </w:tc>
        <w:tc>
          <w:tcPr>
            <w:tcW w:w="701" w:type="pct"/>
            <w:shd w:val="clear" w:color="auto" w:fill="auto"/>
            <w:noWrap w:val="0"/>
            <w:vAlign w:val="center"/>
          </w:tcPr>
          <w:p w14:paraId="488B0D6F">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22.80</w:t>
            </w:r>
          </w:p>
        </w:tc>
      </w:tr>
      <w:tr w14:paraId="79EA18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030" w:type="pct"/>
            <w:noWrap w:val="0"/>
            <w:vAlign w:val="center"/>
          </w:tcPr>
          <w:p w14:paraId="32FB3B54">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-2</w:t>
            </w:r>
          </w:p>
        </w:tc>
        <w:tc>
          <w:tcPr>
            <w:tcW w:w="636" w:type="pct"/>
            <w:shd w:val="clear" w:color="auto" w:fill="auto"/>
            <w:noWrap w:val="0"/>
            <w:vAlign w:val="center"/>
          </w:tcPr>
          <w:p w14:paraId="1754E022">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4.887</w:t>
            </w:r>
          </w:p>
        </w:tc>
        <w:tc>
          <w:tcPr>
            <w:tcW w:w="659" w:type="pct"/>
            <w:shd w:val="clear" w:color="auto" w:fill="auto"/>
            <w:noWrap w:val="0"/>
            <w:vAlign w:val="center"/>
          </w:tcPr>
          <w:p w14:paraId="1F2171AA">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23.35</w:t>
            </w:r>
          </w:p>
        </w:tc>
        <w:tc>
          <w:tcPr>
            <w:tcW w:w="686" w:type="pct"/>
            <w:shd w:val="clear" w:color="auto" w:fill="auto"/>
            <w:noWrap w:val="0"/>
            <w:vAlign w:val="center"/>
          </w:tcPr>
          <w:p w14:paraId="0F5B28D6">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5.100</w:t>
            </w:r>
          </w:p>
        </w:tc>
        <w:tc>
          <w:tcPr>
            <w:tcW w:w="659" w:type="pct"/>
            <w:shd w:val="clear" w:color="auto" w:fill="auto"/>
            <w:noWrap w:val="0"/>
            <w:vAlign w:val="center"/>
          </w:tcPr>
          <w:p w14:paraId="613BDD83">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21.94</w:t>
            </w:r>
          </w:p>
        </w:tc>
        <w:tc>
          <w:tcPr>
            <w:tcW w:w="627" w:type="pct"/>
            <w:shd w:val="clear" w:color="auto" w:fill="auto"/>
            <w:noWrap w:val="0"/>
            <w:vAlign w:val="center"/>
          </w:tcPr>
          <w:p w14:paraId="05A9FEA6">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3.925</w:t>
            </w:r>
          </w:p>
        </w:tc>
        <w:tc>
          <w:tcPr>
            <w:tcW w:w="701" w:type="pct"/>
            <w:shd w:val="clear" w:color="auto" w:fill="auto"/>
            <w:noWrap w:val="0"/>
            <w:vAlign w:val="center"/>
          </w:tcPr>
          <w:p w14:paraId="080E4225">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22.22</w:t>
            </w:r>
          </w:p>
        </w:tc>
      </w:tr>
      <w:tr w14:paraId="5F9250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40E17051">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-1</w:t>
            </w:r>
          </w:p>
        </w:tc>
        <w:tc>
          <w:tcPr>
            <w:tcW w:w="636" w:type="pct"/>
            <w:shd w:val="clear" w:color="auto" w:fill="auto"/>
            <w:noWrap w:val="0"/>
            <w:vAlign w:val="center"/>
          </w:tcPr>
          <w:p w14:paraId="7646B626">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4.742</w:t>
            </w:r>
          </w:p>
        </w:tc>
        <w:tc>
          <w:tcPr>
            <w:tcW w:w="659" w:type="pct"/>
            <w:shd w:val="clear" w:color="auto" w:fill="auto"/>
            <w:noWrap w:val="0"/>
            <w:vAlign w:val="center"/>
          </w:tcPr>
          <w:p w14:paraId="03A7C7EE">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21.78</w:t>
            </w:r>
          </w:p>
        </w:tc>
        <w:tc>
          <w:tcPr>
            <w:tcW w:w="686" w:type="pct"/>
            <w:shd w:val="clear" w:color="auto" w:fill="auto"/>
            <w:noWrap w:val="0"/>
            <w:vAlign w:val="center"/>
          </w:tcPr>
          <w:p w14:paraId="6947001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4.858</w:t>
            </w:r>
          </w:p>
        </w:tc>
        <w:tc>
          <w:tcPr>
            <w:tcW w:w="659" w:type="pct"/>
            <w:shd w:val="clear" w:color="auto" w:fill="auto"/>
            <w:noWrap w:val="0"/>
            <w:vAlign w:val="center"/>
          </w:tcPr>
          <w:p w14:paraId="31AB7EDE">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19.13</w:t>
            </w:r>
          </w:p>
        </w:tc>
        <w:tc>
          <w:tcPr>
            <w:tcW w:w="627" w:type="pct"/>
            <w:shd w:val="clear" w:color="auto" w:fill="auto"/>
            <w:noWrap w:val="0"/>
            <w:vAlign w:val="center"/>
          </w:tcPr>
          <w:p w14:paraId="7FF09C7B">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3.908</w:t>
            </w:r>
          </w:p>
        </w:tc>
        <w:tc>
          <w:tcPr>
            <w:tcW w:w="701" w:type="pct"/>
            <w:shd w:val="clear" w:color="auto" w:fill="auto"/>
            <w:noWrap w:val="0"/>
            <w:vAlign w:val="center"/>
          </w:tcPr>
          <w:p w14:paraId="3C978EF9">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21.93</w:t>
            </w:r>
          </w:p>
        </w:tc>
      </w:tr>
      <w:tr w14:paraId="513594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66031524">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0</w:t>
            </w:r>
          </w:p>
        </w:tc>
        <w:tc>
          <w:tcPr>
            <w:tcW w:w="636" w:type="pct"/>
            <w:shd w:val="clear" w:color="auto" w:fill="auto"/>
            <w:noWrap w:val="0"/>
            <w:vAlign w:val="center"/>
          </w:tcPr>
          <w:p w14:paraId="4CE663C7">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4.768</w:t>
            </w:r>
          </w:p>
        </w:tc>
        <w:tc>
          <w:tcPr>
            <w:tcW w:w="659" w:type="pct"/>
            <w:shd w:val="clear" w:color="auto" w:fill="auto"/>
            <w:noWrap w:val="0"/>
            <w:vAlign w:val="center"/>
          </w:tcPr>
          <w:p w14:paraId="5174D969">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22.05</w:t>
            </w:r>
          </w:p>
        </w:tc>
        <w:tc>
          <w:tcPr>
            <w:tcW w:w="686" w:type="pct"/>
            <w:shd w:val="clear" w:color="auto" w:fill="auto"/>
            <w:noWrap w:val="0"/>
            <w:vAlign w:val="center"/>
          </w:tcPr>
          <w:p w14:paraId="648B10D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4.901</w:t>
            </w:r>
          </w:p>
        </w:tc>
        <w:tc>
          <w:tcPr>
            <w:tcW w:w="659" w:type="pct"/>
            <w:shd w:val="clear" w:color="auto" w:fill="auto"/>
            <w:noWrap w:val="0"/>
            <w:vAlign w:val="center"/>
          </w:tcPr>
          <w:p w14:paraId="170EBD8D">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19.62</w:t>
            </w:r>
          </w:p>
        </w:tc>
        <w:tc>
          <w:tcPr>
            <w:tcW w:w="627" w:type="pct"/>
            <w:shd w:val="clear" w:color="auto" w:fill="auto"/>
            <w:noWrap w:val="0"/>
            <w:vAlign w:val="center"/>
          </w:tcPr>
          <w:p w14:paraId="1D243061">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3.911</w:t>
            </w:r>
          </w:p>
        </w:tc>
        <w:tc>
          <w:tcPr>
            <w:tcW w:w="701" w:type="pct"/>
            <w:shd w:val="clear" w:color="auto" w:fill="auto"/>
            <w:noWrap w:val="0"/>
            <w:vAlign w:val="center"/>
          </w:tcPr>
          <w:p w14:paraId="65F1E86E">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21.98</w:t>
            </w:r>
          </w:p>
        </w:tc>
      </w:tr>
      <w:tr w14:paraId="77B87F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5412B1FB">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1</w:t>
            </w:r>
          </w:p>
        </w:tc>
        <w:tc>
          <w:tcPr>
            <w:tcW w:w="636" w:type="pct"/>
            <w:shd w:val="clear" w:color="auto" w:fill="auto"/>
            <w:noWrap w:val="0"/>
            <w:vAlign w:val="center"/>
          </w:tcPr>
          <w:p w14:paraId="049208D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4.958</w:t>
            </w:r>
          </w:p>
        </w:tc>
        <w:tc>
          <w:tcPr>
            <w:tcW w:w="659" w:type="pct"/>
            <w:shd w:val="clear" w:color="auto" w:fill="auto"/>
            <w:noWrap w:val="0"/>
            <w:vAlign w:val="center"/>
          </w:tcPr>
          <w:p w14:paraId="50324145">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24.09</w:t>
            </w:r>
          </w:p>
        </w:tc>
        <w:tc>
          <w:tcPr>
            <w:tcW w:w="686" w:type="pct"/>
            <w:shd w:val="clear" w:color="auto" w:fill="auto"/>
            <w:noWrap w:val="0"/>
            <w:vAlign w:val="center"/>
          </w:tcPr>
          <w:p w14:paraId="6F4971FC">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5.223</w:t>
            </w:r>
          </w:p>
        </w:tc>
        <w:tc>
          <w:tcPr>
            <w:tcW w:w="659" w:type="pct"/>
            <w:shd w:val="clear" w:color="auto" w:fill="auto"/>
            <w:noWrap w:val="0"/>
            <w:vAlign w:val="center"/>
          </w:tcPr>
          <w:p w14:paraId="57C02BB7">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23.21</w:t>
            </w:r>
          </w:p>
        </w:tc>
        <w:tc>
          <w:tcPr>
            <w:tcW w:w="627" w:type="pct"/>
            <w:shd w:val="clear" w:color="auto" w:fill="auto"/>
            <w:noWrap w:val="0"/>
            <w:vAlign w:val="center"/>
          </w:tcPr>
          <w:p w14:paraId="5C11EEFD">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3.932</w:t>
            </w:r>
          </w:p>
        </w:tc>
        <w:tc>
          <w:tcPr>
            <w:tcW w:w="701" w:type="pct"/>
            <w:shd w:val="clear" w:color="auto" w:fill="auto"/>
            <w:noWrap w:val="0"/>
            <w:vAlign w:val="center"/>
          </w:tcPr>
          <w:p w14:paraId="1D06A3DF">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22.36</w:t>
            </w:r>
          </w:p>
        </w:tc>
      </w:tr>
      <w:tr w14:paraId="7646F3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030" w:type="pct"/>
            <w:noWrap w:val="0"/>
            <w:vAlign w:val="center"/>
          </w:tcPr>
          <w:p w14:paraId="6403FD22">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2</w:t>
            </w:r>
          </w:p>
        </w:tc>
        <w:tc>
          <w:tcPr>
            <w:tcW w:w="636" w:type="pct"/>
            <w:shd w:val="clear" w:color="auto" w:fill="auto"/>
            <w:noWrap w:val="0"/>
            <w:vAlign w:val="center"/>
          </w:tcPr>
          <w:p w14:paraId="1BF49ED4">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5.269</w:t>
            </w:r>
          </w:p>
        </w:tc>
        <w:tc>
          <w:tcPr>
            <w:tcW w:w="659" w:type="pct"/>
            <w:shd w:val="clear" w:color="auto" w:fill="auto"/>
            <w:noWrap w:val="0"/>
            <w:vAlign w:val="center"/>
          </w:tcPr>
          <w:p w14:paraId="2EFA09DA">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27.39</w:t>
            </w:r>
          </w:p>
        </w:tc>
        <w:tc>
          <w:tcPr>
            <w:tcW w:w="686" w:type="pct"/>
            <w:shd w:val="clear" w:color="auto" w:fill="auto"/>
            <w:noWrap w:val="0"/>
            <w:vAlign w:val="center"/>
          </w:tcPr>
          <w:p w14:paraId="2E692265">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5.765</w:t>
            </w:r>
          </w:p>
        </w:tc>
        <w:tc>
          <w:tcPr>
            <w:tcW w:w="659" w:type="pct"/>
            <w:shd w:val="clear" w:color="auto" w:fill="auto"/>
            <w:noWrap w:val="0"/>
            <w:vAlign w:val="center"/>
          </w:tcPr>
          <w:p w14:paraId="0DD6D278">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28.78</w:t>
            </w:r>
          </w:p>
        </w:tc>
        <w:tc>
          <w:tcPr>
            <w:tcW w:w="627" w:type="pct"/>
            <w:shd w:val="clear" w:color="auto" w:fill="auto"/>
            <w:noWrap w:val="0"/>
            <w:vAlign w:val="center"/>
          </w:tcPr>
          <w:p w14:paraId="54C98566">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3.959</w:t>
            </w:r>
          </w:p>
        </w:tc>
        <w:tc>
          <w:tcPr>
            <w:tcW w:w="701" w:type="pct"/>
            <w:shd w:val="clear" w:color="auto" w:fill="auto"/>
            <w:noWrap w:val="0"/>
            <w:vAlign w:val="center"/>
          </w:tcPr>
          <w:p w14:paraId="79686B3B">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23.00</w:t>
            </w:r>
          </w:p>
        </w:tc>
      </w:tr>
      <w:tr w14:paraId="2366DB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68810B3C">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3</w:t>
            </w:r>
          </w:p>
        </w:tc>
        <w:tc>
          <w:tcPr>
            <w:tcW w:w="636" w:type="pct"/>
            <w:shd w:val="clear" w:color="auto" w:fill="auto"/>
            <w:noWrap w:val="0"/>
            <w:vAlign w:val="center"/>
          </w:tcPr>
          <w:p w14:paraId="780E2EEB">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5.620</w:t>
            </w:r>
          </w:p>
        </w:tc>
        <w:tc>
          <w:tcPr>
            <w:tcW w:w="659" w:type="pct"/>
            <w:shd w:val="clear" w:color="auto" w:fill="auto"/>
            <w:noWrap w:val="0"/>
            <w:vAlign w:val="center"/>
          </w:tcPr>
          <w:p w14:paraId="5A472AB7">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31.29</w:t>
            </w:r>
          </w:p>
        </w:tc>
        <w:tc>
          <w:tcPr>
            <w:tcW w:w="686" w:type="pct"/>
            <w:shd w:val="clear" w:color="auto" w:fill="auto"/>
            <w:noWrap w:val="0"/>
            <w:vAlign w:val="center"/>
          </w:tcPr>
          <w:p w14:paraId="31D715BA">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6.413</w:t>
            </w:r>
          </w:p>
        </w:tc>
        <w:tc>
          <w:tcPr>
            <w:tcW w:w="659" w:type="pct"/>
            <w:shd w:val="clear" w:color="auto" w:fill="auto"/>
            <w:noWrap w:val="0"/>
            <w:vAlign w:val="center"/>
          </w:tcPr>
          <w:p w14:paraId="7AD3EA9F">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35.22</w:t>
            </w:r>
          </w:p>
        </w:tc>
        <w:tc>
          <w:tcPr>
            <w:tcW w:w="627" w:type="pct"/>
            <w:shd w:val="clear" w:color="auto" w:fill="auto"/>
            <w:noWrap w:val="0"/>
            <w:vAlign w:val="center"/>
          </w:tcPr>
          <w:p w14:paraId="64BA9A6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3.975</w:t>
            </w:r>
          </w:p>
        </w:tc>
        <w:tc>
          <w:tcPr>
            <w:tcW w:w="701" w:type="pct"/>
            <w:shd w:val="clear" w:color="auto" w:fill="auto"/>
            <w:noWrap w:val="0"/>
            <w:vAlign w:val="center"/>
          </w:tcPr>
          <w:p w14:paraId="079EE452">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23.78</w:t>
            </w:r>
          </w:p>
        </w:tc>
      </w:tr>
      <w:tr w14:paraId="722831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2DF0DDA3">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4</w:t>
            </w:r>
          </w:p>
        </w:tc>
        <w:tc>
          <w:tcPr>
            <w:tcW w:w="636" w:type="pct"/>
            <w:shd w:val="clear" w:color="auto" w:fill="auto"/>
            <w:noWrap w:val="0"/>
            <w:vAlign w:val="center"/>
          </w:tcPr>
          <w:p w14:paraId="0FAA59A1">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5.904</w:t>
            </w:r>
          </w:p>
        </w:tc>
        <w:tc>
          <w:tcPr>
            <w:tcW w:w="659" w:type="pct"/>
            <w:shd w:val="clear" w:color="auto" w:fill="auto"/>
            <w:noWrap w:val="0"/>
            <w:vAlign w:val="center"/>
          </w:tcPr>
          <w:p w14:paraId="504091AE">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35.11</w:t>
            </w:r>
          </w:p>
        </w:tc>
        <w:tc>
          <w:tcPr>
            <w:tcW w:w="686" w:type="pct"/>
            <w:shd w:val="clear" w:color="auto" w:fill="auto"/>
            <w:noWrap w:val="0"/>
            <w:vAlign w:val="center"/>
          </w:tcPr>
          <w:p w14:paraId="60FF5071">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6.991</w:t>
            </w:r>
          </w:p>
        </w:tc>
        <w:tc>
          <w:tcPr>
            <w:tcW w:w="659" w:type="pct"/>
            <w:shd w:val="clear" w:color="auto" w:fill="auto"/>
            <w:noWrap w:val="0"/>
            <w:vAlign w:val="center"/>
          </w:tcPr>
          <w:p w14:paraId="541C5631">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41.50</w:t>
            </w:r>
          </w:p>
        </w:tc>
        <w:tc>
          <w:tcPr>
            <w:tcW w:w="627" w:type="pct"/>
            <w:shd w:val="clear" w:color="auto" w:fill="auto"/>
            <w:noWrap w:val="0"/>
            <w:vAlign w:val="center"/>
          </w:tcPr>
          <w:p w14:paraId="5E92FFD1">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3.958</w:t>
            </w:r>
          </w:p>
        </w:tc>
        <w:tc>
          <w:tcPr>
            <w:tcW w:w="701" w:type="pct"/>
            <w:shd w:val="clear" w:color="auto" w:fill="auto"/>
            <w:noWrap w:val="0"/>
            <w:vAlign w:val="center"/>
          </w:tcPr>
          <w:p w14:paraId="4EC27C08">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24.55</w:t>
            </w:r>
          </w:p>
        </w:tc>
      </w:tr>
      <w:tr w14:paraId="41AC5D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10485F9C">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5</w:t>
            </w:r>
          </w:p>
        </w:tc>
        <w:tc>
          <w:tcPr>
            <w:tcW w:w="636" w:type="pct"/>
            <w:shd w:val="clear" w:color="auto" w:fill="auto"/>
            <w:noWrap w:val="0"/>
            <w:vAlign w:val="center"/>
          </w:tcPr>
          <w:p w14:paraId="7A8DF5F0">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6.011</w:t>
            </w:r>
          </w:p>
        </w:tc>
        <w:tc>
          <w:tcPr>
            <w:tcW w:w="659" w:type="pct"/>
            <w:shd w:val="clear" w:color="auto" w:fill="auto"/>
            <w:noWrap w:val="0"/>
            <w:vAlign w:val="center"/>
          </w:tcPr>
          <w:p w14:paraId="36222C26">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38.20</w:t>
            </w:r>
          </w:p>
        </w:tc>
        <w:tc>
          <w:tcPr>
            <w:tcW w:w="686" w:type="pct"/>
            <w:shd w:val="clear" w:color="auto" w:fill="auto"/>
            <w:noWrap w:val="0"/>
            <w:vAlign w:val="center"/>
          </w:tcPr>
          <w:p w14:paraId="6DDD5C2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7.287</w:t>
            </w:r>
          </w:p>
        </w:tc>
        <w:tc>
          <w:tcPr>
            <w:tcW w:w="659" w:type="pct"/>
            <w:shd w:val="clear" w:color="auto" w:fill="auto"/>
            <w:noWrap w:val="0"/>
            <w:vAlign w:val="center"/>
          </w:tcPr>
          <w:p w14:paraId="0622330E">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46.52</w:t>
            </w:r>
          </w:p>
        </w:tc>
        <w:tc>
          <w:tcPr>
            <w:tcW w:w="627" w:type="pct"/>
            <w:shd w:val="clear" w:color="auto" w:fill="auto"/>
            <w:noWrap w:val="0"/>
            <w:vAlign w:val="center"/>
          </w:tcPr>
          <w:p w14:paraId="00EEA19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3.887</w:t>
            </w:r>
          </w:p>
        </w:tc>
        <w:tc>
          <w:tcPr>
            <w:tcW w:w="701" w:type="pct"/>
            <w:shd w:val="clear" w:color="auto" w:fill="auto"/>
            <w:noWrap w:val="0"/>
            <w:vAlign w:val="center"/>
          </w:tcPr>
          <w:p w14:paraId="70BED12A">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25.17</w:t>
            </w:r>
          </w:p>
        </w:tc>
      </w:tr>
      <w:tr w14:paraId="2D71BD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030" w:type="pct"/>
            <w:noWrap w:val="0"/>
            <w:vAlign w:val="center"/>
          </w:tcPr>
          <w:p w14:paraId="4D914FBC">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6</w:t>
            </w:r>
          </w:p>
        </w:tc>
        <w:tc>
          <w:tcPr>
            <w:tcW w:w="636" w:type="pct"/>
            <w:shd w:val="clear" w:color="auto" w:fill="auto"/>
            <w:noWrap w:val="0"/>
            <w:vAlign w:val="center"/>
          </w:tcPr>
          <w:p w14:paraId="67B17CBA">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5.864</w:t>
            </w:r>
          </w:p>
        </w:tc>
        <w:tc>
          <w:tcPr>
            <w:tcW w:w="659" w:type="pct"/>
            <w:shd w:val="clear" w:color="auto" w:fill="auto"/>
            <w:noWrap w:val="0"/>
            <w:vAlign w:val="center"/>
          </w:tcPr>
          <w:p w14:paraId="40891819">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40.07</w:t>
            </w:r>
          </w:p>
        </w:tc>
        <w:tc>
          <w:tcPr>
            <w:tcW w:w="686" w:type="pct"/>
            <w:shd w:val="clear" w:color="auto" w:fill="auto"/>
            <w:noWrap w:val="0"/>
            <w:vAlign w:val="center"/>
          </w:tcPr>
          <w:p w14:paraId="7FA4E082">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7.149</w:t>
            </w:r>
          </w:p>
        </w:tc>
        <w:tc>
          <w:tcPr>
            <w:tcW w:w="659" w:type="pct"/>
            <w:shd w:val="clear" w:color="auto" w:fill="auto"/>
            <w:noWrap w:val="0"/>
            <w:vAlign w:val="center"/>
          </w:tcPr>
          <w:p w14:paraId="45F932E1">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49.38</w:t>
            </w:r>
          </w:p>
        </w:tc>
        <w:tc>
          <w:tcPr>
            <w:tcW w:w="627" w:type="pct"/>
            <w:shd w:val="clear" w:color="auto" w:fill="auto"/>
            <w:noWrap w:val="0"/>
            <w:vAlign w:val="center"/>
          </w:tcPr>
          <w:p w14:paraId="588E134B">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3.750</w:t>
            </w:r>
          </w:p>
        </w:tc>
        <w:tc>
          <w:tcPr>
            <w:tcW w:w="701" w:type="pct"/>
            <w:shd w:val="clear" w:color="auto" w:fill="auto"/>
            <w:noWrap w:val="0"/>
            <w:vAlign w:val="center"/>
          </w:tcPr>
          <w:p w14:paraId="08246740">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25.54</w:t>
            </w:r>
          </w:p>
        </w:tc>
      </w:tr>
      <w:tr w14:paraId="6BD962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06A299AF">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7</w:t>
            </w:r>
          </w:p>
        </w:tc>
        <w:tc>
          <w:tcPr>
            <w:tcW w:w="636" w:type="pct"/>
            <w:shd w:val="clear" w:color="auto" w:fill="auto"/>
            <w:noWrap w:val="0"/>
            <w:vAlign w:val="center"/>
          </w:tcPr>
          <w:p w14:paraId="05753786">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5.460</w:t>
            </w:r>
          </w:p>
        </w:tc>
        <w:tc>
          <w:tcPr>
            <w:tcW w:w="659" w:type="pct"/>
            <w:shd w:val="clear" w:color="auto" w:fill="auto"/>
            <w:noWrap w:val="0"/>
            <w:vAlign w:val="center"/>
          </w:tcPr>
          <w:p w14:paraId="3D200839">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40.53</w:t>
            </w:r>
          </w:p>
        </w:tc>
        <w:tc>
          <w:tcPr>
            <w:tcW w:w="686" w:type="pct"/>
            <w:shd w:val="clear" w:color="auto" w:fill="auto"/>
            <w:noWrap w:val="0"/>
            <w:vAlign w:val="center"/>
          </w:tcPr>
          <w:p w14:paraId="54B39D32">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6.571</w:t>
            </w:r>
          </w:p>
        </w:tc>
        <w:tc>
          <w:tcPr>
            <w:tcW w:w="659" w:type="pct"/>
            <w:shd w:val="clear" w:color="auto" w:fill="auto"/>
            <w:noWrap w:val="0"/>
            <w:vAlign w:val="center"/>
          </w:tcPr>
          <w:p w14:paraId="4ADC782D">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49.75</w:t>
            </w:r>
          </w:p>
        </w:tc>
        <w:tc>
          <w:tcPr>
            <w:tcW w:w="627" w:type="pct"/>
            <w:shd w:val="clear" w:color="auto" w:fill="auto"/>
            <w:noWrap w:val="0"/>
            <w:vAlign w:val="center"/>
          </w:tcPr>
          <w:p w14:paraId="222EC029">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3.546</w:t>
            </w:r>
          </w:p>
        </w:tc>
        <w:tc>
          <w:tcPr>
            <w:tcW w:w="701" w:type="pct"/>
            <w:shd w:val="clear" w:color="auto" w:fill="auto"/>
            <w:noWrap w:val="0"/>
            <w:vAlign w:val="center"/>
          </w:tcPr>
          <w:p w14:paraId="2C9B1D86">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25.59</w:t>
            </w:r>
          </w:p>
        </w:tc>
      </w:tr>
      <w:tr w14:paraId="457244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23F13042">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8</w:t>
            </w:r>
          </w:p>
        </w:tc>
        <w:tc>
          <w:tcPr>
            <w:tcW w:w="636" w:type="pct"/>
            <w:shd w:val="clear" w:color="auto" w:fill="auto"/>
            <w:noWrap w:val="0"/>
            <w:vAlign w:val="center"/>
          </w:tcPr>
          <w:p w14:paraId="0D369CA1">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4.863</w:t>
            </w:r>
          </w:p>
        </w:tc>
        <w:tc>
          <w:tcPr>
            <w:tcW w:w="659" w:type="pct"/>
            <w:shd w:val="clear" w:color="auto" w:fill="auto"/>
            <w:noWrap w:val="0"/>
            <w:vAlign w:val="center"/>
          </w:tcPr>
          <w:p w14:paraId="6FC2948C">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39.71</w:t>
            </w:r>
          </w:p>
        </w:tc>
        <w:tc>
          <w:tcPr>
            <w:tcW w:w="686" w:type="pct"/>
            <w:shd w:val="clear" w:color="auto" w:fill="auto"/>
            <w:noWrap w:val="0"/>
            <w:vAlign w:val="center"/>
          </w:tcPr>
          <w:p w14:paraId="4F174811">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5.698</w:t>
            </w:r>
          </w:p>
        </w:tc>
        <w:tc>
          <w:tcPr>
            <w:tcW w:w="659" w:type="pct"/>
            <w:shd w:val="clear" w:color="auto" w:fill="auto"/>
            <w:noWrap w:val="0"/>
            <w:vAlign w:val="center"/>
          </w:tcPr>
          <w:p w14:paraId="75177E85">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48.07</w:t>
            </w:r>
          </w:p>
        </w:tc>
        <w:tc>
          <w:tcPr>
            <w:tcW w:w="627" w:type="pct"/>
            <w:shd w:val="clear" w:color="auto" w:fill="auto"/>
            <w:noWrap w:val="0"/>
            <w:vAlign w:val="center"/>
          </w:tcPr>
          <w:p w14:paraId="118DBC0D">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3.283</w:t>
            </w:r>
          </w:p>
        </w:tc>
        <w:tc>
          <w:tcPr>
            <w:tcW w:w="701" w:type="pct"/>
            <w:shd w:val="clear" w:color="auto" w:fill="auto"/>
            <w:noWrap w:val="0"/>
            <w:vAlign w:val="center"/>
          </w:tcPr>
          <w:p w14:paraId="3B0AB90B">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25.32</w:t>
            </w:r>
          </w:p>
        </w:tc>
      </w:tr>
      <w:tr w14:paraId="39F6C8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030" w:type="pct"/>
            <w:noWrap w:val="0"/>
            <w:vAlign w:val="center"/>
          </w:tcPr>
          <w:p w14:paraId="5E4BECC7">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9</w:t>
            </w:r>
          </w:p>
        </w:tc>
        <w:tc>
          <w:tcPr>
            <w:tcW w:w="636" w:type="pct"/>
            <w:shd w:val="clear" w:color="auto" w:fill="auto"/>
            <w:noWrap w:val="0"/>
            <w:vAlign w:val="center"/>
          </w:tcPr>
          <w:p w14:paraId="1F4B1AAF">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4.170</w:t>
            </w:r>
          </w:p>
        </w:tc>
        <w:tc>
          <w:tcPr>
            <w:tcW w:w="659" w:type="pct"/>
            <w:shd w:val="clear" w:color="auto" w:fill="auto"/>
            <w:noWrap w:val="0"/>
            <w:vAlign w:val="center"/>
          </w:tcPr>
          <w:p w14:paraId="194F6375">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37.97</w:t>
            </w:r>
          </w:p>
        </w:tc>
        <w:tc>
          <w:tcPr>
            <w:tcW w:w="686" w:type="pct"/>
            <w:shd w:val="clear" w:color="auto" w:fill="auto"/>
            <w:noWrap w:val="0"/>
            <w:vAlign w:val="center"/>
          </w:tcPr>
          <w:p w14:paraId="19717A2F">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4.717</w:t>
            </w:r>
          </w:p>
        </w:tc>
        <w:tc>
          <w:tcPr>
            <w:tcW w:w="659" w:type="pct"/>
            <w:shd w:val="clear" w:color="auto" w:fill="auto"/>
            <w:noWrap w:val="0"/>
            <w:vAlign w:val="center"/>
          </w:tcPr>
          <w:p w14:paraId="7F35EC89">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45.09</w:t>
            </w:r>
          </w:p>
        </w:tc>
        <w:tc>
          <w:tcPr>
            <w:tcW w:w="627" w:type="pct"/>
            <w:shd w:val="clear" w:color="auto" w:fill="auto"/>
            <w:noWrap w:val="0"/>
            <w:vAlign w:val="center"/>
          </w:tcPr>
          <w:p w14:paraId="7FF616E4">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2.978</w:t>
            </w:r>
          </w:p>
        </w:tc>
        <w:tc>
          <w:tcPr>
            <w:tcW w:w="701" w:type="pct"/>
            <w:shd w:val="clear" w:color="auto" w:fill="auto"/>
            <w:noWrap w:val="0"/>
            <w:vAlign w:val="center"/>
          </w:tcPr>
          <w:p w14:paraId="601CBBA6">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24.75</w:t>
            </w:r>
          </w:p>
        </w:tc>
      </w:tr>
      <w:tr w14:paraId="7F5251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189AB2BA">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10</w:t>
            </w:r>
          </w:p>
        </w:tc>
        <w:tc>
          <w:tcPr>
            <w:tcW w:w="636" w:type="pct"/>
            <w:shd w:val="clear" w:color="auto" w:fill="auto"/>
            <w:noWrap w:val="0"/>
            <w:vAlign w:val="center"/>
          </w:tcPr>
          <w:p w14:paraId="743B71F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3.469</w:t>
            </w:r>
          </w:p>
        </w:tc>
        <w:tc>
          <w:tcPr>
            <w:tcW w:w="659" w:type="pct"/>
            <w:shd w:val="clear" w:color="auto" w:fill="auto"/>
            <w:noWrap w:val="0"/>
            <w:vAlign w:val="center"/>
          </w:tcPr>
          <w:p w14:paraId="1F27910D">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35.68</w:t>
            </w:r>
          </w:p>
        </w:tc>
        <w:tc>
          <w:tcPr>
            <w:tcW w:w="686" w:type="pct"/>
            <w:shd w:val="clear" w:color="auto" w:fill="auto"/>
            <w:noWrap w:val="0"/>
            <w:vAlign w:val="center"/>
          </w:tcPr>
          <w:p w14:paraId="5060F52E">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3.778</w:t>
            </w:r>
          </w:p>
        </w:tc>
        <w:tc>
          <w:tcPr>
            <w:tcW w:w="659" w:type="pct"/>
            <w:shd w:val="clear" w:color="auto" w:fill="auto"/>
            <w:noWrap w:val="0"/>
            <w:vAlign w:val="center"/>
          </w:tcPr>
          <w:p w14:paraId="71618AD5">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41.55</w:t>
            </w:r>
          </w:p>
        </w:tc>
        <w:tc>
          <w:tcPr>
            <w:tcW w:w="627" w:type="pct"/>
            <w:shd w:val="clear" w:color="auto" w:fill="auto"/>
            <w:noWrap w:val="0"/>
            <w:vAlign w:val="center"/>
          </w:tcPr>
          <w:p w14:paraId="32A77E7A">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2.651</w:t>
            </w:r>
          </w:p>
        </w:tc>
        <w:tc>
          <w:tcPr>
            <w:tcW w:w="701" w:type="pct"/>
            <w:shd w:val="clear" w:color="auto" w:fill="auto"/>
            <w:noWrap w:val="0"/>
            <w:vAlign w:val="center"/>
          </w:tcPr>
          <w:p w14:paraId="2AA122DF">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23.93</w:t>
            </w:r>
          </w:p>
        </w:tc>
      </w:tr>
      <w:tr w14:paraId="0112AF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0E818407">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11</w:t>
            </w:r>
          </w:p>
        </w:tc>
        <w:tc>
          <w:tcPr>
            <w:tcW w:w="636" w:type="pct"/>
            <w:shd w:val="clear" w:color="auto" w:fill="auto"/>
            <w:noWrap w:val="0"/>
            <w:vAlign w:val="center"/>
          </w:tcPr>
          <w:p w14:paraId="7BD2B19F">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2.821</w:t>
            </w:r>
          </w:p>
        </w:tc>
        <w:tc>
          <w:tcPr>
            <w:tcW w:w="659" w:type="pct"/>
            <w:shd w:val="clear" w:color="auto" w:fill="auto"/>
            <w:noWrap w:val="0"/>
            <w:vAlign w:val="center"/>
          </w:tcPr>
          <w:p w14:paraId="23E1710A">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33.15</w:t>
            </w:r>
          </w:p>
        </w:tc>
        <w:tc>
          <w:tcPr>
            <w:tcW w:w="686" w:type="pct"/>
            <w:shd w:val="clear" w:color="auto" w:fill="auto"/>
            <w:noWrap w:val="0"/>
            <w:vAlign w:val="center"/>
          </w:tcPr>
          <w:p w14:paraId="3B6A3427">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2.958</w:t>
            </w:r>
          </w:p>
        </w:tc>
        <w:tc>
          <w:tcPr>
            <w:tcW w:w="659" w:type="pct"/>
            <w:shd w:val="clear" w:color="auto" w:fill="auto"/>
            <w:noWrap w:val="0"/>
            <w:vAlign w:val="center"/>
          </w:tcPr>
          <w:p w14:paraId="747FAA70">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37.91</w:t>
            </w:r>
          </w:p>
        </w:tc>
        <w:tc>
          <w:tcPr>
            <w:tcW w:w="627" w:type="pct"/>
            <w:shd w:val="clear" w:color="auto" w:fill="auto"/>
            <w:noWrap w:val="0"/>
            <w:vAlign w:val="center"/>
          </w:tcPr>
          <w:p w14:paraId="3BF81B4C">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2.320</w:t>
            </w:r>
          </w:p>
        </w:tc>
        <w:tc>
          <w:tcPr>
            <w:tcW w:w="701" w:type="pct"/>
            <w:shd w:val="clear" w:color="auto" w:fill="auto"/>
            <w:noWrap w:val="0"/>
            <w:vAlign w:val="center"/>
          </w:tcPr>
          <w:p w14:paraId="5BAFD1C6">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22.94</w:t>
            </w:r>
          </w:p>
        </w:tc>
      </w:tr>
      <w:tr w14:paraId="722726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7A3F1940">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12</w:t>
            </w:r>
          </w:p>
        </w:tc>
        <w:tc>
          <w:tcPr>
            <w:tcW w:w="636" w:type="pct"/>
            <w:shd w:val="clear" w:color="auto" w:fill="auto"/>
            <w:noWrap w:val="0"/>
            <w:vAlign w:val="center"/>
          </w:tcPr>
          <w:p w14:paraId="5A1B8B40">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2.255</w:t>
            </w:r>
          </w:p>
        </w:tc>
        <w:tc>
          <w:tcPr>
            <w:tcW w:w="659" w:type="pct"/>
            <w:shd w:val="clear" w:color="auto" w:fill="auto"/>
            <w:noWrap w:val="0"/>
            <w:vAlign w:val="center"/>
          </w:tcPr>
          <w:p w14:paraId="19EAB201">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30.60</w:t>
            </w:r>
          </w:p>
        </w:tc>
        <w:tc>
          <w:tcPr>
            <w:tcW w:w="686" w:type="pct"/>
            <w:shd w:val="clear" w:color="auto" w:fill="auto"/>
            <w:noWrap w:val="0"/>
            <w:vAlign w:val="center"/>
          </w:tcPr>
          <w:p w14:paraId="02674884">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2.282</w:t>
            </w:r>
          </w:p>
        </w:tc>
        <w:tc>
          <w:tcPr>
            <w:tcW w:w="659" w:type="pct"/>
            <w:shd w:val="clear" w:color="auto" w:fill="auto"/>
            <w:noWrap w:val="0"/>
            <w:vAlign w:val="center"/>
          </w:tcPr>
          <w:p w14:paraId="2EDB2490">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34.44</w:t>
            </w:r>
          </w:p>
        </w:tc>
        <w:tc>
          <w:tcPr>
            <w:tcW w:w="627" w:type="pct"/>
            <w:shd w:val="clear" w:color="auto" w:fill="auto"/>
            <w:noWrap w:val="0"/>
            <w:vAlign w:val="center"/>
          </w:tcPr>
          <w:p w14:paraId="731229AA">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2.000</w:t>
            </w:r>
          </w:p>
        </w:tc>
        <w:tc>
          <w:tcPr>
            <w:tcW w:w="701" w:type="pct"/>
            <w:shd w:val="clear" w:color="auto" w:fill="auto"/>
            <w:noWrap w:val="0"/>
            <w:vAlign w:val="center"/>
          </w:tcPr>
          <w:p w14:paraId="369A2AE6">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21.84</w:t>
            </w:r>
          </w:p>
        </w:tc>
      </w:tr>
      <w:tr w14:paraId="6AF0B6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030" w:type="pct"/>
            <w:noWrap w:val="0"/>
            <w:vAlign w:val="center"/>
          </w:tcPr>
          <w:p w14:paraId="05A676E6">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13</w:t>
            </w:r>
          </w:p>
        </w:tc>
        <w:tc>
          <w:tcPr>
            <w:tcW w:w="636" w:type="pct"/>
            <w:shd w:val="clear" w:color="auto" w:fill="auto"/>
            <w:noWrap w:val="0"/>
            <w:vAlign w:val="center"/>
          </w:tcPr>
          <w:p w14:paraId="11A5AEF8">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1.781</w:t>
            </w:r>
          </w:p>
        </w:tc>
        <w:tc>
          <w:tcPr>
            <w:tcW w:w="659" w:type="pct"/>
            <w:shd w:val="clear" w:color="auto" w:fill="auto"/>
            <w:noWrap w:val="0"/>
            <w:vAlign w:val="center"/>
          </w:tcPr>
          <w:p w14:paraId="1CB0D93E">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28.15</w:t>
            </w:r>
          </w:p>
        </w:tc>
        <w:tc>
          <w:tcPr>
            <w:tcW w:w="686" w:type="pct"/>
            <w:shd w:val="clear" w:color="auto" w:fill="auto"/>
            <w:noWrap w:val="0"/>
            <w:vAlign w:val="center"/>
          </w:tcPr>
          <w:p w14:paraId="0354ABC2">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1.745</w:t>
            </w:r>
          </w:p>
        </w:tc>
        <w:tc>
          <w:tcPr>
            <w:tcW w:w="659" w:type="pct"/>
            <w:shd w:val="clear" w:color="auto" w:fill="auto"/>
            <w:noWrap w:val="0"/>
            <w:vAlign w:val="center"/>
          </w:tcPr>
          <w:p w14:paraId="606AF537">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31.26</w:t>
            </w:r>
          </w:p>
        </w:tc>
        <w:tc>
          <w:tcPr>
            <w:tcW w:w="627" w:type="pct"/>
            <w:shd w:val="clear" w:color="auto" w:fill="auto"/>
            <w:noWrap w:val="0"/>
            <w:vAlign w:val="center"/>
          </w:tcPr>
          <w:p w14:paraId="299D769B">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1.703</w:t>
            </w:r>
          </w:p>
        </w:tc>
        <w:tc>
          <w:tcPr>
            <w:tcW w:w="701" w:type="pct"/>
            <w:shd w:val="clear" w:color="auto" w:fill="auto"/>
            <w:noWrap w:val="0"/>
            <w:vAlign w:val="center"/>
          </w:tcPr>
          <w:p w14:paraId="7339C3C5">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20.69</w:t>
            </w:r>
          </w:p>
        </w:tc>
      </w:tr>
      <w:tr w14:paraId="156A61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4DB606BE">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14</w:t>
            </w:r>
          </w:p>
        </w:tc>
        <w:tc>
          <w:tcPr>
            <w:tcW w:w="636" w:type="pct"/>
            <w:shd w:val="clear" w:color="auto" w:fill="auto"/>
            <w:noWrap w:val="0"/>
            <w:vAlign w:val="center"/>
          </w:tcPr>
          <w:p w14:paraId="313ABAFE">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1.393</w:t>
            </w:r>
          </w:p>
        </w:tc>
        <w:tc>
          <w:tcPr>
            <w:tcW w:w="659" w:type="pct"/>
            <w:shd w:val="clear" w:color="auto" w:fill="auto"/>
            <w:noWrap w:val="0"/>
            <w:vAlign w:val="center"/>
          </w:tcPr>
          <w:p w14:paraId="410D1608">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25.86</w:t>
            </w:r>
          </w:p>
        </w:tc>
        <w:tc>
          <w:tcPr>
            <w:tcW w:w="686" w:type="pct"/>
            <w:shd w:val="clear" w:color="auto" w:fill="auto"/>
            <w:noWrap w:val="0"/>
            <w:vAlign w:val="center"/>
          </w:tcPr>
          <w:p w14:paraId="38D5F429">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1.329</w:t>
            </w:r>
          </w:p>
        </w:tc>
        <w:tc>
          <w:tcPr>
            <w:tcW w:w="659" w:type="pct"/>
            <w:shd w:val="clear" w:color="auto" w:fill="auto"/>
            <w:noWrap w:val="0"/>
            <w:vAlign w:val="center"/>
          </w:tcPr>
          <w:p w14:paraId="178E62D7">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28.39</w:t>
            </w:r>
          </w:p>
        </w:tc>
        <w:tc>
          <w:tcPr>
            <w:tcW w:w="627" w:type="pct"/>
            <w:shd w:val="clear" w:color="auto" w:fill="auto"/>
            <w:noWrap w:val="0"/>
            <w:vAlign w:val="center"/>
          </w:tcPr>
          <w:p w14:paraId="0DFF215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1.434</w:t>
            </w:r>
          </w:p>
        </w:tc>
        <w:tc>
          <w:tcPr>
            <w:tcW w:w="701" w:type="pct"/>
            <w:shd w:val="clear" w:color="auto" w:fill="auto"/>
            <w:noWrap w:val="0"/>
            <w:vAlign w:val="center"/>
          </w:tcPr>
          <w:p w14:paraId="534216D3">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19.52</w:t>
            </w:r>
          </w:p>
        </w:tc>
      </w:tr>
      <w:tr w14:paraId="6E4A55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1AE21058">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15</w:t>
            </w:r>
          </w:p>
        </w:tc>
        <w:tc>
          <w:tcPr>
            <w:tcW w:w="636" w:type="pct"/>
            <w:shd w:val="clear" w:color="auto" w:fill="auto"/>
            <w:noWrap w:val="0"/>
            <w:vAlign w:val="center"/>
          </w:tcPr>
          <w:p w14:paraId="72835CBE">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1.083</w:t>
            </w:r>
          </w:p>
        </w:tc>
        <w:tc>
          <w:tcPr>
            <w:tcW w:w="659" w:type="pct"/>
            <w:shd w:val="clear" w:color="auto" w:fill="auto"/>
            <w:noWrap w:val="0"/>
            <w:vAlign w:val="center"/>
          </w:tcPr>
          <w:p w14:paraId="0327DE74">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23.75</w:t>
            </w:r>
          </w:p>
        </w:tc>
        <w:tc>
          <w:tcPr>
            <w:tcW w:w="686" w:type="pct"/>
            <w:shd w:val="clear" w:color="auto" w:fill="auto"/>
            <w:noWrap w:val="0"/>
            <w:vAlign w:val="center"/>
          </w:tcPr>
          <w:p w14:paraId="6F0A4F3F">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1.013</w:t>
            </w:r>
          </w:p>
        </w:tc>
        <w:tc>
          <w:tcPr>
            <w:tcW w:w="659" w:type="pct"/>
            <w:shd w:val="clear" w:color="auto" w:fill="auto"/>
            <w:noWrap w:val="0"/>
            <w:vAlign w:val="center"/>
          </w:tcPr>
          <w:p w14:paraId="3AE37455">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25.82</w:t>
            </w:r>
          </w:p>
        </w:tc>
        <w:tc>
          <w:tcPr>
            <w:tcW w:w="627" w:type="pct"/>
            <w:shd w:val="clear" w:color="auto" w:fill="auto"/>
            <w:noWrap w:val="0"/>
            <w:vAlign w:val="center"/>
          </w:tcPr>
          <w:p w14:paraId="371424A7">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1.196</w:t>
            </w:r>
          </w:p>
        </w:tc>
        <w:tc>
          <w:tcPr>
            <w:tcW w:w="701" w:type="pct"/>
            <w:shd w:val="clear" w:color="auto" w:fill="auto"/>
            <w:noWrap w:val="0"/>
            <w:vAlign w:val="center"/>
          </w:tcPr>
          <w:p w14:paraId="54042A74">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18.37</w:t>
            </w:r>
          </w:p>
        </w:tc>
      </w:tr>
      <w:tr w14:paraId="0AD9D7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030" w:type="pct"/>
            <w:noWrap w:val="0"/>
            <w:vAlign w:val="center"/>
          </w:tcPr>
          <w:p w14:paraId="1EE7CEE5">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16</w:t>
            </w:r>
          </w:p>
        </w:tc>
        <w:tc>
          <w:tcPr>
            <w:tcW w:w="636" w:type="pct"/>
            <w:shd w:val="clear" w:color="auto" w:fill="auto"/>
            <w:noWrap w:val="0"/>
            <w:vAlign w:val="center"/>
          </w:tcPr>
          <w:p w14:paraId="5EC85946">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0.839</w:t>
            </w:r>
          </w:p>
        </w:tc>
        <w:tc>
          <w:tcPr>
            <w:tcW w:w="659" w:type="pct"/>
            <w:shd w:val="clear" w:color="auto" w:fill="auto"/>
            <w:noWrap w:val="0"/>
            <w:vAlign w:val="center"/>
          </w:tcPr>
          <w:p w14:paraId="2343ED7D">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21.84</w:t>
            </w:r>
          </w:p>
        </w:tc>
        <w:tc>
          <w:tcPr>
            <w:tcW w:w="686" w:type="pct"/>
            <w:shd w:val="clear" w:color="auto" w:fill="auto"/>
            <w:noWrap w:val="0"/>
            <w:vAlign w:val="center"/>
          </w:tcPr>
          <w:p w14:paraId="22F74D01">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0.777</w:t>
            </w:r>
          </w:p>
        </w:tc>
        <w:tc>
          <w:tcPr>
            <w:tcW w:w="659" w:type="pct"/>
            <w:shd w:val="clear" w:color="auto" w:fill="auto"/>
            <w:noWrap w:val="0"/>
            <w:vAlign w:val="center"/>
          </w:tcPr>
          <w:p w14:paraId="1A7E7F60">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23.54</w:t>
            </w:r>
          </w:p>
        </w:tc>
        <w:tc>
          <w:tcPr>
            <w:tcW w:w="627" w:type="pct"/>
            <w:shd w:val="clear" w:color="auto" w:fill="auto"/>
            <w:noWrap w:val="0"/>
            <w:vAlign w:val="center"/>
          </w:tcPr>
          <w:p w14:paraId="2B1A18AC">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0.988</w:t>
            </w:r>
          </w:p>
        </w:tc>
        <w:tc>
          <w:tcPr>
            <w:tcW w:w="701" w:type="pct"/>
            <w:shd w:val="clear" w:color="auto" w:fill="auto"/>
            <w:noWrap w:val="0"/>
            <w:vAlign w:val="center"/>
          </w:tcPr>
          <w:p w14:paraId="26AE5715">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17.26</w:t>
            </w:r>
          </w:p>
        </w:tc>
      </w:tr>
      <w:tr w14:paraId="422A39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7C261C16">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17</w:t>
            </w:r>
          </w:p>
        </w:tc>
        <w:tc>
          <w:tcPr>
            <w:tcW w:w="636" w:type="pct"/>
            <w:shd w:val="clear" w:color="auto" w:fill="auto"/>
            <w:noWrap w:val="0"/>
            <w:vAlign w:val="center"/>
          </w:tcPr>
          <w:p w14:paraId="4A83162D">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0.650</w:t>
            </w:r>
          </w:p>
        </w:tc>
        <w:tc>
          <w:tcPr>
            <w:tcW w:w="659" w:type="pct"/>
            <w:shd w:val="clear" w:color="auto" w:fill="auto"/>
            <w:noWrap w:val="0"/>
            <w:vAlign w:val="center"/>
          </w:tcPr>
          <w:p w14:paraId="241D6DE3">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20.10</w:t>
            </w:r>
          </w:p>
        </w:tc>
        <w:tc>
          <w:tcPr>
            <w:tcW w:w="686" w:type="pct"/>
            <w:shd w:val="clear" w:color="auto" w:fill="auto"/>
            <w:noWrap w:val="0"/>
            <w:vAlign w:val="center"/>
          </w:tcPr>
          <w:p w14:paraId="1A0A3151">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0.605</w:t>
            </w:r>
          </w:p>
        </w:tc>
        <w:tc>
          <w:tcPr>
            <w:tcW w:w="659" w:type="pct"/>
            <w:shd w:val="clear" w:color="auto" w:fill="auto"/>
            <w:noWrap w:val="0"/>
            <w:vAlign w:val="center"/>
          </w:tcPr>
          <w:p w14:paraId="48FA5144">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21.52</w:t>
            </w:r>
          </w:p>
        </w:tc>
        <w:tc>
          <w:tcPr>
            <w:tcW w:w="627" w:type="pct"/>
            <w:shd w:val="clear" w:color="auto" w:fill="auto"/>
            <w:noWrap w:val="0"/>
            <w:vAlign w:val="center"/>
          </w:tcPr>
          <w:p w14:paraId="28C5C4B5">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0.810</w:t>
            </w:r>
          </w:p>
        </w:tc>
        <w:tc>
          <w:tcPr>
            <w:tcW w:w="701" w:type="pct"/>
            <w:shd w:val="clear" w:color="auto" w:fill="auto"/>
            <w:noWrap w:val="0"/>
            <w:vAlign w:val="center"/>
          </w:tcPr>
          <w:p w14:paraId="6D0537BC">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16.20</w:t>
            </w:r>
          </w:p>
        </w:tc>
      </w:tr>
      <w:tr w14:paraId="078AEC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28C71070">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18</w:t>
            </w:r>
          </w:p>
        </w:tc>
        <w:tc>
          <w:tcPr>
            <w:tcW w:w="636" w:type="pct"/>
            <w:shd w:val="clear" w:color="auto" w:fill="auto"/>
            <w:noWrap w:val="0"/>
            <w:vAlign w:val="center"/>
          </w:tcPr>
          <w:p w14:paraId="144D710F">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0.508</w:t>
            </w:r>
          </w:p>
        </w:tc>
        <w:tc>
          <w:tcPr>
            <w:tcW w:w="659" w:type="pct"/>
            <w:shd w:val="clear" w:color="auto" w:fill="auto"/>
            <w:noWrap w:val="0"/>
            <w:vAlign w:val="center"/>
          </w:tcPr>
          <w:p w14:paraId="5199E2DB">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18.54</w:t>
            </w:r>
          </w:p>
        </w:tc>
        <w:tc>
          <w:tcPr>
            <w:tcW w:w="686" w:type="pct"/>
            <w:shd w:val="clear" w:color="auto" w:fill="auto"/>
            <w:noWrap w:val="0"/>
            <w:vAlign w:val="center"/>
          </w:tcPr>
          <w:p w14:paraId="15C9FC1E">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0.486</w:t>
            </w:r>
          </w:p>
        </w:tc>
        <w:tc>
          <w:tcPr>
            <w:tcW w:w="659" w:type="pct"/>
            <w:shd w:val="clear" w:color="auto" w:fill="auto"/>
            <w:noWrap w:val="0"/>
            <w:vAlign w:val="center"/>
          </w:tcPr>
          <w:p w14:paraId="3550A640">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19.72</w:t>
            </w:r>
          </w:p>
        </w:tc>
        <w:tc>
          <w:tcPr>
            <w:tcW w:w="627" w:type="pct"/>
            <w:shd w:val="clear" w:color="auto" w:fill="auto"/>
            <w:noWrap w:val="0"/>
            <w:vAlign w:val="center"/>
          </w:tcPr>
          <w:p w14:paraId="7D39FD1B">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0.658</w:t>
            </w:r>
          </w:p>
        </w:tc>
        <w:tc>
          <w:tcPr>
            <w:tcW w:w="701" w:type="pct"/>
            <w:shd w:val="clear" w:color="auto" w:fill="auto"/>
            <w:noWrap w:val="0"/>
            <w:vAlign w:val="center"/>
          </w:tcPr>
          <w:p w14:paraId="1849BF0F">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15.20</w:t>
            </w:r>
          </w:p>
        </w:tc>
      </w:tr>
      <w:tr w14:paraId="4F1038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4CC7E6BB">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19</w:t>
            </w:r>
          </w:p>
        </w:tc>
        <w:tc>
          <w:tcPr>
            <w:tcW w:w="636" w:type="pct"/>
            <w:shd w:val="clear" w:color="auto" w:fill="auto"/>
            <w:noWrap w:val="0"/>
            <w:vAlign w:val="center"/>
          </w:tcPr>
          <w:p w14:paraId="4DB11DC0">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0.404</w:t>
            </w:r>
          </w:p>
        </w:tc>
        <w:tc>
          <w:tcPr>
            <w:tcW w:w="659" w:type="pct"/>
            <w:shd w:val="clear" w:color="auto" w:fill="auto"/>
            <w:noWrap w:val="0"/>
            <w:vAlign w:val="center"/>
          </w:tcPr>
          <w:p w14:paraId="697DB3BB">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17.12</w:t>
            </w:r>
          </w:p>
        </w:tc>
        <w:tc>
          <w:tcPr>
            <w:tcW w:w="686" w:type="pct"/>
            <w:shd w:val="clear" w:color="auto" w:fill="auto"/>
            <w:noWrap w:val="0"/>
            <w:vAlign w:val="center"/>
          </w:tcPr>
          <w:p w14:paraId="10603292">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0.408</w:t>
            </w:r>
          </w:p>
        </w:tc>
        <w:tc>
          <w:tcPr>
            <w:tcW w:w="659" w:type="pct"/>
            <w:shd w:val="clear" w:color="auto" w:fill="auto"/>
            <w:noWrap w:val="0"/>
            <w:vAlign w:val="center"/>
          </w:tcPr>
          <w:p w14:paraId="37A9EDB8">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18.12</w:t>
            </w:r>
          </w:p>
        </w:tc>
        <w:tc>
          <w:tcPr>
            <w:tcW w:w="627" w:type="pct"/>
            <w:shd w:val="clear" w:color="auto" w:fill="auto"/>
            <w:noWrap w:val="0"/>
            <w:vAlign w:val="center"/>
          </w:tcPr>
          <w:p w14:paraId="1481F8E9">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0.530</w:t>
            </w:r>
          </w:p>
        </w:tc>
        <w:tc>
          <w:tcPr>
            <w:tcW w:w="701" w:type="pct"/>
            <w:shd w:val="clear" w:color="auto" w:fill="auto"/>
            <w:noWrap w:val="0"/>
            <w:vAlign w:val="center"/>
          </w:tcPr>
          <w:p w14:paraId="2EEF8E90">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14.26</w:t>
            </w:r>
          </w:p>
        </w:tc>
      </w:tr>
      <w:tr w14:paraId="11F5E1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030" w:type="pct"/>
            <w:noWrap w:val="0"/>
            <w:vAlign w:val="center"/>
          </w:tcPr>
          <w:p w14:paraId="7EA085CE">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20</w:t>
            </w:r>
          </w:p>
        </w:tc>
        <w:tc>
          <w:tcPr>
            <w:tcW w:w="636" w:type="pct"/>
            <w:shd w:val="clear" w:color="auto" w:fill="auto"/>
            <w:noWrap w:val="0"/>
            <w:vAlign w:val="center"/>
          </w:tcPr>
          <w:p w14:paraId="4CD5CDCA">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0.333</w:t>
            </w:r>
          </w:p>
        </w:tc>
        <w:tc>
          <w:tcPr>
            <w:tcW w:w="659" w:type="pct"/>
            <w:shd w:val="clear" w:color="auto" w:fill="auto"/>
            <w:noWrap w:val="0"/>
            <w:vAlign w:val="center"/>
          </w:tcPr>
          <w:p w14:paraId="23340E89">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15.85</w:t>
            </w:r>
          </w:p>
        </w:tc>
        <w:tc>
          <w:tcPr>
            <w:tcW w:w="686" w:type="pct"/>
            <w:shd w:val="clear" w:color="auto" w:fill="auto"/>
            <w:noWrap w:val="0"/>
            <w:vAlign w:val="center"/>
          </w:tcPr>
          <w:p w14:paraId="09B55D6D">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0.361</w:t>
            </w:r>
          </w:p>
        </w:tc>
        <w:tc>
          <w:tcPr>
            <w:tcW w:w="659" w:type="pct"/>
            <w:shd w:val="clear" w:color="auto" w:fill="auto"/>
            <w:noWrap w:val="0"/>
            <w:vAlign w:val="center"/>
          </w:tcPr>
          <w:p w14:paraId="6DFAEE4E">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16.69</w:t>
            </w:r>
          </w:p>
        </w:tc>
        <w:tc>
          <w:tcPr>
            <w:tcW w:w="627" w:type="pct"/>
            <w:shd w:val="clear" w:color="auto" w:fill="auto"/>
            <w:noWrap w:val="0"/>
            <w:vAlign w:val="center"/>
          </w:tcPr>
          <w:p w14:paraId="6E6EF6A6">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0.424</w:t>
            </w:r>
          </w:p>
        </w:tc>
        <w:tc>
          <w:tcPr>
            <w:tcW w:w="701" w:type="pct"/>
            <w:shd w:val="clear" w:color="auto" w:fill="auto"/>
            <w:noWrap w:val="0"/>
            <w:vAlign w:val="center"/>
          </w:tcPr>
          <w:p w14:paraId="65953353">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13.38</w:t>
            </w:r>
          </w:p>
        </w:tc>
      </w:tr>
      <w:tr w14:paraId="4B3757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34FF3CD0">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21</w:t>
            </w:r>
          </w:p>
        </w:tc>
        <w:tc>
          <w:tcPr>
            <w:tcW w:w="636" w:type="pct"/>
            <w:shd w:val="clear" w:color="auto" w:fill="auto"/>
            <w:noWrap w:val="0"/>
            <w:vAlign w:val="center"/>
          </w:tcPr>
          <w:p w14:paraId="137BB162">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0.288</w:t>
            </w:r>
          </w:p>
        </w:tc>
        <w:tc>
          <w:tcPr>
            <w:tcW w:w="659" w:type="pct"/>
            <w:shd w:val="clear" w:color="auto" w:fill="auto"/>
            <w:noWrap w:val="0"/>
            <w:vAlign w:val="center"/>
          </w:tcPr>
          <w:p w14:paraId="00CECAE6">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14.70</w:t>
            </w:r>
          </w:p>
        </w:tc>
        <w:tc>
          <w:tcPr>
            <w:tcW w:w="686" w:type="pct"/>
            <w:shd w:val="clear" w:color="auto" w:fill="auto"/>
            <w:noWrap w:val="0"/>
            <w:vAlign w:val="center"/>
          </w:tcPr>
          <w:p w14:paraId="54F47817">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0.336</w:t>
            </w:r>
          </w:p>
        </w:tc>
        <w:tc>
          <w:tcPr>
            <w:tcW w:w="659" w:type="pct"/>
            <w:shd w:val="clear" w:color="auto" w:fill="auto"/>
            <w:noWrap w:val="0"/>
            <w:vAlign w:val="center"/>
          </w:tcPr>
          <w:p w14:paraId="0E0896C0">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15.41</w:t>
            </w:r>
          </w:p>
        </w:tc>
        <w:tc>
          <w:tcPr>
            <w:tcW w:w="627" w:type="pct"/>
            <w:shd w:val="clear" w:color="auto" w:fill="auto"/>
            <w:noWrap w:val="0"/>
            <w:vAlign w:val="center"/>
          </w:tcPr>
          <w:p w14:paraId="738F695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0.336</w:t>
            </w:r>
          </w:p>
        </w:tc>
        <w:tc>
          <w:tcPr>
            <w:tcW w:w="701" w:type="pct"/>
            <w:shd w:val="clear" w:color="auto" w:fill="auto"/>
            <w:noWrap w:val="0"/>
            <w:vAlign w:val="center"/>
          </w:tcPr>
          <w:p w14:paraId="1A088B6C">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12.56</w:t>
            </w:r>
          </w:p>
        </w:tc>
      </w:tr>
      <w:tr w14:paraId="0E20A5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04071A20">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22</w:t>
            </w:r>
          </w:p>
        </w:tc>
        <w:tc>
          <w:tcPr>
            <w:tcW w:w="636" w:type="pct"/>
            <w:shd w:val="clear" w:color="auto" w:fill="auto"/>
            <w:noWrap w:val="0"/>
            <w:vAlign w:val="center"/>
          </w:tcPr>
          <w:p w14:paraId="36B5D900">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0.264</w:t>
            </w:r>
          </w:p>
        </w:tc>
        <w:tc>
          <w:tcPr>
            <w:tcW w:w="659" w:type="pct"/>
            <w:shd w:val="clear" w:color="auto" w:fill="auto"/>
            <w:noWrap w:val="0"/>
            <w:vAlign w:val="center"/>
          </w:tcPr>
          <w:p w14:paraId="513BBA8F">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13.65</w:t>
            </w:r>
          </w:p>
        </w:tc>
        <w:tc>
          <w:tcPr>
            <w:tcW w:w="686" w:type="pct"/>
            <w:shd w:val="clear" w:color="auto" w:fill="auto"/>
            <w:noWrap w:val="0"/>
            <w:vAlign w:val="center"/>
          </w:tcPr>
          <w:p w14:paraId="5224D368">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0.324</w:t>
            </w:r>
          </w:p>
        </w:tc>
        <w:tc>
          <w:tcPr>
            <w:tcW w:w="659" w:type="pct"/>
            <w:shd w:val="clear" w:color="auto" w:fill="auto"/>
            <w:noWrap w:val="0"/>
            <w:vAlign w:val="center"/>
          </w:tcPr>
          <w:p w14:paraId="2DA86CFE">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14.27</w:t>
            </w:r>
          </w:p>
        </w:tc>
        <w:tc>
          <w:tcPr>
            <w:tcW w:w="627" w:type="pct"/>
            <w:shd w:val="clear" w:color="auto" w:fill="auto"/>
            <w:noWrap w:val="0"/>
            <w:vAlign w:val="center"/>
          </w:tcPr>
          <w:p w14:paraId="4F061BBB">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0.266</w:t>
            </w:r>
          </w:p>
        </w:tc>
        <w:tc>
          <w:tcPr>
            <w:tcW w:w="701" w:type="pct"/>
            <w:shd w:val="clear" w:color="auto" w:fill="auto"/>
            <w:noWrap w:val="0"/>
            <w:vAlign w:val="center"/>
          </w:tcPr>
          <w:p w14:paraId="34EC6668">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11.80</w:t>
            </w:r>
          </w:p>
        </w:tc>
      </w:tr>
      <w:tr w14:paraId="70198B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0F8D2A1E">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23</w:t>
            </w:r>
          </w:p>
        </w:tc>
        <w:tc>
          <w:tcPr>
            <w:tcW w:w="636" w:type="pct"/>
            <w:shd w:val="clear" w:color="auto" w:fill="auto"/>
            <w:noWrap w:val="0"/>
            <w:vAlign w:val="center"/>
          </w:tcPr>
          <w:p w14:paraId="0BE6F201">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0.254</w:t>
            </w:r>
          </w:p>
        </w:tc>
        <w:tc>
          <w:tcPr>
            <w:tcW w:w="659" w:type="pct"/>
            <w:shd w:val="clear" w:color="auto" w:fill="auto"/>
            <w:noWrap w:val="0"/>
            <w:vAlign w:val="center"/>
          </w:tcPr>
          <w:p w14:paraId="4BF266BB">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12.71</w:t>
            </w:r>
          </w:p>
        </w:tc>
        <w:tc>
          <w:tcPr>
            <w:tcW w:w="686" w:type="pct"/>
            <w:shd w:val="clear" w:color="auto" w:fill="auto"/>
            <w:noWrap w:val="0"/>
            <w:vAlign w:val="center"/>
          </w:tcPr>
          <w:p w14:paraId="68614BF8">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0.319</w:t>
            </w:r>
          </w:p>
        </w:tc>
        <w:tc>
          <w:tcPr>
            <w:tcW w:w="659" w:type="pct"/>
            <w:shd w:val="clear" w:color="auto" w:fill="auto"/>
            <w:noWrap w:val="0"/>
            <w:vAlign w:val="center"/>
          </w:tcPr>
          <w:p w14:paraId="39043C0D">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13.24</w:t>
            </w:r>
          </w:p>
        </w:tc>
        <w:tc>
          <w:tcPr>
            <w:tcW w:w="627" w:type="pct"/>
            <w:shd w:val="clear" w:color="auto" w:fill="auto"/>
            <w:noWrap w:val="0"/>
            <w:vAlign w:val="center"/>
          </w:tcPr>
          <w:p w14:paraId="7E5F3D61">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0.210</w:t>
            </w:r>
          </w:p>
        </w:tc>
        <w:tc>
          <w:tcPr>
            <w:tcW w:w="701" w:type="pct"/>
            <w:shd w:val="clear" w:color="auto" w:fill="auto"/>
            <w:noWrap w:val="0"/>
            <w:vAlign w:val="center"/>
          </w:tcPr>
          <w:p w14:paraId="70778BA5">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11.10</w:t>
            </w:r>
          </w:p>
        </w:tc>
      </w:tr>
      <w:tr w14:paraId="71CE63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030" w:type="pct"/>
            <w:noWrap w:val="0"/>
            <w:vAlign w:val="center"/>
          </w:tcPr>
          <w:p w14:paraId="4C42D1D1">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24</w:t>
            </w:r>
          </w:p>
        </w:tc>
        <w:tc>
          <w:tcPr>
            <w:tcW w:w="636" w:type="pct"/>
            <w:shd w:val="clear" w:color="auto" w:fill="auto"/>
            <w:noWrap w:val="0"/>
            <w:vAlign w:val="center"/>
          </w:tcPr>
          <w:p w14:paraId="6528F756">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0.252</w:t>
            </w:r>
          </w:p>
        </w:tc>
        <w:tc>
          <w:tcPr>
            <w:tcW w:w="659" w:type="pct"/>
            <w:shd w:val="clear" w:color="auto" w:fill="auto"/>
            <w:noWrap w:val="0"/>
            <w:vAlign w:val="center"/>
          </w:tcPr>
          <w:p w14:paraId="5DF68C2D">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11.86</w:t>
            </w:r>
          </w:p>
        </w:tc>
        <w:tc>
          <w:tcPr>
            <w:tcW w:w="686" w:type="pct"/>
            <w:shd w:val="clear" w:color="auto" w:fill="auto"/>
            <w:noWrap w:val="0"/>
            <w:vAlign w:val="center"/>
          </w:tcPr>
          <w:p w14:paraId="2778EC85">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0.317</w:t>
            </w:r>
          </w:p>
        </w:tc>
        <w:tc>
          <w:tcPr>
            <w:tcW w:w="659" w:type="pct"/>
            <w:shd w:val="clear" w:color="auto" w:fill="auto"/>
            <w:noWrap w:val="0"/>
            <w:vAlign w:val="center"/>
          </w:tcPr>
          <w:p w14:paraId="56BFD214">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12.31</w:t>
            </w:r>
          </w:p>
        </w:tc>
        <w:tc>
          <w:tcPr>
            <w:tcW w:w="627" w:type="pct"/>
            <w:shd w:val="clear" w:color="auto" w:fill="auto"/>
            <w:noWrap w:val="0"/>
            <w:vAlign w:val="center"/>
          </w:tcPr>
          <w:p w14:paraId="1C5B9FD2">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0.170</w:t>
            </w:r>
          </w:p>
        </w:tc>
        <w:tc>
          <w:tcPr>
            <w:tcW w:w="701" w:type="pct"/>
            <w:shd w:val="clear" w:color="auto" w:fill="auto"/>
            <w:noWrap w:val="0"/>
            <w:vAlign w:val="center"/>
          </w:tcPr>
          <w:p w14:paraId="62EF1900">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10.45</w:t>
            </w:r>
          </w:p>
        </w:tc>
      </w:tr>
      <w:tr w14:paraId="4BB49D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4C8CA2E0">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25</w:t>
            </w:r>
          </w:p>
        </w:tc>
        <w:tc>
          <w:tcPr>
            <w:tcW w:w="636" w:type="pct"/>
            <w:shd w:val="clear" w:color="auto" w:fill="auto"/>
            <w:noWrap w:val="0"/>
            <w:vAlign w:val="center"/>
          </w:tcPr>
          <w:p w14:paraId="7BEF49A2">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0.253</w:t>
            </w:r>
          </w:p>
        </w:tc>
        <w:tc>
          <w:tcPr>
            <w:tcW w:w="659" w:type="pct"/>
            <w:shd w:val="clear" w:color="auto" w:fill="auto"/>
            <w:noWrap w:val="0"/>
            <w:vAlign w:val="center"/>
          </w:tcPr>
          <w:p w14:paraId="2DA0E7FD">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11.08</w:t>
            </w:r>
          </w:p>
        </w:tc>
        <w:tc>
          <w:tcPr>
            <w:tcW w:w="686" w:type="pct"/>
            <w:shd w:val="clear" w:color="auto" w:fill="auto"/>
            <w:noWrap w:val="0"/>
            <w:vAlign w:val="center"/>
          </w:tcPr>
          <w:p w14:paraId="1126D5F0">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0.316</w:t>
            </w:r>
          </w:p>
        </w:tc>
        <w:tc>
          <w:tcPr>
            <w:tcW w:w="659" w:type="pct"/>
            <w:shd w:val="clear" w:color="auto" w:fill="auto"/>
            <w:noWrap w:val="0"/>
            <w:vAlign w:val="center"/>
          </w:tcPr>
          <w:p w14:paraId="180F4110">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11.47</w:t>
            </w:r>
          </w:p>
        </w:tc>
        <w:tc>
          <w:tcPr>
            <w:tcW w:w="627" w:type="pct"/>
            <w:shd w:val="clear" w:color="auto" w:fill="auto"/>
            <w:noWrap w:val="0"/>
            <w:vAlign w:val="center"/>
          </w:tcPr>
          <w:p w14:paraId="7015625F">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0.143</w:t>
            </w:r>
          </w:p>
        </w:tc>
        <w:tc>
          <w:tcPr>
            <w:tcW w:w="701" w:type="pct"/>
            <w:shd w:val="clear" w:color="auto" w:fill="auto"/>
            <w:noWrap w:val="0"/>
            <w:vAlign w:val="center"/>
          </w:tcPr>
          <w:p w14:paraId="20EB74C8">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9.84</w:t>
            </w:r>
          </w:p>
        </w:tc>
      </w:tr>
      <w:tr w14:paraId="01986A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4F61D8E9">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26</w:t>
            </w:r>
          </w:p>
        </w:tc>
        <w:tc>
          <w:tcPr>
            <w:tcW w:w="636" w:type="pct"/>
            <w:shd w:val="clear" w:color="auto" w:fill="auto"/>
            <w:noWrap w:val="0"/>
            <w:vAlign w:val="center"/>
          </w:tcPr>
          <w:p w14:paraId="3C9E18F2">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0.255</w:t>
            </w:r>
          </w:p>
        </w:tc>
        <w:tc>
          <w:tcPr>
            <w:tcW w:w="659" w:type="pct"/>
            <w:shd w:val="clear" w:color="auto" w:fill="auto"/>
            <w:noWrap w:val="0"/>
            <w:vAlign w:val="center"/>
          </w:tcPr>
          <w:p w14:paraId="48C1B9C9">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10.37</w:t>
            </w:r>
          </w:p>
        </w:tc>
        <w:tc>
          <w:tcPr>
            <w:tcW w:w="686" w:type="pct"/>
            <w:shd w:val="clear" w:color="auto" w:fill="auto"/>
            <w:noWrap w:val="0"/>
            <w:vAlign w:val="center"/>
          </w:tcPr>
          <w:p w14:paraId="5F92092B">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0.315</w:t>
            </w:r>
          </w:p>
        </w:tc>
        <w:tc>
          <w:tcPr>
            <w:tcW w:w="659" w:type="pct"/>
            <w:shd w:val="clear" w:color="auto" w:fill="auto"/>
            <w:noWrap w:val="0"/>
            <w:vAlign w:val="center"/>
          </w:tcPr>
          <w:p w14:paraId="328377DF">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10.71</w:t>
            </w:r>
          </w:p>
        </w:tc>
        <w:tc>
          <w:tcPr>
            <w:tcW w:w="627" w:type="pct"/>
            <w:shd w:val="clear" w:color="auto" w:fill="auto"/>
            <w:noWrap w:val="0"/>
            <w:vAlign w:val="center"/>
          </w:tcPr>
          <w:p w14:paraId="4401415C">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0.128</w:t>
            </w:r>
          </w:p>
        </w:tc>
        <w:tc>
          <w:tcPr>
            <w:tcW w:w="701" w:type="pct"/>
            <w:shd w:val="clear" w:color="auto" w:fill="auto"/>
            <w:noWrap w:val="0"/>
            <w:vAlign w:val="center"/>
          </w:tcPr>
          <w:p w14:paraId="2BAC0E74">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9.28</w:t>
            </w:r>
          </w:p>
        </w:tc>
      </w:tr>
      <w:tr w14:paraId="582E9A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030" w:type="pct"/>
            <w:noWrap w:val="0"/>
            <w:vAlign w:val="center"/>
          </w:tcPr>
          <w:p w14:paraId="5AC68332">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27</w:t>
            </w:r>
          </w:p>
        </w:tc>
        <w:tc>
          <w:tcPr>
            <w:tcW w:w="636" w:type="pct"/>
            <w:shd w:val="clear" w:color="auto" w:fill="auto"/>
            <w:noWrap w:val="0"/>
            <w:vAlign w:val="center"/>
          </w:tcPr>
          <w:p w14:paraId="03B8D66C">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0.257</w:t>
            </w:r>
          </w:p>
        </w:tc>
        <w:tc>
          <w:tcPr>
            <w:tcW w:w="659" w:type="pct"/>
            <w:shd w:val="clear" w:color="auto" w:fill="auto"/>
            <w:noWrap w:val="0"/>
            <w:vAlign w:val="center"/>
          </w:tcPr>
          <w:p w14:paraId="496F0850">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9.72</w:t>
            </w:r>
          </w:p>
        </w:tc>
        <w:tc>
          <w:tcPr>
            <w:tcW w:w="686" w:type="pct"/>
            <w:shd w:val="clear" w:color="auto" w:fill="auto"/>
            <w:noWrap w:val="0"/>
            <w:vAlign w:val="center"/>
          </w:tcPr>
          <w:p w14:paraId="4AEF8B61">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0.313</w:t>
            </w:r>
          </w:p>
        </w:tc>
        <w:tc>
          <w:tcPr>
            <w:tcW w:w="659" w:type="pct"/>
            <w:shd w:val="clear" w:color="auto" w:fill="auto"/>
            <w:noWrap w:val="0"/>
            <w:vAlign w:val="center"/>
          </w:tcPr>
          <w:p w14:paraId="4C9DA2B8">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10.02</w:t>
            </w:r>
          </w:p>
        </w:tc>
        <w:tc>
          <w:tcPr>
            <w:tcW w:w="627" w:type="pct"/>
            <w:shd w:val="clear" w:color="auto" w:fill="auto"/>
            <w:noWrap w:val="0"/>
            <w:vAlign w:val="center"/>
          </w:tcPr>
          <w:p w14:paraId="762AC97C">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0.124</w:t>
            </w:r>
          </w:p>
        </w:tc>
        <w:tc>
          <w:tcPr>
            <w:tcW w:w="701" w:type="pct"/>
            <w:shd w:val="clear" w:color="auto" w:fill="auto"/>
            <w:noWrap w:val="0"/>
            <w:vAlign w:val="center"/>
          </w:tcPr>
          <w:p w14:paraId="225014B0">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8.76</w:t>
            </w:r>
          </w:p>
        </w:tc>
      </w:tr>
      <w:tr w14:paraId="4E15CE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7232CB9E">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28</w:t>
            </w:r>
          </w:p>
        </w:tc>
        <w:tc>
          <w:tcPr>
            <w:tcW w:w="636" w:type="pct"/>
            <w:shd w:val="clear" w:color="auto" w:fill="auto"/>
            <w:noWrap w:val="0"/>
            <w:vAlign w:val="center"/>
          </w:tcPr>
          <w:p w14:paraId="20491252">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0.259</w:t>
            </w:r>
          </w:p>
        </w:tc>
        <w:tc>
          <w:tcPr>
            <w:tcW w:w="659" w:type="pct"/>
            <w:shd w:val="clear" w:color="auto" w:fill="auto"/>
            <w:noWrap w:val="0"/>
            <w:vAlign w:val="center"/>
          </w:tcPr>
          <w:p w14:paraId="4A9FCFDE">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9.13</w:t>
            </w:r>
          </w:p>
        </w:tc>
        <w:tc>
          <w:tcPr>
            <w:tcW w:w="686" w:type="pct"/>
            <w:shd w:val="clear" w:color="auto" w:fill="auto"/>
            <w:noWrap w:val="0"/>
            <w:vAlign w:val="center"/>
          </w:tcPr>
          <w:p w14:paraId="5D3F8242">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0.310</w:t>
            </w:r>
          </w:p>
        </w:tc>
        <w:tc>
          <w:tcPr>
            <w:tcW w:w="659" w:type="pct"/>
            <w:shd w:val="clear" w:color="auto" w:fill="auto"/>
            <w:noWrap w:val="0"/>
            <w:vAlign w:val="center"/>
          </w:tcPr>
          <w:p w14:paraId="454FDD4C">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9.40</w:t>
            </w:r>
          </w:p>
        </w:tc>
        <w:tc>
          <w:tcPr>
            <w:tcW w:w="627" w:type="pct"/>
            <w:shd w:val="clear" w:color="auto" w:fill="auto"/>
            <w:noWrap w:val="0"/>
            <w:vAlign w:val="center"/>
          </w:tcPr>
          <w:p w14:paraId="17F75432">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0.126</w:t>
            </w:r>
          </w:p>
        </w:tc>
        <w:tc>
          <w:tcPr>
            <w:tcW w:w="701" w:type="pct"/>
            <w:shd w:val="clear" w:color="auto" w:fill="auto"/>
            <w:noWrap w:val="0"/>
            <w:vAlign w:val="center"/>
          </w:tcPr>
          <w:p w14:paraId="10C72A53">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8.28</w:t>
            </w:r>
          </w:p>
        </w:tc>
      </w:tr>
      <w:tr w14:paraId="7FF688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6EE30A9C">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29</w:t>
            </w:r>
          </w:p>
        </w:tc>
        <w:tc>
          <w:tcPr>
            <w:tcW w:w="636" w:type="pct"/>
            <w:shd w:val="clear" w:color="auto" w:fill="auto"/>
            <w:noWrap w:val="0"/>
            <w:vAlign w:val="center"/>
          </w:tcPr>
          <w:p w14:paraId="34EBDA0C">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0.259</w:t>
            </w:r>
          </w:p>
        </w:tc>
        <w:tc>
          <w:tcPr>
            <w:tcW w:w="659" w:type="pct"/>
            <w:shd w:val="clear" w:color="auto" w:fill="auto"/>
            <w:noWrap w:val="0"/>
            <w:vAlign w:val="center"/>
          </w:tcPr>
          <w:p w14:paraId="34C636C8">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8.59</w:t>
            </w:r>
          </w:p>
        </w:tc>
        <w:tc>
          <w:tcPr>
            <w:tcW w:w="686" w:type="pct"/>
            <w:shd w:val="clear" w:color="auto" w:fill="auto"/>
            <w:noWrap w:val="0"/>
            <w:vAlign w:val="center"/>
          </w:tcPr>
          <w:p w14:paraId="542BE399">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0.306</w:t>
            </w:r>
          </w:p>
        </w:tc>
        <w:tc>
          <w:tcPr>
            <w:tcW w:w="659" w:type="pct"/>
            <w:shd w:val="clear" w:color="auto" w:fill="auto"/>
            <w:noWrap w:val="0"/>
            <w:vAlign w:val="center"/>
          </w:tcPr>
          <w:p w14:paraId="727D7495">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8.82</w:t>
            </w:r>
          </w:p>
        </w:tc>
        <w:tc>
          <w:tcPr>
            <w:tcW w:w="627" w:type="pct"/>
            <w:shd w:val="clear" w:color="auto" w:fill="auto"/>
            <w:noWrap w:val="0"/>
            <w:vAlign w:val="center"/>
          </w:tcPr>
          <w:p w14:paraId="5946A85C">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0.131</w:t>
            </w:r>
          </w:p>
        </w:tc>
        <w:tc>
          <w:tcPr>
            <w:tcW w:w="701" w:type="pct"/>
            <w:shd w:val="clear" w:color="auto" w:fill="auto"/>
            <w:noWrap w:val="0"/>
            <w:vAlign w:val="center"/>
          </w:tcPr>
          <w:p w14:paraId="760BE252">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7.84</w:t>
            </w:r>
          </w:p>
        </w:tc>
      </w:tr>
      <w:tr w14:paraId="1E46BD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068C5560">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30</w:t>
            </w:r>
          </w:p>
        </w:tc>
        <w:tc>
          <w:tcPr>
            <w:tcW w:w="636" w:type="pct"/>
            <w:shd w:val="clear" w:color="auto" w:fill="auto"/>
            <w:noWrap w:val="0"/>
            <w:vAlign w:val="center"/>
          </w:tcPr>
          <w:p w14:paraId="593F61AC">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0.258</w:t>
            </w:r>
          </w:p>
        </w:tc>
        <w:tc>
          <w:tcPr>
            <w:tcW w:w="659" w:type="pct"/>
            <w:shd w:val="clear" w:color="auto" w:fill="auto"/>
            <w:noWrap w:val="0"/>
            <w:vAlign w:val="center"/>
          </w:tcPr>
          <w:p w14:paraId="73F6894F">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8.10</w:t>
            </w:r>
          </w:p>
        </w:tc>
        <w:tc>
          <w:tcPr>
            <w:tcW w:w="686" w:type="pct"/>
            <w:shd w:val="clear" w:color="auto" w:fill="auto"/>
            <w:noWrap w:val="0"/>
            <w:vAlign w:val="center"/>
          </w:tcPr>
          <w:p w14:paraId="44E503A9">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0.301</w:t>
            </w:r>
          </w:p>
        </w:tc>
        <w:tc>
          <w:tcPr>
            <w:tcW w:w="659" w:type="pct"/>
            <w:shd w:val="clear" w:color="auto" w:fill="auto"/>
            <w:noWrap w:val="0"/>
            <w:vAlign w:val="center"/>
          </w:tcPr>
          <w:p w14:paraId="6A267B37">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8.30</w:t>
            </w:r>
          </w:p>
        </w:tc>
        <w:tc>
          <w:tcPr>
            <w:tcW w:w="627" w:type="pct"/>
            <w:shd w:val="clear" w:color="auto" w:fill="auto"/>
            <w:noWrap w:val="0"/>
            <w:vAlign w:val="center"/>
          </w:tcPr>
          <w:p w14:paraId="42B89537">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0.137</w:t>
            </w:r>
          </w:p>
        </w:tc>
        <w:tc>
          <w:tcPr>
            <w:tcW w:w="701" w:type="pct"/>
            <w:shd w:val="clear" w:color="auto" w:fill="auto"/>
            <w:noWrap w:val="0"/>
            <w:vAlign w:val="center"/>
          </w:tcPr>
          <w:p w14:paraId="127FFFFE">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7.42</w:t>
            </w:r>
          </w:p>
        </w:tc>
      </w:tr>
      <w:tr w14:paraId="49B626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030" w:type="pct"/>
            <w:noWrap w:val="0"/>
            <w:vAlign w:val="center"/>
          </w:tcPr>
          <w:p w14:paraId="46B1EE97">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31</w:t>
            </w:r>
          </w:p>
        </w:tc>
        <w:tc>
          <w:tcPr>
            <w:tcW w:w="636" w:type="pct"/>
            <w:shd w:val="clear" w:color="auto" w:fill="auto"/>
            <w:noWrap w:val="0"/>
            <w:vAlign w:val="center"/>
          </w:tcPr>
          <w:p w14:paraId="0D68BAEE">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0.256</w:t>
            </w:r>
          </w:p>
        </w:tc>
        <w:tc>
          <w:tcPr>
            <w:tcW w:w="659" w:type="pct"/>
            <w:shd w:val="clear" w:color="auto" w:fill="auto"/>
            <w:noWrap w:val="0"/>
            <w:vAlign w:val="center"/>
          </w:tcPr>
          <w:p w14:paraId="08088FB0">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7.64</w:t>
            </w:r>
          </w:p>
        </w:tc>
        <w:tc>
          <w:tcPr>
            <w:tcW w:w="686" w:type="pct"/>
            <w:shd w:val="clear" w:color="auto" w:fill="auto"/>
            <w:noWrap w:val="0"/>
            <w:vAlign w:val="center"/>
          </w:tcPr>
          <w:p w14:paraId="4902573B">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0.295</w:t>
            </w:r>
          </w:p>
        </w:tc>
        <w:tc>
          <w:tcPr>
            <w:tcW w:w="659" w:type="pct"/>
            <w:shd w:val="clear" w:color="auto" w:fill="auto"/>
            <w:noWrap w:val="0"/>
            <w:vAlign w:val="center"/>
          </w:tcPr>
          <w:p w14:paraId="06C5730A">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7.82</w:t>
            </w:r>
          </w:p>
        </w:tc>
        <w:tc>
          <w:tcPr>
            <w:tcW w:w="627" w:type="pct"/>
            <w:shd w:val="clear" w:color="auto" w:fill="auto"/>
            <w:noWrap w:val="0"/>
            <w:vAlign w:val="center"/>
          </w:tcPr>
          <w:p w14:paraId="21C815AE">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0.143</w:t>
            </w:r>
          </w:p>
        </w:tc>
        <w:tc>
          <w:tcPr>
            <w:tcW w:w="701" w:type="pct"/>
            <w:shd w:val="clear" w:color="auto" w:fill="auto"/>
            <w:noWrap w:val="0"/>
            <w:vAlign w:val="center"/>
          </w:tcPr>
          <w:p w14:paraId="5230BBC5">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7.04</w:t>
            </w:r>
          </w:p>
        </w:tc>
      </w:tr>
      <w:tr w14:paraId="123842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4F28EEFC">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32</w:t>
            </w:r>
          </w:p>
        </w:tc>
        <w:tc>
          <w:tcPr>
            <w:tcW w:w="636" w:type="pct"/>
            <w:shd w:val="clear" w:color="auto" w:fill="auto"/>
            <w:noWrap w:val="0"/>
            <w:vAlign w:val="center"/>
          </w:tcPr>
          <w:p w14:paraId="6BDC6CC1">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0.254</w:t>
            </w:r>
          </w:p>
        </w:tc>
        <w:tc>
          <w:tcPr>
            <w:tcW w:w="659" w:type="pct"/>
            <w:shd w:val="clear" w:color="auto" w:fill="auto"/>
            <w:noWrap w:val="0"/>
            <w:vAlign w:val="center"/>
          </w:tcPr>
          <w:p w14:paraId="2C3DEC81">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7.22</w:t>
            </w:r>
          </w:p>
        </w:tc>
        <w:tc>
          <w:tcPr>
            <w:tcW w:w="686" w:type="pct"/>
            <w:shd w:val="clear" w:color="auto" w:fill="auto"/>
            <w:noWrap w:val="0"/>
            <w:vAlign w:val="center"/>
          </w:tcPr>
          <w:p w14:paraId="3F0658B5">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0.289</w:t>
            </w:r>
          </w:p>
        </w:tc>
        <w:tc>
          <w:tcPr>
            <w:tcW w:w="659" w:type="pct"/>
            <w:shd w:val="clear" w:color="auto" w:fill="auto"/>
            <w:noWrap w:val="0"/>
            <w:vAlign w:val="center"/>
          </w:tcPr>
          <w:p w14:paraId="48D32F92">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7.38</w:t>
            </w:r>
          </w:p>
        </w:tc>
        <w:tc>
          <w:tcPr>
            <w:tcW w:w="627" w:type="pct"/>
            <w:shd w:val="clear" w:color="auto" w:fill="auto"/>
            <w:noWrap w:val="0"/>
            <w:vAlign w:val="center"/>
          </w:tcPr>
          <w:p w14:paraId="65240A34">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0.148</w:t>
            </w:r>
          </w:p>
        </w:tc>
        <w:tc>
          <w:tcPr>
            <w:tcW w:w="701" w:type="pct"/>
            <w:shd w:val="clear" w:color="auto" w:fill="auto"/>
            <w:noWrap w:val="0"/>
            <w:vAlign w:val="center"/>
          </w:tcPr>
          <w:p w14:paraId="275097A5">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6.68</w:t>
            </w:r>
          </w:p>
        </w:tc>
      </w:tr>
      <w:tr w14:paraId="16F3FC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2142A48D">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33</w:t>
            </w:r>
          </w:p>
        </w:tc>
        <w:tc>
          <w:tcPr>
            <w:tcW w:w="636" w:type="pct"/>
            <w:shd w:val="clear" w:color="auto" w:fill="auto"/>
            <w:noWrap w:val="0"/>
            <w:vAlign w:val="center"/>
          </w:tcPr>
          <w:p w14:paraId="78A7586C">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0.251</w:t>
            </w:r>
          </w:p>
        </w:tc>
        <w:tc>
          <w:tcPr>
            <w:tcW w:w="659" w:type="pct"/>
            <w:shd w:val="clear" w:color="auto" w:fill="auto"/>
            <w:noWrap w:val="0"/>
            <w:vAlign w:val="center"/>
          </w:tcPr>
          <w:p w14:paraId="02935FE7">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6.83</w:t>
            </w:r>
          </w:p>
        </w:tc>
        <w:tc>
          <w:tcPr>
            <w:tcW w:w="686" w:type="pct"/>
            <w:shd w:val="clear" w:color="auto" w:fill="auto"/>
            <w:noWrap w:val="0"/>
            <w:vAlign w:val="center"/>
          </w:tcPr>
          <w:p w14:paraId="5EB9960F">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0.283</w:t>
            </w:r>
          </w:p>
        </w:tc>
        <w:tc>
          <w:tcPr>
            <w:tcW w:w="659" w:type="pct"/>
            <w:shd w:val="clear" w:color="auto" w:fill="auto"/>
            <w:noWrap w:val="0"/>
            <w:vAlign w:val="center"/>
          </w:tcPr>
          <w:p w14:paraId="7003BBB0">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6.98</w:t>
            </w:r>
          </w:p>
        </w:tc>
        <w:tc>
          <w:tcPr>
            <w:tcW w:w="627" w:type="pct"/>
            <w:shd w:val="clear" w:color="auto" w:fill="auto"/>
            <w:noWrap w:val="0"/>
            <w:vAlign w:val="center"/>
          </w:tcPr>
          <w:p w14:paraId="6EE4761C">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0.153</w:t>
            </w:r>
          </w:p>
        </w:tc>
        <w:tc>
          <w:tcPr>
            <w:tcW w:w="701" w:type="pct"/>
            <w:shd w:val="clear" w:color="auto" w:fill="auto"/>
            <w:noWrap w:val="0"/>
            <w:vAlign w:val="center"/>
          </w:tcPr>
          <w:p w14:paraId="3E673DB6">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6.35</w:t>
            </w:r>
          </w:p>
        </w:tc>
      </w:tr>
      <w:tr w14:paraId="05E744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41F8D1A5">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34</w:t>
            </w:r>
          </w:p>
        </w:tc>
        <w:tc>
          <w:tcPr>
            <w:tcW w:w="636" w:type="pct"/>
            <w:shd w:val="clear" w:color="auto" w:fill="auto"/>
            <w:noWrap w:val="0"/>
            <w:vAlign w:val="center"/>
          </w:tcPr>
          <w:p w14:paraId="7507F102">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0.247</w:t>
            </w:r>
          </w:p>
        </w:tc>
        <w:tc>
          <w:tcPr>
            <w:tcW w:w="659" w:type="pct"/>
            <w:shd w:val="clear" w:color="auto" w:fill="auto"/>
            <w:noWrap w:val="0"/>
            <w:vAlign w:val="center"/>
          </w:tcPr>
          <w:p w14:paraId="0AC01005">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6.47</w:t>
            </w:r>
          </w:p>
        </w:tc>
        <w:tc>
          <w:tcPr>
            <w:tcW w:w="686" w:type="pct"/>
            <w:shd w:val="clear" w:color="auto" w:fill="auto"/>
            <w:noWrap w:val="0"/>
            <w:vAlign w:val="center"/>
          </w:tcPr>
          <w:p w14:paraId="03A3739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0.276</w:t>
            </w:r>
          </w:p>
        </w:tc>
        <w:tc>
          <w:tcPr>
            <w:tcW w:w="659" w:type="pct"/>
            <w:shd w:val="clear" w:color="auto" w:fill="auto"/>
            <w:noWrap w:val="0"/>
            <w:vAlign w:val="center"/>
          </w:tcPr>
          <w:p w14:paraId="4502B7D6">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6.60</w:t>
            </w:r>
          </w:p>
        </w:tc>
        <w:tc>
          <w:tcPr>
            <w:tcW w:w="627" w:type="pct"/>
            <w:shd w:val="clear" w:color="auto" w:fill="auto"/>
            <w:noWrap w:val="0"/>
            <w:vAlign w:val="center"/>
          </w:tcPr>
          <w:p w14:paraId="6FB37E0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0.156</w:t>
            </w:r>
          </w:p>
        </w:tc>
        <w:tc>
          <w:tcPr>
            <w:tcW w:w="701" w:type="pct"/>
            <w:shd w:val="clear" w:color="auto" w:fill="auto"/>
            <w:noWrap w:val="0"/>
            <w:vAlign w:val="center"/>
          </w:tcPr>
          <w:p w14:paraId="43C14589">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6.04</w:t>
            </w:r>
          </w:p>
        </w:tc>
      </w:tr>
      <w:tr w14:paraId="0F9FC7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36332DD2">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35</w:t>
            </w:r>
          </w:p>
        </w:tc>
        <w:tc>
          <w:tcPr>
            <w:tcW w:w="636" w:type="pct"/>
            <w:shd w:val="clear" w:color="auto" w:fill="auto"/>
            <w:noWrap w:val="0"/>
            <w:vAlign w:val="center"/>
          </w:tcPr>
          <w:p w14:paraId="2559752C">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0.242</w:t>
            </w:r>
          </w:p>
        </w:tc>
        <w:tc>
          <w:tcPr>
            <w:tcW w:w="659" w:type="pct"/>
            <w:shd w:val="clear" w:color="auto" w:fill="auto"/>
            <w:noWrap w:val="0"/>
            <w:vAlign w:val="center"/>
          </w:tcPr>
          <w:p w14:paraId="1C4A9649">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6.14</w:t>
            </w:r>
          </w:p>
        </w:tc>
        <w:tc>
          <w:tcPr>
            <w:tcW w:w="686" w:type="pct"/>
            <w:shd w:val="clear" w:color="auto" w:fill="auto"/>
            <w:noWrap w:val="0"/>
            <w:vAlign w:val="center"/>
          </w:tcPr>
          <w:p w14:paraId="2D1EC291">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0.269</w:t>
            </w:r>
          </w:p>
        </w:tc>
        <w:tc>
          <w:tcPr>
            <w:tcW w:w="659" w:type="pct"/>
            <w:shd w:val="clear" w:color="auto" w:fill="auto"/>
            <w:noWrap w:val="0"/>
            <w:vAlign w:val="center"/>
          </w:tcPr>
          <w:p w14:paraId="25A4608D">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6.26</w:t>
            </w:r>
          </w:p>
        </w:tc>
        <w:tc>
          <w:tcPr>
            <w:tcW w:w="627" w:type="pct"/>
            <w:shd w:val="clear" w:color="auto" w:fill="auto"/>
            <w:noWrap w:val="0"/>
            <w:vAlign w:val="center"/>
          </w:tcPr>
          <w:p w14:paraId="2E621CE9">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0.159</w:t>
            </w:r>
          </w:p>
        </w:tc>
        <w:tc>
          <w:tcPr>
            <w:tcW w:w="701" w:type="pct"/>
            <w:shd w:val="clear" w:color="auto" w:fill="auto"/>
            <w:noWrap w:val="0"/>
            <w:vAlign w:val="center"/>
          </w:tcPr>
          <w:p w14:paraId="74138BC6">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5.75</w:t>
            </w:r>
          </w:p>
        </w:tc>
      </w:tr>
      <w:tr w14:paraId="206903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543CF5AC">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36</w:t>
            </w:r>
          </w:p>
        </w:tc>
        <w:tc>
          <w:tcPr>
            <w:tcW w:w="636" w:type="pct"/>
            <w:shd w:val="clear" w:color="auto" w:fill="auto"/>
            <w:noWrap w:val="0"/>
            <w:vAlign w:val="center"/>
          </w:tcPr>
          <w:p w14:paraId="18EA766C">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0.238</w:t>
            </w:r>
          </w:p>
        </w:tc>
        <w:tc>
          <w:tcPr>
            <w:tcW w:w="659" w:type="pct"/>
            <w:shd w:val="clear" w:color="auto" w:fill="auto"/>
            <w:noWrap w:val="0"/>
            <w:vAlign w:val="center"/>
          </w:tcPr>
          <w:p w14:paraId="0FBBC97C">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5.83</w:t>
            </w:r>
          </w:p>
        </w:tc>
        <w:tc>
          <w:tcPr>
            <w:tcW w:w="686" w:type="pct"/>
            <w:shd w:val="clear" w:color="auto" w:fill="auto"/>
            <w:noWrap w:val="0"/>
            <w:vAlign w:val="center"/>
          </w:tcPr>
          <w:p w14:paraId="1E398CF8">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0.262</w:t>
            </w:r>
          </w:p>
        </w:tc>
        <w:tc>
          <w:tcPr>
            <w:tcW w:w="659" w:type="pct"/>
            <w:shd w:val="clear" w:color="auto" w:fill="auto"/>
            <w:noWrap w:val="0"/>
            <w:vAlign w:val="center"/>
          </w:tcPr>
          <w:p w14:paraId="57F197BC">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5.94</w:t>
            </w:r>
          </w:p>
        </w:tc>
        <w:tc>
          <w:tcPr>
            <w:tcW w:w="627" w:type="pct"/>
            <w:shd w:val="clear" w:color="auto" w:fill="auto"/>
            <w:noWrap w:val="0"/>
            <w:vAlign w:val="center"/>
          </w:tcPr>
          <w:p w14:paraId="37CFB11E">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0.161</w:t>
            </w:r>
          </w:p>
        </w:tc>
        <w:tc>
          <w:tcPr>
            <w:tcW w:w="701" w:type="pct"/>
            <w:shd w:val="clear" w:color="auto" w:fill="auto"/>
            <w:noWrap w:val="0"/>
            <w:vAlign w:val="center"/>
          </w:tcPr>
          <w:p w14:paraId="19C3621D">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5.48</w:t>
            </w:r>
          </w:p>
        </w:tc>
      </w:tr>
      <w:tr w14:paraId="007C4B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232F34C5">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37</w:t>
            </w:r>
          </w:p>
        </w:tc>
        <w:tc>
          <w:tcPr>
            <w:tcW w:w="636" w:type="pct"/>
            <w:shd w:val="clear" w:color="auto" w:fill="auto"/>
            <w:noWrap w:val="0"/>
            <w:vAlign w:val="center"/>
          </w:tcPr>
          <w:p w14:paraId="7257FA0C">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0.233</w:t>
            </w:r>
          </w:p>
        </w:tc>
        <w:tc>
          <w:tcPr>
            <w:tcW w:w="659" w:type="pct"/>
            <w:shd w:val="clear" w:color="auto" w:fill="auto"/>
            <w:noWrap w:val="0"/>
            <w:vAlign w:val="center"/>
          </w:tcPr>
          <w:p w14:paraId="786AF349">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5.55</w:t>
            </w:r>
          </w:p>
        </w:tc>
        <w:tc>
          <w:tcPr>
            <w:tcW w:w="686" w:type="pct"/>
            <w:shd w:val="clear" w:color="auto" w:fill="auto"/>
            <w:noWrap w:val="0"/>
            <w:vAlign w:val="center"/>
          </w:tcPr>
          <w:p w14:paraId="73FBFA0C">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0.255</w:t>
            </w:r>
          </w:p>
        </w:tc>
        <w:tc>
          <w:tcPr>
            <w:tcW w:w="659" w:type="pct"/>
            <w:shd w:val="clear" w:color="auto" w:fill="auto"/>
            <w:noWrap w:val="0"/>
            <w:vAlign w:val="center"/>
          </w:tcPr>
          <w:p w14:paraId="16269EBC">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5.64</w:t>
            </w:r>
          </w:p>
        </w:tc>
        <w:tc>
          <w:tcPr>
            <w:tcW w:w="627" w:type="pct"/>
            <w:shd w:val="clear" w:color="auto" w:fill="auto"/>
            <w:noWrap w:val="0"/>
            <w:vAlign w:val="center"/>
          </w:tcPr>
          <w:p w14:paraId="3A34A970">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0.161</w:t>
            </w:r>
          </w:p>
        </w:tc>
        <w:tc>
          <w:tcPr>
            <w:tcW w:w="701" w:type="pct"/>
            <w:shd w:val="clear" w:color="auto" w:fill="auto"/>
            <w:noWrap w:val="0"/>
            <w:vAlign w:val="center"/>
          </w:tcPr>
          <w:p w14:paraId="59C359FB">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5.23</w:t>
            </w:r>
          </w:p>
        </w:tc>
      </w:tr>
      <w:tr w14:paraId="2C927C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1734E393">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38</w:t>
            </w:r>
          </w:p>
        </w:tc>
        <w:tc>
          <w:tcPr>
            <w:tcW w:w="636" w:type="pct"/>
            <w:shd w:val="clear" w:color="auto" w:fill="auto"/>
            <w:noWrap w:val="0"/>
            <w:vAlign w:val="center"/>
          </w:tcPr>
          <w:p w14:paraId="235C7429">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0.227</w:t>
            </w:r>
          </w:p>
        </w:tc>
        <w:tc>
          <w:tcPr>
            <w:tcW w:w="659" w:type="pct"/>
            <w:shd w:val="clear" w:color="auto" w:fill="auto"/>
            <w:noWrap w:val="0"/>
            <w:vAlign w:val="center"/>
          </w:tcPr>
          <w:p w14:paraId="2FC4D5C1">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5.28</w:t>
            </w:r>
          </w:p>
        </w:tc>
        <w:tc>
          <w:tcPr>
            <w:tcW w:w="686" w:type="pct"/>
            <w:shd w:val="clear" w:color="auto" w:fill="auto"/>
            <w:noWrap w:val="0"/>
            <w:vAlign w:val="center"/>
          </w:tcPr>
          <w:p w14:paraId="46FB09DD">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0.248</w:t>
            </w:r>
          </w:p>
        </w:tc>
        <w:tc>
          <w:tcPr>
            <w:tcW w:w="659" w:type="pct"/>
            <w:shd w:val="clear" w:color="auto" w:fill="auto"/>
            <w:noWrap w:val="0"/>
            <w:vAlign w:val="center"/>
          </w:tcPr>
          <w:p w14:paraId="7F32F907">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5.37</w:t>
            </w:r>
          </w:p>
        </w:tc>
        <w:tc>
          <w:tcPr>
            <w:tcW w:w="627" w:type="pct"/>
            <w:shd w:val="clear" w:color="auto" w:fill="auto"/>
            <w:noWrap w:val="0"/>
            <w:vAlign w:val="center"/>
          </w:tcPr>
          <w:p w14:paraId="01C7D8B2">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0.162</w:t>
            </w:r>
          </w:p>
        </w:tc>
        <w:tc>
          <w:tcPr>
            <w:tcW w:w="701" w:type="pct"/>
            <w:shd w:val="clear" w:color="auto" w:fill="auto"/>
            <w:noWrap w:val="0"/>
            <w:vAlign w:val="center"/>
          </w:tcPr>
          <w:p w14:paraId="094BA44C">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4.99</w:t>
            </w:r>
          </w:p>
        </w:tc>
      </w:tr>
      <w:tr w14:paraId="62491A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5F576C2C">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39</w:t>
            </w:r>
          </w:p>
        </w:tc>
        <w:tc>
          <w:tcPr>
            <w:tcW w:w="636" w:type="pct"/>
            <w:shd w:val="clear" w:color="auto" w:fill="auto"/>
            <w:noWrap w:val="0"/>
            <w:vAlign w:val="center"/>
          </w:tcPr>
          <w:p w14:paraId="7E3B3225">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0.222</w:t>
            </w:r>
          </w:p>
        </w:tc>
        <w:tc>
          <w:tcPr>
            <w:tcW w:w="659" w:type="pct"/>
            <w:shd w:val="clear" w:color="auto" w:fill="auto"/>
            <w:noWrap w:val="0"/>
            <w:vAlign w:val="center"/>
          </w:tcPr>
          <w:p w14:paraId="2C973821">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5.03</w:t>
            </w:r>
          </w:p>
        </w:tc>
        <w:tc>
          <w:tcPr>
            <w:tcW w:w="686" w:type="pct"/>
            <w:shd w:val="clear" w:color="auto" w:fill="auto"/>
            <w:noWrap w:val="0"/>
            <w:vAlign w:val="center"/>
          </w:tcPr>
          <w:p w14:paraId="78844352">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0.241</w:t>
            </w:r>
          </w:p>
        </w:tc>
        <w:tc>
          <w:tcPr>
            <w:tcW w:w="659" w:type="pct"/>
            <w:shd w:val="clear" w:color="auto" w:fill="auto"/>
            <w:noWrap w:val="0"/>
            <w:vAlign w:val="center"/>
          </w:tcPr>
          <w:p w14:paraId="5FC8C4F4">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5.11</w:t>
            </w:r>
          </w:p>
        </w:tc>
        <w:tc>
          <w:tcPr>
            <w:tcW w:w="627" w:type="pct"/>
            <w:shd w:val="clear" w:color="auto" w:fill="auto"/>
            <w:noWrap w:val="0"/>
            <w:vAlign w:val="center"/>
          </w:tcPr>
          <w:p w14:paraId="7AA2579D">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0.161</w:t>
            </w:r>
          </w:p>
        </w:tc>
        <w:tc>
          <w:tcPr>
            <w:tcW w:w="701" w:type="pct"/>
            <w:shd w:val="clear" w:color="auto" w:fill="auto"/>
            <w:noWrap w:val="0"/>
            <w:vAlign w:val="center"/>
          </w:tcPr>
          <w:p w14:paraId="159C6EBD">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4.77</w:t>
            </w:r>
          </w:p>
        </w:tc>
      </w:tr>
      <w:tr w14:paraId="736EEC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6A09A5AF">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40</w:t>
            </w:r>
          </w:p>
        </w:tc>
        <w:tc>
          <w:tcPr>
            <w:tcW w:w="636" w:type="pct"/>
            <w:shd w:val="clear" w:color="auto" w:fill="auto"/>
            <w:noWrap w:val="0"/>
            <w:vAlign w:val="center"/>
          </w:tcPr>
          <w:p w14:paraId="4D94F865">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0.217</w:t>
            </w:r>
          </w:p>
        </w:tc>
        <w:tc>
          <w:tcPr>
            <w:tcW w:w="659" w:type="pct"/>
            <w:shd w:val="clear" w:color="auto" w:fill="auto"/>
            <w:noWrap w:val="0"/>
            <w:vAlign w:val="center"/>
          </w:tcPr>
          <w:p w14:paraId="113970E9">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4.80</w:t>
            </w:r>
          </w:p>
        </w:tc>
        <w:tc>
          <w:tcPr>
            <w:tcW w:w="686" w:type="pct"/>
            <w:shd w:val="clear" w:color="auto" w:fill="auto"/>
            <w:noWrap w:val="0"/>
            <w:vAlign w:val="center"/>
          </w:tcPr>
          <w:p w14:paraId="560EC525">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0.234</w:t>
            </w:r>
          </w:p>
        </w:tc>
        <w:tc>
          <w:tcPr>
            <w:tcW w:w="659" w:type="pct"/>
            <w:shd w:val="clear" w:color="auto" w:fill="auto"/>
            <w:noWrap w:val="0"/>
            <w:vAlign w:val="center"/>
          </w:tcPr>
          <w:p w14:paraId="582C7B9D">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4.87</w:t>
            </w:r>
          </w:p>
        </w:tc>
        <w:tc>
          <w:tcPr>
            <w:tcW w:w="627" w:type="pct"/>
            <w:shd w:val="clear" w:color="auto" w:fill="auto"/>
            <w:noWrap w:val="0"/>
            <w:vAlign w:val="center"/>
          </w:tcPr>
          <w:p w14:paraId="1CED5FA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0.161</w:t>
            </w:r>
          </w:p>
        </w:tc>
        <w:tc>
          <w:tcPr>
            <w:tcW w:w="701" w:type="pct"/>
            <w:shd w:val="clear" w:color="auto" w:fill="auto"/>
            <w:noWrap w:val="0"/>
            <w:vAlign w:val="center"/>
          </w:tcPr>
          <w:p w14:paraId="3D3FAF88">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4.56</w:t>
            </w:r>
          </w:p>
        </w:tc>
      </w:tr>
      <w:tr w14:paraId="48C3DA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7895C16E">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41</w:t>
            </w:r>
          </w:p>
        </w:tc>
        <w:tc>
          <w:tcPr>
            <w:tcW w:w="636" w:type="pct"/>
            <w:shd w:val="clear" w:color="auto" w:fill="auto"/>
            <w:noWrap w:val="0"/>
            <w:vAlign w:val="center"/>
          </w:tcPr>
          <w:p w14:paraId="0F9BF02B">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0.211</w:t>
            </w:r>
          </w:p>
        </w:tc>
        <w:tc>
          <w:tcPr>
            <w:tcW w:w="659" w:type="pct"/>
            <w:shd w:val="clear" w:color="auto" w:fill="auto"/>
            <w:noWrap w:val="0"/>
            <w:vAlign w:val="center"/>
          </w:tcPr>
          <w:p w14:paraId="372E0B5C">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4.58</w:t>
            </w:r>
          </w:p>
        </w:tc>
        <w:tc>
          <w:tcPr>
            <w:tcW w:w="686" w:type="pct"/>
            <w:shd w:val="clear" w:color="auto" w:fill="auto"/>
            <w:noWrap w:val="0"/>
            <w:vAlign w:val="center"/>
          </w:tcPr>
          <w:p w14:paraId="57C698AF">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0.227</w:t>
            </w:r>
          </w:p>
        </w:tc>
        <w:tc>
          <w:tcPr>
            <w:tcW w:w="659" w:type="pct"/>
            <w:shd w:val="clear" w:color="auto" w:fill="auto"/>
            <w:noWrap w:val="0"/>
            <w:vAlign w:val="center"/>
          </w:tcPr>
          <w:p w14:paraId="4A87DA10">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4.65</w:t>
            </w:r>
          </w:p>
        </w:tc>
        <w:tc>
          <w:tcPr>
            <w:tcW w:w="627" w:type="pct"/>
            <w:shd w:val="clear" w:color="auto" w:fill="auto"/>
            <w:noWrap w:val="0"/>
            <w:vAlign w:val="center"/>
          </w:tcPr>
          <w:p w14:paraId="4BB830B1">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0.159</w:t>
            </w:r>
          </w:p>
        </w:tc>
        <w:tc>
          <w:tcPr>
            <w:tcW w:w="701" w:type="pct"/>
            <w:shd w:val="clear" w:color="auto" w:fill="auto"/>
            <w:noWrap w:val="0"/>
            <w:vAlign w:val="center"/>
          </w:tcPr>
          <w:p w14:paraId="2DF9F75C">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4.37</w:t>
            </w:r>
          </w:p>
        </w:tc>
      </w:tr>
      <w:tr w14:paraId="4CC7B3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63B640F8">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42</w:t>
            </w:r>
          </w:p>
        </w:tc>
        <w:tc>
          <w:tcPr>
            <w:tcW w:w="636" w:type="pct"/>
            <w:shd w:val="clear" w:color="auto" w:fill="auto"/>
            <w:noWrap w:val="0"/>
            <w:vAlign w:val="center"/>
          </w:tcPr>
          <w:p w14:paraId="14740B12">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0.206</w:t>
            </w:r>
          </w:p>
        </w:tc>
        <w:tc>
          <w:tcPr>
            <w:tcW w:w="659" w:type="pct"/>
            <w:shd w:val="clear" w:color="auto" w:fill="auto"/>
            <w:noWrap w:val="0"/>
            <w:vAlign w:val="center"/>
          </w:tcPr>
          <w:p w14:paraId="6BDCC621">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4.38</w:t>
            </w:r>
          </w:p>
        </w:tc>
        <w:tc>
          <w:tcPr>
            <w:tcW w:w="686" w:type="pct"/>
            <w:shd w:val="clear" w:color="auto" w:fill="auto"/>
            <w:noWrap w:val="0"/>
            <w:vAlign w:val="center"/>
          </w:tcPr>
          <w:p w14:paraId="0F14068F">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0.221</w:t>
            </w:r>
          </w:p>
        </w:tc>
        <w:tc>
          <w:tcPr>
            <w:tcW w:w="659" w:type="pct"/>
            <w:shd w:val="clear" w:color="auto" w:fill="auto"/>
            <w:noWrap w:val="0"/>
            <w:vAlign w:val="center"/>
          </w:tcPr>
          <w:p w14:paraId="343C813E">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4.44</w:t>
            </w:r>
          </w:p>
        </w:tc>
        <w:tc>
          <w:tcPr>
            <w:tcW w:w="627" w:type="pct"/>
            <w:shd w:val="clear" w:color="auto" w:fill="auto"/>
            <w:noWrap w:val="0"/>
            <w:vAlign w:val="center"/>
          </w:tcPr>
          <w:p w14:paraId="3E5B6D0C">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0.158</w:t>
            </w:r>
          </w:p>
        </w:tc>
        <w:tc>
          <w:tcPr>
            <w:tcW w:w="701" w:type="pct"/>
            <w:shd w:val="clear" w:color="auto" w:fill="auto"/>
            <w:noWrap w:val="0"/>
            <w:vAlign w:val="center"/>
          </w:tcPr>
          <w:p w14:paraId="4AFCE974">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4.18</w:t>
            </w:r>
          </w:p>
        </w:tc>
      </w:tr>
      <w:tr w14:paraId="1B1FE5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08413EEA">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43</w:t>
            </w:r>
          </w:p>
        </w:tc>
        <w:tc>
          <w:tcPr>
            <w:tcW w:w="636" w:type="pct"/>
            <w:shd w:val="clear" w:color="auto" w:fill="auto"/>
            <w:noWrap w:val="0"/>
            <w:vAlign w:val="center"/>
          </w:tcPr>
          <w:p w14:paraId="3BC87895">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0.201</w:t>
            </w:r>
          </w:p>
        </w:tc>
        <w:tc>
          <w:tcPr>
            <w:tcW w:w="659" w:type="pct"/>
            <w:shd w:val="clear" w:color="auto" w:fill="auto"/>
            <w:noWrap w:val="0"/>
            <w:vAlign w:val="center"/>
          </w:tcPr>
          <w:p w14:paraId="3E05D7E2">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4.19</w:t>
            </w:r>
          </w:p>
        </w:tc>
        <w:tc>
          <w:tcPr>
            <w:tcW w:w="686" w:type="pct"/>
            <w:shd w:val="clear" w:color="auto" w:fill="auto"/>
            <w:noWrap w:val="0"/>
            <w:vAlign w:val="center"/>
          </w:tcPr>
          <w:p w14:paraId="38F2A32B">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0.214</w:t>
            </w:r>
          </w:p>
        </w:tc>
        <w:tc>
          <w:tcPr>
            <w:tcW w:w="659" w:type="pct"/>
            <w:shd w:val="clear" w:color="auto" w:fill="auto"/>
            <w:noWrap w:val="0"/>
            <w:vAlign w:val="center"/>
          </w:tcPr>
          <w:p w14:paraId="2C8C120C">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4.25</w:t>
            </w:r>
          </w:p>
        </w:tc>
        <w:tc>
          <w:tcPr>
            <w:tcW w:w="627" w:type="pct"/>
            <w:shd w:val="clear" w:color="auto" w:fill="auto"/>
            <w:noWrap w:val="0"/>
            <w:vAlign w:val="center"/>
          </w:tcPr>
          <w:p w14:paraId="6A8AD275">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0.156</w:t>
            </w:r>
          </w:p>
        </w:tc>
        <w:tc>
          <w:tcPr>
            <w:tcW w:w="701" w:type="pct"/>
            <w:shd w:val="clear" w:color="auto" w:fill="auto"/>
            <w:noWrap w:val="0"/>
            <w:vAlign w:val="center"/>
          </w:tcPr>
          <w:p w14:paraId="2F82548A">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4.01</w:t>
            </w:r>
          </w:p>
        </w:tc>
      </w:tr>
      <w:tr w14:paraId="4F8A30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50A5DFC7">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44</w:t>
            </w:r>
          </w:p>
        </w:tc>
        <w:tc>
          <w:tcPr>
            <w:tcW w:w="636" w:type="pct"/>
            <w:shd w:val="clear" w:color="auto" w:fill="auto"/>
            <w:noWrap w:val="0"/>
            <w:vAlign w:val="center"/>
          </w:tcPr>
          <w:p w14:paraId="22A06CC1">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0.195</w:t>
            </w:r>
          </w:p>
        </w:tc>
        <w:tc>
          <w:tcPr>
            <w:tcW w:w="659" w:type="pct"/>
            <w:shd w:val="clear" w:color="auto" w:fill="auto"/>
            <w:noWrap w:val="0"/>
            <w:vAlign w:val="center"/>
          </w:tcPr>
          <w:p w14:paraId="678AB88D">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4.02</w:t>
            </w:r>
          </w:p>
        </w:tc>
        <w:tc>
          <w:tcPr>
            <w:tcW w:w="686" w:type="pct"/>
            <w:shd w:val="clear" w:color="auto" w:fill="auto"/>
            <w:noWrap w:val="0"/>
            <w:vAlign w:val="center"/>
          </w:tcPr>
          <w:p w14:paraId="62B8468B">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0.208</w:t>
            </w:r>
          </w:p>
        </w:tc>
        <w:tc>
          <w:tcPr>
            <w:tcW w:w="659" w:type="pct"/>
            <w:shd w:val="clear" w:color="auto" w:fill="auto"/>
            <w:noWrap w:val="0"/>
            <w:vAlign w:val="center"/>
          </w:tcPr>
          <w:p w14:paraId="377E8F38">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4.06</w:t>
            </w:r>
          </w:p>
        </w:tc>
        <w:tc>
          <w:tcPr>
            <w:tcW w:w="627" w:type="pct"/>
            <w:shd w:val="clear" w:color="auto" w:fill="auto"/>
            <w:noWrap w:val="0"/>
            <w:vAlign w:val="center"/>
          </w:tcPr>
          <w:p w14:paraId="53B265B2">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0.154</w:t>
            </w:r>
          </w:p>
        </w:tc>
        <w:tc>
          <w:tcPr>
            <w:tcW w:w="701" w:type="pct"/>
            <w:shd w:val="clear" w:color="auto" w:fill="auto"/>
            <w:noWrap w:val="0"/>
            <w:vAlign w:val="center"/>
          </w:tcPr>
          <w:p w14:paraId="4A2E37C5">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3.85</w:t>
            </w:r>
          </w:p>
        </w:tc>
      </w:tr>
      <w:tr w14:paraId="26BE71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4029F3BC">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45</w:t>
            </w:r>
          </w:p>
        </w:tc>
        <w:tc>
          <w:tcPr>
            <w:tcW w:w="636" w:type="pct"/>
            <w:shd w:val="clear" w:color="auto" w:fill="auto"/>
            <w:noWrap w:val="0"/>
            <w:vAlign w:val="center"/>
          </w:tcPr>
          <w:p w14:paraId="4541534A">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0.190</w:t>
            </w:r>
          </w:p>
        </w:tc>
        <w:tc>
          <w:tcPr>
            <w:tcW w:w="659" w:type="pct"/>
            <w:shd w:val="clear" w:color="auto" w:fill="auto"/>
            <w:noWrap w:val="0"/>
            <w:vAlign w:val="center"/>
          </w:tcPr>
          <w:p w14:paraId="3D9AD7C7">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3.85</w:t>
            </w:r>
          </w:p>
        </w:tc>
        <w:tc>
          <w:tcPr>
            <w:tcW w:w="686" w:type="pct"/>
            <w:shd w:val="clear" w:color="auto" w:fill="auto"/>
            <w:noWrap w:val="0"/>
            <w:vAlign w:val="center"/>
          </w:tcPr>
          <w:p w14:paraId="1338D8A6">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0.202</w:t>
            </w:r>
          </w:p>
        </w:tc>
        <w:tc>
          <w:tcPr>
            <w:tcW w:w="659" w:type="pct"/>
            <w:shd w:val="clear" w:color="auto" w:fill="auto"/>
            <w:noWrap w:val="0"/>
            <w:vAlign w:val="center"/>
          </w:tcPr>
          <w:p w14:paraId="6EB5E62B">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3.89</w:t>
            </w:r>
          </w:p>
        </w:tc>
        <w:tc>
          <w:tcPr>
            <w:tcW w:w="627" w:type="pct"/>
            <w:shd w:val="clear" w:color="auto" w:fill="auto"/>
            <w:noWrap w:val="0"/>
            <w:vAlign w:val="center"/>
          </w:tcPr>
          <w:p w14:paraId="7925BCB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0.152</w:t>
            </w:r>
          </w:p>
        </w:tc>
        <w:tc>
          <w:tcPr>
            <w:tcW w:w="701" w:type="pct"/>
            <w:shd w:val="clear" w:color="auto" w:fill="auto"/>
            <w:noWrap w:val="0"/>
            <w:vAlign w:val="center"/>
          </w:tcPr>
          <w:p w14:paraId="78D933DB">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3.69</w:t>
            </w:r>
          </w:p>
        </w:tc>
      </w:tr>
      <w:tr w14:paraId="7C7403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42BE4965">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46</w:t>
            </w:r>
          </w:p>
        </w:tc>
        <w:tc>
          <w:tcPr>
            <w:tcW w:w="636" w:type="pct"/>
            <w:shd w:val="clear" w:color="auto" w:fill="auto"/>
            <w:noWrap w:val="0"/>
            <w:vAlign w:val="center"/>
          </w:tcPr>
          <w:p w14:paraId="050529DC">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0.185</w:t>
            </w:r>
          </w:p>
        </w:tc>
        <w:tc>
          <w:tcPr>
            <w:tcW w:w="659" w:type="pct"/>
            <w:shd w:val="clear" w:color="auto" w:fill="auto"/>
            <w:noWrap w:val="0"/>
            <w:vAlign w:val="center"/>
          </w:tcPr>
          <w:p w14:paraId="42D82333">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3.69</w:t>
            </w:r>
          </w:p>
        </w:tc>
        <w:tc>
          <w:tcPr>
            <w:tcW w:w="686" w:type="pct"/>
            <w:shd w:val="clear" w:color="auto" w:fill="auto"/>
            <w:noWrap w:val="0"/>
            <w:vAlign w:val="center"/>
          </w:tcPr>
          <w:p w14:paraId="13BF1328">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0.196</w:t>
            </w:r>
          </w:p>
        </w:tc>
        <w:tc>
          <w:tcPr>
            <w:tcW w:w="659" w:type="pct"/>
            <w:shd w:val="clear" w:color="auto" w:fill="auto"/>
            <w:noWrap w:val="0"/>
            <w:vAlign w:val="center"/>
          </w:tcPr>
          <w:p w14:paraId="6CF52EE0">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3.73</w:t>
            </w:r>
          </w:p>
        </w:tc>
        <w:tc>
          <w:tcPr>
            <w:tcW w:w="627" w:type="pct"/>
            <w:shd w:val="clear" w:color="auto" w:fill="auto"/>
            <w:noWrap w:val="0"/>
            <w:vAlign w:val="center"/>
          </w:tcPr>
          <w:p w14:paraId="521E8201">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0.149</w:t>
            </w:r>
          </w:p>
        </w:tc>
        <w:tc>
          <w:tcPr>
            <w:tcW w:w="701" w:type="pct"/>
            <w:shd w:val="clear" w:color="auto" w:fill="auto"/>
            <w:noWrap w:val="0"/>
            <w:vAlign w:val="center"/>
          </w:tcPr>
          <w:p w14:paraId="455A947B">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3.55</w:t>
            </w:r>
          </w:p>
        </w:tc>
      </w:tr>
      <w:tr w14:paraId="6DE995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0DFA54D8">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47</w:t>
            </w:r>
          </w:p>
        </w:tc>
        <w:tc>
          <w:tcPr>
            <w:tcW w:w="636" w:type="pct"/>
            <w:shd w:val="clear" w:color="auto" w:fill="auto"/>
            <w:noWrap w:val="0"/>
            <w:vAlign w:val="center"/>
          </w:tcPr>
          <w:p w14:paraId="08FE0FDB">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0.180</w:t>
            </w:r>
          </w:p>
        </w:tc>
        <w:tc>
          <w:tcPr>
            <w:tcW w:w="659" w:type="pct"/>
            <w:shd w:val="clear" w:color="auto" w:fill="auto"/>
            <w:noWrap w:val="0"/>
            <w:vAlign w:val="center"/>
          </w:tcPr>
          <w:p w14:paraId="3EE7BDBE">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3.54</w:t>
            </w:r>
          </w:p>
        </w:tc>
        <w:tc>
          <w:tcPr>
            <w:tcW w:w="686" w:type="pct"/>
            <w:shd w:val="clear" w:color="auto" w:fill="auto"/>
            <w:noWrap w:val="0"/>
            <w:vAlign w:val="center"/>
          </w:tcPr>
          <w:p w14:paraId="46377D94">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0.190</w:t>
            </w:r>
          </w:p>
        </w:tc>
        <w:tc>
          <w:tcPr>
            <w:tcW w:w="659" w:type="pct"/>
            <w:shd w:val="clear" w:color="auto" w:fill="auto"/>
            <w:noWrap w:val="0"/>
            <w:vAlign w:val="center"/>
          </w:tcPr>
          <w:p w14:paraId="5EE0E550">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3.58</w:t>
            </w:r>
          </w:p>
        </w:tc>
        <w:tc>
          <w:tcPr>
            <w:tcW w:w="627" w:type="pct"/>
            <w:shd w:val="clear" w:color="auto" w:fill="auto"/>
            <w:noWrap w:val="0"/>
            <w:vAlign w:val="center"/>
          </w:tcPr>
          <w:p w14:paraId="226AFE22">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0.147</w:t>
            </w:r>
          </w:p>
        </w:tc>
        <w:tc>
          <w:tcPr>
            <w:tcW w:w="701" w:type="pct"/>
            <w:shd w:val="clear" w:color="auto" w:fill="auto"/>
            <w:noWrap w:val="0"/>
            <w:vAlign w:val="center"/>
          </w:tcPr>
          <w:p w14:paraId="1CE586E8">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3.41</w:t>
            </w:r>
          </w:p>
        </w:tc>
      </w:tr>
      <w:tr w14:paraId="7F9059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667BA852">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48</w:t>
            </w:r>
          </w:p>
        </w:tc>
        <w:tc>
          <w:tcPr>
            <w:tcW w:w="636" w:type="pct"/>
            <w:shd w:val="clear" w:color="auto" w:fill="auto"/>
            <w:noWrap w:val="0"/>
            <w:vAlign w:val="center"/>
          </w:tcPr>
          <w:p w14:paraId="62059635">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0.175</w:t>
            </w:r>
          </w:p>
        </w:tc>
        <w:tc>
          <w:tcPr>
            <w:tcW w:w="659" w:type="pct"/>
            <w:shd w:val="clear" w:color="auto" w:fill="auto"/>
            <w:noWrap w:val="0"/>
            <w:vAlign w:val="center"/>
          </w:tcPr>
          <w:p w14:paraId="2D407527">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3.41</w:t>
            </w:r>
          </w:p>
        </w:tc>
        <w:tc>
          <w:tcPr>
            <w:tcW w:w="686" w:type="pct"/>
            <w:shd w:val="clear" w:color="auto" w:fill="auto"/>
            <w:noWrap w:val="0"/>
            <w:vAlign w:val="center"/>
          </w:tcPr>
          <w:p w14:paraId="7A771E89">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0.184</w:t>
            </w:r>
          </w:p>
        </w:tc>
        <w:tc>
          <w:tcPr>
            <w:tcW w:w="659" w:type="pct"/>
            <w:shd w:val="clear" w:color="auto" w:fill="auto"/>
            <w:noWrap w:val="0"/>
            <w:vAlign w:val="center"/>
          </w:tcPr>
          <w:p w14:paraId="419D5D07">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3.44</w:t>
            </w:r>
          </w:p>
        </w:tc>
        <w:tc>
          <w:tcPr>
            <w:tcW w:w="627" w:type="pct"/>
            <w:shd w:val="clear" w:color="auto" w:fill="auto"/>
            <w:noWrap w:val="0"/>
            <w:vAlign w:val="center"/>
          </w:tcPr>
          <w:p w14:paraId="49276D18">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0.144</w:t>
            </w:r>
          </w:p>
        </w:tc>
        <w:tc>
          <w:tcPr>
            <w:tcW w:w="701" w:type="pct"/>
            <w:shd w:val="clear" w:color="auto" w:fill="auto"/>
            <w:noWrap w:val="0"/>
            <w:vAlign w:val="center"/>
          </w:tcPr>
          <w:p w14:paraId="5D790913">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3.28</w:t>
            </w:r>
          </w:p>
        </w:tc>
      </w:tr>
      <w:tr w14:paraId="407A6E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2E2822E6">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49</w:t>
            </w:r>
          </w:p>
        </w:tc>
        <w:tc>
          <w:tcPr>
            <w:tcW w:w="636" w:type="pct"/>
            <w:shd w:val="clear" w:color="auto" w:fill="auto"/>
            <w:noWrap w:val="0"/>
            <w:vAlign w:val="center"/>
          </w:tcPr>
          <w:p w14:paraId="79D2A56B">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0.170</w:t>
            </w:r>
          </w:p>
        </w:tc>
        <w:tc>
          <w:tcPr>
            <w:tcW w:w="659" w:type="pct"/>
            <w:shd w:val="clear" w:color="auto" w:fill="auto"/>
            <w:noWrap w:val="0"/>
            <w:vAlign w:val="center"/>
          </w:tcPr>
          <w:p w14:paraId="191C75A7">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3.27</w:t>
            </w:r>
          </w:p>
        </w:tc>
        <w:tc>
          <w:tcPr>
            <w:tcW w:w="686" w:type="pct"/>
            <w:shd w:val="clear" w:color="auto" w:fill="auto"/>
            <w:noWrap w:val="0"/>
            <w:vAlign w:val="center"/>
          </w:tcPr>
          <w:p w14:paraId="60751B67">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0.179</w:t>
            </w:r>
          </w:p>
        </w:tc>
        <w:tc>
          <w:tcPr>
            <w:tcW w:w="659" w:type="pct"/>
            <w:shd w:val="clear" w:color="auto" w:fill="auto"/>
            <w:noWrap w:val="0"/>
            <w:vAlign w:val="center"/>
          </w:tcPr>
          <w:p w14:paraId="01648D28">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3.31</w:t>
            </w:r>
          </w:p>
        </w:tc>
        <w:tc>
          <w:tcPr>
            <w:tcW w:w="627" w:type="pct"/>
            <w:shd w:val="clear" w:color="auto" w:fill="auto"/>
            <w:noWrap w:val="0"/>
            <w:vAlign w:val="center"/>
          </w:tcPr>
          <w:p w14:paraId="7AA2C9F5">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0.142</w:t>
            </w:r>
          </w:p>
        </w:tc>
        <w:tc>
          <w:tcPr>
            <w:tcW w:w="701" w:type="pct"/>
            <w:shd w:val="clear" w:color="auto" w:fill="auto"/>
            <w:noWrap w:val="0"/>
            <w:vAlign w:val="center"/>
          </w:tcPr>
          <w:p w14:paraId="28A762AC">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3.16</w:t>
            </w:r>
          </w:p>
        </w:tc>
      </w:tr>
      <w:tr w14:paraId="2BF664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5FD7C61E">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50</w:t>
            </w:r>
          </w:p>
        </w:tc>
        <w:tc>
          <w:tcPr>
            <w:tcW w:w="636" w:type="pct"/>
            <w:shd w:val="clear" w:color="auto" w:fill="auto"/>
            <w:noWrap w:val="0"/>
            <w:vAlign w:val="center"/>
          </w:tcPr>
          <w:p w14:paraId="0E2F7150">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0.166</w:t>
            </w:r>
          </w:p>
        </w:tc>
        <w:tc>
          <w:tcPr>
            <w:tcW w:w="659" w:type="pct"/>
            <w:shd w:val="clear" w:color="auto" w:fill="auto"/>
            <w:noWrap w:val="0"/>
            <w:vAlign w:val="center"/>
          </w:tcPr>
          <w:p w14:paraId="3AAEBD0A">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3.15</w:t>
            </w:r>
          </w:p>
        </w:tc>
        <w:tc>
          <w:tcPr>
            <w:tcW w:w="686" w:type="pct"/>
            <w:shd w:val="clear" w:color="auto" w:fill="auto"/>
            <w:noWrap w:val="0"/>
            <w:vAlign w:val="center"/>
          </w:tcPr>
          <w:p w14:paraId="3814B2B4">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0.174</w:t>
            </w:r>
          </w:p>
        </w:tc>
        <w:tc>
          <w:tcPr>
            <w:tcW w:w="659" w:type="pct"/>
            <w:shd w:val="clear" w:color="auto" w:fill="auto"/>
            <w:noWrap w:val="0"/>
            <w:vAlign w:val="center"/>
          </w:tcPr>
          <w:p w14:paraId="1D2DB601">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3.18</w:t>
            </w:r>
          </w:p>
        </w:tc>
        <w:tc>
          <w:tcPr>
            <w:tcW w:w="627" w:type="pct"/>
            <w:shd w:val="clear" w:color="auto" w:fill="auto"/>
            <w:noWrap w:val="0"/>
            <w:vAlign w:val="center"/>
          </w:tcPr>
          <w:p w14:paraId="0B4690A5">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0.139</w:t>
            </w:r>
          </w:p>
        </w:tc>
        <w:tc>
          <w:tcPr>
            <w:tcW w:w="701" w:type="pct"/>
            <w:shd w:val="clear" w:color="auto" w:fill="auto"/>
            <w:noWrap w:val="0"/>
            <w:vAlign w:val="center"/>
          </w:tcPr>
          <w:p w14:paraId="5CCA9AFF">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3.05</w:t>
            </w:r>
          </w:p>
        </w:tc>
      </w:tr>
      <w:tr w14:paraId="2421EE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0CC2330F">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最大值</w:t>
            </w:r>
          </w:p>
        </w:tc>
        <w:tc>
          <w:tcPr>
            <w:tcW w:w="636" w:type="pct"/>
            <w:shd w:val="clear" w:color="auto" w:fill="auto"/>
            <w:noWrap w:val="0"/>
            <w:vAlign w:val="center"/>
          </w:tcPr>
          <w:p w14:paraId="3A9FDA99">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6.011</w:t>
            </w:r>
          </w:p>
        </w:tc>
        <w:tc>
          <w:tcPr>
            <w:tcW w:w="659" w:type="pct"/>
            <w:shd w:val="clear" w:color="auto" w:fill="auto"/>
            <w:noWrap w:val="0"/>
            <w:vAlign w:val="center"/>
          </w:tcPr>
          <w:p w14:paraId="50EEE81F">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40.55</w:t>
            </w:r>
          </w:p>
        </w:tc>
        <w:tc>
          <w:tcPr>
            <w:tcW w:w="686" w:type="pct"/>
            <w:shd w:val="clear" w:color="auto" w:fill="auto"/>
            <w:noWrap w:val="0"/>
            <w:vAlign w:val="center"/>
          </w:tcPr>
          <w:p w14:paraId="444C5716">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7.297</w:t>
            </w:r>
          </w:p>
        </w:tc>
        <w:tc>
          <w:tcPr>
            <w:tcW w:w="659" w:type="pct"/>
            <w:shd w:val="clear" w:color="auto" w:fill="auto"/>
            <w:noWrap w:val="0"/>
            <w:vAlign w:val="center"/>
          </w:tcPr>
          <w:p w14:paraId="22D0A645">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49.90</w:t>
            </w:r>
          </w:p>
        </w:tc>
        <w:tc>
          <w:tcPr>
            <w:tcW w:w="627" w:type="pct"/>
            <w:shd w:val="clear" w:color="auto" w:fill="auto"/>
            <w:noWrap w:val="0"/>
            <w:vAlign w:val="center"/>
          </w:tcPr>
          <w:p w14:paraId="5356A2BE">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3.976</w:t>
            </w:r>
          </w:p>
        </w:tc>
        <w:tc>
          <w:tcPr>
            <w:tcW w:w="701" w:type="pct"/>
            <w:shd w:val="clear" w:color="auto" w:fill="auto"/>
            <w:noWrap w:val="0"/>
            <w:vAlign w:val="center"/>
          </w:tcPr>
          <w:p w14:paraId="574F28B5">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25.61</w:t>
            </w:r>
          </w:p>
        </w:tc>
      </w:tr>
      <w:tr w14:paraId="2BC519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1030" w:type="pct"/>
            <w:noWrap w:val="0"/>
            <w:vAlign w:val="center"/>
          </w:tcPr>
          <w:p w14:paraId="0B955A44">
            <w:pPr>
              <w:keepNext w:val="0"/>
              <w:keepLines w:val="0"/>
              <w:suppressLineNumbers w:val="0"/>
              <w:spacing w:before="0" w:beforeAutospacing="0" w:after="0" w:afterAutospacing="0"/>
              <w:ind w:left="0" w:right="0"/>
              <w:jc w:val="center"/>
              <w:rPr>
                <w:rFonts w:hint="eastAsia"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sz w:val="21"/>
                <w:szCs w:val="21"/>
                <w:vertAlign w:val="baseline"/>
                <w:lang w:eastAsia="zh-CN"/>
              </w:rPr>
              <w:t>最大值处距线路走廊中心距离</w:t>
            </w:r>
            <w:r>
              <w:rPr>
                <w:rFonts w:hint="eastAsia" w:ascii="宋体" w:hAnsi="宋体" w:cs="宋体"/>
                <w:b w:val="0"/>
                <w:color w:val="auto"/>
                <w:sz w:val="21"/>
                <w:szCs w:val="21"/>
                <w:vertAlign w:val="baseline"/>
                <w:lang w:eastAsia="zh-CN"/>
              </w:rPr>
              <w:t>（</w:t>
            </w:r>
            <w:r>
              <w:rPr>
                <w:rFonts w:hint="eastAsia" w:ascii="宋体" w:hAnsi="宋体" w:eastAsia="宋体" w:cs="宋体"/>
                <w:b w:val="0"/>
                <w:color w:val="auto"/>
                <w:sz w:val="21"/>
                <w:szCs w:val="21"/>
                <w:vertAlign w:val="baseline"/>
                <w:lang w:eastAsia="zh-CN"/>
              </w:rPr>
              <w:t>m</w:t>
            </w:r>
            <w:r>
              <w:rPr>
                <w:rFonts w:hint="eastAsia" w:ascii="宋体" w:hAnsi="宋体" w:cs="宋体"/>
                <w:b w:val="0"/>
                <w:color w:val="auto"/>
                <w:sz w:val="21"/>
                <w:szCs w:val="21"/>
                <w:vertAlign w:val="baseline"/>
                <w:lang w:eastAsia="zh-CN"/>
              </w:rPr>
              <w:t>）</w:t>
            </w:r>
          </w:p>
        </w:tc>
        <w:tc>
          <w:tcPr>
            <w:tcW w:w="636" w:type="pct"/>
            <w:shd w:val="clear" w:color="auto" w:fill="auto"/>
            <w:noWrap w:val="0"/>
            <w:vAlign w:val="center"/>
          </w:tcPr>
          <w:p w14:paraId="59871A8C">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4.9</w:t>
            </w:r>
          </w:p>
        </w:tc>
        <w:tc>
          <w:tcPr>
            <w:tcW w:w="659" w:type="pct"/>
            <w:shd w:val="clear" w:color="auto" w:fill="auto"/>
            <w:noWrap w:val="0"/>
            <w:vAlign w:val="center"/>
          </w:tcPr>
          <w:p w14:paraId="49CF4E5C">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-8.1</w:t>
            </w:r>
          </w:p>
        </w:tc>
        <w:tc>
          <w:tcPr>
            <w:tcW w:w="686" w:type="pct"/>
            <w:shd w:val="clear" w:color="auto" w:fill="auto"/>
            <w:noWrap w:val="0"/>
            <w:vAlign w:val="center"/>
          </w:tcPr>
          <w:p w14:paraId="69DDBD1A">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5.2</w:t>
            </w:r>
          </w:p>
        </w:tc>
        <w:tc>
          <w:tcPr>
            <w:tcW w:w="659" w:type="pct"/>
            <w:shd w:val="clear" w:color="auto" w:fill="auto"/>
            <w:noWrap w:val="0"/>
            <w:vAlign w:val="center"/>
          </w:tcPr>
          <w:p w14:paraId="5982DE03">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-7.9</w:t>
            </w:r>
          </w:p>
        </w:tc>
        <w:tc>
          <w:tcPr>
            <w:tcW w:w="627" w:type="pct"/>
            <w:shd w:val="clear" w:color="auto" w:fill="auto"/>
            <w:noWrap w:val="0"/>
            <w:vAlign w:val="center"/>
          </w:tcPr>
          <w:p w14:paraId="05F07420">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kern w:val="2"/>
                <w:sz w:val="20"/>
                <w:szCs w:val="24"/>
                <w:vertAlign w:val="baseline"/>
                <w:lang w:val="en-US" w:eastAsia="zh-CN" w:bidi="ar-SA"/>
              </w:rPr>
            </w:pPr>
            <w:r>
              <w:rPr>
                <w:rFonts w:hint="default" w:ascii="Times New Roman" w:hAnsi="Times New Roman" w:eastAsia="宋体" w:cs="Times New Roman"/>
                <w:b w:val="0"/>
                <w:sz w:val="20"/>
                <w:vertAlign w:val="baseline"/>
                <w:lang w:eastAsia="zh-CN"/>
              </w:rPr>
              <w:t>3.1</w:t>
            </w:r>
          </w:p>
        </w:tc>
        <w:tc>
          <w:tcPr>
            <w:tcW w:w="701" w:type="pct"/>
            <w:shd w:val="clear" w:color="auto" w:fill="auto"/>
            <w:noWrap w:val="0"/>
            <w:vAlign w:val="center"/>
          </w:tcPr>
          <w:p w14:paraId="7C0E4831">
            <w:pPr>
              <w:keepNext w:val="0"/>
              <w:keepLines w:val="0"/>
              <w:suppressLineNumbers w:val="0"/>
              <w:spacing w:before="0" w:beforeAutospacing="0" w:after="0" w:afterAutospacing="0"/>
              <w:ind w:left="0" w:right="0"/>
              <w:jc w:val="center"/>
              <w:rPr>
                <w:rFonts w:hint="eastAsia" w:ascii="宋体" w:hAnsi="宋体" w:eastAsia="宋体" w:cs="宋体"/>
                <w:b w:val="0"/>
                <w:color w:val="0000FF"/>
                <w:kern w:val="2"/>
                <w:sz w:val="21"/>
                <w:szCs w:val="21"/>
                <w:vertAlign w:val="baseline"/>
                <w:lang w:val="en-US" w:eastAsia="zh-CN" w:bidi="ar-SA"/>
              </w:rPr>
            </w:pPr>
            <w:r>
              <w:rPr>
                <w:rFonts w:hint="default" w:ascii="Times New Roman" w:hAnsi="Times New Roman" w:eastAsia="宋体" w:cs="Times New Roman"/>
                <w:b w:val="0"/>
                <w:sz w:val="20"/>
                <w:vertAlign w:val="baseline"/>
                <w:lang w:eastAsia="zh-CN"/>
              </w:rPr>
              <w:t>-7.9</w:t>
            </w:r>
          </w:p>
        </w:tc>
      </w:tr>
    </w:tbl>
    <w:p w14:paraId="4DB9951F">
      <w:pPr>
        <w:keepNext w:val="0"/>
        <w:keepLines w:val="0"/>
        <w:pageBreakBefore w:val="0"/>
        <w:widowControl w:val="0"/>
        <w:kinsoku/>
        <w:wordWrap/>
        <w:overflowPunct/>
        <w:topLinePunct w:val="0"/>
        <w:autoSpaceDE/>
        <w:autoSpaceDN/>
        <w:bidi w:val="0"/>
        <w:adjustRightInd/>
        <w:snapToGrid/>
        <w:ind w:firstLine="482" w:firstLineChars="200"/>
        <w:jc w:val="center"/>
        <w:textAlignment w:val="auto"/>
        <w:rPr>
          <w:rFonts w:hint="default" w:ascii="宋体" w:hAnsi="宋体" w:eastAsia="宋体" w:cs="宋体"/>
          <w:b/>
          <w:bCs/>
          <w:color w:val="auto"/>
          <w:sz w:val="24"/>
          <w:szCs w:val="24"/>
          <w:highlight w:val="none"/>
          <w:lang w:eastAsia="zh-CN"/>
        </w:rPr>
      </w:pPr>
    </w:p>
    <w:p w14:paraId="208D6377">
      <w:pPr>
        <w:keepNext w:val="0"/>
        <w:keepLines w:val="0"/>
        <w:pageBreakBefore w:val="0"/>
        <w:widowControl w:val="0"/>
        <w:kinsoku/>
        <w:wordWrap/>
        <w:overflowPunct/>
        <w:topLinePunct w:val="0"/>
        <w:autoSpaceDE/>
        <w:autoSpaceDN/>
        <w:bidi w:val="0"/>
        <w:adjustRightInd/>
        <w:snapToGrid/>
        <w:ind w:firstLine="482" w:firstLineChars="200"/>
        <w:jc w:val="center"/>
        <w:textAlignment w:val="auto"/>
        <w:rPr>
          <w:rFonts w:hint="default" w:ascii="宋体" w:hAnsi="宋体" w:eastAsia="宋体" w:cs="宋体"/>
          <w:b/>
          <w:bCs/>
          <w:color w:val="auto"/>
          <w:sz w:val="24"/>
          <w:szCs w:val="24"/>
          <w:highlight w:val="none"/>
          <w:lang w:eastAsia="zh-CN"/>
        </w:rPr>
      </w:pPr>
      <w:r>
        <w:rPr>
          <w:rFonts w:hint="default" w:ascii="宋体" w:hAnsi="宋体" w:eastAsia="宋体" w:cs="宋体"/>
          <w:b/>
          <w:bCs/>
          <w:color w:val="auto"/>
          <w:sz w:val="24"/>
          <w:szCs w:val="24"/>
          <w:highlight w:val="none"/>
          <w:lang w:eastAsia="zh-CN"/>
        </w:rPr>
        <w:t>表</w:t>
      </w:r>
      <w:r>
        <w:rPr>
          <w:rFonts w:hint="eastAsia" w:ascii="宋体" w:hAnsi="宋体" w:eastAsia="宋体" w:cs="宋体"/>
          <w:b/>
          <w:bCs/>
          <w:color w:val="auto"/>
          <w:sz w:val="24"/>
          <w:szCs w:val="24"/>
          <w:highlight w:val="none"/>
          <w:lang w:val="en-US" w:eastAsia="zh-CN"/>
        </w:rPr>
        <w:t>3.2-6   双回线路工频</w:t>
      </w:r>
      <w:r>
        <w:rPr>
          <w:rFonts w:hint="default" w:ascii="宋体" w:hAnsi="宋体" w:eastAsia="宋体" w:cs="宋体"/>
          <w:b/>
          <w:bCs/>
          <w:color w:val="auto"/>
          <w:sz w:val="24"/>
          <w:szCs w:val="24"/>
          <w:highlight w:val="none"/>
          <w:lang w:eastAsia="zh-CN"/>
        </w:rPr>
        <w:t>电场强度等值线数据表  单位：kV/m</w:t>
      </w:r>
    </w:p>
    <w:tbl>
      <w:tblPr>
        <w:tblStyle w:val="3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67"/>
        <w:gridCol w:w="2467"/>
        <w:gridCol w:w="2460"/>
        <w:gridCol w:w="2460"/>
      </w:tblGrid>
      <w:tr w14:paraId="404943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0" w:type="dxa"/>
            <w:gridSpan w:val="2"/>
            <w:tcBorders>
              <w:tl2br w:val="nil"/>
              <w:tr2bl w:val="nil"/>
            </w:tcBorders>
            <w:vAlign w:val="center"/>
          </w:tcPr>
          <w:p w14:paraId="37375153">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1"/>
                <w:szCs w:val="21"/>
                <w:vertAlign w:val="baseline"/>
                <w:lang w:eastAsia="zh-CN"/>
              </w:rPr>
            </w:pPr>
            <w:r>
              <w:rPr>
                <w:rFonts w:hint="default" w:ascii="Times New Roman" w:hAnsi="Times New Roman" w:eastAsia="宋体" w:cs="Times New Roman"/>
                <w:b/>
                <w:sz w:val="18"/>
                <w:vertAlign w:val="baseline"/>
                <w:lang w:eastAsia="zh-CN"/>
              </w:rPr>
              <w:t>左侧</w:t>
            </w:r>
          </w:p>
        </w:tc>
        <w:tc>
          <w:tcPr>
            <w:tcW w:w="4638" w:type="dxa"/>
            <w:gridSpan w:val="2"/>
            <w:tcBorders>
              <w:tl2br w:val="nil"/>
              <w:tr2bl w:val="nil"/>
            </w:tcBorders>
            <w:vAlign w:val="center"/>
          </w:tcPr>
          <w:p w14:paraId="6EE4621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sz w:val="21"/>
                <w:szCs w:val="21"/>
                <w:vertAlign w:val="baseline"/>
                <w:lang w:eastAsia="zh-CN"/>
              </w:rPr>
            </w:pPr>
            <w:r>
              <w:rPr>
                <w:rFonts w:hint="default" w:ascii="Times New Roman" w:hAnsi="Times New Roman" w:eastAsia="宋体" w:cs="Times New Roman"/>
                <w:b/>
                <w:sz w:val="18"/>
                <w:vertAlign w:val="baseline"/>
                <w:lang w:eastAsia="zh-CN"/>
              </w:rPr>
              <w:t>右侧</w:t>
            </w:r>
          </w:p>
        </w:tc>
      </w:tr>
      <w:tr w14:paraId="376128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5" w:type="dxa"/>
            <w:tcBorders>
              <w:tl2br w:val="nil"/>
              <w:tr2bl w:val="nil"/>
            </w:tcBorders>
            <w:vAlign w:val="center"/>
          </w:tcPr>
          <w:p w14:paraId="5CF07934">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1"/>
                <w:szCs w:val="21"/>
                <w:vertAlign w:val="baseline"/>
                <w:lang w:eastAsia="zh-CN"/>
              </w:rPr>
            </w:pPr>
            <w:r>
              <w:rPr>
                <w:rFonts w:hint="default" w:ascii="Times New Roman" w:hAnsi="Times New Roman" w:eastAsia="宋体" w:cs="Times New Roman"/>
                <w:b/>
                <w:sz w:val="20"/>
                <w:vertAlign w:val="baseline"/>
                <w:lang w:eastAsia="zh-CN"/>
              </w:rPr>
              <w:t>导线对地最小线高</w:t>
            </w:r>
            <w:r>
              <w:rPr>
                <w:rFonts w:hint="eastAsia" w:cs="Times New Roman"/>
                <w:b/>
                <w:sz w:val="20"/>
                <w:vertAlign w:val="baseline"/>
                <w:lang w:eastAsia="zh-CN"/>
              </w:rPr>
              <w:t>（</w:t>
            </w:r>
            <w:r>
              <w:rPr>
                <w:rFonts w:hint="default" w:ascii="Times New Roman" w:hAnsi="Times New Roman" w:eastAsia="宋体" w:cs="Times New Roman"/>
                <w:b/>
                <w:sz w:val="20"/>
                <w:vertAlign w:val="baseline"/>
                <w:lang w:eastAsia="zh-CN"/>
              </w:rPr>
              <w:t>m</w:t>
            </w:r>
            <w:r>
              <w:rPr>
                <w:rFonts w:hint="eastAsia" w:cs="Times New Roman"/>
                <w:b/>
                <w:sz w:val="20"/>
                <w:vertAlign w:val="baseline"/>
                <w:lang w:eastAsia="zh-CN"/>
              </w:rPr>
              <w:t>）</w:t>
            </w:r>
          </w:p>
        </w:tc>
        <w:tc>
          <w:tcPr>
            <w:tcW w:w="2325" w:type="dxa"/>
            <w:tcBorders>
              <w:tl2br w:val="nil"/>
              <w:tr2bl w:val="nil"/>
            </w:tcBorders>
            <w:vAlign w:val="center"/>
          </w:tcPr>
          <w:p w14:paraId="1B4C64A4">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1"/>
                <w:szCs w:val="21"/>
                <w:vertAlign w:val="baseline"/>
                <w:lang w:eastAsia="zh-CN"/>
              </w:rPr>
            </w:pPr>
            <w:r>
              <w:rPr>
                <w:rFonts w:hint="default" w:ascii="Times New Roman" w:hAnsi="Times New Roman" w:eastAsia="宋体" w:cs="Times New Roman"/>
                <w:b/>
                <w:sz w:val="20"/>
                <w:vertAlign w:val="baseline"/>
                <w:lang w:eastAsia="zh-CN"/>
              </w:rPr>
              <w:t>距线路走廊中心距离</w:t>
            </w:r>
            <w:r>
              <w:rPr>
                <w:rFonts w:hint="eastAsia" w:cs="Times New Roman"/>
                <w:b/>
                <w:sz w:val="20"/>
                <w:vertAlign w:val="baseline"/>
                <w:lang w:eastAsia="zh-CN"/>
              </w:rPr>
              <w:t>（</w:t>
            </w:r>
            <w:r>
              <w:rPr>
                <w:rFonts w:hint="default" w:ascii="Times New Roman" w:hAnsi="Times New Roman" w:eastAsia="宋体" w:cs="Times New Roman"/>
                <w:b/>
                <w:sz w:val="20"/>
                <w:vertAlign w:val="baseline"/>
                <w:lang w:eastAsia="zh-CN"/>
              </w:rPr>
              <w:t>m</w:t>
            </w:r>
            <w:r>
              <w:rPr>
                <w:rFonts w:hint="eastAsia" w:cs="Times New Roman"/>
                <w:b/>
                <w:sz w:val="20"/>
                <w:vertAlign w:val="baseline"/>
                <w:lang w:eastAsia="zh-CN"/>
              </w:rPr>
              <w:t>）</w:t>
            </w:r>
          </w:p>
        </w:tc>
        <w:tc>
          <w:tcPr>
            <w:tcW w:w="2319" w:type="dxa"/>
            <w:tcBorders>
              <w:tl2br w:val="nil"/>
              <w:tr2bl w:val="nil"/>
            </w:tcBorders>
            <w:vAlign w:val="center"/>
          </w:tcPr>
          <w:p w14:paraId="0469CA6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sz w:val="21"/>
                <w:szCs w:val="21"/>
                <w:vertAlign w:val="baseline"/>
                <w:lang w:eastAsia="zh-CN"/>
              </w:rPr>
            </w:pPr>
            <w:r>
              <w:rPr>
                <w:rFonts w:hint="default" w:ascii="Times New Roman" w:hAnsi="Times New Roman" w:eastAsia="宋体" w:cs="Times New Roman"/>
                <w:b/>
                <w:sz w:val="20"/>
                <w:vertAlign w:val="baseline"/>
                <w:lang w:eastAsia="zh-CN"/>
              </w:rPr>
              <w:t>导线对地最小线高</w:t>
            </w:r>
            <w:r>
              <w:rPr>
                <w:rFonts w:hint="eastAsia" w:cs="Times New Roman"/>
                <w:b/>
                <w:sz w:val="20"/>
                <w:vertAlign w:val="baseline"/>
                <w:lang w:eastAsia="zh-CN"/>
              </w:rPr>
              <w:t>（</w:t>
            </w:r>
            <w:r>
              <w:rPr>
                <w:rFonts w:hint="default" w:ascii="Times New Roman" w:hAnsi="Times New Roman" w:eastAsia="宋体" w:cs="Times New Roman"/>
                <w:b/>
                <w:sz w:val="20"/>
                <w:vertAlign w:val="baseline"/>
                <w:lang w:eastAsia="zh-CN"/>
              </w:rPr>
              <w:t>m</w:t>
            </w:r>
            <w:r>
              <w:rPr>
                <w:rFonts w:hint="eastAsia" w:cs="Times New Roman"/>
                <w:b/>
                <w:sz w:val="20"/>
                <w:vertAlign w:val="baseline"/>
                <w:lang w:eastAsia="zh-CN"/>
              </w:rPr>
              <w:t>）</w:t>
            </w:r>
          </w:p>
        </w:tc>
        <w:tc>
          <w:tcPr>
            <w:tcW w:w="2319" w:type="dxa"/>
            <w:tcBorders>
              <w:tl2br w:val="nil"/>
              <w:tr2bl w:val="nil"/>
            </w:tcBorders>
            <w:vAlign w:val="center"/>
          </w:tcPr>
          <w:p w14:paraId="3B5EC96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sz w:val="21"/>
                <w:szCs w:val="21"/>
                <w:vertAlign w:val="baseline"/>
                <w:lang w:eastAsia="zh-CN"/>
              </w:rPr>
            </w:pPr>
            <w:r>
              <w:rPr>
                <w:rFonts w:hint="default" w:ascii="Times New Roman" w:hAnsi="Times New Roman" w:eastAsia="宋体" w:cs="Times New Roman"/>
                <w:b/>
                <w:sz w:val="20"/>
                <w:vertAlign w:val="baseline"/>
                <w:lang w:eastAsia="zh-CN"/>
              </w:rPr>
              <w:t>距线路走廊中心距离</w:t>
            </w:r>
            <w:r>
              <w:rPr>
                <w:rFonts w:hint="eastAsia" w:cs="Times New Roman"/>
                <w:b/>
                <w:sz w:val="20"/>
                <w:vertAlign w:val="baseline"/>
                <w:lang w:eastAsia="zh-CN"/>
              </w:rPr>
              <w:t>（</w:t>
            </w:r>
            <w:r>
              <w:rPr>
                <w:rFonts w:hint="default" w:ascii="Times New Roman" w:hAnsi="Times New Roman" w:eastAsia="宋体" w:cs="Times New Roman"/>
                <w:b/>
                <w:sz w:val="20"/>
                <w:vertAlign w:val="baseline"/>
                <w:lang w:eastAsia="zh-CN"/>
              </w:rPr>
              <w:t>m</w:t>
            </w:r>
            <w:r>
              <w:rPr>
                <w:rFonts w:hint="eastAsia" w:cs="Times New Roman"/>
                <w:b/>
                <w:sz w:val="20"/>
                <w:vertAlign w:val="baseline"/>
                <w:lang w:eastAsia="zh-CN"/>
              </w:rPr>
              <w:t>）</w:t>
            </w:r>
          </w:p>
        </w:tc>
      </w:tr>
      <w:tr w14:paraId="3B4608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5" w:type="dxa"/>
            <w:tcBorders>
              <w:tl2br w:val="nil"/>
              <w:tr2bl w:val="nil"/>
            </w:tcBorders>
            <w:vAlign w:val="center"/>
          </w:tcPr>
          <w:p w14:paraId="31B5147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sz w:val="21"/>
                <w:szCs w:val="21"/>
                <w:vertAlign w:val="baseline"/>
                <w:lang w:eastAsia="zh-CN"/>
              </w:rPr>
            </w:pPr>
            <w:r>
              <w:rPr>
                <w:rFonts w:hint="default" w:ascii="Times New Roman" w:hAnsi="Times New Roman" w:eastAsia="宋体" w:cs="Times New Roman"/>
                <w:b w:val="0"/>
                <w:sz w:val="20"/>
                <w:vertAlign w:val="baseline"/>
                <w:lang w:eastAsia="zh-CN"/>
              </w:rPr>
              <w:t>10.5</w:t>
            </w:r>
          </w:p>
        </w:tc>
        <w:tc>
          <w:tcPr>
            <w:tcW w:w="2325" w:type="dxa"/>
            <w:tcBorders>
              <w:tl2br w:val="nil"/>
              <w:tr2bl w:val="nil"/>
            </w:tcBorders>
            <w:vAlign w:val="center"/>
          </w:tcPr>
          <w:p w14:paraId="22E9D96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sz w:val="21"/>
                <w:szCs w:val="21"/>
                <w:vertAlign w:val="baseline"/>
                <w:lang w:eastAsia="zh-CN"/>
              </w:rPr>
            </w:pPr>
            <w:r>
              <w:rPr>
                <w:rFonts w:hint="default" w:ascii="Times New Roman" w:hAnsi="Times New Roman" w:eastAsia="宋体" w:cs="Times New Roman"/>
                <w:b w:val="0"/>
                <w:sz w:val="20"/>
                <w:vertAlign w:val="baseline"/>
                <w:lang w:eastAsia="zh-CN"/>
              </w:rPr>
              <w:t>-4.40</w:t>
            </w:r>
          </w:p>
        </w:tc>
        <w:tc>
          <w:tcPr>
            <w:tcW w:w="2319" w:type="dxa"/>
            <w:tcBorders>
              <w:tl2br w:val="nil"/>
              <w:tr2bl w:val="nil"/>
            </w:tcBorders>
            <w:vAlign w:val="center"/>
          </w:tcPr>
          <w:p w14:paraId="33127C8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sz w:val="21"/>
                <w:szCs w:val="21"/>
                <w:vertAlign w:val="baseline"/>
                <w:lang w:eastAsia="zh-CN"/>
              </w:rPr>
            </w:pPr>
            <w:r>
              <w:rPr>
                <w:rFonts w:hint="default" w:ascii="Times New Roman" w:hAnsi="Times New Roman" w:eastAsia="宋体" w:cs="Times New Roman"/>
                <w:b w:val="0"/>
                <w:sz w:val="20"/>
                <w:vertAlign w:val="baseline"/>
                <w:lang w:eastAsia="zh-CN"/>
              </w:rPr>
              <w:t>10.5</w:t>
            </w:r>
          </w:p>
        </w:tc>
        <w:tc>
          <w:tcPr>
            <w:tcW w:w="2319" w:type="dxa"/>
            <w:tcBorders>
              <w:tl2br w:val="nil"/>
              <w:tr2bl w:val="nil"/>
            </w:tcBorders>
            <w:vAlign w:val="center"/>
          </w:tcPr>
          <w:p w14:paraId="28342EB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sz w:val="21"/>
                <w:szCs w:val="21"/>
                <w:vertAlign w:val="baseline"/>
                <w:lang w:eastAsia="zh-CN"/>
              </w:rPr>
            </w:pPr>
            <w:r>
              <w:rPr>
                <w:rFonts w:hint="default" w:ascii="Times New Roman" w:hAnsi="Times New Roman" w:eastAsia="宋体" w:cs="Times New Roman"/>
                <w:b w:val="0"/>
                <w:sz w:val="20"/>
                <w:vertAlign w:val="baseline"/>
                <w:lang w:eastAsia="zh-CN"/>
              </w:rPr>
              <w:t>3.20</w:t>
            </w:r>
          </w:p>
        </w:tc>
      </w:tr>
      <w:tr w14:paraId="310D12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5" w:type="dxa"/>
            <w:tcBorders>
              <w:tl2br w:val="nil"/>
              <w:tr2bl w:val="nil"/>
            </w:tcBorders>
            <w:vAlign w:val="center"/>
          </w:tcPr>
          <w:p w14:paraId="0AB167C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sz w:val="21"/>
                <w:szCs w:val="21"/>
                <w:vertAlign w:val="baseline"/>
                <w:lang w:eastAsia="zh-CN"/>
              </w:rPr>
            </w:pPr>
            <w:r>
              <w:rPr>
                <w:rFonts w:hint="default" w:ascii="Times New Roman" w:hAnsi="Times New Roman" w:eastAsia="宋体" w:cs="Times New Roman"/>
                <w:b w:val="0"/>
                <w:sz w:val="20"/>
                <w:vertAlign w:val="baseline"/>
                <w:lang w:eastAsia="zh-CN"/>
              </w:rPr>
              <w:t>10.5</w:t>
            </w:r>
          </w:p>
        </w:tc>
        <w:tc>
          <w:tcPr>
            <w:tcW w:w="2325" w:type="dxa"/>
            <w:tcBorders>
              <w:tl2br w:val="nil"/>
              <w:tr2bl w:val="nil"/>
            </w:tcBorders>
            <w:vAlign w:val="center"/>
          </w:tcPr>
          <w:p w14:paraId="55AD833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sz w:val="21"/>
                <w:szCs w:val="21"/>
                <w:vertAlign w:val="baseline"/>
                <w:lang w:eastAsia="zh-CN"/>
              </w:rPr>
            </w:pPr>
            <w:r>
              <w:rPr>
                <w:rFonts w:hint="default" w:ascii="Times New Roman" w:hAnsi="Times New Roman" w:eastAsia="宋体" w:cs="Times New Roman"/>
                <w:b w:val="0"/>
                <w:sz w:val="20"/>
                <w:vertAlign w:val="baseline"/>
                <w:lang w:eastAsia="zh-CN"/>
              </w:rPr>
              <w:t>-5.40</w:t>
            </w:r>
          </w:p>
        </w:tc>
        <w:tc>
          <w:tcPr>
            <w:tcW w:w="2319" w:type="dxa"/>
            <w:tcBorders>
              <w:tl2br w:val="nil"/>
              <w:tr2bl w:val="nil"/>
            </w:tcBorders>
            <w:vAlign w:val="center"/>
          </w:tcPr>
          <w:p w14:paraId="00F95F0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sz w:val="21"/>
                <w:szCs w:val="21"/>
                <w:vertAlign w:val="baseline"/>
                <w:lang w:eastAsia="zh-CN"/>
              </w:rPr>
            </w:pPr>
            <w:r>
              <w:rPr>
                <w:rFonts w:hint="default" w:ascii="Times New Roman" w:hAnsi="Times New Roman" w:eastAsia="宋体" w:cs="Times New Roman"/>
                <w:b w:val="0"/>
                <w:sz w:val="20"/>
                <w:vertAlign w:val="baseline"/>
                <w:lang w:eastAsia="zh-CN"/>
              </w:rPr>
              <w:t>10.5</w:t>
            </w:r>
          </w:p>
        </w:tc>
        <w:tc>
          <w:tcPr>
            <w:tcW w:w="2319" w:type="dxa"/>
            <w:tcBorders>
              <w:tl2br w:val="nil"/>
              <w:tr2bl w:val="nil"/>
            </w:tcBorders>
            <w:vAlign w:val="center"/>
          </w:tcPr>
          <w:p w14:paraId="26D2044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sz w:val="21"/>
                <w:szCs w:val="21"/>
                <w:vertAlign w:val="baseline"/>
                <w:lang w:eastAsia="zh-CN"/>
              </w:rPr>
            </w:pPr>
            <w:r>
              <w:rPr>
                <w:rFonts w:hint="default" w:ascii="Times New Roman" w:hAnsi="Times New Roman" w:eastAsia="宋体" w:cs="Times New Roman"/>
                <w:b w:val="0"/>
                <w:sz w:val="20"/>
                <w:vertAlign w:val="baseline"/>
                <w:lang w:eastAsia="zh-CN"/>
              </w:rPr>
              <w:t>4.03</w:t>
            </w:r>
          </w:p>
        </w:tc>
      </w:tr>
      <w:tr w14:paraId="496AA1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5" w:type="dxa"/>
            <w:tcBorders>
              <w:tl2br w:val="nil"/>
              <w:tr2bl w:val="nil"/>
            </w:tcBorders>
            <w:vAlign w:val="center"/>
          </w:tcPr>
          <w:p w14:paraId="5D88211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sz w:val="21"/>
                <w:szCs w:val="21"/>
                <w:vertAlign w:val="baseline"/>
                <w:lang w:eastAsia="zh-CN"/>
              </w:rPr>
            </w:pPr>
            <w:r>
              <w:rPr>
                <w:rFonts w:hint="default" w:ascii="Times New Roman" w:hAnsi="Times New Roman" w:eastAsia="宋体" w:cs="Times New Roman"/>
                <w:b w:val="0"/>
                <w:sz w:val="20"/>
                <w:vertAlign w:val="baseline"/>
                <w:lang w:eastAsia="zh-CN"/>
              </w:rPr>
              <w:t>9.5</w:t>
            </w:r>
          </w:p>
        </w:tc>
        <w:tc>
          <w:tcPr>
            <w:tcW w:w="2325" w:type="dxa"/>
            <w:tcBorders>
              <w:tl2br w:val="nil"/>
              <w:tr2bl w:val="nil"/>
            </w:tcBorders>
            <w:vAlign w:val="center"/>
          </w:tcPr>
          <w:p w14:paraId="7059222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sz w:val="21"/>
                <w:szCs w:val="21"/>
                <w:vertAlign w:val="baseline"/>
                <w:lang w:eastAsia="zh-CN"/>
              </w:rPr>
            </w:pPr>
            <w:r>
              <w:rPr>
                <w:rFonts w:hint="default" w:ascii="Times New Roman" w:hAnsi="Times New Roman" w:eastAsia="宋体" w:cs="Times New Roman"/>
                <w:b w:val="0"/>
                <w:sz w:val="20"/>
                <w:vertAlign w:val="baseline"/>
                <w:lang w:eastAsia="zh-CN"/>
              </w:rPr>
              <w:t>-8.50</w:t>
            </w:r>
          </w:p>
        </w:tc>
        <w:tc>
          <w:tcPr>
            <w:tcW w:w="2319" w:type="dxa"/>
            <w:tcBorders>
              <w:tl2br w:val="nil"/>
              <w:tr2bl w:val="nil"/>
            </w:tcBorders>
            <w:vAlign w:val="center"/>
          </w:tcPr>
          <w:p w14:paraId="00CFE20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sz w:val="21"/>
                <w:szCs w:val="21"/>
                <w:vertAlign w:val="baseline"/>
                <w:lang w:eastAsia="zh-CN"/>
              </w:rPr>
            </w:pPr>
            <w:r>
              <w:rPr>
                <w:rFonts w:hint="default" w:ascii="Times New Roman" w:hAnsi="Times New Roman" w:eastAsia="宋体" w:cs="Times New Roman"/>
                <w:b w:val="0"/>
                <w:sz w:val="20"/>
                <w:vertAlign w:val="baseline"/>
                <w:lang w:eastAsia="zh-CN"/>
              </w:rPr>
              <w:t>9.5</w:t>
            </w:r>
          </w:p>
        </w:tc>
        <w:tc>
          <w:tcPr>
            <w:tcW w:w="2319" w:type="dxa"/>
            <w:tcBorders>
              <w:tl2br w:val="nil"/>
              <w:tr2bl w:val="nil"/>
            </w:tcBorders>
            <w:vAlign w:val="center"/>
          </w:tcPr>
          <w:p w14:paraId="1C1A9EF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sz w:val="21"/>
                <w:szCs w:val="21"/>
                <w:vertAlign w:val="baseline"/>
                <w:lang w:eastAsia="zh-CN"/>
              </w:rPr>
            </w:pPr>
            <w:r>
              <w:rPr>
                <w:rFonts w:hint="default" w:ascii="Times New Roman" w:hAnsi="Times New Roman" w:eastAsia="宋体" w:cs="Times New Roman"/>
                <w:b w:val="0"/>
                <w:sz w:val="20"/>
                <w:vertAlign w:val="baseline"/>
                <w:lang w:eastAsia="zh-CN"/>
              </w:rPr>
              <w:t>7.18</w:t>
            </w:r>
          </w:p>
        </w:tc>
      </w:tr>
      <w:tr w14:paraId="4A2C32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5" w:type="dxa"/>
            <w:tcBorders>
              <w:tl2br w:val="nil"/>
              <w:tr2bl w:val="nil"/>
            </w:tcBorders>
            <w:vAlign w:val="center"/>
          </w:tcPr>
          <w:p w14:paraId="2E8D72D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sz w:val="21"/>
                <w:szCs w:val="21"/>
                <w:vertAlign w:val="baseline"/>
                <w:lang w:eastAsia="zh-CN"/>
              </w:rPr>
            </w:pPr>
            <w:r>
              <w:rPr>
                <w:rFonts w:hint="default" w:ascii="Times New Roman" w:hAnsi="Times New Roman" w:eastAsia="宋体" w:cs="Times New Roman"/>
                <w:b w:val="0"/>
                <w:sz w:val="20"/>
                <w:vertAlign w:val="baseline"/>
                <w:lang w:eastAsia="zh-CN"/>
              </w:rPr>
              <w:t>8.5</w:t>
            </w:r>
          </w:p>
        </w:tc>
        <w:tc>
          <w:tcPr>
            <w:tcW w:w="2325" w:type="dxa"/>
            <w:tcBorders>
              <w:tl2br w:val="nil"/>
              <w:tr2bl w:val="nil"/>
            </w:tcBorders>
            <w:vAlign w:val="center"/>
          </w:tcPr>
          <w:p w14:paraId="15D3D5D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sz w:val="21"/>
                <w:szCs w:val="21"/>
                <w:vertAlign w:val="baseline"/>
                <w:lang w:eastAsia="zh-CN"/>
              </w:rPr>
            </w:pPr>
            <w:r>
              <w:rPr>
                <w:rFonts w:hint="default" w:ascii="Times New Roman" w:hAnsi="Times New Roman" w:eastAsia="宋体" w:cs="Times New Roman"/>
                <w:b w:val="0"/>
                <w:sz w:val="20"/>
                <w:vertAlign w:val="baseline"/>
                <w:lang w:eastAsia="zh-CN"/>
              </w:rPr>
              <w:t>-9.76</w:t>
            </w:r>
          </w:p>
        </w:tc>
        <w:tc>
          <w:tcPr>
            <w:tcW w:w="2319" w:type="dxa"/>
            <w:tcBorders>
              <w:tl2br w:val="nil"/>
              <w:tr2bl w:val="nil"/>
            </w:tcBorders>
            <w:vAlign w:val="center"/>
          </w:tcPr>
          <w:p w14:paraId="40FBFFF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sz w:val="21"/>
                <w:szCs w:val="21"/>
                <w:vertAlign w:val="baseline"/>
                <w:lang w:eastAsia="zh-CN"/>
              </w:rPr>
            </w:pPr>
            <w:r>
              <w:rPr>
                <w:rFonts w:hint="default" w:ascii="Times New Roman" w:hAnsi="Times New Roman" w:eastAsia="宋体" w:cs="Times New Roman"/>
                <w:b w:val="0"/>
                <w:sz w:val="20"/>
                <w:vertAlign w:val="baseline"/>
                <w:lang w:eastAsia="zh-CN"/>
              </w:rPr>
              <w:t>8.5</w:t>
            </w:r>
          </w:p>
        </w:tc>
        <w:tc>
          <w:tcPr>
            <w:tcW w:w="2319" w:type="dxa"/>
            <w:tcBorders>
              <w:tl2br w:val="nil"/>
              <w:tr2bl w:val="nil"/>
            </w:tcBorders>
            <w:vAlign w:val="center"/>
          </w:tcPr>
          <w:p w14:paraId="74C9D23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sz w:val="21"/>
                <w:szCs w:val="21"/>
                <w:vertAlign w:val="baseline"/>
                <w:lang w:eastAsia="zh-CN"/>
              </w:rPr>
            </w:pPr>
            <w:r>
              <w:rPr>
                <w:rFonts w:hint="default" w:ascii="Times New Roman" w:hAnsi="Times New Roman" w:eastAsia="宋体" w:cs="Times New Roman"/>
                <w:b w:val="0"/>
                <w:sz w:val="20"/>
                <w:vertAlign w:val="baseline"/>
                <w:lang w:eastAsia="zh-CN"/>
              </w:rPr>
              <w:t>8.44</w:t>
            </w:r>
          </w:p>
        </w:tc>
      </w:tr>
    </w:tbl>
    <w:p w14:paraId="4F570DEF">
      <w:pPr>
        <w:keepNext w:val="0"/>
        <w:keepLines w:val="0"/>
        <w:pageBreakBefore w:val="0"/>
        <w:widowControl w:val="0"/>
        <w:kinsoku/>
        <w:wordWrap/>
        <w:overflowPunct/>
        <w:topLinePunct w:val="0"/>
        <w:autoSpaceDE/>
        <w:autoSpaceDN/>
        <w:bidi w:val="0"/>
        <w:adjustRightInd/>
        <w:snapToGrid/>
        <w:spacing w:before="313" w:beforeLines="100" w:line="240" w:lineRule="auto"/>
        <w:jc w:val="center"/>
        <w:textAlignment w:val="auto"/>
        <w:rPr>
          <w:rFonts w:ascii="Calibri" w:hAnsi="Calibri" w:eastAsia="宋体" w:cs="Calibri"/>
          <w:color w:val="0000FF"/>
          <w:szCs w:val="21"/>
          <w:highlight w:val="none"/>
        </w:rPr>
      </w:pPr>
      <w:r>
        <w:rPr>
          <w:rFonts w:hint="default" w:ascii="Times New Roman" w:hAnsi="Times New Roman" w:eastAsia="宋体" w:cs="Times New Roman"/>
          <w:b w:val="0"/>
          <w:sz w:val="24"/>
          <w:lang w:eastAsia="zh-CN"/>
        </w:rPr>
        <w:drawing>
          <wp:inline distT="0" distB="0" distL="114300" distR="114300">
            <wp:extent cx="5270500" cy="3503295"/>
            <wp:effectExtent l="0" t="0" r="6350" b="1905"/>
            <wp:docPr id="55" name="图片 55" descr="Graph_DifLowH_elecIntensity"/>
            <wp:cNvGraphicFramePr/>
            <a:graphic xmlns:a="http://schemas.openxmlformats.org/drawingml/2006/main">
              <a:graphicData uri="http://schemas.openxmlformats.org/drawingml/2006/picture">
                <pic:pic xmlns:pic="http://schemas.openxmlformats.org/drawingml/2006/picture">
                  <pic:nvPicPr>
                    <pic:cNvPr id="55" name="图片 55" descr="Graph_DifLowH_elecIntensity"/>
                    <pic:cNvPicPr/>
                  </pic:nvPicPr>
                  <pic:blipFill>
                    <a:blip r:embed="rId79"/>
                    <a:stretch>
                      <a:fillRect/>
                    </a:stretch>
                  </pic:blipFill>
                  <pic:spPr>
                    <a:xfrm>
                      <a:off x="0" y="0"/>
                      <a:ext cx="5270500" cy="3503295"/>
                    </a:xfrm>
                    <a:prstGeom prst="rect">
                      <a:avLst/>
                    </a:prstGeom>
                  </pic:spPr>
                </pic:pic>
              </a:graphicData>
            </a:graphic>
          </wp:inline>
        </w:drawing>
      </w:r>
    </w:p>
    <w:p w14:paraId="7B81AFEB">
      <w:pPr>
        <w:spacing w:line="360" w:lineRule="auto"/>
        <w:jc w:val="center"/>
        <w:rPr>
          <w:rFonts w:hint="eastAsia" w:ascii="宋体" w:hAnsi="宋体" w:eastAsia="宋体" w:cs="Calibri"/>
          <w:b/>
          <w:color w:val="auto"/>
          <w:sz w:val="24"/>
          <w:szCs w:val="21"/>
          <w:highlight w:val="none"/>
        </w:rPr>
      </w:pPr>
      <w:r>
        <w:rPr>
          <w:rFonts w:hint="eastAsia" w:ascii="宋体" w:hAnsi="宋体" w:eastAsia="宋体" w:cs="Calibri"/>
          <w:b/>
          <w:color w:val="auto"/>
          <w:sz w:val="24"/>
          <w:szCs w:val="21"/>
          <w:highlight w:val="none"/>
        </w:rPr>
        <w:t>图3-</w:t>
      </w:r>
      <w:r>
        <w:rPr>
          <w:rFonts w:hint="eastAsia" w:ascii="宋体" w:hAnsi="宋体" w:eastAsia="宋体" w:cs="Calibri"/>
          <w:b/>
          <w:color w:val="auto"/>
          <w:sz w:val="24"/>
          <w:szCs w:val="21"/>
          <w:highlight w:val="none"/>
          <w:lang w:val="en-US" w:eastAsia="zh-CN"/>
        </w:rPr>
        <w:t>10</w:t>
      </w:r>
      <w:r>
        <w:rPr>
          <w:rFonts w:hint="eastAsia" w:ascii="宋体" w:hAnsi="宋体" w:cs="Calibri"/>
          <w:b/>
          <w:color w:val="auto"/>
          <w:sz w:val="24"/>
          <w:szCs w:val="21"/>
          <w:highlight w:val="none"/>
          <w:lang w:val="en-US" w:eastAsia="zh-CN"/>
        </w:rPr>
        <w:t xml:space="preserve">    </w:t>
      </w:r>
      <w:r>
        <w:rPr>
          <w:rFonts w:hint="eastAsia" w:ascii="宋体" w:hAnsi="宋体" w:eastAsia="宋体" w:cs="Calibri"/>
          <w:b/>
          <w:color w:val="auto"/>
          <w:sz w:val="24"/>
          <w:szCs w:val="21"/>
          <w:highlight w:val="none"/>
          <w:lang w:val="en-US" w:eastAsia="zh-CN"/>
        </w:rPr>
        <w:t>220kV双回路</w:t>
      </w:r>
      <w:r>
        <w:rPr>
          <w:rFonts w:hint="eastAsia" w:ascii="宋体" w:hAnsi="宋体" w:eastAsia="宋体" w:cs="Calibri"/>
          <w:b/>
          <w:bCs/>
          <w:color w:val="auto"/>
          <w:sz w:val="24"/>
          <w:szCs w:val="21"/>
          <w:highlight w:val="none"/>
        </w:rPr>
        <w:t>线路工频电场强度预测分布曲线</w:t>
      </w:r>
    </w:p>
    <w:p w14:paraId="2D8A23B3">
      <w:pPr>
        <w:keepNext w:val="0"/>
        <w:keepLines w:val="0"/>
        <w:pageBreakBefore w:val="0"/>
        <w:widowControl w:val="0"/>
        <w:kinsoku/>
        <w:wordWrap/>
        <w:overflowPunct/>
        <w:topLinePunct w:val="0"/>
        <w:autoSpaceDE/>
        <w:autoSpaceDN/>
        <w:bidi w:val="0"/>
        <w:adjustRightInd/>
        <w:snapToGrid/>
        <w:spacing w:before="313" w:beforeLines="100" w:line="240" w:lineRule="auto"/>
        <w:jc w:val="center"/>
        <w:textAlignment w:val="auto"/>
        <w:rPr>
          <w:rFonts w:hint="eastAsia" w:ascii="宋体" w:hAnsi="宋体" w:eastAsia="宋体" w:cs="Calibri"/>
          <w:color w:val="0000FF"/>
          <w:sz w:val="24"/>
          <w:szCs w:val="21"/>
          <w:highlight w:val="none"/>
        </w:rPr>
      </w:pPr>
      <w:r>
        <w:rPr>
          <w:rFonts w:hint="default" w:ascii="Times New Roman" w:hAnsi="Times New Roman" w:eastAsia="宋体" w:cs="Times New Roman"/>
          <w:b w:val="0"/>
          <w:sz w:val="24"/>
          <w:lang w:eastAsia="zh-CN"/>
        </w:rPr>
        <w:drawing>
          <wp:inline distT="0" distB="0" distL="114300" distR="114300">
            <wp:extent cx="5270500" cy="3503295"/>
            <wp:effectExtent l="0" t="0" r="6350" b="1905"/>
            <wp:docPr id="57" name="图片 57" descr="Graph_DifLowH_magIntensity"/>
            <wp:cNvGraphicFramePr/>
            <a:graphic xmlns:a="http://schemas.openxmlformats.org/drawingml/2006/main">
              <a:graphicData uri="http://schemas.openxmlformats.org/drawingml/2006/picture">
                <pic:pic xmlns:pic="http://schemas.openxmlformats.org/drawingml/2006/picture">
                  <pic:nvPicPr>
                    <pic:cNvPr id="57" name="图片 57" descr="Graph_DifLowH_magIntensity"/>
                    <pic:cNvPicPr/>
                  </pic:nvPicPr>
                  <pic:blipFill>
                    <a:blip r:embed="rId80"/>
                    <a:stretch>
                      <a:fillRect/>
                    </a:stretch>
                  </pic:blipFill>
                  <pic:spPr>
                    <a:xfrm>
                      <a:off x="0" y="0"/>
                      <a:ext cx="5270500" cy="3503295"/>
                    </a:xfrm>
                    <a:prstGeom prst="rect">
                      <a:avLst/>
                    </a:prstGeom>
                  </pic:spPr>
                </pic:pic>
              </a:graphicData>
            </a:graphic>
          </wp:inline>
        </w:drawing>
      </w:r>
    </w:p>
    <w:p w14:paraId="259E6883">
      <w:pPr>
        <w:jc w:val="center"/>
        <w:rPr>
          <w:rFonts w:hint="eastAsia" w:ascii="宋体" w:hAnsi="宋体" w:eastAsia="宋体" w:cs="Calibri"/>
          <w:b/>
          <w:bCs/>
          <w:color w:val="auto"/>
          <w:sz w:val="24"/>
          <w:szCs w:val="21"/>
          <w:highlight w:val="none"/>
        </w:rPr>
      </w:pPr>
      <w:r>
        <w:rPr>
          <w:rFonts w:hint="eastAsia" w:ascii="宋体" w:hAnsi="宋体" w:eastAsia="宋体" w:cs="Calibri"/>
          <w:b/>
          <w:color w:val="auto"/>
          <w:sz w:val="24"/>
          <w:szCs w:val="21"/>
          <w:highlight w:val="none"/>
        </w:rPr>
        <w:t>图3</w:t>
      </w:r>
      <w:r>
        <w:rPr>
          <w:rFonts w:hint="eastAsia" w:ascii="宋体" w:hAnsi="宋体" w:eastAsia="宋体" w:cs="Calibri"/>
          <w:b/>
          <w:color w:val="auto"/>
          <w:sz w:val="24"/>
          <w:szCs w:val="21"/>
          <w:highlight w:val="none"/>
          <w:lang w:val="en-US" w:eastAsia="zh-CN"/>
        </w:rPr>
        <w:t>-11</w:t>
      </w:r>
      <w:r>
        <w:rPr>
          <w:rFonts w:hint="eastAsia" w:ascii="宋体" w:hAnsi="宋体" w:cs="Calibri"/>
          <w:b/>
          <w:color w:val="auto"/>
          <w:sz w:val="24"/>
          <w:szCs w:val="21"/>
          <w:highlight w:val="none"/>
          <w:lang w:val="en-US" w:eastAsia="zh-CN"/>
        </w:rPr>
        <w:t xml:space="preserve">    </w:t>
      </w:r>
      <w:r>
        <w:rPr>
          <w:rFonts w:hint="eastAsia" w:ascii="宋体" w:hAnsi="宋体" w:eastAsia="宋体" w:cs="Calibri"/>
          <w:b/>
          <w:bCs/>
          <w:color w:val="auto"/>
          <w:sz w:val="24"/>
          <w:szCs w:val="21"/>
          <w:highlight w:val="none"/>
          <w:lang w:val="en-US" w:eastAsia="zh-CN"/>
        </w:rPr>
        <w:t>220kV双回路</w:t>
      </w:r>
      <w:r>
        <w:rPr>
          <w:rFonts w:hint="eastAsia" w:ascii="宋体" w:hAnsi="宋体" w:eastAsia="宋体" w:cs="Calibri"/>
          <w:b/>
          <w:bCs/>
          <w:color w:val="auto"/>
          <w:sz w:val="24"/>
          <w:szCs w:val="21"/>
          <w:highlight w:val="none"/>
        </w:rPr>
        <w:t>线路工频磁感应强度预测分布曲线</w:t>
      </w:r>
    </w:p>
    <w:p w14:paraId="47D56B12">
      <w:pPr>
        <w:jc w:val="center"/>
        <w:rPr>
          <w:rFonts w:hint="eastAsia" w:ascii="宋体" w:hAnsi="宋体" w:eastAsia="宋体" w:cs="Calibri"/>
          <w:b/>
          <w:bCs/>
          <w:color w:val="auto"/>
          <w:sz w:val="24"/>
          <w:szCs w:val="21"/>
          <w:highlight w:val="none"/>
          <w:lang w:eastAsia="zh-CN"/>
        </w:rPr>
      </w:pPr>
    </w:p>
    <w:p w14:paraId="20A3459F">
      <w:pPr>
        <w:spacing w:line="360" w:lineRule="auto"/>
        <w:jc w:val="center"/>
        <w:rPr>
          <w:rFonts w:ascii="宋体" w:hAnsi="宋体" w:eastAsia="宋体" w:cs="Calibri"/>
          <w:color w:val="0000FF"/>
          <w:sz w:val="24"/>
          <w:szCs w:val="21"/>
          <w:highlight w:val="none"/>
        </w:rPr>
      </w:pPr>
      <w:r>
        <w:rPr>
          <w:rFonts w:hint="default" w:ascii="Times New Roman" w:hAnsi="Times New Roman" w:eastAsia="宋体" w:cs="Times New Roman"/>
          <w:b w:val="0"/>
          <w:sz w:val="24"/>
          <w:lang w:eastAsia="zh-CN"/>
        </w:rPr>
        <w:drawing>
          <wp:inline distT="0" distB="0" distL="114300" distR="114300">
            <wp:extent cx="5270500" cy="3503295"/>
            <wp:effectExtent l="0" t="0" r="6350" b="1905"/>
            <wp:docPr id="58" name="图片 58" descr="Graph_nkVIsoline"/>
            <wp:cNvGraphicFramePr/>
            <a:graphic xmlns:a="http://schemas.openxmlformats.org/drawingml/2006/main">
              <a:graphicData uri="http://schemas.openxmlformats.org/drawingml/2006/picture">
                <pic:pic xmlns:pic="http://schemas.openxmlformats.org/drawingml/2006/picture">
                  <pic:nvPicPr>
                    <pic:cNvPr id="58" name="图片 58" descr="Graph_nkVIsoline"/>
                    <pic:cNvPicPr/>
                  </pic:nvPicPr>
                  <pic:blipFill>
                    <a:blip r:embed="rId81"/>
                    <a:stretch>
                      <a:fillRect/>
                    </a:stretch>
                  </pic:blipFill>
                  <pic:spPr>
                    <a:xfrm>
                      <a:off x="0" y="0"/>
                      <a:ext cx="5270500" cy="3503295"/>
                    </a:xfrm>
                    <a:prstGeom prst="rect">
                      <a:avLst/>
                    </a:prstGeom>
                  </pic:spPr>
                </pic:pic>
              </a:graphicData>
            </a:graphic>
          </wp:inline>
        </w:drawing>
      </w:r>
    </w:p>
    <w:p w14:paraId="37A1350F">
      <w:pPr>
        <w:widowControl w:val="0"/>
        <w:jc w:val="center"/>
        <w:rPr>
          <w:rFonts w:hint="eastAsia" w:ascii="Arial" w:hAnsi="Arial" w:eastAsia="黑体" w:cs="Calibri"/>
          <w:b/>
          <w:color w:val="auto"/>
          <w:kern w:val="2"/>
          <w:sz w:val="28"/>
          <w:szCs w:val="21"/>
          <w:highlight w:val="none"/>
          <w:lang w:val="en-US" w:eastAsia="zh-CN" w:bidi="ar-SA"/>
        </w:rPr>
      </w:pPr>
      <w:r>
        <w:rPr>
          <w:rFonts w:hint="eastAsia" w:ascii="宋体" w:hAnsi="宋体" w:eastAsia="宋体" w:cs="宋体"/>
          <w:b/>
          <w:bCs w:val="0"/>
          <w:color w:val="auto"/>
          <w:sz w:val="24"/>
          <w:szCs w:val="21"/>
          <w:highlight w:val="none"/>
        </w:rPr>
        <w:t>图3-</w:t>
      </w:r>
      <w:r>
        <w:rPr>
          <w:rFonts w:hint="eastAsia" w:ascii="宋体" w:hAnsi="宋体" w:eastAsia="宋体" w:cs="宋体"/>
          <w:b/>
          <w:bCs w:val="0"/>
          <w:color w:val="auto"/>
          <w:sz w:val="24"/>
          <w:szCs w:val="21"/>
          <w:highlight w:val="none"/>
          <w:lang w:val="en-US" w:eastAsia="zh-CN"/>
        </w:rPr>
        <w:t>12</w:t>
      </w:r>
      <w:r>
        <w:rPr>
          <w:rFonts w:hint="eastAsia" w:ascii="宋体" w:hAnsi="宋体" w:cs="宋体"/>
          <w:b/>
          <w:bCs w:val="0"/>
          <w:color w:val="auto"/>
          <w:sz w:val="24"/>
          <w:szCs w:val="21"/>
          <w:highlight w:val="none"/>
          <w:lang w:val="en-US" w:eastAsia="zh-CN"/>
        </w:rPr>
        <w:t xml:space="preserve">    </w:t>
      </w:r>
      <w:r>
        <w:rPr>
          <w:rFonts w:hint="eastAsia" w:ascii="宋体" w:hAnsi="宋体" w:eastAsia="宋体" w:cs="Calibri"/>
          <w:b/>
          <w:color w:val="auto"/>
          <w:sz w:val="24"/>
          <w:szCs w:val="21"/>
          <w:highlight w:val="none"/>
        </w:rPr>
        <w:t>220kV</w:t>
      </w:r>
      <w:r>
        <w:rPr>
          <w:rFonts w:hint="eastAsia" w:ascii="宋体" w:hAnsi="宋体" w:eastAsia="宋体" w:cs="Calibri"/>
          <w:b/>
          <w:color w:val="auto"/>
          <w:sz w:val="24"/>
          <w:szCs w:val="21"/>
          <w:highlight w:val="none"/>
          <w:lang w:val="en-US" w:eastAsia="zh-CN"/>
        </w:rPr>
        <w:t>双回路</w:t>
      </w:r>
      <w:r>
        <w:rPr>
          <w:rFonts w:hint="eastAsia" w:ascii="宋体" w:hAnsi="宋体" w:eastAsia="宋体" w:cs="Calibri"/>
          <w:b/>
          <w:bCs/>
          <w:color w:val="auto"/>
          <w:sz w:val="24"/>
          <w:szCs w:val="21"/>
          <w:highlight w:val="none"/>
        </w:rPr>
        <w:t>线路</w:t>
      </w:r>
      <w:r>
        <w:rPr>
          <w:rFonts w:hint="eastAsia" w:ascii="宋体" w:hAnsi="宋体" w:cs="Calibri"/>
          <w:b/>
          <w:bCs/>
          <w:color w:val="auto"/>
          <w:sz w:val="24"/>
          <w:szCs w:val="21"/>
          <w:highlight w:val="none"/>
          <w:lang w:val="en-US" w:eastAsia="zh-CN"/>
        </w:rPr>
        <w:t>工频</w:t>
      </w:r>
      <w:r>
        <w:rPr>
          <w:rFonts w:hint="eastAsia" w:ascii="宋体" w:hAnsi="宋体" w:eastAsia="宋体" w:cs="Calibri"/>
          <w:b/>
          <w:bCs/>
          <w:color w:val="auto"/>
          <w:sz w:val="24"/>
          <w:szCs w:val="21"/>
          <w:highlight w:val="none"/>
        </w:rPr>
        <w:t>电场强度</w:t>
      </w:r>
      <w:r>
        <w:rPr>
          <w:rFonts w:hint="eastAsia" w:ascii="宋体" w:hAnsi="宋体" w:cs="Calibri"/>
          <w:b/>
          <w:bCs/>
          <w:color w:val="auto"/>
          <w:sz w:val="24"/>
          <w:szCs w:val="21"/>
          <w:highlight w:val="none"/>
          <w:lang w:val="en-US" w:eastAsia="zh-CN"/>
        </w:rPr>
        <w:t>4kV/m</w:t>
      </w:r>
      <w:r>
        <w:rPr>
          <w:rFonts w:hint="eastAsia" w:ascii="宋体" w:hAnsi="宋体" w:eastAsia="宋体" w:cs="Calibri"/>
          <w:b/>
          <w:bCs/>
          <w:color w:val="auto"/>
          <w:sz w:val="24"/>
          <w:szCs w:val="21"/>
          <w:highlight w:val="none"/>
        </w:rPr>
        <w:t>等值线图</w:t>
      </w:r>
    </w:p>
    <w:p w14:paraId="7D1AB093">
      <w:pPr>
        <w:keepNext w:val="0"/>
        <w:keepLines w:val="0"/>
        <w:pageBreakBefore w:val="0"/>
        <w:widowControl w:val="0"/>
        <w:kinsoku/>
        <w:wordWrap/>
        <w:overflowPunct/>
        <w:topLinePunct w:val="0"/>
        <w:autoSpaceDE/>
        <w:autoSpaceDN/>
        <w:bidi w:val="0"/>
        <w:adjustRightInd/>
        <w:snapToGrid w:val="0"/>
        <w:spacing w:before="313" w:beforeLines="100" w:line="360" w:lineRule="auto"/>
        <w:textAlignment w:val="auto"/>
        <w:outlineLvl w:val="2"/>
        <w:rPr>
          <w:rFonts w:hint="eastAsia" w:ascii="宋体" w:hAnsi="宋体" w:eastAsia="宋体" w:cs="宋体"/>
          <w:b/>
          <w:color w:val="auto"/>
          <w:kern w:val="15"/>
          <w:sz w:val="24"/>
          <w:szCs w:val="21"/>
          <w:highlight w:val="none"/>
        </w:rPr>
      </w:pPr>
      <w:bookmarkStart w:id="214" w:name="_Toc6680"/>
      <w:r>
        <w:rPr>
          <w:rFonts w:hint="eastAsia" w:ascii="宋体" w:hAnsi="宋体" w:eastAsia="宋体" w:cs="宋体"/>
          <w:b/>
          <w:color w:val="auto"/>
          <w:kern w:val="15"/>
          <w:sz w:val="24"/>
          <w:szCs w:val="21"/>
          <w:highlight w:val="none"/>
        </w:rPr>
        <w:t>3.</w:t>
      </w:r>
      <w:r>
        <w:rPr>
          <w:rFonts w:hint="eastAsia" w:ascii="宋体" w:hAnsi="宋体" w:eastAsia="宋体" w:cs="宋体"/>
          <w:b/>
          <w:color w:val="auto"/>
          <w:kern w:val="15"/>
          <w:sz w:val="24"/>
          <w:szCs w:val="21"/>
          <w:highlight w:val="none"/>
          <w:lang w:val="en-US" w:eastAsia="zh-CN"/>
        </w:rPr>
        <w:t>2</w:t>
      </w:r>
      <w:r>
        <w:rPr>
          <w:rFonts w:hint="eastAsia" w:ascii="宋体" w:hAnsi="宋体" w:eastAsia="宋体" w:cs="宋体"/>
          <w:b/>
          <w:color w:val="auto"/>
          <w:kern w:val="15"/>
          <w:sz w:val="24"/>
          <w:szCs w:val="21"/>
          <w:highlight w:val="none"/>
        </w:rPr>
        <w:t>.</w:t>
      </w:r>
      <w:r>
        <w:rPr>
          <w:rFonts w:hint="eastAsia" w:ascii="宋体" w:hAnsi="宋体" w:cs="宋体"/>
          <w:b/>
          <w:color w:val="auto"/>
          <w:kern w:val="15"/>
          <w:sz w:val="24"/>
          <w:szCs w:val="21"/>
          <w:highlight w:val="none"/>
          <w:lang w:val="en-US" w:eastAsia="zh-CN"/>
        </w:rPr>
        <w:t>4</w:t>
      </w:r>
      <w:r>
        <w:rPr>
          <w:rFonts w:hint="eastAsia" w:ascii="宋体" w:hAnsi="宋体" w:eastAsia="宋体" w:cs="宋体"/>
          <w:b/>
          <w:color w:val="auto"/>
          <w:kern w:val="15"/>
          <w:sz w:val="24"/>
          <w:szCs w:val="21"/>
          <w:highlight w:val="none"/>
        </w:rPr>
        <w:t>计算结果分析</w:t>
      </w:r>
      <w:bookmarkEnd w:id="214"/>
    </w:p>
    <w:p w14:paraId="54A19C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Calibri"/>
          <w:color w:val="auto"/>
          <w:sz w:val="24"/>
          <w:szCs w:val="21"/>
          <w:highlight w:val="none"/>
        </w:rPr>
      </w:pPr>
      <w:r>
        <w:rPr>
          <w:rFonts w:hint="eastAsia" w:ascii="宋体" w:hAnsi="宋体" w:eastAsia="宋体" w:cs="Calibri"/>
          <w:color w:val="auto"/>
          <w:sz w:val="24"/>
          <w:szCs w:val="21"/>
          <w:highlight w:val="none"/>
          <w:lang w:eastAsia="zh-CN"/>
        </w:rPr>
        <w:t>根据表</w:t>
      </w:r>
      <w:r>
        <w:rPr>
          <w:rFonts w:hint="eastAsia" w:ascii="宋体" w:hAnsi="宋体" w:eastAsia="宋体" w:cs="Calibri"/>
          <w:color w:val="auto"/>
          <w:sz w:val="24"/>
          <w:szCs w:val="21"/>
          <w:highlight w:val="none"/>
          <w:lang w:val="en-US" w:eastAsia="zh-CN"/>
        </w:rPr>
        <w:t>3-7、3-8</w:t>
      </w:r>
      <w:r>
        <w:rPr>
          <w:rFonts w:hint="eastAsia" w:ascii="宋体" w:hAnsi="宋体" w:eastAsia="宋体" w:cs="Calibri"/>
          <w:color w:val="auto"/>
          <w:sz w:val="24"/>
          <w:szCs w:val="21"/>
          <w:highlight w:val="none"/>
        </w:rPr>
        <w:t>电磁预测结果分析可知</w:t>
      </w:r>
      <w:r>
        <w:rPr>
          <w:rFonts w:hint="eastAsia" w:ascii="宋体" w:hAnsi="宋体" w:eastAsia="宋体" w:cs="Calibri"/>
          <w:color w:val="auto"/>
          <w:sz w:val="24"/>
          <w:szCs w:val="21"/>
          <w:highlight w:val="none"/>
          <w:lang w:eastAsia="zh-CN"/>
        </w:rPr>
        <w:t>，</w:t>
      </w:r>
      <w:r>
        <w:rPr>
          <w:rFonts w:hint="eastAsia" w:ascii="宋体" w:hAnsi="宋体" w:eastAsia="宋体" w:cs="Calibri"/>
          <w:color w:val="auto"/>
          <w:sz w:val="24"/>
          <w:szCs w:val="21"/>
          <w:highlight w:val="none"/>
        </w:rPr>
        <w:t>当线高按6.5m经过非居民区，</w:t>
      </w:r>
      <w:r>
        <w:rPr>
          <w:rFonts w:hint="eastAsia" w:ascii="宋体" w:hAnsi="宋体" w:eastAsia="宋体" w:cs="Calibri"/>
          <w:color w:val="auto"/>
          <w:sz w:val="24"/>
          <w:szCs w:val="21"/>
          <w:highlight w:val="none"/>
          <w:lang w:eastAsia="zh-CN"/>
        </w:rPr>
        <w:t>220kV</w:t>
      </w:r>
      <w:r>
        <w:rPr>
          <w:rFonts w:hint="eastAsia" w:ascii="宋体" w:hAnsi="宋体" w:eastAsia="宋体" w:cs="Calibri"/>
          <w:color w:val="auto"/>
          <w:sz w:val="24"/>
          <w:szCs w:val="21"/>
          <w:highlight w:val="none"/>
          <w:lang w:val="en-US" w:eastAsia="zh-CN"/>
        </w:rPr>
        <w:t>单回</w:t>
      </w:r>
      <w:r>
        <w:rPr>
          <w:rFonts w:hint="eastAsia" w:ascii="宋体" w:hAnsi="宋体" w:eastAsia="宋体" w:cs="Calibri"/>
          <w:color w:val="auto"/>
          <w:sz w:val="24"/>
          <w:szCs w:val="21"/>
          <w:highlight w:val="none"/>
          <w:lang w:eastAsia="zh-CN"/>
        </w:rPr>
        <w:t>线路</w:t>
      </w:r>
      <w:r>
        <w:rPr>
          <w:rFonts w:hint="eastAsia" w:ascii="宋体" w:hAnsi="宋体" w:eastAsia="宋体" w:cs="Calibri"/>
          <w:color w:val="auto"/>
          <w:sz w:val="24"/>
          <w:szCs w:val="21"/>
          <w:highlight w:val="none"/>
        </w:rPr>
        <w:t>工频电场强度最大值为</w:t>
      </w:r>
      <w:r>
        <w:rPr>
          <w:rFonts w:hint="eastAsia" w:ascii="宋体" w:hAnsi="宋体" w:eastAsia="宋体" w:cs="Calibri"/>
          <w:color w:val="auto"/>
          <w:sz w:val="24"/>
          <w:szCs w:val="21"/>
          <w:highlight w:val="none"/>
          <w:lang w:val="en-US" w:eastAsia="zh-CN"/>
        </w:rPr>
        <w:t>7.</w:t>
      </w:r>
      <w:r>
        <w:rPr>
          <w:rFonts w:hint="eastAsia" w:ascii="宋体" w:hAnsi="宋体" w:cs="Calibri"/>
          <w:color w:val="auto"/>
          <w:sz w:val="24"/>
          <w:szCs w:val="21"/>
          <w:highlight w:val="none"/>
          <w:lang w:val="en-US" w:eastAsia="zh-CN"/>
        </w:rPr>
        <w:t>273</w:t>
      </w:r>
      <w:r>
        <w:rPr>
          <w:rFonts w:hint="eastAsia" w:ascii="宋体" w:hAnsi="宋体" w:eastAsia="宋体" w:cs="Calibri"/>
          <w:color w:val="auto"/>
          <w:sz w:val="24"/>
          <w:szCs w:val="21"/>
          <w:highlight w:val="none"/>
          <w:lang w:val="en-US" w:eastAsia="zh-CN"/>
        </w:rPr>
        <w:t>kV</w:t>
      </w:r>
      <w:r>
        <w:rPr>
          <w:rFonts w:hint="eastAsia" w:ascii="宋体" w:hAnsi="宋体" w:eastAsia="宋体" w:cs="Calibri"/>
          <w:color w:val="auto"/>
          <w:sz w:val="24"/>
          <w:szCs w:val="21"/>
          <w:highlight w:val="none"/>
        </w:rPr>
        <w:t>/m</w:t>
      </w:r>
      <w:r>
        <w:rPr>
          <w:rFonts w:hint="eastAsia" w:ascii="宋体" w:hAnsi="宋体" w:cs="Calibri"/>
          <w:color w:val="auto"/>
          <w:sz w:val="24"/>
          <w:szCs w:val="21"/>
          <w:highlight w:val="none"/>
          <w:lang w:eastAsia="zh-CN"/>
        </w:rPr>
        <w:t>，</w:t>
      </w:r>
      <w:r>
        <w:rPr>
          <w:rFonts w:hint="eastAsia" w:ascii="宋体" w:hAnsi="宋体" w:cs="Calibri"/>
          <w:color w:val="auto"/>
          <w:sz w:val="24"/>
          <w:szCs w:val="21"/>
          <w:highlight w:val="none"/>
          <w:lang w:val="en-US" w:eastAsia="zh-CN"/>
        </w:rPr>
        <w:t>处于距线路走廊中心-6.9m处</w:t>
      </w: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工频磁感应强度最大值为</w:t>
      </w:r>
      <w:r>
        <w:rPr>
          <w:rFonts w:hint="eastAsia" w:ascii="宋体" w:hAnsi="宋体" w:cs="Calibri"/>
          <w:color w:val="auto"/>
          <w:sz w:val="24"/>
          <w:szCs w:val="21"/>
          <w:highlight w:val="none"/>
          <w:lang w:val="en-US" w:eastAsia="zh-CN"/>
        </w:rPr>
        <w:t>68.01</w:t>
      </w:r>
      <w:r>
        <w:rPr>
          <w:rFonts w:hint="eastAsia" w:ascii="宋体" w:hAnsi="宋体" w:eastAsia="宋体" w:cs="Calibri"/>
          <w:color w:val="auto"/>
          <w:sz w:val="24"/>
          <w:szCs w:val="21"/>
          <w:highlight w:val="none"/>
        </w:rPr>
        <w:t>μT</w:t>
      </w:r>
      <w:r>
        <w:rPr>
          <w:rFonts w:hint="eastAsia" w:ascii="宋体" w:hAnsi="宋体" w:eastAsia="宋体" w:cs="Calibri"/>
          <w:color w:val="auto"/>
          <w:sz w:val="24"/>
          <w:szCs w:val="21"/>
          <w:highlight w:val="none"/>
          <w:lang w:eastAsia="zh-CN"/>
        </w:rPr>
        <w:t>，</w:t>
      </w:r>
      <w:r>
        <w:rPr>
          <w:rFonts w:hint="eastAsia" w:ascii="宋体" w:hAnsi="宋体" w:eastAsia="宋体" w:cs="Calibri"/>
          <w:color w:val="auto"/>
          <w:sz w:val="24"/>
          <w:szCs w:val="21"/>
          <w:highlight w:val="none"/>
          <w:lang w:val="en-US" w:eastAsia="zh-CN"/>
        </w:rPr>
        <w:t>处于距线路走廊中心</w:t>
      </w:r>
      <w:r>
        <w:rPr>
          <w:rFonts w:hint="eastAsia" w:ascii="宋体" w:hAnsi="宋体" w:cs="Calibri"/>
          <w:color w:val="auto"/>
          <w:sz w:val="24"/>
          <w:szCs w:val="21"/>
          <w:highlight w:val="none"/>
          <w:lang w:val="en-US" w:eastAsia="zh-CN"/>
        </w:rPr>
        <w:t>-4.4</w:t>
      </w:r>
      <w:r>
        <w:rPr>
          <w:rFonts w:hint="eastAsia" w:ascii="宋体" w:hAnsi="宋体" w:eastAsia="宋体" w:cs="Calibri"/>
          <w:color w:val="auto"/>
          <w:sz w:val="24"/>
          <w:szCs w:val="21"/>
          <w:highlight w:val="none"/>
          <w:lang w:val="en-US" w:eastAsia="zh-CN"/>
        </w:rPr>
        <w:t>m处</w:t>
      </w:r>
      <w:r>
        <w:rPr>
          <w:rFonts w:hint="eastAsia" w:ascii="宋体" w:hAnsi="宋体" w:cs="Calibri"/>
          <w:color w:val="auto"/>
          <w:sz w:val="24"/>
          <w:szCs w:val="21"/>
          <w:highlight w:val="none"/>
          <w:lang w:val="en-US" w:eastAsia="zh-CN"/>
        </w:rPr>
        <w:t>；</w:t>
      </w:r>
      <w:r>
        <w:rPr>
          <w:rFonts w:hint="eastAsia" w:ascii="宋体" w:hAnsi="宋体" w:eastAsia="宋体" w:cs="Calibri"/>
          <w:color w:val="auto"/>
          <w:sz w:val="24"/>
          <w:szCs w:val="21"/>
          <w:highlight w:val="none"/>
          <w:lang w:eastAsia="zh-CN"/>
        </w:rPr>
        <w:t>220kV双回线路</w:t>
      </w:r>
      <w:r>
        <w:rPr>
          <w:rFonts w:hint="eastAsia" w:ascii="宋体" w:hAnsi="宋体" w:eastAsia="宋体" w:cs="Calibri"/>
          <w:color w:val="auto"/>
          <w:sz w:val="24"/>
          <w:szCs w:val="21"/>
          <w:highlight w:val="none"/>
        </w:rPr>
        <w:t>工频电场强度最大值为</w:t>
      </w:r>
      <w:r>
        <w:rPr>
          <w:rFonts w:hint="eastAsia" w:ascii="宋体" w:hAnsi="宋体" w:eastAsia="宋体" w:cs="Calibri"/>
          <w:color w:val="auto"/>
          <w:sz w:val="24"/>
          <w:szCs w:val="21"/>
          <w:highlight w:val="none"/>
          <w:lang w:val="en-US" w:eastAsia="zh-CN"/>
        </w:rPr>
        <w:t>7.</w:t>
      </w:r>
      <w:r>
        <w:rPr>
          <w:rFonts w:hint="eastAsia" w:ascii="宋体" w:hAnsi="宋体" w:cs="Calibri"/>
          <w:color w:val="auto"/>
          <w:sz w:val="24"/>
          <w:szCs w:val="21"/>
          <w:highlight w:val="none"/>
          <w:lang w:val="en-US" w:eastAsia="zh-CN"/>
        </w:rPr>
        <w:t>297</w:t>
      </w:r>
      <w:r>
        <w:rPr>
          <w:rFonts w:hint="eastAsia" w:ascii="宋体" w:hAnsi="宋体" w:eastAsia="宋体" w:cs="Calibri"/>
          <w:color w:val="auto"/>
          <w:sz w:val="24"/>
          <w:szCs w:val="21"/>
          <w:highlight w:val="none"/>
          <w:lang w:val="en-US" w:eastAsia="zh-CN"/>
        </w:rPr>
        <w:t>kV</w:t>
      </w:r>
      <w:r>
        <w:rPr>
          <w:rFonts w:hint="eastAsia" w:ascii="宋体" w:hAnsi="宋体" w:eastAsia="宋体" w:cs="Calibri"/>
          <w:color w:val="auto"/>
          <w:sz w:val="24"/>
          <w:szCs w:val="21"/>
          <w:highlight w:val="none"/>
        </w:rPr>
        <w:t>/m</w:t>
      </w:r>
      <w:r>
        <w:rPr>
          <w:rFonts w:hint="eastAsia" w:ascii="宋体" w:hAnsi="宋体" w:cs="Calibri"/>
          <w:color w:val="auto"/>
          <w:sz w:val="24"/>
          <w:szCs w:val="21"/>
          <w:highlight w:val="none"/>
          <w:lang w:eastAsia="zh-CN"/>
        </w:rPr>
        <w:t>，</w:t>
      </w:r>
      <w:r>
        <w:rPr>
          <w:rFonts w:hint="eastAsia" w:ascii="宋体" w:hAnsi="宋体" w:cs="Calibri"/>
          <w:color w:val="auto"/>
          <w:sz w:val="24"/>
          <w:szCs w:val="21"/>
          <w:highlight w:val="none"/>
          <w:lang w:val="en-US" w:eastAsia="zh-CN"/>
        </w:rPr>
        <w:t>处于距线路走廊中心5.2m处</w:t>
      </w: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工频磁感应强度最大值为</w:t>
      </w:r>
      <w:r>
        <w:rPr>
          <w:rFonts w:hint="eastAsia" w:ascii="宋体" w:hAnsi="宋体" w:cs="Calibri"/>
          <w:color w:val="auto"/>
          <w:sz w:val="24"/>
          <w:szCs w:val="21"/>
          <w:highlight w:val="none"/>
          <w:lang w:val="en-US" w:eastAsia="zh-CN"/>
        </w:rPr>
        <w:t>49.90</w:t>
      </w:r>
      <w:r>
        <w:rPr>
          <w:rFonts w:hint="eastAsia" w:ascii="宋体" w:hAnsi="宋体" w:eastAsia="宋体" w:cs="Calibri"/>
          <w:color w:val="auto"/>
          <w:sz w:val="24"/>
          <w:szCs w:val="21"/>
          <w:highlight w:val="none"/>
        </w:rPr>
        <w:t>μT</w:t>
      </w:r>
      <w:r>
        <w:rPr>
          <w:rFonts w:hint="eastAsia" w:ascii="宋体" w:hAnsi="宋体" w:cs="Calibri"/>
          <w:color w:val="auto"/>
          <w:sz w:val="24"/>
          <w:szCs w:val="21"/>
          <w:highlight w:val="none"/>
          <w:lang w:eastAsia="zh-CN"/>
        </w:rPr>
        <w:t>，</w:t>
      </w:r>
      <w:r>
        <w:rPr>
          <w:rFonts w:hint="eastAsia" w:ascii="宋体" w:hAnsi="宋体" w:cs="Calibri"/>
          <w:color w:val="auto"/>
          <w:sz w:val="24"/>
          <w:szCs w:val="21"/>
          <w:highlight w:val="none"/>
          <w:lang w:val="en-US" w:eastAsia="zh-CN"/>
        </w:rPr>
        <w:t>处于距线路走廊中心-7.9m处</w:t>
      </w:r>
      <w:r>
        <w:rPr>
          <w:rFonts w:hint="eastAsia" w:ascii="宋体" w:hAnsi="宋体" w:eastAsia="宋体" w:cs="Calibri"/>
          <w:color w:val="auto"/>
          <w:sz w:val="24"/>
          <w:szCs w:val="21"/>
          <w:highlight w:val="none"/>
          <w:lang w:eastAsia="zh-CN"/>
        </w:rPr>
        <w:t>；</w:t>
      </w:r>
      <w:r>
        <w:rPr>
          <w:rFonts w:hint="eastAsia" w:ascii="宋体" w:hAnsi="宋体" w:eastAsia="宋体" w:cs="Calibri"/>
          <w:color w:val="auto"/>
          <w:sz w:val="24"/>
          <w:szCs w:val="21"/>
          <w:highlight w:val="none"/>
        </w:rPr>
        <w:t>线路运行产生的工频电场强度能满足《电磁环境控制限值》</w:t>
      </w: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GB8702-2014</w:t>
      </w: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中规定</w:t>
      </w: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架空输电线路线下的耕地、园地、牧草地、畜禽饲养地、养殖水面、道路等场所，其频率50Hz的电场强度≤10kV/m的控制限值，线路运行产生的工频磁感应强度能满足《电磁环境控制限值》</w:t>
      </w: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GB8702-2014</w:t>
      </w: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中规定的频率为50Hz时磁感应强度≤100μT控制限值。经计算线高按7.5m经过居民区，</w:t>
      </w:r>
      <w:r>
        <w:rPr>
          <w:rFonts w:hint="eastAsia" w:ascii="宋体" w:hAnsi="宋体" w:eastAsia="宋体" w:cs="Calibri"/>
          <w:color w:val="auto"/>
          <w:sz w:val="24"/>
          <w:szCs w:val="21"/>
          <w:highlight w:val="none"/>
          <w:lang w:eastAsia="zh-CN"/>
        </w:rPr>
        <w:t>220kV</w:t>
      </w:r>
      <w:r>
        <w:rPr>
          <w:rFonts w:hint="eastAsia" w:ascii="宋体" w:hAnsi="宋体" w:eastAsia="宋体" w:cs="Calibri"/>
          <w:color w:val="auto"/>
          <w:sz w:val="24"/>
          <w:szCs w:val="21"/>
          <w:highlight w:val="none"/>
          <w:lang w:val="en-US" w:eastAsia="zh-CN"/>
        </w:rPr>
        <w:t>单回</w:t>
      </w:r>
      <w:r>
        <w:rPr>
          <w:rFonts w:hint="eastAsia" w:ascii="宋体" w:hAnsi="宋体" w:eastAsia="宋体" w:cs="Calibri"/>
          <w:color w:val="auto"/>
          <w:sz w:val="24"/>
          <w:szCs w:val="21"/>
          <w:highlight w:val="none"/>
          <w:lang w:eastAsia="zh-CN"/>
        </w:rPr>
        <w:t>线路</w:t>
      </w:r>
      <w:r>
        <w:rPr>
          <w:rFonts w:hint="eastAsia" w:ascii="宋体" w:hAnsi="宋体" w:eastAsia="宋体" w:cs="Calibri"/>
          <w:color w:val="auto"/>
          <w:sz w:val="24"/>
          <w:szCs w:val="21"/>
          <w:highlight w:val="none"/>
        </w:rPr>
        <w:t>工频电场强度最大值为</w:t>
      </w:r>
      <w:r>
        <w:rPr>
          <w:rFonts w:hint="eastAsia" w:ascii="宋体" w:hAnsi="宋体" w:cs="Calibri"/>
          <w:color w:val="auto"/>
          <w:sz w:val="24"/>
          <w:szCs w:val="21"/>
          <w:highlight w:val="none"/>
          <w:lang w:val="en-US" w:eastAsia="zh-CN"/>
        </w:rPr>
        <w:t>5.769</w:t>
      </w:r>
      <w:r>
        <w:rPr>
          <w:rFonts w:hint="eastAsia" w:ascii="宋体" w:hAnsi="宋体" w:eastAsia="宋体" w:cs="Calibri"/>
          <w:color w:val="auto"/>
          <w:sz w:val="24"/>
          <w:szCs w:val="21"/>
          <w:highlight w:val="none"/>
          <w:lang w:val="en-US" w:eastAsia="zh-CN"/>
        </w:rPr>
        <w:t>kV</w:t>
      </w:r>
      <w:r>
        <w:rPr>
          <w:rFonts w:hint="eastAsia" w:ascii="宋体" w:hAnsi="宋体" w:eastAsia="宋体" w:cs="Calibri"/>
          <w:color w:val="auto"/>
          <w:sz w:val="24"/>
          <w:szCs w:val="21"/>
          <w:highlight w:val="none"/>
        </w:rPr>
        <w:t>/m</w:t>
      </w:r>
      <w:r>
        <w:rPr>
          <w:rFonts w:hint="eastAsia" w:ascii="宋体" w:hAnsi="宋体" w:cs="Calibri"/>
          <w:color w:val="auto"/>
          <w:sz w:val="24"/>
          <w:szCs w:val="21"/>
          <w:highlight w:val="none"/>
          <w:lang w:eastAsia="zh-CN"/>
        </w:rPr>
        <w:t>，</w:t>
      </w:r>
      <w:r>
        <w:rPr>
          <w:rFonts w:hint="eastAsia" w:ascii="宋体" w:hAnsi="宋体" w:cs="Calibri"/>
          <w:color w:val="auto"/>
          <w:sz w:val="24"/>
          <w:szCs w:val="21"/>
          <w:highlight w:val="none"/>
          <w:lang w:val="en-US" w:eastAsia="zh-CN"/>
        </w:rPr>
        <w:t>处于距线路走廊中心-7.1m处</w:t>
      </w: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工频磁感应强度最大值为</w:t>
      </w:r>
      <w:r>
        <w:rPr>
          <w:rFonts w:hint="eastAsia" w:ascii="宋体" w:hAnsi="宋体" w:cs="Calibri"/>
          <w:color w:val="auto"/>
          <w:sz w:val="24"/>
          <w:szCs w:val="21"/>
          <w:highlight w:val="none"/>
          <w:lang w:val="en-US" w:eastAsia="zh-CN"/>
        </w:rPr>
        <w:t>55.90</w:t>
      </w:r>
      <w:r>
        <w:rPr>
          <w:rFonts w:hint="eastAsia" w:ascii="宋体" w:hAnsi="宋体" w:eastAsia="宋体" w:cs="Calibri"/>
          <w:color w:val="auto"/>
          <w:sz w:val="24"/>
          <w:szCs w:val="21"/>
          <w:highlight w:val="none"/>
        </w:rPr>
        <w:t>μT</w:t>
      </w:r>
      <w:r>
        <w:rPr>
          <w:rFonts w:hint="eastAsia" w:ascii="宋体" w:hAnsi="宋体" w:eastAsia="宋体" w:cs="Calibri"/>
          <w:color w:val="auto"/>
          <w:sz w:val="24"/>
          <w:szCs w:val="21"/>
          <w:highlight w:val="none"/>
          <w:lang w:eastAsia="zh-CN"/>
        </w:rPr>
        <w:t>，</w:t>
      </w:r>
      <w:r>
        <w:rPr>
          <w:rFonts w:hint="eastAsia" w:ascii="宋体" w:hAnsi="宋体" w:eastAsia="宋体" w:cs="Calibri"/>
          <w:color w:val="auto"/>
          <w:sz w:val="24"/>
          <w:szCs w:val="21"/>
          <w:highlight w:val="none"/>
          <w:lang w:val="en-US" w:eastAsia="zh-CN"/>
        </w:rPr>
        <w:t>处于距线路走廊中心</w:t>
      </w:r>
      <w:r>
        <w:rPr>
          <w:rFonts w:hint="eastAsia" w:ascii="宋体" w:hAnsi="宋体" w:cs="Calibri"/>
          <w:color w:val="auto"/>
          <w:sz w:val="24"/>
          <w:szCs w:val="21"/>
          <w:highlight w:val="none"/>
          <w:lang w:val="en-US" w:eastAsia="zh-CN"/>
        </w:rPr>
        <w:t>-3.1</w:t>
      </w:r>
      <w:r>
        <w:rPr>
          <w:rFonts w:hint="eastAsia" w:ascii="宋体" w:hAnsi="宋体" w:eastAsia="宋体" w:cs="Calibri"/>
          <w:color w:val="auto"/>
          <w:sz w:val="24"/>
          <w:szCs w:val="21"/>
          <w:highlight w:val="none"/>
          <w:lang w:val="en-US" w:eastAsia="zh-CN"/>
        </w:rPr>
        <w:t>m处</w:t>
      </w:r>
      <w:r>
        <w:rPr>
          <w:rFonts w:hint="eastAsia" w:ascii="宋体" w:hAnsi="宋体" w:eastAsia="宋体" w:cs="Calibri"/>
          <w:color w:val="auto"/>
          <w:sz w:val="24"/>
          <w:szCs w:val="21"/>
          <w:highlight w:val="none"/>
          <w:lang w:eastAsia="zh-CN"/>
        </w:rPr>
        <w:t>；220kV双回线路</w:t>
      </w:r>
      <w:r>
        <w:rPr>
          <w:rFonts w:hint="eastAsia" w:ascii="宋体" w:hAnsi="宋体" w:eastAsia="宋体" w:cs="Calibri"/>
          <w:color w:val="auto"/>
          <w:sz w:val="24"/>
          <w:szCs w:val="21"/>
          <w:highlight w:val="none"/>
        </w:rPr>
        <w:t>工频电场强度最大值为</w:t>
      </w:r>
      <w:r>
        <w:rPr>
          <w:rFonts w:hint="eastAsia" w:ascii="宋体" w:hAnsi="宋体" w:eastAsia="宋体" w:cs="Calibri"/>
          <w:color w:val="auto"/>
          <w:sz w:val="24"/>
          <w:szCs w:val="21"/>
          <w:highlight w:val="none"/>
          <w:lang w:val="en-US" w:eastAsia="zh-CN"/>
        </w:rPr>
        <w:t>6.</w:t>
      </w:r>
      <w:r>
        <w:rPr>
          <w:rFonts w:hint="eastAsia" w:ascii="宋体" w:hAnsi="宋体" w:cs="Calibri"/>
          <w:color w:val="auto"/>
          <w:sz w:val="24"/>
          <w:szCs w:val="21"/>
          <w:highlight w:val="none"/>
          <w:lang w:val="en-US" w:eastAsia="zh-CN"/>
        </w:rPr>
        <w:t>011</w:t>
      </w:r>
      <w:r>
        <w:rPr>
          <w:rFonts w:hint="eastAsia" w:ascii="宋体" w:hAnsi="宋体" w:eastAsia="宋体" w:cs="Calibri"/>
          <w:color w:val="auto"/>
          <w:sz w:val="24"/>
          <w:szCs w:val="21"/>
          <w:highlight w:val="none"/>
          <w:lang w:val="en-US" w:eastAsia="zh-CN"/>
        </w:rPr>
        <w:t>kV</w:t>
      </w:r>
      <w:r>
        <w:rPr>
          <w:rFonts w:hint="eastAsia" w:ascii="宋体" w:hAnsi="宋体" w:eastAsia="宋体" w:cs="Calibri"/>
          <w:color w:val="auto"/>
          <w:sz w:val="24"/>
          <w:szCs w:val="21"/>
          <w:highlight w:val="none"/>
        </w:rPr>
        <w:t>/m</w:t>
      </w:r>
      <w:r>
        <w:rPr>
          <w:rFonts w:hint="eastAsia" w:ascii="宋体" w:hAnsi="宋体" w:cs="Calibri"/>
          <w:color w:val="auto"/>
          <w:sz w:val="24"/>
          <w:szCs w:val="21"/>
          <w:highlight w:val="none"/>
          <w:lang w:eastAsia="zh-CN"/>
        </w:rPr>
        <w:t>，</w:t>
      </w:r>
      <w:r>
        <w:rPr>
          <w:rFonts w:hint="eastAsia" w:ascii="宋体" w:hAnsi="宋体" w:cs="Calibri"/>
          <w:color w:val="auto"/>
          <w:sz w:val="24"/>
          <w:szCs w:val="21"/>
          <w:highlight w:val="none"/>
          <w:lang w:val="en-US" w:eastAsia="zh-CN"/>
        </w:rPr>
        <w:t>处于距线路走廊中心4.9m处</w:t>
      </w: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工频磁感应强度最大值为</w:t>
      </w:r>
      <w:r>
        <w:rPr>
          <w:rFonts w:hint="eastAsia" w:ascii="宋体" w:hAnsi="宋体" w:cs="Calibri"/>
          <w:color w:val="auto"/>
          <w:sz w:val="24"/>
          <w:szCs w:val="21"/>
          <w:highlight w:val="none"/>
          <w:lang w:val="en-US" w:eastAsia="zh-CN"/>
        </w:rPr>
        <w:t>40.55</w:t>
      </w:r>
      <w:r>
        <w:rPr>
          <w:rFonts w:hint="eastAsia" w:ascii="宋体" w:hAnsi="宋体" w:eastAsia="宋体" w:cs="Calibri"/>
          <w:color w:val="auto"/>
          <w:sz w:val="24"/>
          <w:szCs w:val="21"/>
          <w:highlight w:val="none"/>
        </w:rPr>
        <w:t>μT</w:t>
      </w:r>
      <w:r>
        <w:rPr>
          <w:rFonts w:hint="eastAsia" w:ascii="宋体" w:hAnsi="宋体" w:cs="Calibri"/>
          <w:color w:val="auto"/>
          <w:sz w:val="24"/>
          <w:szCs w:val="21"/>
          <w:highlight w:val="none"/>
          <w:lang w:eastAsia="zh-CN"/>
        </w:rPr>
        <w:t>，</w:t>
      </w:r>
      <w:r>
        <w:rPr>
          <w:rFonts w:hint="eastAsia" w:ascii="宋体" w:hAnsi="宋体" w:cs="Calibri"/>
          <w:color w:val="auto"/>
          <w:sz w:val="24"/>
          <w:szCs w:val="21"/>
          <w:highlight w:val="none"/>
          <w:lang w:val="en-US" w:eastAsia="zh-CN"/>
        </w:rPr>
        <w:t>处于距线路走廊中心-8.1m处</w:t>
      </w:r>
      <w:r>
        <w:rPr>
          <w:rFonts w:hint="eastAsia" w:ascii="宋体" w:hAnsi="宋体" w:eastAsia="宋体" w:cs="Calibri"/>
          <w:color w:val="auto"/>
          <w:sz w:val="24"/>
          <w:szCs w:val="21"/>
          <w:highlight w:val="none"/>
          <w:lang w:eastAsia="zh-CN"/>
        </w:rPr>
        <w:t>；</w:t>
      </w:r>
      <w:r>
        <w:rPr>
          <w:rFonts w:hint="eastAsia" w:ascii="宋体" w:hAnsi="宋体" w:eastAsia="宋体" w:cs="Calibri"/>
          <w:color w:val="auto"/>
          <w:sz w:val="24"/>
          <w:szCs w:val="21"/>
          <w:highlight w:val="none"/>
        </w:rPr>
        <w:t>线路运行产生的工频电场强度不能满足《电磁环境控制限值》</w:t>
      </w: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GB8702-2014</w:t>
      </w: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中规定的频率为50Hz时电场强度≤4kV/m要求，工频磁感应强度能满足《电磁环境控制限值》</w:t>
      </w: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GB8702-2014</w:t>
      </w: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中规定的频率为50Hz时磁感应强度≤100μT控制限值。</w:t>
      </w:r>
    </w:p>
    <w:p w14:paraId="5C155E77">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cs="Calibri"/>
          <w:color w:val="auto"/>
          <w:sz w:val="24"/>
          <w:szCs w:val="21"/>
          <w:highlight w:val="cyan"/>
        </w:rPr>
      </w:pPr>
      <w:r>
        <w:rPr>
          <w:rFonts w:hint="eastAsia" w:ascii="宋体" w:hAnsi="宋体" w:eastAsia="宋体" w:cs="Calibri"/>
          <w:color w:val="auto"/>
          <w:sz w:val="24"/>
          <w:szCs w:val="21"/>
          <w:highlight w:val="none"/>
          <w:lang w:eastAsia="zh-CN"/>
        </w:rPr>
        <w:t>本项目将220kV</w:t>
      </w:r>
      <w:r>
        <w:rPr>
          <w:rFonts w:hint="eastAsia" w:ascii="宋体" w:hAnsi="宋体" w:eastAsia="宋体" w:cs="Calibri"/>
          <w:color w:val="auto"/>
          <w:sz w:val="24"/>
          <w:szCs w:val="21"/>
          <w:highlight w:val="none"/>
          <w:lang w:val="en-US" w:eastAsia="zh-CN"/>
        </w:rPr>
        <w:t>单</w:t>
      </w:r>
      <w:r>
        <w:rPr>
          <w:rFonts w:hint="eastAsia" w:ascii="宋体" w:hAnsi="宋体" w:eastAsia="宋体" w:cs="Calibri"/>
          <w:color w:val="auto"/>
          <w:sz w:val="24"/>
          <w:szCs w:val="21"/>
          <w:highlight w:val="none"/>
          <w:lang w:eastAsia="zh-CN"/>
        </w:rPr>
        <w:t>回线路</w:t>
      </w:r>
      <w:r>
        <w:rPr>
          <w:rFonts w:hint="eastAsia" w:ascii="宋体" w:hAnsi="宋体" w:eastAsia="宋体" w:cs="Calibri"/>
          <w:color w:val="auto"/>
          <w:sz w:val="24"/>
          <w:szCs w:val="21"/>
          <w:highlight w:val="none"/>
        </w:rPr>
        <w:t>跨越民房处</w:t>
      </w:r>
      <w:r>
        <w:rPr>
          <w:rFonts w:hint="eastAsia" w:ascii="宋体" w:hAnsi="宋体" w:eastAsia="宋体" w:cs="Calibri"/>
          <w:color w:val="auto"/>
          <w:sz w:val="24"/>
          <w:szCs w:val="21"/>
          <w:highlight w:val="none"/>
          <w:lang w:eastAsia="zh-CN"/>
        </w:rPr>
        <w:t>的</w:t>
      </w:r>
      <w:r>
        <w:rPr>
          <w:rFonts w:hint="eastAsia" w:ascii="宋体" w:hAnsi="宋体" w:eastAsia="宋体" w:cs="Calibri"/>
          <w:color w:val="auto"/>
          <w:sz w:val="24"/>
          <w:szCs w:val="21"/>
          <w:highlight w:val="none"/>
        </w:rPr>
        <w:t>导线对地高度提高至</w:t>
      </w:r>
      <w:r>
        <w:rPr>
          <w:rFonts w:hint="eastAsia" w:ascii="宋体" w:hAnsi="宋体" w:eastAsia="宋体" w:cs="Calibri"/>
          <w:color w:val="auto"/>
          <w:sz w:val="24"/>
          <w:szCs w:val="21"/>
          <w:highlight w:val="none"/>
          <w:lang w:val="en-US" w:eastAsia="zh-CN"/>
        </w:rPr>
        <w:t>9.</w:t>
      </w:r>
      <w:r>
        <w:rPr>
          <w:rFonts w:hint="eastAsia" w:ascii="宋体" w:hAnsi="宋体" w:cs="Calibri"/>
          <w:color w:val="auto"/>
          <w:sz w:val="24"/>
          <w:szCs w:val="21"/>
          <w:highlight w:val="none"/>
          <w:lang w:val="en-US" w:eastAsia="zh-CN"/>
        </w:rPr>
        <w:t>4</w:t>
      </w:r>
      <w:r>
        <w:rPr>
          <w:rFonts w:hint="eastAsia" w:ascii="宋体" w:hAnsi="宋体" w:eastAsia="宋体" w:cs="Calibri"/>
          <w:color w:val="auto"/>
          <w:sz w:val="24"/>
          <w:szCs w:val="21"/>
          <w:highlight w:val="none"/>
        </w:rPr>
        <w:t>m</w:t>
      </w:r>
      <w:r>
        <w:rPr>
          <w:rFonts w:hint="eastAsia" w:ascii="宋体" w:hAnsi="宋体" w:eastAsia="宋体" w:cs="Calibri"/>
          <w:color w:val="auto"/>
          <w:sz w:val="24"/>
          <w:szCs w:val="21"/>
          <w:highlight w:val="none"/>
          <w:lang w:eastAsia="zh-CN"/>
        </w:rPr>
        <w:t>时</w:t>
      </w: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lang w:eastAsia="zh-CN"/>
        </w:rPr>
        <w:t>220kV双回线路</w:t>
      </w:r>
      <w:r>
        <w:rPr>
          <w:rFonts w:hint="eastAsia" w:ascii="宋体" w:hAnsi="宋体" w:eastAsia="宋体" w:cs="Calibri"/>
          <w:color w:val="auto"/>
          <w:sz w:val="24"/>
          <w:szCs w:val="21"/>
          <w:highlight w:val="none"/>
        </w:rPr>
        <w:t>跨越民房处</w:t>
      </w:r>
      <w:r>
        <w:rPr>
          <w:rFonts w:hint="eastAsia" w:ascii="宋体" w:hAnsi="宋体" w:eastAsia="宋体" w:cs="Calibri"/>
          <w:color w:val="auto"/>
          <w:sz w:val="24"/>
          <w:szCs w:val="21"/>
          <w:highlight w:val="none"/>
          <w:lang w:eastAsia="zh-CN"/>
        </w:rPr>
        <w:t>的</w:t>
      </w:r>
      <w:r>
        <w:rPr>
          <w:rFonts w:hint="eastAsia" w:ascii="宋体" w:hAnsi="宋体" w:eastAsia="宋体" w:cs="Calibri"/>
          <w:color w:val="auto"/>
          <w:sz w:val="24"/>
          <w:szCs w:val="21"/>
          <w:highlight w:val="none"/>
        </w:rPr>
        <w:t>导线对地高度提高至</w:t>
      </w:r>
      <w:r>
        <w:rPr>
          <w:rFonts w:hint="eastAsia" w:ascii="宋体" w:hAnsi="宋体" w:eastAsia="宋体" w:cs="Calibri"/>
          <w:color w:val="auto"/>
          <w:sz w:val="24"/>
          <w:szCs w:val="21"/>
          <w:highlight w:val="none"/>
          <w:lang w:val="en-US" w:eastAsia="zh-CN"/>
        </w:rPr>
        <w:t>1</w:t>
      </w:r>
      <w:r>
        <w:rPr>
          <w:rFonts w:hint="eastAsia" w:ascii="宋体" w:hAnsi="宋体" w:cs="Calibri"/>
          <w:color w:val="auto"/>
          <w:sz w:val="24"/>
          <w:szCs w:val="21"/>
          <w:highlight w:val="none"/>
          <w:lang w:val="en-US" w:eastAsia="zh-CN"/>
        </w:rPr>
        <w:t>0.6</w:t>
      </w:r>
      <w:r>
        <w:rPr>
          <w:rFonts w:hint="eastAsia" w:ascii="宋体" w:hAnsi="宋体" w:eastAsia="宋体" w:cs="Calibri"/>
          <w:color w:val="auto"/>
          <w:sz w:val="24"/>
          <w:szCs w:val="21"/>
          <w:highlight w:val="none"/>
        </w:rPr>
        <w:t>m</w:t>
      </w:r>
      <w:r>
        <w:rPr>
          <w:rFonts w:hint="eastAsia" w:ascii="宋体" w:hAnsi="宋体" w:eastAsia="宋体" w:cs="Calibri"/>
          <w:color w:val="auto"/>
          <w:sz w:val="24"/>
          <w:szCs w:val="21"/>
          <w:highlight w:val="none"/>
          <w:lang w:eastAsia="zh-CN"/>
        </w:rPr>
        <w:t>时，</w:t>
      </w:r>
      <w:r>
        <w:rPr>
          <w:rFonts w:hint="eastAsia" w:ascii="宋体" w:hAnsi="宋体" w:eastAsia="宋体" w:cs="Calibri"/>
          <w:color w:val="auto"/>
          <w:sz w:val="24"/>
          <w:szCs w:val="21"/>
          <w:highlight w:val="none"/>
        </w:rPr>
        <w:t>线路产生的工频电场强度</w:t>
      </w:r>
      <w:r>
        <w:rPr>
          <w:rFonts w:hint="eastAsia" w:ascii="宋体" w:hAnsi="宋体" w:eastAsia="宋体" w:cs="Calibri"/>
          <w:color w:val="auto"/>
          <w:sz w:val="24"/>
          <w:szCs w:val="21"/>
          <w:highlight w:val="none"/>
          <w:lang w:eastAsia="zh-CN"/>
        </w:rPr>
        <w:t>能</w:t>
      </w:r>
      <w:r>
        <w:rPr>
          <w:rFonts w:hint="eastAsia" w:ascii="宋体" w:hAnsi="宋体" w:eastAsia="宋体" w:cs="Calibri"/>
          <w:color w:val="auto"/>
          <w:sz w:val="24"/>
          <w:szCs w:val="21"/>
          <w:highlight w:val="none"/>
        </w:rPr>
        <w:t>满足《电磁环境控制限值》</w:t>
      </w: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GB8702-2014</w:t>
      </w: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中规定的频率为50Hz时电场强度≤4kV/m要求，工频磁感应强度能满足《电磁环境控制限值》</w:t>
      </w: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GB8702-2014</w:t>
      </w: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中规定的频率为50Hz时磁感应强度≤100μT控制限值。</w:t>
      </w:r>
    </w:p>
    <w:p w14:paraId="7FC80504">
      <w:pPr>
        <w:keepNext/>
        <w:keepLines/>
        <w:pageBreakBefore w:val="0"/>
        <w:widowControl w:val="0"/>
        <w:tabs>
          <w:tab w:val="left" w:pos="425"/>
        </w:tabs>
        <w:kinsoku/>
        <w:wordWrap/>
        <w:overflowPunct/>
        <w:topLinePunct w:val="0"/>
        <w:autoSpaceDE/>
        <w:autoSpaceDN/>
        <w:bidi w:val="0"/>
        <w:adjustRightInd w:val="0"/>
        <w:snapToGrid w:val="0"/>
        <w:spacing w:before="0" w:beforeLines="0" w:beforeAutospacing="0" w:after="0" w:afterLines="0" w:afterAutospacing="0" w:line="360" w:lineRule="auto"/>
        <w:ind w:left="0" w:leftChars="0" w:right="0" w:rightChars="0" w:firstLine="0" w:firstLineChars="0"/>
        <w:jc w:val="both"/>
        <w:textAlignment w:val="auto"/>
        <w:outlineLvl w:val="1"/>
        <w:rPr>
          <w:rFonts w:hint="eastAsia" w:ascii="宋体" w:hAnsi="宋体" w:eastAsia="宋体" w:cs="宋体"/>
          <w:color w:val="auto"/>
          <w:sz w:val="24"/>
          <w:szCs w:val="24"/>
          <w:highlight w:val="none"/>
          <w:lang w:bidi="ar"/>
        </w:rPr>
      </w:pPr>
      <w:bookmarkStart w:id="215" w:name="_Toc6774"/>
      <w:bookmarkStart w:id="216" w:name="_Toc14894"/>
      <w:r>
        <w:rPr>
          <w:rFonts w:hint="eastAsia" w:ascii="宋体" w:hAnsi="宋体" w:eastAsia="宋体" w:cs="宋体"/>
          <w:b/>
          <w:bCs w:val="0"/>
          <w:color w:val="auto"/>
          <w:kern w:val="15"/>
          <w:sz w:val="24"/>
          <w:szCs w:val="24"/>
          <w:highlight w:val="none"/>
          <w:lang w:val="en-US" w:eastAsia="zh-CN" w:bidi="ar-SA"/>
        </w:rPr>
        <w:t>3.3</w:t>
      </w:r>
      <w:r>
        <w:rPr>
          <w:rFonts w:hint="eastAsia" w:ascii="宋体" w:hAnsi="宋体" w:eastAsia="宋体" w:cs="宋体"/>
          <w:b/>
          <w:bCs w:val="0"/>
          <w:color w:val="auto"/>
          <w:kern w:val="2"/>
          <w:sz w:val="24"/>
          <w:szCs w:val="24"/>
          <w:highlight w:val="none"/>
          <w:lang w:val="en-US" w:eastAsia="zh-CN" w:bidi="ar-SA"/>
        </w:rPr>
        <w:t>间隔扩建端</w:t>
      </w:r>
      <w:r>
        <w:rPr>
          <w:rFonts w:hint="eastAsia" w:ascii="宋体" w:hAnsi="宋体" w:eastAsia="宋体" w:cs="宋体"/>
          <w:b/>
          <w:bCs w:val="0"/>
          <w:color w:val="auto"/>
          <w:kern w:val="15"/>
          <w:sz w:val="24"/>
          <w:szCs w:val="24"/>
          <w:highlight w:val="none"/>
          <w:lang w:val="en-US" w:eastAsia="zh-CN" w:bidi="ar-SA"/>
        </w:rPr>
        <w:t>工频电场、磁感应强度预测</w:t>
      </w:r>
      <w:bookmarkEnd w:id="215"/>
      <w:bookmarkEnd w:id="216"/>
    </w:p>
    <w:p w14:paraId="6F442E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cs="宋体"/>
          <w:color w:val="auto"/>
          <w:sz w:val="24"/>
          <w:szCs w:val="24"/>
          <w:highlight w:val="none"/>
          <w:lang w:val="en-US" w:eastAsia="zh-CN" w:bidi="ar"/>
        </w:rPr>
        <w:t>升压</w:t>
      </w:r>
      <w:r>
        <w:rPr>
          <w:rFonts w:hint="eastAsia" w:ascii="宋体" w:hAnsi="宋体" w:eastAsia="宋体" w:cs="宋体"/>
          <w:color w:val="auto"/>
          <w:sz w:val="24"/>
          <w:szCs w:val="24"/>
          <w:highlight w:val="none"/>
          <w:lang w:bidi="ar"/>
        </w:rPr>
        <w:t>站间隔扩建除增加配电装置和进出线外，</w:t>
      </w:r>
      <w:r>
        <w:rPr>
          <w:rFonts w:hint="eastAsia" w:ascii="宋体" w:hAnsi="宋体" w:cs="宋体"/>
          <w:color w:val="auto"/>
          <w:sz w:val="24"/>
          <w:szCs w:val="24"/>
          <w:highlight w:val="none"/>
          <w:lang w:val="en-US" w:eastAsia="zh-CN" w:bidi="ar"/>
        </w:rPr>
        <w:t>升压</w:t>
      </w:r>
      <w:r>
        <w:rPr>
          <w:rFonts w:hint="eastAsia" w:ascii="宋体" w:hAnsi="宋体" w:eastAsia="宋体" w:cs="宋体"/>
          <w:color w:val="auto"/>
          <w:sz w:val="24"/>
          <w:szCs w:val="24"/>
          <w:highlight w:val="none"/>
          <w:lang w:bidi="ar"/>
        </w:rPr>
        <w:t>站内其他电器设备不变，因此</w:t>
      </w:r>
      <w:r>
        <w:rPr>
          <w:rFonts w:hint="eastAsia" w:ascii="宋体" w:hAnsi="宋体" w:cs="宋体"/>
          <w:color w:val="auto"/>
          <w:sz w:val="24"/>
          <w:szCs w:val="24"/>
          <w:highlight w:val="none"/>
          <w:lang w:val="en-US" w:eastAsia="zh-CN" w:bidi="ar"/>
        </w:rPr>
        <w:t>升压</w:t>
      </w:r>
      <w:r>
        <w:rPr>
          <w:rFonts w:hint="eastAsia" w:ascii="宋体" w:hAnsi="宋体" w:eastAsia="宋体" w:cs="宋体"/>
          <w:color w:val="auto"/>
          <w:sz w:val="24"/>
          <w:szCs w:val="24"/>
          <w:highlight w:val="none"/>
          <w:lang w:bidi="ar"/>
        </w:rPr>
        <w:t>站间隔扩建后，引起站界工频电场和工频磁场增加的因素为配电装置和进出线。二者均位于</w:t>
      </w:r>
      <w:r>
        <w:rPr>
          <w:rFonts w:hint="eastAsia" w:ascii="宋体" w:hAnsi="宋体" w:cs="宋体"/>
          <w:color w:val="auto"/>
          <w:sz w:val="24"/>
          <w:szCs w:val="24"/>
          <w:highlight w:val="none"/>
          <w:lang w:val="en-US" w:eastAsia="zh-CN" w:bidi="ar"/>
        </w:rPr>
        <w:t>升压</w:t>
      </w:r>
      <w:r>
        <w:rPr>
          <w:rFonts w:hint="eastAsia" w:ascii="宋体" w:hAnsi="宋体" w:eastAsia="宋体" w:cs="宋体"/>
          <w:color w:val="auto"/>
          <w:sz w:val="24"/>
          <w:szCs w:val="24"/>
          <w:highlight w:val="none"/>
          <w:lang w:bidi="ar"/>
        </w:rPr>
        <w:t>站扩建出线侧，对非扩建侧站界电磁环境基本无影响。根据《交流输变电工程电磁环境监测方法</w:t>
      </w:r>
      <w:r>
        <w:rPr>
          <w:rFonts w:hint="eastAsia" w:ascii="宋体" w:hAnsi="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试行</w:t>
      </w:r>
      <w:r>
        <w:rPr>
          <w:rFonts w:hint="eastAsia" w:ascii="宋体" w:hAnsi="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w:t>
      </w:r>
      <w:r>
        <w:rPr>
          <w:rFonts w:hint="eastAsia" w:ascii="宋体" w:hAnsi="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HJ681-2013</w:t>
      </w:r>
      <w:r>
        <w:rPr>
          <w:rFonts w:hint="eastAsia" w:ascii="宋体" w:hAnsi="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监测布点要求，</w:t>
      </w:r>
      <w:r>
        <w:rPr>
          <w:rFonts w:hint="eastAsia" w:ascii="宋体" w:hAnsi="宋体" w:cs="宋体"/>
          <w:color w:val="auto"/>
          <w:sz w:val="24"/>
          <w:szCs w:val="24"/>
          <w:highlight w:val="none"/>
          <w:lang w:val="en-US" w:eastAsia="zh-CN" w:bidi="ar"/>
        </w:rPr>
        <w:t>升压</w:t>
      </w:r>
      <w:r>
        <w:rPr>
          <w:rFonts w:hint="eastAsia" w:ascii="宋体" w:hAnsi="宋体" w:eastAsia="宋体" w:cs="宋体"/>
          <w:color w:val="auto"/>
          <w:sz w:val="24"/>
          <w:szCs w:val="24"/>
          <w:highlight w:val="none"/>
          <w:lang w:bidi="ar"/>
        </w:rPr>
        <w:t>站监测点应选择在远离进出线</w:t>
      </w:r>
      <w:r>
        <w:rPr>
          <w:rFonts w:hint="eastAsia" w:ascii="宋体" w:hAnsi="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距离边导线地面投影不小于20m</w:t>
      </w:r>
      <w:r>
        <w:rPr>
          <w:rFonts w:hint="eastAsia" w:ascii="宋体" w:hAnsi="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的围墙外布点，避开高压进出线，因此</w:t>
      </w:r>
      <w:r>
        <w:rPr>
          <w:rFonts w:hint="eastAsia" w:ascii="宋体" w:hAnsi="宋体" w:cs="宋体"/>
          <w:color w:val="auto"/>
          <w:sz w:val="24"/>
          <w:szCs w:val="24"/>
          <w:highlight w:val="none"/>
          <w:lang w:val="en-US" w:eastAsia="zh-CN" w:bidi="ar"/>
        </w:rPr>
        <w:t>升压</w:t>
      </w:r>
      <w:r>
        <w:rPr>
          <w:rFonts w:hint="eastAsia" w:ascii="宋体" w:hAnsi="宋体" w:eastAsia="宋体" w:cs="宋体"/>
          <w:color w:val="auto"/>
          <w:sz w:val="24"/>
          <w:szCs w:val="24"/>
          <w:highlight w:val="none"/>
          <w:lang w:bidi="ar"/>
        </w:rPr>
        <w:t>站间隔扩建对变电站出线侧电磁环境影响相对较小。均能满足《电磁环境控制限值》</w:t>
      </w:r>
      <w:r>
        <w:rPr>
          <w:rFonts w:hint="eastAsia" w:ascii="宋体" w:hAnsi="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GB8702-2014</w:t>
      </w:r>
      <w:r>
        <w:rPr>
          <w:rFonts w:hint="eastAsia" w:ascii="宋体" w:hAnsi="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规定公众曝露控制限值：工频电场强度≤4000V/m，工频磁感应强度≤100μT。</w:t>
      </w:r>
    </w:p>
    <w:p w14:paraId="0B7AA7B2">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根据分析，本项目扩建</w:t>
      </w:r>
      <w:r>
        <w:rPr>
          <w:rFonts w:hint="eastAsia" w:ascii="宋体" w:hAnsi="宋体" w:cs="宋体"/>
          <w:color w:val="auto"/>
          <w:sz w:val="24"/>
          <w:szCs w:val="24"/>
          <w:highlight w:val="none"/>
          <w:lang w:val="en-US" w:eastAsia="zh-CN" w:bidi="ar"/>
        </w:rPr>
        <w:t>1个</w:t>
      </w:r>
      <w:r>
        <w:rPr>
          <w:rFonts w:hint="eastAsia" w:ascii="宋体" w:hAnsi="宋体" w:eastAsia="宋体" w:cs="宋体"/>
          <w:color w:val="auto"/>
          <w:sz w:val="24"/>
          <w:szCs w:val="24"/>
          <w:highlight w:val="none"/>
          <w:lang w:val="en-US" w:eastAsia="zh-CN" w:bidi="ar"/>
        </w:rPr>
        <w:t>220</w:t>
      </w:r>
      <w:r>
        <w:rPr>
          <w:rFonts w:hint="eastAsia" w:ascii="宋体" w:hAnsi="宋体" w:eastAsia="宋体" w:cs="宋体"/>
          <w:color w:val="auto"/>
          <w:sz w:val="24"/>
          <w:szCs w:val="24"/>
          <w:highlight w:val="none"/>
          <w:lang w:bidi="ar"/>
        </w:rPr>
        <w:t>kV出线间隔的</w:t>
      </w:r>
      <w:r>
        <w:rPr>
          <w:rFonts w:hint="eastAsia" w:ascii="宋体" w:hAnsi="宋体" w:cs="宋体"/>
          <w:color w:val="auto"/>
          <w:sz w:val="24"/>
          <w:szCs w:val="24"/>
          <w:highlight w:val="none"/>
          <w:lang w:val="en-US" w:eastAsia="zh-CN" w:bidi="ar"/>
        </w:rPr>
        <w:t>大唐鄯善东</w:t>
      </w:r>
      <w:r>
        <w:rPr>
          <w:rFonts w:hint="eastAsia" w:ascii="宋体" w:hAnsi="宋体" w:eastAsia="宋体" w:cs="宋体"/>
          <w:color w:val="auto"/>
          <w:sz w:val="24"/>
          <w:szCs w:val="24"/>
          <w:highlight w:val="none"/>
          <w:lang w:bidi="ar"/>
        </w:rPr>
        <w:t>220</w:t>
      </w:r>
      <w:r>
        <w:rPr>
          <w:rFonts w:hint="eastAsia" w:ascii="宋体" w:hAnsi="宋体" w:cs="宋体"/>
          <w:color w:val="auto"/>
          <w:sz w:val="24"/>
          <w:szCs w:val="24"/>
          <w:highlight w:val="none"/>
          <w:lang w:val="en-US" w:eastAsia="zh-CN" w:bidi="ar"/>
        </w:rPr>
        <w:t>kV升压站</w:t>
      </w:r>
      <w:r>
        <w:rPr>
          <w:rFonts w:hint="eastAsia" w:ascii="宋体" w:hAnsi="宋体" w:eastAsia="宋体" w:cs="宋体"/>
          <w:color w:val="auto"/>
          <w:sz w:val="24"/>
          <w:szCs w:val="24"/>
          <w:highlight w:val="none"/>
          <w:lang w:bidi="ar"/>
        </w:rPr>
        <w:t>建成投运后，对</w:t>
      </w:r>
      <w:r>
        <w:rPr>
          <w:rFonts w:hint="eastAsia" w:ascii="宋体" w:hAnsi="宋体" w:cs="宋体"/>
          <w:color w:val="auto"/>
          <w:sz w:val="24"/>
          <w:szCs w:val="24"/>
          <w:highlight w:val="none"/>
          <w:lang w:val="en-US" w:eastAsia="zh-CN" w:bidi="ar"/>
        </w:rPr>
        <w:t>升压</w:t>
      </w:r>
      <w:r>
        <w:rPr>
          <w:rFonts w:hint="eastAsia" w:ascii="宋体" w:hAnsi="宋体" w:eastAsia="宋体" w:cs="宋体"/>
          <w:color w:val="auto"/>
          <w:sz w:val="24"/>
          <w:szCs w:val="24"/>
          <w:highlight w:val="none"/>
          <w:lang w:bidi="ar"/>
        </w:rPr>
        <w:t>站周围环境产生的影响在可接受范围，均能满足《电磁环境控制限值》（GB8702-2014）规定公众曝露控制限值：工频电场强度≤4kV/m，工频磁感应强度≤100μT。</w:t>
      </w:r>
    </w:p>
    <w:p w14:paraId="61FEC8E1">
      <w:pPr>
        <w:pStyle w:val="2"/>
        <w:keepLines w:val="0"/>
        <w:pageBreakBefore w:val="0"/>
        <w:widowControl w:val="0"/>
        <w:kinsoku/>
        <w:wordWrap/>
        <w:topLinePunct w:val="0"/>
        <w:autoSpaceDE/>
        <w:autoSpaceDN/>
        <w:bidi w:val="0"/>
        <w:adjustRightInd/>
        <w:snapToGrid/>
        <w:spacing w:before="0" w:beforeLines="0" w:after="0" w:afterLines="0" w:line="360" w:lineRule="auto"/>
        <w:ind w:left="0" w:firstLine="0" w:firstLineChars="0"/>
        <w:textAlignment w:val="auto"/>
        <w:outlineLvl w:val="1"/>
        <w:rPr>
          <w:rFonts w:hint="eastAsia" w:ascii="宋体" w:hAnsi="宋体" w:eastAsia="宋体" w:cs="宋体"/>
          <w:color w:val="auto"/>
        </w:rPr>
      </w:pPr>
      <w:bookmarkStart w:id="217" w:name="_Toc6781"/>
      <w:bookmarkStart w:id="218" w:name="_Toc7510"/>
      <w:bookmarkStart w:id="219" w:name="_Toc11488"/>
      <w:bookmarkStart w:id="220" w:name="_Toc14569"/>
      <w:bookmarkStart w:id="221" w:name="_Toc7038"/>
      <w:bookmarkStart w:id="222" w:name="_Toc75713176"/>
      <w:bookmarkStart w:id="223" w:name="_Toc17220"/>
      <w:r>
        <w:rPr>
          <w:rFonts w:hint="eastAsia" w:ascii="宋体" w:hAnsi="宋体" w:eastAsia="宋体" w:cs="宋体"/>
          <w:color w:val="auto"/>
        </w:rPr>
        <w:t>4电磁环境保护措施</w:t>
      </w:r>
      <w:bookmarkEnd w:id="217"/>
      <w:bookmarkEnd w:id="218"/>
      <w:bookmarkEnd w:id="219"/>
      <w:bookmarkEnd w:id="220"/>
      <w:bookmarkEnd w:id="221"/>
      <w:bookmarkEnd w:id="222"/>
      <w:bookmarkEnd w:id="223"/>
    </w:p>
    <w:p w14:paraId="5020EC0D">
      <w:pPr>
        <w:numPr>
          <w:ilvl w:val="0"/>
          <w:numId w:val="0"/>
        </w:numPr>
        <w:snapToGrid w:val="0"/>
        <w:spacing w:line="360" w:lineRule="auto"/>
        <w:ind w:firstLine="480" w:firstLineChars="200"/>
        <w:rPr>
          <w:rFonts w:hint="eastAsia" w:ascii="宋体" w:hAnsi="宋体" w:eastAsia="宋体" w:cs="Calibri"/>
          <w:color w:val="auto"/>
          <w:sz w:val="24"/>
          <w:szCs w:val="21"/>
          <w:highlight w:val="none"/>
        </w:rPr>
      </w:pPr>
      <w:bookmarkStart w:id="224" w:name="_Toc4826"/>
      <w:bookmarkStart w:id="225" w:name="_Toc10230"/>
      <w:bookmarkStart w:id="226" w:name="_Toc28997"/>
      <w:r>
        <w:rPr>
          <w:rFonts w:hint="eastAsia" w:ascii="宋体" w:hAnsi="宋体" w:cs="Calibri"/>
          <w:color w:val="auto"/>
          <w:kern w:val="2"/>
          <w:sz w:val="24"/>
          <w:szCs w:val="21"/>
          <w:u w:val="none" w:color="auto"/>
          <w:lang w:val="en-US" w:eastAsia="zh-CN" w:bidi="ar-SA"/>
        </w:rPr>
        <w:t>（</w:t>
      </w:r>
      <w:r>
        <w:rPr>
          <w:rFonts w:hint="default" w:ascii="宋体" w:hAnsi="宋体" w:eastAsia="宋体" w:cs="Calibri"/>
          <w:color w:val="auto"/>
          <w:kern w:val="2"/>
          <w:sz w:val="24"/>
          <w:szCs w:val="21"/>
          <w:u w:val="none" w:color="auto"/>
          <w:lang w:val="en-US" w:eastAsia="zh-CN" w:bidi="ar-SA"/>
        </w:rPr>
        <w:t>1</w:t>
      </w:r>
      <w:r>
        <w:rPr>
          <w:rFonts w:hint="eastAsia" w:ascii="宋体" w:hAnsi="宋体" w:cs="Calibri"/>
          <w:color w:val="auto"/>
          <w:kern w:val="2"/>
          <w:sz w:val="24"/>
          <w:szCs w:val="21"/>
          <w:u w:val="none" w:color="auto"/>
          <w:lang w:val="en-US" w:eastAsia="zh-CN" w:bidi="ar-SA"/>
        </w:rPr>
        <w:t>）</w:t>
      </w:r>
      <w:r>
        <w:rPr>
          <w:rFonts w:hint="eastAsia" w:ascii="宋体" w:hAnsi="宋体" w:eastAsia="宋体" w:cs="Calibri"/>
          <w:color w:val="auto"/>
          <w:sz w:val="24"/>
          <w:szCs w:val="21"/>
          <w:highlight w:val="none"/>
        </w:rPr>
        <w:t>合理布局站内电气设备及配电装置。</w:t>
      </w:r>
    </w:p>
    <w:p w14:paraId="4E027464">
      <w:pPr>
        <w:snapToGrid w:val="0"/>
        <w:spacing w:line="360" w:lineRule="auto"/>
        <w:ind w:firstLine="480" w:firstLineChars="200"/>
        <w:rPr>
          <w:rFonts w:hint="eastAsia" w:ascii="宋体" w:hAnsi="宋体" w:eastAsia="宋体" w:cs="Calibri"/>
          <w:color w:val="auto"/>
          <w:sz w:val="24"/>
          <w:szCs w:val="21"/>
          <w:highlight w:val="none"/>
        </w:rPr>
      </w:pP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2</w:t>
      </w: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做好警示和防护指示标志及环保标志的悬挂设立工作，禁止无关人员进入</w:t>
      </w:r>
      <w:r>
        <w:rPr>
          <w:rFonts w:hint="eastAsia" w:ascii="宋体" w:hAnsi="宋体" w:cs="Calibri"/>
          <w:color w:val="auto"/>
          <w:sz w:val="24"/>
          <w:szCs w:val="21"/>
          <w:highlight w:val="none"/>
          <w:lang w:eastAsia="zh-CN"/>
        </w:rPr>
        <w:t>升压站</w:t>
      </w:r>
      <w:r>
        <w:rPr>
          <w:rFonts w:hint="eastAsia" w:ascii="宋体" w:hAnsi="宋体" w:eastAsia="宋体" w:cs="Calibri"/>
          <w:color w:val="auto"/>
          <w:sz w:val="24"/>
          <w:szCs w:val="21"/>
          <w:highlight w:val="none"/>
        </w:rPr>
        <w:t>或靠近带电架构。</w:t>
      </w:r>
    </w:p>
    <w:p w14:paraId="05F66BA0">
      <w:pPr>
        <w:snapToGrid w:val="0"/>
        <w:spacing w:line="360" w:lineRule="auto"/>
        <w:ind w:firstLine="480" w:firstLineChars="200"/>
        <w:rPr>
          <w:rFonts w:hint="eastAsia" w:ascii="宋体" w:hAnsi="宋体" w:eastAsia="宋体" w:cs="Calibri"/>
          <w:color w:val="auto"/>
          <w:sz w:val="24"/>
          <w:szCs w:val="21"/>
          <w:highlight w:val="none"/>
        </w:rPr>
      </w:pP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3</w:t>
      </w: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对员工进行电磁基础知识培训，在巡检带电维修过程中，尽可能减少曝露在电磁场中的时间。</w:t>
      </w:r>
    </w:p>
    <w:p w14:paraId="2B90F1D3">
      <w:pPr>
        <w:snapToGrid w:val="0"/>
        <w:spacing w:line="360" w:lineRule="auto"/>
        <w:ind w:firstLine="480" w:firstLineChars="200"/>
        <w:rPr>
          <w:rFonts w:hint="eastAsia" w:ascii="宋体" w:hAnsi="宋体" w:eastAsia="宋体" w:cs="Calibri"/>
          <w:color w:val="auto"/>
          <w:sz w:val="24"/>
          <w:szCs w:val="21"/>
          <w:highlight w:val="none"/>
        </w:rPr>
      </w:pP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4</w:t>
      </w: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制定安全操作规程，加强职工安全教育，加强电磁水平监测。</w:t>
      </w:r>
    </w:p>
    <w:p w14:paraId="59B63F82">
      <w:pPr>
        <w:snapToGrid w:val="0"/>
        <w:spacing w:line="360" w:lineRule="auto"/>
        <w:ind w:firstLine="480" w:firstLineChars="200"/>
        <w:rPr>
          <w:rFonts w:hint="eastAsia" w:ascii="宋体" w:hAnsi="宋体" w:eastAsia="宋体" w:cs="Calibri"/>
          <w:color w:val="auto"/>
          <w:sz w:val="24"/>
          <w:szCs w:val="21"/>
          <w:highlight w:val="none"/>
        </w:rPr>
      </w:pP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5</w:t>
      </w:r>
      <w:r>
        <w:rPr>
          <w:rFonts w:hint="eastAsia" w:ascii="宋体" w:hAnsi="宋体" w:cs="Calibri"/>
          <w:color w:val="auto"/>
          <w:sz w:val="24"/>
          <w:szCs w:val="21"/>
          <w:highlight w:val="none"/>
          <w:lang w:eastAsia="zh-CN"/>
        </w:rPr>
        <w:t>）</w:t>
      </w:r>
      <w:r>
        <w:rPr>
          <w:rFonts w:hint="eastAsia" w:ascii="宋体" w:hAnsi="宋体" w:eastAsia="宋体" w:cs="Calibri"/>
          <w:color w:val="auto"/>
          <w:sz w:val="24"/>
          <w:szCs w:val="21"/>
          <w:highlight w:val="none"/>
        </w:rPr>
        <w:t>建立环境风险事故应急响应机制，降低风险事故概率。</w:t>
      </w:r>
    </w:p>
    <w:p w14:paraId="7121A17A">
      <w:pPr>
        <w:keepNext/>
        <w:widowControl w:val="0"/>
        <w:tabs>
          <w:tab w:val="left" w:pos="425"/>
        </w:tabs>
        <w:overflowPunct w:val="0"/>
        <w:snapToGrid w:val="0"/>
        <w:spacing w:before="120" w:after="160" w:line="259" w:lineRule="auto"/>
        <w:ind w:left="432" w:hanging="432"/>
        <w:jc w:val="both"/>
        <w:outlineLvl w:val="1"/>
        <w:rPr>
          <w:rFonts w:hint="eastAsia" w:ascii="宋体" w:hAnsi="宋体" w:eastAsia="宋体" w:cs="宋体"/>
          <w:b/>
          <w:bCs/>
          <w:color w:val="auto"/>
          <w:kern w:val="44"/>
          <w:sz w:val="30"/>
          <w:szCs w:val="30"/>
          <w:lang w:val="en-US" w:eastAsia="zh-CN" w:bidi="ar-SA"/>
        </w:rPr>
      </w:pPr>
      <w:bookmarkStart w:id="227" w:name="_Toc18879"/>
      <w:r>
        <w:rPr>
          <w:rFonts w:hint="eastAsia" w:ascii="宋体" w:hAnsi="宋体" w:eastAsia="宋体" w:cs="宋体"/>
          <w:b/>
          <w:bCs/>
          <w:color w:val="auto"/>
          <w:kern w:val="44"/>
          <w:sz w:val="30"/>
          <w:szCs w:val="30"/>
          <w:lang w:val="en-US" w:eastAsia="zh-CN" w:bidi="ar-SA"/>
        </w:rPr>
        <w:t>5电磁环境影响评价结论</w:t>
      </w:r>
      <w:bookmarkEnd w:id="224"/>
      <w:bookmarkEnd w:id="225"/>
      <w:bookmarkEnd w:id="226"/>
      <w:bookmarkEnd w:id="227"/>
    </w:p>
    <w:p w14:paraId="67C7E899">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1"/>
        </w:rPr>
      </w:pPr>
      <w:r>
        <w:rPr>
          <w:rFonts w:hint="eastAsia" w:ascii="宋体" w:hAnsi="宋体" w:cs="宋体"/>
          <w:color w:val="auto"/>
          <w:sz w:val="24"/>
          <w:szCs w:val="21"/>
          <w:lang w:eastAsia="zh-CN"/>
        </w:rPr>
        <w:t>（</w:t>
      </w:r>
      <w:r>
        <w:rPr>
          <w:rFonts w:hint="eastAsia" w:ascii="宋体" w:hAnsi="宋体" w:eastAsia="宋体" w:cs="宋体"/>
          <w:color w:val="auto"/>
          <w:sz w:val="24"/>
          <w:szCs w:val="21"/>
        </w:rPr>
        <w:t>1</w:t>
      </w:r>
      <w:r>
        <w:rPr>
          <w:rFonts w:hint="eastAsia" w:ascii="宋体" w:hAnsi="宋体" w:cs="宋体"/>
          <w:color w:val="auto"/>
          <w:sz w:val="24"/>
          <w:szCs w:val="21"/>
          <w:lang w:eastAsia="zh-CN"/>
        </w:rPr>
        <w:t>）</w:t>
      </w:r>
      <w:r>
        <w:rPr>
          <w:rFonts w:hint="eastAsia" w:ascii="宋体" w:hAnsi="宋体" w:cs="宋体"/>
          <w:color w:val="auto"/>
          <w:sz w:val="24"/>
          <w:szCs w:val="21"/>
          <w:lang w:val="en-US" w:eastAsia="zh-CN"/>
        </w:rPr>
        <w:t>升压</w:t>
      </w:r>
      <w:r>
        <w:rPr>
          <w:rFonts w:hint="eastAsia" w:ascii="宋体" w:hAnsi="宋体" w:eastAsia="宋体" w:cs="宋体"/>
          <w:color w:val="auto"/>
          <w:sz w:val="24"/>
          <w:szCs w:val="21"/>
        </w:rPr>
        <w:t>站</w:t>
      </w:r>
    </w:p>
    <w:p w14:paraId="286D9523">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1"/>
        </w:rPr>
      </w:pPr>
      <w:r>
        <w:rPr>
          <w:rFonts w:hint="eastAsia" w:ascii="宋体" w:hAnsi="宋体" w:eastAsia="宋体" w:cs="宋体"/>
          <w:color w:val="auto"/>
          <w:sz w:val="24"/>
          <w:szCs w:val="21"/>
        </w:rPr>
        <w:t>根据类比监测方式预测，</w:t>
      </w:r>
      <w:r>
        <w:rPr>
          <w:rFonts w:hint="eastAsia" w:ascii="宋体" w:hAnsi="宋体" w:cs="宋体"/>
          <w:color w:val="auto"/>
          <w:sz w:val="24"/>
          <w:szCs w:val="21"/>
          <w:lang w:val="en-US" w:eastAsia="zh-CN"/>
        </w:rPr>
        <w:t>本项目220kV升压</w:t>
      </w:r>
      <w:r>
        <w:rPr>
          <w:rFonts w:hint="eastAsia" w:ascii="宋体" w:hAnsi="宋体" w:eastAsia="宋体" w:cs="宋体"/>
          <w:color w:val="auto"/>
          <w:sz w:val="24"/>
          <w:szCs w:val="21"/>
        </w:rPr>
        <w:t>站</w:t>
      </w:r>
      <w:r>
        <w:rPr>
          <w:rFonts w:hint="eastAsia" w:ascii="宋体" w:hAnsi="宋体" w:cs="宋体"/>
          <w:color w:val="auto"/>
          <w:sz w:val="24"/>
          <w:szCs w:val="21"/>
          <w:lang w:val="en-US" w:eastAsia="zh-CN"/>
        </w:rPr>
        <w:t>建成</w:t>
      </w:r>
      <w:r>
        <w:rPr>
          <w:rFonts w:hint="eastAsia" w:ascii="宋体" w:hAnsi="宋体" w:eastAsia="宋体" w:cs="宋体"/>
          <w:color w:val="auto"/>
          <w:sz w:val="24"/>
          <w:szCs w:val="21"/>
        </w:rPr>
        <w:t>投运后，对</w:t>
      </w:r>
      <w:r>
        <w:rPr>
          <w:rFonts w:hint="eastAsia" w:ascii="宋体" w:hAnsi="宋体" w:cs="宋体"/>
          <w:color w:val="auto"/>
          <w:sz w:val="24"/>
          <w:szCs w:val="21"/>
          <w:lang w:val="en-US" w:eastAsia="zh-CN"/>
        </w:rPr>
        <w:t>其</w:t>
      </w:r>
      <w:r>
        <w:rPr>
          <w:rFonts w:hint="eastAsia" w:ascii="宋体" w:hAnsi="宋体" w:eastAsia="宋体" w:cs="宋体"/>
          <w:color w:val="auto"/>
          <w:sz w:val="24"/>
          <w:szCs w:val="21"/>
        </w:rPr>
        <w:t>周围的</w:t>
      </w:r>
      <w:r>
        <w:rPr>
          <w:rFonts w:hint="eastAsia" w:ascii="宋体" w:hAnsi="宋体" w:cs="宋体"/>
          <w:color w:val="auto"/>
          <w:sz w:val="24"/>
          <w:szCs w:val="21"/>
          <w:lang w:val="en-US" w:eastAsia="zh-CN"/>
        </w:rPr>
        <w:t>电磁</w:t>
      </w:r>
      <w:r>
        <w:rPr>
          <w:rFonts w:hint="eastAsia" w:ascii="宋体" w:hAnsi="宋体" w:eastAsia="宋体" w:cs="宋体"/>
          <w:color w:val="auto"/>
          <w:sz w:val="24"/>
          <w:szCs w:val="21"/>
        </w:rPr>
        <w:t>环境产生的影响在可以接受的范围，</w:t>
      </w:r>
      <w:r>
        <w:rPr>
          <w:rFonts w:hint="eastAsia" w:ascii="宋体" w:hAnsi="宋体" w:cs="宋体"/>
          <w:color w:val="auto"/>
          <w:sz w:val="24"/>
          <w:szCs w:val="21"/>
          <w:lang w:val="en-US" w:eastAsia="zh-CN"/>
        </w:rPr>
        <w:t>升压</w:t>
      </w:r>
      <w:r>
        <w:rPr>
          <w:rFonts w:hint="eastAsia" w:ascii="宋体" w:hAnsi="宋体" w:eastAsia="宋体" w:cs="宋体"/>
          <w:color w:val="auto"/>
          <w:sz w:val="24"/>
          <w:szCs w:val="21"/>
        </w:rPr>
        <w:t>站电磁环境影响能满足《电磁环境控制限值》</w:t>
      </w:r>
      <w:r>
        <w:rPr>
          <w:rFonts w:hint="eastAsia" w:ascii="宋体" w:hAnsi="宋体" w:cs="宋体"/>
          <w:color w:val="auto"/>
          <w:sz w:val="24"/>
          <w:szCs w:val="21"/>
          <w:lang w:eastAsia="zh-CN"/>
        </w:rPr>
        <w:t>（</w:t>
      </w:r>
      <w:r>
        <w:rPr>
          <w:rFonts w:hint="eastAsia" w:ascii="宋体" w:hAnsi="宋体" w:eastAsia="宋体" w:cs="宋体"/>
          <w:color w:val="auto"/>
          <w:sz w:val="24"/>
          <w:szCs w:val="21"/>
        </w:rPr>
        <w:t>GB8702-2014</w:t>
      </w:r>
      <w:r>
        <w:rPr>
          <w:rFonts w:hint="eastAsia" w:ascii="宋体" w:hAnsi="宋体" w:cs="宋体"/>
          <w:color w:val="auto"/>
          <w:sz w:val="24"/>
          <w:szCs w:val="21"/>
          <w:lang w:eastAsia="zh-CN"/>
        </w:rPr>
        <w:t>）</w:t>
      </w:r>
      <w:r>
        <w:rPr>
          <w:rFonts w:hint="eastAsia" w:ascii="宋体" w:hAnsi="宋体" w:eastAsia="宋体" w:cs="宋体"/>
          <w:color w:val="auto"/>
          <w:sz w:val="24"/>
          <w:szCs w:val="21"/>
        </w:rPr>
        <w:t>中频率为50Hz时的电场强度≤4</w:t>
      </w:r>
      <w:r>
        <w:rPr>
          <w:rFonts w:hint="eastAsia" w:ascii="宋体" w:hAnsi="宋体" w:cs="宋体"/>
          <w:color w:val="auto"/>
          <w:sz w:val="24"/>
          <w:szCs w:val="21"/>
          <w:lang w:val="en-US" w:eastAsia="zh-CN"/>
        </w:rPr>
        <w:t>k</w:t>
      </w:r>
      <w:r>
        <w:rPr>
          <w:rFonts w:hint="eastAsia" w:ascii="宋体" w:hAnsi="宋体" w:eastAsia="宋体" w:cs="宋体"/>
          <w:color w:val="auto"/>
          <w:sz w:val="24"/>
          <w:szCs w:val="21"/>
        </w:rPr>
        <w:t>V/m、磁感应强度≤100μT的限值要求。</w:t>
      </w:r>
    </w:p>
    <w:p w14:paraId="55F3E1AA">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宋体" w:hAnsi="宋体" w:eastAsia="宋体" w:cs="宋体"/>
          <w:color w:val="auto"/>
          <w:sz w:val="24"/>
          <w:szCs w:val="21"/>
          <w:highlight w:val="yellow"/>
          <w:lang w:val="en-US" w:eastAsia="zh-CN"/>
        </w:rPr>
      </w:pPr>
      <w:r>
        <w:rPr>
          <w:rFonts w:hint="eastAsia" w:ascii="宋体" w:hAnsi="宋体" w:cs="宋体"/>
          <w:color w:val="auto"/>
          <w:sz w:val="24"/>
          <w:szCs w:val="21"/>
          <w:highlight w:val="none"/>
          <w:lang w:val="en-US" w:eastAsia="zh-CN"/>
        </w:rPr>
        <w:t>本项目间隔扩建工程不会改变站内的主变、主母线等主要电气设备，间隔内带电装置相对较少。因此升压站间隔扩建后，引起站界工频电场和工频磁场增加的因素为配电装置和进出线。二者均位于升压站扩建出线侧，对非扩建侧站界电磁环境基本无影响。根据《交流输变电工程电磁环境监测方法（试行）》（HJ681-2013）监测布点要求，升压站监测点应选择在远离进出线（距离边导线地面投影不小于20m）的围墙外布点，避开高压进出线，因此升压站间隔扩建对升压站出线侧电磁环境影响相对较小。</w:t>
      </w:r>
    </w:p>
    <w:p w14:paraId="0E226084">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1"/>
        </w:rPr>
      </w:pPr>
      <w:r>
        <w:rPr>
          <w:rFonts w:hint="eastAsia" w:ascii="宋体" w:hAnsi="宋体" w:cs="宋体"/>
          <w:color w:val="auto"/>
          <w:sz w:val="24"/>
          <w:szCs w:val="21"/>
          <w:lang w:eastAsia="zh-CN"/>
        </w:rPr>
        <w:t>（</w:t>
      </w:r>
      <w:r>
        <w:rPr>
          <w:rFonts w:hint="eastAsia" w:ascii="宋体" w:hAnsi="宋体" w:eastAsia="宋体" w:cs="宋体"/>
          <w:color w:val="auto"/>
          <w:sz w:val="24"/>
          <w:szCs w:val="21"/>
        </w:rPr>
        <w:t>2</w:t>
      </w:r>
      <w:r>
        <w:rPr>
          <w:rFonts w:hint="eastAsia" w:ascii="宋体" w:hAnsi="宋体" w:cs="宋体"/>
          <w:color w:val="auto"/>
          <w:sz w:val="24"/>
          <w:szCs w:val="21"/>
          <w:lang w:eastAsia="zh-CN"/>
        </w:rPr>
        <w:t>）</w:t>
      </w:r>
      <w:r>
        <w:rPr>
          <w:rFonts w:hint="eastAsia" w:ascii="宋体" w:hAnsi="宋体" w:eastAsia="宋体" w:cs="宋体"/>
          <w:color w:val="auto"/>
          <w:sz w:val="24"/>
          <w:szCs w:val="21"/>
        </w:rPr>
        <w:t>输电线路</w:t>
      </w:r>
    </w:p>
    <w:p w14:paraId="6C6D1401">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cs="Calibri"/>
          <w:color w:val="auto"/>
          <w:sz w:val="24"/>
          <w:szCs w:val="21"/>
        </w:rPr>
      </w:pPr>
      <w:r>
        <w:rPr>
          <w:rFonts w:hint="eastAsia" w:ascii="宋体" w:hAnsi="宋体" w:cs="Calibri"/>
          <w:color w:val="auto"/>
          <w:sz w:val="24"/>
          <w:szCs w:val="21"/>
        </w:rPr>
        <w:t>根据预测结果分析可知，</w:t>
      </w:r>
      <w:r>
        <w:rPr>
          <w:rFonts w:hint="eastAsia" w:ascii="宋体" w:hAnsi="宋体" w:eastAsia="宋体" w:cs="宋体"/>
          <w:color w:val="auto"/>
          <w:sz w:val="24"/>
          <w:szCs w:val="21"/>
        </w:rPr>
        <w:t>当线路经过非居民区时，</w:t>
      </w:r>
      <w:r>
        <w:rPr>
          <w:rFonts w:hint="eastAsia" w:ascii="宋体" w:hAnsi="宋体" w:cs="Calibri"/>
          <w:color w:val="auto"/>
          <w:sz w:val="24"/>
          <w:szCs w:val="21"/>
          <w:lang w:val="en-US" w:eastAsia="zh-CN"/>
        </w:rPr>
        <w:t>220kV</w:t>
      </w:r>
      <w:r>
        <w:rPr>
          <w:rFonts w:hint="eastAsia" w:ascii="宋体" w:hAnsi="宋体" w:cs="Calibri"/>
          <w:color w:val="auto"/>
          <w:sz w:val="24"/>
          <w:szCs w:val="21"/>
        </w:rPr>
        <w:t>线路运行产生的工频磁感应强度能满足</w:t>
      </w:r>
      <w:r>
        <w:rPr>
          <w:rFonts w:ascii="宋体" w:hAnsi="宋体" w:cs="Calibri"/>
          <w:color w:val="auto"/>
          <w:sz w:val="24"/>
          <w:szCs w:val="21"/>
        </w:rPr>
        <w:t>《电磁环境控制限值》</w:t>
      </w:r>
      <w:r>
        <w:rPr>
          <w:rFonts w:hint="eastAsia" w:ascii="宋体" w:hAnsi="宋体" w:cs="Calibri"/>
          <w:color w:val="auto"/>
          <w:sz w:val="24"/>
          <w:szCs w:val="21"/>
          <w:lang w:eastAsia="zh-CN"/>
        </w:rPr>
        <w:t>（</w:t>
      </w:r>
      <w:r>
        <w:rPr>
          <w:rFonts w:ascii="宋体" w:hAnsi="宋体" w:cs="Calibri"/>
          <w:color w:val="auto"/>
          <w:sz w:val="24"/>
          <w:szCs w:val="21"/>
        </w:rPr>
        <w:t>GB8702</w:t>
      </w:r>
      <w:r>
        <w:rPr>
          <w:rFonts w:hint="eastAsia" w:ascii="宋体" w:hAnsi="宋体" w:cs="Calibri"/>
          <w:color w:val="auto"/>
          <w:sz w:val="24"/>
          <w:szCs w:val="21"/>
        </w:rPr>
        <w:t>-</w:t>
      </w:r>
      <w:r>
        <w:rPr>
          <w:rFonts w:ascii="宋体" w:hAnsi="宋体" w:cs="Calibri"/>
          <w:color w:val="auto"/>
          <w:sz w:val="24"/>
          <w:szCs w:val="21"/>
        </w:rPr>
        <w:t>2014</w:t>
      </w:r>
      <w:r>
        <w:rPr>
          <w:rFonts w:hint="eastAsia" w:ascii="宋体" w:hAnsi="宋体" w:cs="Calibri"/>
          <w:color w:val="auto"/>
          <w:sz w:val="24"/>
          <w:szCs w:val="21"/>
          <w:lang w:eastAsia="zh-CN"/>
        </w:rPr>
        <w:t>）</w:t>
      </w:r>
      <w:r>
        <w:rPr>
          <w:rFonts w:ascii="宋体" w:hAnsi="宋体" w:cs="Calibri"/>
          <w:color w:val="auto"/>
          <w:sz w:val="24"/>
          <w:szCs w:val="21"/>
        </w:rPr>
        <w:t>中</w:t>
      </w:r>
      <w:r>
        <w:rPr>
          <w:rFonts w:hint="eastAsia" w:ascii="宋体" w:hAnsi="宋体" w:cs="Calibri"/>
          <w:color w:val="auto"/>
          <w:sz w:val="24"/>
          <w:szCs w:val="21"/>
        </w:rPr>
        <w:t>规定的</w:t>
      </w:r>
      <w:r>
        <w:rPr>
          <w:rFonts w:ascii="宋体" w:hAnsi="宋体" w:cs="Calibri"/>
          <w:color w:val="auto"/>
          <w:sz w:val="24"/>
          <w:szCs w:val="21"/>
        </w:rPr>
        <w:t>频率为50Hz时</w:t>
      </w:r>
      <w:r>
        <w:rPr>
          <w:rFonts w:hint="eastAsia" w:ascii="宋体" w:hAnsi="宋体" w:cs="Calibri"/>
          <w:color w:val="auto"/>
          <w:sz w:val="24"/>
          <w:szCs w:val="21"/>
        </w:rPr>
        <w:t>磁感应</w:t>
      </w:r>
      <w:r>
        <w:rPr>
          <w:rFonts w:ascii="宋体" w:hAnsi="宋体" w:cs="Calibri"/>
          <w:color w:val="auto"/>
          <w:sz w:val="24"/>
          <w:szCs w:val="21"/>
        </w:rPr>
        <w:t>强度</w:t>
      </w:r>
      <w:r>
        <w:rPr>
          <w:rFonts w:hint="eastAsia" w:ascii="宋体" w:hAnsi="宋体" w:cs="Calibri"/>
          <w:color w:val="auto"/>
          <w:sz w:val="24"/>
          <w:szCs w:val="21"/>
        </w:rPr>
        <w:t>≤</w:t>
      </w:r>
      <w:r>
        <w:rPr>
          <w:rFonts w:ascii="宋体" w:hAnsi="宋体" w:cs="Calibri"/>
          <w:color w:val="auto"/>
          <w:sz w:val="24"/>
          <w:szCs w:val="21"/>
        </w:rPr>
        <w:t>100μT</w:t>
      </w:r>
      <w:r>
        <w:rPr>
          <w:rFonts w:hint="eastAsia" w:ascii="宋体" w:hAnsi="宋体" w:cs="Calibri"/>
          <w:color w:val="auto"/>
          <w:sz w:val="24"/>
          <w:szCs w:val="21"/>
        </w:rPr>
        <w:t>控制限值，线路运行产生的工频电场强度能满足</w:t>
      </w:r>
      <w:r>
        <w:rPr>
          <w:rFonts w:ascii="宋体" w:hAnsi="宋体" w:cs="Calibri"/>
          <w:color w:val="auto"/>
          <w:sz w:val="24"/>
          <w:szCs w:val="21"/>
        </w:rPr>
        <w:t>《电磁环境控制限值》</w:t>
      </w:r>
      <w:r>
        <w:rPr>
          <w:rFonts w:hint="eastAsia" w:ascii="宋体" w:hAnsi="宋体" w:cs="Calibri"/>
          <w:color w:val="auto"/>
          <w:sz w:val="24"/>
          <w:szCs w:val="21"/>
          <w:lang w:eastAsia="zh-CN"/>
        </w:rPr>
        <w:t>（</w:t>
      </w:r>
      <w:r>
        <w:rPr>
          <w:rFonts w:ascii="宋体" w:hAnsi="宋体" w:cs="Calibri"/>
          <w:color w:val="auto"/>
          <w:sz w:val="24"/>
          <w:szCs w:val="21"/>
        </w:rPr>
        <w:t>GB8702</w:t>
      </w:r>
      <w:r>
        <w:rPr>
          <w:rFonts w:hint="eastAsia" w:ascii="宋体" w:hAnsi="宋体" w:cs="Calibri"/>
          <w:color w:val="auto"/>
          <w:sz w:val="24"/>
          <w:szCs w:val="21"/>
        </w:rPr>
        <w:t>-</w:t>
      </w:r>
      <w:r>
        <w:rPr>
          <w:rFonts w:ascii="宋体" w:hAnsi="宋体" w:cs="Calibri"/>
          <w:color w:val="auto"/>
          <w:sz w:val="24"/>
          <w:szCs w:val="21"/>
        </w:rPr>
        <w:t>2014</w:t>
      </w:r>
      <w:r>
        <w:rPr>
          <w:rFonts w:hint="eastAsia" w:ascii="宋体" w:hAnsi="宋体" w:cs="Calibri"/>
          <w:color w:val="auto"/>
          <w:sz w:val="24"/>
          <w:szCs w:val="21"/>
          <w:lang w:eastAsia="zh-CN"/>
        </w:rPr>
        <w:t>）</w:t>
      </w:r>
      <w:r>
        <w:rPr>
          <w:rFonts w:ascii="宋体" w:hAnsi="宋体" w:cs="Calibri"/>
          <w:color w:val="auto"/>
          <w:sz w:val="24"/>
          <w:szCs w:val="21"/>
        </w:rPr>
        <w:t>中</w:t>
      </w:r>
      <w:r>
        <w:rPr>
          <w:rFonts w:hint="eastAsia" w:ascii="宋体" w:hAnsi="宋体" w:cs="Calibri"/>
          <w:color w:val="auto"/>
          <w:sz w:val="24"/>
          <w:szCs w:val="21"/>
        </w:rPr>
        <w:t>规定</w:t>
      </w:r>
      <w:r>
        <w:rPr>
          <w:rFonts w:hint="eastAsia" w:ascii="宋体" w:hAnsi="宋体" w:cs="Calibri"/>
          <w:color w:val="auto"/>
          <w:sz w:val="24"/>
          <w:szCs w:val="21"/>
          <w:lang w:eastAsia="zh-CN"/>
        </w:rPr>
        <w:t>（</w:t>
      </w:r>
      <w:r>
        <w:rPr>
          <w:rFonts w:hint="eastAsia" w:ascii="宋体" w:hAnsi="宋体" w:cs="Calibri"/>
          <w:color w:val="auto"/>
          <w:sz w:val="24"/>
          <w:szCs w:val="21"/>
        </w:rPr>
        <w:t>架空输电线路线下的耕地、园地、牧草地、畜禽饲养地、养殖水面、道路等场所，其频率</w:t>
      </w:r>
      <w:r>
        <w:rPr>
          <w:rFonts w:ascii="宋体" w:hAnsi="宋体" w:cs="Calibri"/>
          <w:color w:val="auto"/>
          <w:sz w:val="24"/>
          <w:szCs w:val="21"/>
        </w:rPr>
        <w:t>50Hz</w:t>
      </w:r>
      <w:r>
        <w:rPr>
          <w:rFonts w:hint="eastAsia" w:ascii="宋体" w:hAnsi="宋体" w:cs="Calibri"/>
          <w:color w:val="auto"/>
          <w:sz w:val="24"/>
          <w:szCs w:val="21"/>
          <w:lang w:eastAsia="zh-CN"/>
        </w:rPr>
        <w:t>）</w:t>
      </w:r>
      <w:r>
        <w:rPr>
          <w:rFonts w:hint="eastAsia" w:ascii="宋体" w:hAnsi="宋体" w:cs="Calibri"/>
          <w:color w:val="auto"/>
          <w:sz w:val="24"/>
          <w:szCs w:val="21"/>
        </w:rPr>
        <w:t>的</w:t>
      </w:r>
      <w:r>
        <w:rPr>
          <w:rFonts w:ascii="宋体" w:hAnsi="宋体" w:cs="Calibri"/>
          <w:color w:val="auto"/>
          <w:sz w:val="24"/>
          <w:szCs w:val="21"/>
        </w:rPr>
        <w:t>电场强度</w:t>
      </w:r>
      <w:r>
        <w:rPr>
          <w:rFonts w:hint="eastAsia" w:ascii="宋体" w:hAnsi="宋体" w:cs="Calibri"/>
          <w:color w:val="auto"/>
          <w:sz w:val="24"/>
          <w:szCs w:val="21"/>
        </w:rPr>
        <w:t>≤10k</w:t>
      </w:r>
      <w:r>
        <w:rPr>
          <w:rFonts w:ascii="宋体" w:hAnsi="宋体" w:cs="Calibri"/>
          <w:color w:val="auto"/>
          <w:sz w:val="24"/>
          <w:szCs w:val="21"/>
        </w:rPr>
        <w:t>V/m</w:t>
      </w:r>
      <w:r>
        <w:rPr>
          <w:rFonts w:hint="eastAsia" w:ascii="宋体" w:hAnsi="宋体" w:cs="Calibri"/>
          <w:color w:val="auto"/>
          <w:sz w:val="24"/>
          <w:szCs w:val="21"/>
        </w:rPr>
        <w:t>的控制限值</w:t>
      </w:r>
      <w:r>
        <w:rPr>
          <w:rFonts w:hint="eastAsia" w:ascii="宋体" w:hAnsi="宋体" w:cs="Calibri"/>
          <w:color w:val="auto"/>
          <w:sz w:val="24"/>
          <w:szCs w:val="21"/>
          <w:lang w:eastAsia="zh-CN"/>
        </w:rPr>
        <w:t>。</w:t>
      </w:r>
      <w:r>
        <w:rPr>
          <w:rFonts w:hint="eastAsia" w:ascii="宋体" w:hAnsi="宋体" w:eastAsia="宋体" w:cs="宋体"/>
          <w:color w:val="auto"/>
          <w:sz w:val="24"/>
          <w:szCs w:val="21"/>
        </w:rPr>
        <w:t>经过居民区</w:t>
      </w:r>
      <w:r>
        <w:rPr>
          <w:rFonts w:hint="eastAsia" w:ascii="宋体" w:hAnsi="宋体" w:cs="宋体"/>
          <w:color w:val="auto"/>
          <w:sz w:val="24"/>
          <w:szCs w:val="21"/>
          <w:lang w:val="en-US" w:eastAsia="zh-CN"/>
        </w:rPr>
        <w:t>时，</w:t>
      </w:r>
      <w:r>
        <w:rPr>
          <w:rFonts w:hint="eastAsia" w:ascii="宋体" w:hAnsi="宋体" w:cs="Calibri"/>
          <w:color w:val="auto"/>
          <w:sz w:val="24"/>
          <w:szCs w:val="21"/>
          <w:highlight w:val="none"/>
          <w:lang w:eastAsia="zh-CN"/>
        </w:rPr>
        <w:t>220kV</w:t>
      </w:r>
      <w:r>
        <w:rPr>
          <w:rFonts w:hint="eastAsia" w:ascii="宋体" w:hAnsi="宋体" w:cs="Calibri"/>
          <w:color w:val="auto"/>
          <w:sz w:val="24"/>
          <w:szCs w:val="21"/>
          <w:highlight w:val="none"/>
          <w:lang w:val="en-US" w:eastAsia="zh-CN"/>
        </w:rPr>
        <w:t>双回路</w:t>
      </w:r>
      <w:r>
        <w:rPr>
          <w:rFonts w:hint="eastAsia" w:ascii="宋体" w:hAnsi="宋体" w:cs="Calibri"/>
          <w:color w:val="auto"/>
          <w:sz w:val="24"/>
          <w:szCs w:val="21"/>
          <w:highlight w:val="none"/>
          <w:lang w:eastAsia="zh-CN"/>
        </w:rPr>
        <w:t>线路的</w:t>
      </w:r>
      <w:r>
        <w:rPr>
          <w:rFonts w:hint="eastAsia" w:ascii="宋体" w:hAnsi="宋体" w:cs="Calibri"/>
          <w:color w:val="auto"/>
          <w:sz w:val="24"/>
          <w:szCs w:val="21"/>
          <w:highlight w:val="none"/>
        </w:rPr>
        <w:t>导线对地高度提高至</w:t>
      </w:r>
      <w:r>
        <w:rPr>
          <w:rFonts w:hint="eastAsia" w:ascii="宋体" w:hAnsi="宋体" w:cs="Calibri"/>
          <w:color w:val="auto"/>
          <w:sz w:val="24"/>
          <w:szCs w:val="21"/>
          <w:highlight w:val="none"/>
          <w:lang w:val="en-US" w:eastAsia="zh-CN"/>
        </w:rPr>
        <w:t>10.6</w:t>
      </w:r>
      <w:r>
        <w:rPr>
          <w:rFonts w:hint="eastAsia" w:ascii="宋体" w:hAnsi="宋体" w:cs="Calibri"/>
          <w:color w:val="auto"/>
          <w:sz w:val="24"/>
          <w:szCs w:val="21"/>
          <w:highlight w:val="none"/>
        </w:rPr>
        <w:t>m</w:t>
      </w:r>
      <w:r>
        <w:rPr>
          <w:rFonts w:hint="eastAsia" w:ascii="宋体" w:hAnsi="宋体" w:cs="Calibri"/>
          <w:color w:val="auto"/>
          <w:sz w:val="24"/>
          <w:szCs w:val="21"/>
          <w:highlight w:val="none"/>
          <w:lang w:eastAsia="zh-CN"/>
        </w:rPr>
        <w:t>时，220kV</w:t>
      </w:r>
      <w:r>
        <w:rPr>
          <w:rFonts w:hint="eastAsia" w:ascii="宋体" w:hAnsi="宋体" w:cs="Calibri"/>
          <w:color w:val="auto"/>
          <w:sz w:val="24"/>
          <w:szCs w:val="21"/>
          <w:highlight w:val="none"/>
          <w:lang w:val="en-US" w:eastAsia="zh-CN"/>
        </w:rPr>
        <w:t>单回路</w:t>
      </w:r>
      <w:r>
        <w:rPr>
          <w:rFonts w:hint="eastAsia" w:ascii="宋体" w:hAnsi="宋体" w:cs="Calibri"/>
          <w:color w:val="auto"/>
          <w:sz w:val="24"/>
          <w:szCs w:val="21"/>
          <w:highlight w:val="none"/>
          <w:lang w:eastAsia="zh-CN"/>
        </w:rPr>
        <w:t>线路的导线对地高度提高至</w:t>
      </w:r>
      <w:r>
        <w:rPr>
          <w:rFonts w:hint="eastAsia" w:ascii="宋体" w:hAnsi="宋体" w:cs="Calibri"/>
          <w:color w:val="auto"/>
          <w:sz w:val="24"/>
          <w:szCs w:val="21"/>
          <w:highlight w:val="none"/>
          <w:lang w:val="en-US" w:eastAsia="zh-CN"/>
        </w:rPr>
        <w:t>9.4</w:t>
      </w:r>
      <w:r>
        <w:rPr>
          <w:rFonts w:hint="eastAsia" w:ascii="宋体" w:hAnsi="宋体" w:cs="Calibri"/>
          <w:color w:val="auto"/>
          <w:sz w:val="24"/>
          <w:szCs w:val="21"/>
          <w:highlight w:val="none"/>
          <w:lang w:eastAsia="zh-CN"/>
        </w:rPr>
        <w:t>m时，</w:t>
      </w:r>
      <w:r>
        <w:rPr>
          <w:rFonts w:hint="eastAsia" w:ascii="宋体" w:hAnsi="宋体" w:cs="Calibri"/>
          <w:color w:val="auto"/>
          <w:sz w:val="24"/>
          <w:szCs w:val="21"/>
          <w:highlight w:val="none"/>
        </w:rPr>
        <w:t>线路产生的工频电场强度</w:t>
      </w:r>
      <w:r>
        <w:rPr>
          <w:rFonts w:hint="eastAsia" w:ascii="宋体" w:hAnsi="宋体" w:cs="Calibri"/>
          <w:color w:val="auto"/>
          <w:sz w:val="24"/>
          <w:szCs w:val="21"/>
          <w:highlight w:val="none"/>
          <w:lang w:eastAsia="zh-CN"/>
        </w:rPr>
        <w:t>能</w:t>
      </w:r>
      <w:r>
        <w:rPr>
          <w:rFonts w:hint="eastAsia" w:ascii="宋体" w:hAnsi="宋体" w:cs="Calibri"/>
          <w:color w:val="auto"/>
          <w:sz w:val="24"/>
          <w:szCs w:val="21"/>
          <w:highlight w:val="none"/>
        </w:rPr>
        <w:t>满足《电磁环境控制限值》</w:t>
      </w:r>
      <w:r>
        <w:rPr>
          <w:rFonts w:hint="eastAsia" w:ascii="宋体" w:hAnsi="宋体" w:cs="Calibri"/>
          <w:color w:val="auto"/>
          <w:sz w:val="24"/>
          <w:szCs w:val="21"/>
          <w:highlight w:val="none"/>
          <w:lang w:eastAsia="zh-CN"/>
        </w:rPr>
        <w:t>（</w:t>
      </w:r>
      <w:r>
        <w:rPr>
          <w:rFonts w:hint="eastAsia" w:ascii="宋体" w:hAnsi="宋体" w:cs="Calibri"/>
          <w:color w:val="auto"/>
          <w:sz w:val="24"/>
          <w:szCs w:val="21"/>
          <w:highlight w:val="none"/>
        </w:rPr>
        <w:t>GB8702-2014</w:t>
      </w:r>
      <w:r>
        <w:rPr>
          <w:rFonts w:hint="eastAsia" w:ascii="宋体" w:hAnsi="宋体" w:cs="Calibri"/>
          <w:color w:val="auto"/>
          <w:sz w:val="24"/>
          <w:szCs w:val="21"/>
          <w:highlight w:val="none"/>
          <w:lang w:eastAsia="zh-CN"/>
        </w:rPr>
        <w:t>）</w:t>
      </w:r>
      <w:r>
        <w:rPr>
          <w:rFonts w:hint="eastAsia" w:ascii="宋体" w:hAnsi="宋体" w:cs="Calibri"/>
          <w:color w:val="auto"/>
          <w:sz w:val="24"/>
          <w:szCs w:val="21"/>
          <w:highlight w:val="none"/>
        </w:rPr>
        <w:t>中规定的频率为50Hz时电场强度≤4kV/m要求，工频磁感应强度能满足《电磁环境控制限值》</w:t>
      </w:r>
      <w:r>
        <w:rPr>
          <w:rFonts w:hint="eastAsia" w:ascii="宋体" w:hAnsi="宋体" w:cs="Calibri"/>
          <w:color w:val="auto"/>
          <w:sz w:val="24"/>
          <w:szCs w:val="21"/>
          <w:highlight w:val="none"/>
          <w:lang w:eastAsia="zh-CN"/>
        </w:rPr>
        <w:t>（</w:t>
      </w:r>
      <w:r>
        <w:rPr>
          <w:rFonts w:hint="eastAsia" w:ascii="宋体" w:hAnsi="宋体" w:cs="Calibri"/>
          <w:color w:val="auto"/>
          <w:sz w:val="24"/>
          <w:szCs w:val="21"/>
          <w:highlight w:val="none"/>
        </w:rPr>
        <w:t>GB8702-2014</w:t>
      </w:r>
      <w:r>
        <w:rPr>
          <w:rFonts w:hint="eastAsia" w:ascii="宋体" w:hAnsi="宋体" w:cs="Calibri"/>
          <w:color w:val="auto"/>
          <w:sz w:val="24"/>
          <w:szCs w:val="21"/>
          <w:highlight w:val="none"/>
          <w:lang w:eastAsia="zh-CN"/>
        </w:rPr>
        <w:t>）</w:t>
      </w:r>
      <w:r>
        <w:rPr>
          <w:rFonts w:hint="eastAsia" w:ascii="宋体" w:hAnsi="宋体" w:cs="Calibri"/>
          <w:color w:val="auto"/>
          <w:sz w:val="24"/>
          <w:szCs w:val="21"/>
          <w:highlight w:val="none"/>
        </w:rPr>
        <w:t>中规定的频率为50Hz时磁感应强度≤100μT控制限值。</w:t>
      </w:r>
    </w:p>
    <w:p w14:paraId="10985CF4">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1"/>
        </w:rPr>
      </w:pPr>
      <w:r>
        <w:rPr>
          <w:rFonts w:hint="eastAsia" w:ascii="宋体" w:hAnsi="宋体" w:cs="宋体"/>
          <w:color w:val="auto"/>
          <w:sz w:val="24"/>
          <w:szCs w:val="21"/>
          <w:lang w:eastAsia="zh-CN"/>
        </w:rPr>
        <w:t>（</w:t>
      </w:r>
      <w:r>
        <w:rPr>
          <w:rFonts w:hint="eastAsia" w:ascii="宋体" w:hAnsi="宋体" w:cs="宋体"/>
          <w:color w:val="auto"/>
          <w:sz w:val="24"/>
          <w:szCs w:val="21"/>
          <w:lang w:val="en-US" w:eastAsia="zh-CN"/>
        </w:rPr>
        <w:t>3）</w:t>
      </w:r>
      <w:r>
        <w:rPr>
          <w:rFonts w:hint="eastAsia" w:ascii="宋体" w:hAnsi="宋体" w:eastAsia="宋体" w:cs="宋体"/>
          <w:color w:val="auto"/>
          <w:sz w:val="24"/>
          <w:szCs w:val="21"/>
        </w:rPr>
        <w:t>结论</w:t>
      </w:r>
    </w:p>
    <w:p w14:paraId="38E9BCD3">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1"/>
        </w:rPr>
        <w:t>综上所述，</w:t>
      </w:r>
      <w:r>
        <w:rPr>
          <w:rFonts w:hint="eastAsia" w:ascii="宋体" w:hAnsi="宋体" w:cs="宋体"/>
          <w:color w:val="auto"/>
          <w:sz w:val="24"/>
          <w:szCs w:val="21"/>
          <w:lang w:eastAsia="zh-CN"/>
        </w:rPr>
        <w:t>本项目</w:t>
      </w:r>
      <w:r>
        <w:rPr>
          <w:rFonts w:hint="eastAsia" w:ascii="宋体" w:hAnsi="宋体" w:eastAsia="宋体" w:cs="宋体"/>
          <w:color w:val="auto"/>
          <w:sz w:val="24"/>
          <w:szCs w:val="21"/>
        </w:rPr>
        <w:t>建成运行后产生的</w:t>
      </w:r>
      <w:r>
        <w:rPr>
          <w:rFonts w:hint="eastAsia" w:ascii="宋体" w:hAnsi="宋体" w:cs="宋体"/>
          <w:color w:val="auto"/>
          <w:sz w:val="24"/>
          <w:szCs w:val="21"/>
          <w:lang w:val="en-US" w:eastAsia="zh-CN"/>
        </w:rPr>
        <w:t>工频电场、工频磁场</w:t>
      </w:r>
      <w:r>
        <w:rPr>
          <w:rFonts w:hint="eastAsia" w:ascii="宋体" w:hAnsi="宋体" w:eastAsia="宋体" w:cs="宋体"/>
          <w:color w:val="auto"/>
          <w:sz w:val="24"/>
          <w:szCs w:val="21"/>
        </w:rPr>
        <w:t>能满足《电磁环境控制限值》</w:t>
      </w:r>
      <w:r>
        <w:rPr>
          <w:rFonts w:hint="eastAsia" w:ascii="宋体" w:hAnsi="宋体" w:cs="宋体"/>
          <w:color w:val="auto"/>
          <w:sz w:val="24"/>
          <w:szCs w:val="21"/>
          <w:lang w:eastAsia="zh-CN"/>
        </w:rPr>
        <w:t>（</w:t>
      </w:r>
      <w:r>
        <w:rPr>
          <w:rFonts w:hint="eastAsia" w:ascii="宋体" w:hAnsi="宋体" w:eastAsia="宋体" w:cs="宋体"/>
          <w:color w:val="auto"/>
          <w:sz w:val="24"/>
          <w:szCs w:val="21"/>
        </w:rPr>
        <w:t>GB8702-2014</w:t>
      </w:r>
      <w:r>
        <w:rPr>
          <w:rFonts w:hint="eastAsia" w:ascii="宋体" w:hAnsi="宋体" w:cs="宋体"/>
          <w:color w:val="auto"/>
          <w:sz w:val="24"/>
          <w:szCs w:val="21"/>
          <w:lang w:eastAsia="zh-CN"/>
        </w:rPr>
        <w:t>）</w:t>
      </w:r>
      <w:r>
        <w:rPr>
          <w:rFonts w:hint="eastAsia" w:ascii="宋体" w:hAnsi="宋体" w:eastAsia="宋体" w:cs="宋体"/>
          <w:color w:val="auto"/>
          <w:sz w:val="24"/>
          <w:szCs w:val="21"/>
        </w:rPr>
        <w:t>标准要求限值，项目对周边的电磁环境影响较小</w:t>
      </w:r>
      <w:r>
        <w:rPr>
          <w:rFonts w:hint="eastAsia" w:ascii="宋体" w:hAnsi="宋体" w:eastAsia="宋体" w:cs="宋体"/>
          <w:color w:val="auto"/>
          <w:kern w:val="2"/>
          <w:sz w:val="24"/>
          <w:szCs w:val="24"/>
          <w:lang w:val="en-US" w:eastAsia="zh-CN" w:bidi="ar-SA"/>
        </w:rPr>
        <w:t>。</w:t>
      </w:r>
    </w:p>
    <w:p w14:paraId="13752E5B">
      <w:pPr>
        <w:spacing w:line="360" w:lineRule="auto"/>
        <w:ind w:firstLine="480" w:firstLineChars="200"/>
        <w:rPr>
          <w:rFonts w:hint="eastAsia" w:ascii="宋体" w:hAnsi="宋体" w:eastAsia="宋体" w:cs="宋体"/>
          <w:color w:val="0000FF"/>
          <w:kern w:val="2"/>
          <w:sz w:val="24"/>
          <w:szCs w:val="24"/>
          <w:lang w:val="en-US" w:eastAsia="zh-CN" w:bidi="ar-SA"/>
        </w:rPr>
      </w:pPr>
    </w:p>
    <w:sectPr>
      <w:headerReference r:id="rId6" w:type="default"/>
      <w:footerReference r:id="rId7" w:type="default"/>
      <w:pgSz w:w="11906" w:h="16838"/>
      <w:pgMar w:top="1134" w:right="1134" w:bottom="1134" w:left="1134"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decorative"/>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angSong_GB2312">
    <w:altName w:val="仿宋"/>
    <w:panose1 w:val="00000000000000000000"/>
    <w:charset w:val="86"/>
    <w:family w:val="swiss"/>
    <w:pitch w:val="default"/>
    <w:sig w:usb0="00000000" w:usb1="00000000" w:usb2="00000000" w:usb3="00000000" w:csb0="00040000" w:csb1="00000000"/>
  </w:font>
  <w:font w:name="方正仿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_GBK">
    <w:altName w:val="Arial Unicode MS"/>
    <w:panose1 w:val="02000000000000000000"/>
    <w:charset w:val="86"/>
    <w:family w:val="script"/>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Wingdings 2">
    <w:panose1 w:val="05020102010507070707"/>
    <w:charset w:val="02"/>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7F336">
    <w:pPr>
      <w:pStyle w:val="1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FA8E1">
    <w:pPr>
      <w:pStyle w:val="19"/>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E4174B">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N5oBFfgAQAAwwMAAA4AAAAA&#10;AAAAAQAgAAAAHgEAAGRycy9lMm9Eb2MueG1sUEsFBgAAAAAGAAYAWQEAAHAFAAAAAA==&#10;">
              <v:fill on="f" focussize="0,0"/>
              <v:stroke on="f"/>
              <v:imagedata o:title=""/>
              <o:lock v:ext="edit" aspectratio="f"/>
              <v:textbox inset="0mm,0mm,0mm,0mm" style="mso-fit-shape-to-text:t;">
                <w:txbxContent>
                  <w:p w14:paraId="6CE4174B">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5E1B2">
    <w:pPr>
      <w:pStyle w:val="19"/>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E7044C">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51</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AaB16TgAQAAwwMAAA4AAAAA&#10;AAAAAQAgAAAAHgEAAGRycy9lMm9Eb2MueG1sUEsFBgAAAAAGAAYAWQEAAHAFAAAAAA==&#10;">
              <v:fill on="f" focussize="0,0"/>
              <v:stroke on="f"/>
              <v:imagedata o:title=""/>
              <o:lock v:ext="edit" aspectratio="f"/>
              <v:textbox inset="0mm,0mm,0mm,0mm" style="mso-fit-shape-to-text:t;">
                <w:txbxContent>
                  <w:p w14:paraId="04E7044C">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8A0CD">
    <w:pPr>
      <w:pStyle w:val="19"/>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2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AB1560">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205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EOY+xuIBAADDAwAADgAA&#10;AAAAAAABACAAAAAeAQAAZHJzL2Uyb0RvYy54bWxQSwUGAAAAAAYABgBZAQAAcgUAAAAA&#10;">
              <v:fill on="f" focussize="0,0"/>
              <v:stroke on="f"/>
              <v:imagedata o:title=""/>
              <o:lock v:ext="edit" aspectratio="f"/>
              <v:textbox inset="0mm,0mm,0mm,0mm" style="mso-fit-shape-to-text:t;">
                <w:txbxContent>
                  <w:p w14:paraId="07AB1560">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A892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6F0104"/>
    <w:multiLevelType w:val="singleLevel"/>
    <w:tmpl w:val="006F0104"/>
    <w:lvl w:ilvl="0" w:tentative="0">
      <w:start w:val="1"/>
      <w:numFmt w:val="decimal"/>
      <w:pStyle w:val="24"/>
      <w:lvlText w:val="%1."/>
      <w:lvlJc w:val="left"/>
      <w:pPr>
        <w:tabs>
          <w:tab w:val="left" w:pos="2040"/>
        </w:tabs>
        <w:ind w:left="2040" w:hanging="360"/>
      </w:pPr>
    </w:lvl>
  </w:abstractNum>
  <w:abstractNum w:abstractNumId="1">
    <w:nsid w:val="0C351101"/>
    <w:multiLevelType w:val="multilevel"/>
    <w:tmpl w:val="0C351101"/>
    <w:lvl w:ilvl="0" w:tentative="0">
      <w:start w:val="1"/>
      <w:numFmt w:val="decimal"/>
      <w:lvlText w:val="%1."/>
      <w:lvlJc w:val="left"/>
      <w:pPr>
        <w:tabs>
          <w:tab w:val="left" w:pos="425"/>
        </w:tabs>
        <w:ind w:left="425" w:hanging="425"/>
      </w:pPr>
      <w:rPr>
        <w:rFonts w:hint="eastAsia" w:ascii="宋体" w:hAnsi="宋体" w:eastAsia="宋体"/>
        <w:b/>
        <w:i w:val="0"/>
        <w:sz w:val="32"/>
        <w:szCs w:val="32"/>
      </w:rPr>
    </w:lvl>
    <w:lvl w:ilvl="1" w:tentative="0">
      <w:start w:val="1"/>
      <w:numFmt w:val="decimal"/>
      <w:lvlText w:val="%1.%2."/>
      <w:lvlJc w:val="left"/>
      <w:pPr>
        <w:tabs>
          <w:tab w:val="left" w:pos="567"/>
        </w:tabs>
        <w:ind w:left="567" w:hanging="567"/>
      </w:pPr>
      <w:rPr>
        <w:rFonts w:hint="eastAsia" w:ascii="宋体" w:hAnsi="宋体" w:eastAsia="宋体"/>
        <w:b/>
        <w:i w:val="0"/>
        <w:color w:val="auto"/>
        <w:sz w:val="30"/>
        <w:szCs w:val="30"/>
      </w:rPr>
    </w:lvl>
    <w:lvl w:ilvl="2" w:tentative="0">
      <w:start w:val="1"/>
      <w:numFmt w:val="decimal"/>
      <w:pStyle w:val="59"/>
      <w:lvlText w:val="%1.%2.%3."/>
      <w:lvlJc w:val="left"/>
      <w:pPr>
        <w:tabs>
          <w:tab w:val="left" w:pos="2552"/>
        </w:tabs>
        <w:ind w:left="709" w:hanging="709"/>
      </w:pPr>
      <w:rPr>
        <w:rFonts w:hint="eastAsia" w:ascii="宋体" w:hAnsi="宋体" w:eastAsia="宋体"/>
        <w:b/>
        <w:i w:val="0"/>
        <w:color w:val="auto"/>
        <w:sz w:val="28"/>
        <w:szCs w:val="28"/>
      </w:rPr>
    </w:lvl>
    <w:lvl w:ilvl="3" w:tentative="0">
      <w:start w:val="1"/>
      <w:numFmt w:val="decimal"/>
      <w:lvlText w:val="%1.%2.%3.%4."/>
      <w:lvlJc w:val="left"/>
      <w:pPr>
        <w:tabs>
          <w:tab w:val="left" w:pos="851"/>
        </w:tabs>
        <w:ind w:left="851" w:hanging="851"/>
      </w:pPr>
      <w:rPr>
        <w:rFonts w:hint="eastAsia" w:ascii="宋体" w:hAnsi="宋体" w:eastAsia="宋体"/>
        <w:b/>
        <w:i w:val="0"/>
        <w:color w:val="auto"/>
        <w:sz w:val="24"/>
        <w:szCs w:val="24"/>
      </w:rPr>
    </w:lvl>
    <w:lvl w:ilvl="4" w:tentative="0">
      <w:start w:val="1"/>
      <w:numFmt w:val="decimal"/>
      <w:lvlText w:val="%1.%2.%3.%4.%5."/>
      <w:lvlJc w:val="left"/>
      <w:pPr>
        <w:tabs>
          <w:tab w:val="left" w:pos="1832"/>
        </w:tabs>
        <w:ind w:left="1832" w:hanging="992"/>
      </w:pPr>
      <w:rPr>
        <w:rFonts w:hint="eastAsia" w:ascii="宋体" w:hAnsi="宋体" w:eastAsia="宋体"/>
        <w:b w:val="0"/>
        <w:color w:val="auto"/>
        <w:sz w:val="24"/>
        <w:szCs w:val="24"/>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01:;?T]}¨·ˇˉμ―‖’”…∶、。〃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4MmVkOTA1MjFjYzMwZWNmZGFhODliZDBjZWU4YWMifQ=="/>
  </w:docVars>
  <w:rsids>
    <w:rsidRoot w:val="00172A27"/>
    <w:rsid w:val="00001CED"/>
    <w:rsid w:val="00001E67"/>
    <w:rsid w:val="00003CD8"/>
    <w:rsid w:val="00006D33"/>
    <w:rsid w:val="00014965"/>
    <w:rsid w:val="0001523A"/>
    <w:rsid w:val="00016ECB"/>
    <w:rsid w:val="000269F6"/>
    <w:rsid w:val="00031939"/>
    <w:rsid w:val="00032D25"/>
    <w:rsid w:val="0005120D"/>
    <w:rsid w:val="0005219D"/>
    <w:rsid w:val="0005568F"/>
    <w:rsid w:val="0006153D"/>
    <w:rsid w:val="00061B1F"/>
    <w:rsid w:val="000664DB"/>
    <w:rsid w:val="0007127D"/>
    <w:rsid w:val="00071AE5"/>
    <w:rsid w:val="00074783"/>
    <w:rsid w:val="000801E0"/>
    <w:rsid w:val="00082A29"/>
    <w:rsid w:val="0008331D"/>
    <w:rsid w:val="00083C18"/>
    <w:rsid w:val="0008610A"/>
    <w:rsid w:val="00092899"/>
    <w:rsid w:val="000A178E"/>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27A68"/>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9146B"/>
    <w:rsid w:val="00194398"/>
    <w:rsid w:val="001A7D2A"/>
    <w:rsid w:val="001B574C"/>
    <w:rsid w:val="001C0AF9"/>
    <w:rsid w:val="001C155A"/>
    <w:rsid w:val="001C48C0"/>
    <w:rsid w:val="001D6726"/>
    <w:rsid w:val="001F3347"/>
    <w:rsid w:val="001F4440"/>
    <w:rsid w:val="001F6433"/>
    <w:rsid w:val="001F69E4"/>
    <w:rsid w:val="00206A65"/>
    <w:rsid w:val="00212D31"/>
    <w:rsid w:val="002130C7"/>
    <w:rsid w:val="002218A8"/>
    <w:rsid w:val="0022306D"/>
    <w:rsid w:val="00224A93"/>
    <w:rsid w:val="00226574"/>
    <w:rsid w:val="002278EC"/>
    <w:rsid w:val="002357C7"/>
    <w:rsid w:val="002367C4"/>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B49E2"/>
    <w:rsid w:val="002B7B00"/>
    <w:rsid w:val="002B7C44"/>
    <w:rsid w:val="002C1388"/>
    <w:rsid w:val="002C3C6A"/>
    <w:rsid w:val="002D42DB"/>
    <w:rsid w:val="002E1F3A"/>
    <w:rsid w:val="002E298A"/>
    <w:rsid w:val="002F02A4"/>
    <w:rsid w:val="002F272B"/>
    <w:rsid w:val="002F7C6D"/>
    <w:rsid w:val="003027E4"/>
    <w:rsid w:val="0030332C"/>
    <w:rsid w:val="00312296"/>
    <w:rsid w:val="0031340E"/>
    <w:rsid w:val="00316464"/>
    <w:rsid w:val="0032073A"/>
    <w:rsid w:val="00321D8E"/>
    <w:rsid w:val="00324DD8"/>
    <w:rsid w:val="00334996"/>
    <w:rsid w:val="00336969"/>
    <w:rsid w:val="00336C52"/>
    <w:rsid w:val="00341B3E"/>
    <w:rsid w:val="00341B42"/>
    <w:rsid w:val="00345154"/>
    <w:rsid w:val="0034560E"/>
    <w:rsid w:val="00350523"/>
    <w:rsid w:val="00352975"/>
    <w:rsid w:val="00356868"/>
    <w:rsid w:val="0036485B"/>
    <w:rsid w:val="00365CC8"/>
    <w:rsid w:val="00373B0D"/>
    <w:rsid w:val="00376988"/>
    <w:rsid w:val="00381203"/>
    <w:rsid w:val="00381A72"/>
    <w:rsid w:val="003A0914"/>
    <w:rsid w:val="003A1948"/>
    <w:rsid w:val="003B152A"/>
    <w:rsid w:val="003B545B"/>
    <w:rsid w:val="003D3EE9"/>
    <w:rsid w:val="003E7681"/>
    <w:rsid w:val="003F0809"/>
    <w:rsid w:val="003F611C"/>
    <w:rsid w:val="003F755C"/>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8030D"/>
    <w:rsid w:val="00582045"/>
    <w:rsid w:val="00590AE3"/>
    <w:rsid w:val="005913A1"/>
    <w:rsid w:val="005918F1"/>
    <w:rsid w:val="005A06B7"/>
    <w:rsid w:val="005A1759"/>
    <w:rsid w:val="005D0369"/>
    <w:rsid w:val="005D53FE"/>
    <w:rsid w:val="005D7A0F"/>
    <w:rsid w:val="005E0438"/>
    <w:rsid w:val="005E1791"/>
    <w:rsid w:val="005E2CE6"/>
    <w:rsid w:val="005E6324"/>
    <w:rsid w:val="005F228B"/>
    <w:rsid w:val="005F29CD"/>
    <w:rsid w:val="005F4DFB"/>
    <w:rsid w:val="005F6CC0"/>
    <w:rsid w:val="00603E5B"/>
    <w:rsid w:val="00604BC8"/>
    <w:rsid w:val="00615B4C"/>
    <w:rsid w:val="00615B5D"/>
    <w:rsid w:val="0062146F"/>
    <w:rsid w:val="00624A21"/>
    <w:rsid w:val="006343AF"/>
    <w:rsid w:val="0063634A"/>
    <w:rsid w:val="0064250D"/>
    <w:rsid w:val="006535EB"/>
    <w:rsid w:val="00663016"/>
    <w:rsid w:val="00674605"/>
    <w:rsid w:val="006748B8"/>
    <w:rsid w:val="0068535B"/>
    <w:rsid w:val="0068736E"/>
    <w:rsid w:val="0069290A"/>
    <w:rsid w:val="00697032"/>
    <w:rsid w:val="006975AC"/>
    <w:rsid w:val="006A15FB"/>
    <w:rsid w:val="006A72BF"/>
    <w:rsid w:val="006B332A"/>
    <w:rsid w:val="006B33BD"/>
    <w:rsid w:val="006C3F75"/>
    <w:rsid w:val="006D170E"/>
    <w:rsid w:val="006E06AF"/>
    <w:rsid w:val="006F1789"/>
    <w:rsid w:val="00706C5D"/>
    <w:rsid w:val="007118E6"/>
    <w:rsid w:val="00716C2C"/>
    <w:rsid w:val="007225C9"/>
    <w:rsid w:val="00735CD7"/>
    <w:rsid w:val="00754034"/>
    <w:rsid w:val="00754BF1"/>
    <w:rsid w:val="00755A30"/>
    <w:rsid w:val="00755E1C"/>
    <w:rsid w:val="00756556"/>
    <w:rsid w:val="0076132B"/>
    <w:rsid w:val="007623AE"/>
    <w:rsid w:val="00770B19"/>
    <w:rsid w:val="00774FA0"/>
    <w:rsid w:val="00776620"/>
    <w:rsid w:val="00777B6D"/>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FFB"/>
    <w:rsid w:val="00820568"/>
    <w:rsid w:val="00831A80"/>
    <w:rsid w:val="008332C8"/>
    <w:rsid w:val="00833743"/>
    <w:rsid w:val="008340A4"/>
    <w:rsid w:val="00836799"/>
    <w:rsid w:val="00837028"/>
    <w:rsid w:val="00837131"/>
    <w:rsid w:val="00845F57"/>
    <w:rsid w:val="008521E0"/>
    <w:rsid w:val="008525B0"/>
    <w:rsid w:val="00867CBC"/>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736D"/>
    <w:rsid w:val="00924A9D"/>
    <w:rsid w:val="009306C5"/>
    <w:rsid w:val="00931001"/>
    <w:rsid w:val="00931863"/>
    <w:rsid w:val="00933524"/>
    <w:rsid w:val="0094278D"/>
    <w:rsid w:val="00943741"/>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72C7"/>
    <w:rsid w:val="009B0897"/>
    <w:rsid w:val="009D0852"/>
    <w:rsid w:val="009D1FBF"/>
    <w:rsid w:val="009E399C"/>
    <w:rsid w:val="009E43C1"/>
    <w:rsid w:val="009E7E95"/>
    <w:rsid w:val="009F116F"/>
    <w:rsid w:val="009F329E"/>
    <w:rsid w:val="009F6832"/>
    <w:rsid w:val="009F7ED3"/>
    <w:rsid w:val="00A03607"/>
    <w:rsid w:val="00A047FF"/>
    <w:rsid w:val="00A04FEF"/>
    <w:rsid w:val="00A122CD"/>
    <w:rsid w:val="00A12A32"/>
    <w:rsid w:val="00A14248"/>
    <w:rsid w:val="00A14947"/>
    <w:rsid w:val="00A23DC5"/>
    <w:rsid w:val="00A34028"/>
    <w:rsid w:val="00A35568"/>
    <w:rsid w:val="00A37056"/>
    <w:rsid w:val="00A4358F"/>
    <w:rsid w:val="00A46F67"/>
    <w:rsid w:val="00A54AA1"/>
    <w:rsid w:val="00A568FF"/>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2C17"/>
    <w:rsid w:val="00AA4172"/>
    <w:rsid w:val="00AB1914"/>
    <w:rsid w:val="00AB5330"/>
    <w:rsid w:val="00AB7747"/>
    <w:rsid w:val="00AC2532"/>
    <w:rsid w:val="00AD1507"/>
    <w:rsid w:val="00AD5A70"/>
    <w:rsid w:val="00AD738B"/>
    <w:rsid w:val="00AE1BF4"/>
    <w:rsid w:val="00AE34B6"/>
    <w:rsid w:val="00AE5D97"/>
    <w:rsid w:val="00AE6794"/>
    <w:rsid w:val="00AF0C5F"/>
    <w:rsid w:val="00B01110"/>
    <w:rsid w:val="00B02262"/>
    <w:rsid w:val="00B03CEC"/>
    <w:rsid w:val="00B0507A"/>
    <w:rsid w:val="00B1209F"/>
    <w:rsid w:val="00B12AD0"/>
    <w:rsid w:val="00B24F30"/>
    <w:rsid w:val="00B31ABF"/>
    <w:rsid w:val="00B335AE"/>
    <w:rsid w:val="00B37CE1"/>
    <w:rsid w:val="00B40ACF"/>
    <w:rsid w:val="00B46BAA"/>
    <w:rsid w:val="00B50B5F"/>
    <w:rsid w:val="00B52085"/>
    <w:rsid w:val="00B54128"/>
    <w:rsid w:val="00B55826"/>
    <w:rsid w:val="00B60426"/>
    <w:rsid w:val="00B622DD"/>
    <w:rsid w:val="00B63522"/>
    <w:rsid w:val="00B76F1D"/>
    <w:rsid w:val="00B92A19"/>
    <w:rsid w:val="00B9544C"/>
    <w:rsid w:val="00BA29E9"/>
    <w:rsid w:val="00BB3618"/>
    <w:rsid w:val="00BC0C9E"/>
    <w:rsid w:val="00BC32DC"/>
    <w:rsid w:val="00BD1B51"/>
    <w:rsid w:val="00BD47F6"/>
    <w:rsid w:val="00BE312D"/>
    <w:rsid w:val="00BE3FCA"/>
    <w:rsid w:val="00C0153A"/>
    <w:rsid w:val="00C025D3"/>
    <w:rsid w:val="00C05719"/>
    <w:rsid w:val="00C10578"/>
    <w:rsid w:val="00C154B7"/>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E02CD"/>
    <w:rsid w:val="00CE10E9"/>
    <w:rsid w:val="00D0072E"/>
    <w:rsid w:val="00D15727"/>
    <w:rsid w:val="00D16332"/>
    <w:rsid w:val="00D17F01"/>
    <w:rsid w:val="00D24972"/>
    <w:rsid w:val="00D2515E"/>
    <w:rsid w:val="00D308ED"/>
    <w:rsid w:val="00D56178"/>
    <w:rsid w:val="00D56CF0"/>
    <w:rsid w:val="00D56F5C"/>
    <w:rsid w:val="00D704B1"/>
    <w:rsid w:val="00D70B63"/>
    <w:rsid w:val="00D72B92"/>
    <w:rsid w:val="00D72ED4"/>
    <w:rsid w:val="00D73F61"/>
    <w:rsid w:val="00D754C0"/>
    <w:rsid w:val="00D776A2"/>
    <w:rsid w:val="00D801C4"/>
    <w:rsid w:val="00D90836"/>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C5874"/>
    <w:rsid w:val="00ED192D"/>
    <w:rsid w:val="00ED2011"/>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61097"/>
    <w:rsid w:val="00F720ED"/>
    <w:rsid w:val="00F74345"/>
    <w:rsid w:val="00F74441"/>
    <w:rsid w:val="00F77F30"/>
    <w:rsid w:val="00F82589"/>
    <w:rsid w:val="00F82B19"/>
    <w:rsid w:val="00F90AA7"/>
    <w:rsid w:val="00F9212D"/>
    <w:rsid w:val="00FA301A"/>
    <w:rsid w:val="00FA406A"/>
    <w:rsid w:val="00FA5CB6"/>
    <w:rsid w:val="00FC3B51"/>
    <w:rsid w:val="00FC66AC"/>
    <w:rsid w:val="00FD18F4"/>
    <w:rsid w:val="00FD74B4"/>
    <w:rsid w:val="00FF6FCE"/>
    <w:rsid w:val="00FF7518"/>
    <w:rsid w:val="00FF7FD8"/>
    <w:rsid w:val="01045E5F"/>
    <w:rsid w:val="011A09DA"/>
    <w:rsid w:val="01261D8F"/>
    <w:rsid w:val="012651AE"/>
    <w:rsid w:val="01266135"/>
    <w:rsid w:val="012B7B8C"/>
    <w:rsid w:val="012F41F1"/>
    <w:rsid w:val="01395070"/>
    <w:rsid w:val="013B5C27"/>
    <w:rsid w:val="014D3082"/>
    <w:rsid w:val="015114F7"/>
    <w:rsid w:val="015B1E36"/>
    <w:rsid w:val="018408E0"/>
    <w:rsid w:val="01910B56"/>
    <w:rsid w:val="01966342"/>
    <w:rsid w:val="019D453E"/>
    <w:rsid w:val="01A97C5C"/>
    <w:rsid w:val="01AF2B3E"/>
    <w:rsid w:val="01B324C0"/>
    <w:rsid w:val="01CC6A4B"/>
    <w:rsid w:val="01E31EF2"/>
    <w:rsid w:val="01E9272C"/>
    <w:rsid w:val="01F32BA7"/>
    <w:rsid w:val="01F64D59"/>
    <w:rsid w:val="01FD609D"/>
    <w:rsid w:val="02047D15"/>
    <w:rsid w:val="020C733D"/>
    <w:rsid w:val="02134180"/>
    <w:rsid w:val="02134F75"/>
    <w:rsid w:val="02273D71"/>
    <w:rsid w:val="0258523C"/>
    <w:rsid w:val="02614A70"/>
    <w:rsid w:val="02654A08"/>
    <w:rsid w:val="0275375C"/>
    <w:rsid w:val="0288005D"/>
    <w:rsid w:val="029F01D2"/>
    <w:rsid w:val="02AB2869"/>
    <w:rsid w:val="02B20F9C"/>
    <w:rsid w:val="02BA3F8E"/>
    <w:rsid w:val="02C862FB"/>
    <w:rsid w:val="02CB26B7"/>
    <w:rsid w:val="02D76592"/>
    <w:rsid w:val="02DC78DA"/>
    <w:rsid w:val="02E32465"/>
    <w:rsid w:val="02FA0808"/>
    <w:rsid w:val="0308310C"/>
    <w:rsid w:val="030C2FFD"/>
    <w:rsid w:val="031034F1"/>
    <w:rsid w:val="0314394E"/>
    <w:rsid w:val="031B1912"/>
    <w:rsid w:val="03253AFD"/>
    <w:rsid w:val="032F2286"/>
    <w:rsid w:val="03311D63"/>
    <w:rsid w:val="03367AB9"/>
    <w:rsid w:val="033A770E"/>
    <w:rsid w:val="033D4E0C"/>
    <w:rsid w:val="034D253B"/>
    <w:rsid w:val="036E0EA6"/>
    <w:rsid w:val="03751C2F"/>
    <w:rsid w:val="0378426C"/>
    <w:rsid w:val="038169BF"/>
    <w:rsid w:val="0381775E"/>
    <w:rsid w:val="03A7667C"/>
    <w:rsid w:val="03B22FAE"/>
    <w:rsid w:val="03C03826"/>
    <w:rsid w:val="03C2043D"/>
    <w:rsid w:val="03C36112"/>
    <w:rsid w:val="03C74829"/>
    <w:rsid w:val="03CE3836"/>
    <w:rsid w:val="03DA2A45"/>
    <w:rsid w:val="03E01F05"/>
    <w:rsid w:val="03E06FAD"/>
    <w:rsid w:val="03FD1143"/>
    <w:rsid w:val="03FD379C"/>
    <w:rsid w:val="03FF7075"/>
    <w:rsid w:val="04063334"/>
    <w:rsid w:val="04071614"/>
    <w:rsid w:val="040B4826"/>
    <w:rsid w:val="040F5A2D"/>
    <w:rsid w:val="041E2994"/>
    <w:rsid w:val="04277439"/>
    <w:rsid w:val="042B4F89"/>
    <w:rsid w:val="04317FC8"/>
    <w:rsid w:val="0438160E"/>
    <w:rsid w:val="043D1311"/>
    <w:rsid w:val="044A7E04"/>
    <w:rsid w:val="044C5C71"/>
    <w:rsid w:val="045A13FD"/>
    <w:rsid w:val="0460236B"/>
    <w:rsid w:val="04697B99"/>
    <w:rsid w:val="046F1F5F"/>
    <w:rsid w:val="046F4A70"/>
    <w:rsid w:val="047E366C"/>
    <w:rsid w:val="04873D1C"/>
    <w:rsid w:val="048B4082"/>
    <w:rsid w:val="049843ED"/>
    <w:rsid w:val="04994265"/>
    <w:rsid w:val="049B0093"/>
    <w:rsid w:val="049B0D7F"/>
    <w:rsid w:val="04A64854"/>
    <w:rsid w:val="04AF74EB"/>
    <w:rsid w:val="04BB1619"/>
    <w:rsid w:val="04D56E5D"/>
    <w:rsid w:val="04DB0E6D"/>
    <w:rsid w:val="04E40B9F"/>
    <w:rsid w:val="04F11446"/>
    <w:rsid w:val="051A17B9"/>
    <w:rsid w:val="051F305E"/>
    <w:rsid w:val="053159A4"/>
    <w:rsid w:val="0532605E"/>
    <w:rsid w:val="05386C78"/>
    <w:rsid w:val="05550F48"/>
    <w:rsid w:val="055550F7"/>
    <w:rsid w:val="05561528"/>
    <w:rsid w:val="055A7363"/>
    <w:rsid w:val="05742AC8"/>
    <w:rsid w:val="058A606D"/>
    <w:rsid w:val="05924D4E"/>
    <w:rsid w:val="05962E92"/>
    <w:rsid w:val="05A0746B"/>
    <w:rsid w:val="05A33163"/>
    <w:rsid w:val="05A8685F"/>
    <w:rsid w:val="05AB0EDE"/>
    <w:rsid w:val="05B1352B"/>
    <w:rsid w:val="05C0366A"/>
    <w:rsid w:val="05C54122"/>
    <w:rsid w:val="05C76351"/>
    <w:rsid w:val="05D4275A"/>
    <w:rsid w:val="05D84E57"/>
    <w:rsid w:val="05F50D1B"/>
    <w:rsid w:val="05F602CB"/>
    <w:rsid w:val="05FD3B95"/>
    <w:rsid w:val="060209FA"/>
    <w:rsid w:val="06025CE4"/>
    <w:rsid w:val="060C11DA"/>
    <w:rsid w:val="060C4630"/>
    <w:rsid w:val="06271846"/>
    <w:rsid w:val="06303D19"/>
    <w:rsid w:val="06352F05"/>
    <w:rsid w:val="063E7D85"/>
    <w:rsid w:val="06403A8C"/>
    <w:rsid w:val="06415BF3"/>
    <w:rsid w:val="064D4F70"/>
    <w:rsid w:val="064E336B"/>
    <w:rsid w:val="06581122"/>
    <w:rsid w:val="066F6019"/>
    <w:rsid w:val="067270AB"/>
    <w:rsid w:val="06784151"/>
    <w:rsid w:val="06814138"/>
    <w:rsid w:val="06835468"/>
    <w:rsid w:val="068B583D"/>
    <w:rsid w:val="06905B97"/>
    <w:rsid w:val="06935222"/>
    <w:rsid w:val="06AB5D0A"/>
    <w:rsid w:val="06B06DC2"/>
    <w:rsid w:val="06C17047"/>
    <w:rsid w:val="06CD3C0A"/>
    <w:rsid w:val="06DC0592"/>
    <w:rsid w:val="06F7755F"/>
    <w:rsid w:val="06FB686B"/>
    <w:rsid w:val="070875E0"/>
    <w:rsid w:val="071E4B17"/>
    <w:rsid w:val="07211C3A"/>
    <w:rsid w:val="072745C1"/>
    <w:rsid w:val="07293586"/>
    <w:rsid w:val="07295285"/>
    <w:rsid w:val="07345188"/>
    <w:rsid w:val="073E3230"/>
    <w:rsid w:val="074A060E"/>
    <w:rsid w:val="07501660"/>
    <w:rsid w:val="076F4B3B"/>
    <w:rsid w:val="076F7F2B"/>
    <w:rsid w:val="07701FE7"/>
    <w:rsid w:val="07726416"/>
    <w:rsid w:val="07770C56"/>
    <w:rsid w:val="078323C8"/>
    <w:rsid w:val="07893338"/>
    <w:rsid w:val="078B0185"/>
    <w:rsid w:val="078B414B"/>
    <w:rsid w:val="0791248A"/>
    <w:rsid w:val="07952A31"/>
    <w:rsid w:val="07954E8E"/>
    <w:rsid w:val="07A87E8E"/>
    <w:rsid w:val="07B84A8E"/>
    <w:rsid w:val="07BF4BBD"/>
    <w:rsid w:val="07C152CB"/>
    <w:rsid w:val="07C27B17"/>
    <w:rsid w:val="07D65763"/>
    <w:rsid w:val="07E17AC7"/>
    <w:rsid w:val="07EF4126"/>
    <w:rsid w:val="08105471"/>
    <w:rsid w:val="08163393"/>
    <w:rsid w:val="081D2F34"/>
    <w:rsid w:val="082C4409"/>
    <w:rsid w:val="08300C57"/>
    <w:rsid w:val="08365202"/>
    <w:rsid w:val="08387E2F"/>
    <w:rsid w:val="083F6815"/>
    <w:rsid w:val="084456AD"/>
    <w:rsid w:val="0845576A"/>
    <w:rsid w:val="084A6E40"/>
    <w:rsid w:val="084E10EF"/>
    <w:rsid w:val="085A3509"/>
    <w:rsid w:val="08707513"/>
    <w:rsid w:val="08855E85"/>
    <w:rsid w:val="088E4F71"/>
    <w:rsid w:val="0898229E"/>
    <w:rsid w:val="0898267C"/>
    <w:rsid w:val="08AC6B30"/>
    <w:rsid w:val="08C91C3B"/>
    <w:rsid w:val="08D8516E"/>
    <w:rsid w:val="08DA2C94"/>
    <w:rsid w:val="08E12275"/>
    <w:rsid w:val="08E21B49"/>
    <w:rsid w:val="08F1151C"/>
    <w:rsid w:val="08F31FA8"/>
    <w:rsid w:val="09064388"/>
    <w:rsid w:val="090C665B"/>
    <w:rsid w:val="09102297"/>
    <w:rsid w:val="09211116"/>
    <w:rsid w:val="09213D2E"/>
    <w:rsid w:val="092217DD"/>
    <w:rsid w:val="09252E75"/>
    <w:rsid w:val="093A7294"/>
    <w:rsid w:val="094C3466"/>
    <w:rsid w:val="09504462"/>
    <w:rsid w:val="095B6962"/>
    <w:rsid w:val="09682321"/>
    <w:rsid w:val="09795D83"/>
    <w:rsid w:val="097A04A0"/>
    <w:rsid w:val="097A4F01"/>
    <w:rsid w:val="09871F82"/>
    <w:rsid w:val="099663EF"/>
    <w:rsid w:val="099D4EE6"/>
    <w:rsid w:val="09A6701A"/>
    <w:rsid w:val="09A911B7"/>
    <w:rsid w:val="09AB763A"/>
    <w:rsid w:val="09B50686"/>
    <w:rsid w:val="09B70870"/>
    <w:rsid w:val="09BB3BA4"/>
    <w:rsid w:val="09C25BCB"/>
    <w:rsid w:val="09C676BC"/>
    <w:rsid w:val="09C91E87"/>
    <w:rsid w:val="09CD4C7A"/>
    <w:rsid w:val="09EE19F9"/>
    <w:rsid w:val="09EE33B3"/>
    <w:rsid w:val="0A0A2439"/>
    <w:rsid w:val="0A194554"/>
    <w:rsid w:val="0A301CF2"/>
    <w:rsid w:val="0A320AD9"/>
    <w:rsid w:val="0A377BD8"/>
    <w:rsid w:val="0A3F6090"/>
    <w:rsid w:val="0A615A1D"/>
    <w:rsid w:val="0A6E5A3B"/>
    <w:rsid w:val="0A8575A7"/>
    <w:rsid w:val="0A862A6F"/>
    <w:rsid w:val="0A8B6AA9"/>
    <w:rsid w:val="0A9C600F"/>
    <w:rsid w:val="0AA06C0D"/>
    <w:rsid w:val="0AA20B60"/>
    <w:rsid w:val="0ABD79DF"/>
    <w:rsid w:val="0AC07487"/>
    <w:rsid w:val="0AC31D8A"/>
    <w:rsid w:val="0ACE2162"/>
    <w:rsid w:val="0ADB4023"/>
    <w:rsid w:val="0AE35C50"/>
    <w:rsid w:val="0AF153D7"/>
    <w:rsid w:val="0AFD710E"/>
    <w:rsid w:val="0B031BA3"/>
    <w:rsid w:val="0B217FB8"/>
    <w:rsid w:val="0B2513D3"/>
    <w:rsid w:val="0B2A75E6"/>
    <w:rsid w:val="0B3F1643"/>
    <w:rsid w:val="0B4D322F"/>
    <w:rsid w:val="0B5A1228"/>
    <w:rsid w:val="0B5A53C0"/>
    <w:rsid w:val="0B5C1DC0"/>
    <w:rsid w:val="0B5C5BE2"/>
    <w:rsid w:val="0B622454"/>
    <w:rsid w:val="0B767C1E"/>
    <w:rsid w:val="0B8F4805"/>
    <w:rsid w:val="0B9429CE"/>
    <w:rsid w:val="0BA12296"/>
    <w:rsid w:val="0BA4278E"/>
    <w:rsid w:val="0BAD166C"/>
    <w:rsid w:val="0BCA551D"/>
    <w:rsid w:val="0BD27BF6"/>
    <w:rsid w:val="0BDF05C2"/>
    <w:rsid w:val="0BE80453"/>
    <w:rsid w:val="0BF82918"/>
    <w:rsid w:val="0C0B7FB8"/>
    <w:rsid w:val="0C0E1CE7"/>
    <w:rsid w:val="0C116544"/>
    <w:rsid w:val="0C190E70"/>
    <w:rsid w:val="0C1E746F"/>
    <w:rsid w:val="0C230935"/>
    <w:rsid w:val="0C430B50"/>
    <w:rsid w:val="0C492A25"/>
    <w:rsid w:val="0C4C5E80"/>
    <w:rsid w:val="0C50563F"/>
    <w:rsid w:val="0C532EC5"/>
    <w:rsid w:val="0C535474"/>
    <w:rsid w:val="0C64130A"/>
    <w:rsid w:val="0C673C16"/>
    <w:rsid w:val="0C727F9D"/>
    <w:rsid w:val="0C7927C4"/>
    <w:rsid w:val="0C8022BE"/>
    <w:rsid w:val="0C8230F3"/>
    <w:rsid w:val="0C876DC5"/>
    <w:rsid w:val="0C8B01DF"/>
    <w:rsid w:val="0C911E3C"/>
    <w:rsid w:val="0CAB20AF"/>
    <w:rsid w:val="0CAE0F5E"/>
    <w:rsid w:val="0CAF5089"/>
    <w:rsid w:val="0CD02BA2"/>
    <w:rsid w:val="0CEC743A"/>
    <w:rsid w:val="0CED6048"/>
    <w:rsid w:val="0CFB3198"/>
    <w:rsid w:val="0D2C13C3"/>
    <w:rsid w:val="0D3760D3"/>
    <w:rsid w:val="0D3B5CCB"/>
    <w:rsid w:val="0D3F0134"/>
    <w:rsid w:val="0D411534"/>
    <w:rsid w:val="0D4B541A"/>
    <w:rsid w:val="0D6C40D7"/>
    <w:rsid w:val="0D6F5743"/>
    <w:rsid w:val="0D717C5C"/>
    <w:rsid w:val="0D766973"/>
    <w:rsid w:val="0D863F36"/>
    <w:rsid w:val="0D964FB8"/>
    <w:rsid w:val="0DDB3F7A"/>
    <w:rsid w:val="0DE35A67"/>
    <w:rsid w:val="0DEE7CE1"/>
    <w:rsid w:val="0DF00E4E"/>
    <w:rsid w:val="0E0A75A9"/>
    <w:rsid w:val="0E110D06"/>
    <w:rsid w:val="0E141988"/>
    <w:rsid w:val="0E260F48"/>
    <w:rsid w:val="0E3A72A6"/>
    <w:rsid w:val="0E433CCF"/>
    <w:rsid w:val="0E586AC8"/>
    <w:rsid w:val="0E627A00"/>
    <w:rsid w:val="0E6D4698"/>
    <w:rsid w:val="0E6D4D06"/>
    <w:rsid w:val="0E7A607B"/>
    <w:rsid w:val="0E7D0358"/>
    <w:rsid w:val="0E8E2EB6"/>
    <w:rsid w:val="0E987FA7"/>
    <w:rsid w:val="0EA77ABC"/>
    <w:rsid w:val="0EBB15BE"/>
    <w:rsid w:val="0ED27AE6"/>
    <w:rsid w:val="0EF21824"/>
    <w:rsid w:val="0EF53EC4"/>
    <w:rsid w:val="0EFC270F"/>
    <w:rsid w:val="0EFE5203"/>
    <w:rsid w:val="0F024BB4"/>
    <w:rsid w:val="0F087E2F"/>
    <w:rsid w:val="0F0B553C"/>
    <w:rsid w:val="0F113D06"/>
    <w:rsid w:val="0F13775A"/>
    <w:rsid w:val="0F183D9B"/>
    <w:rsid w:val="0F3173AF"/>
    <w:rsid w:val="0F36349D"/>
    <w:rsid w:val="0F3654AC"/>
    <w:rsid w:val="0F3872A9"/>
    <w:rsid w:val="0F3D38BD"/>
    <w:rsid w:val="0F4054D3"/>
    <w:rsid w:val="0F4518CF"/>
    <w:rsid w:val="0F45432C"/>
    <w:rsid w:val="0F512F5E"/>
    <w:rsid w:val="0F6E6861"/>
    <w:rsid w:val="0F77606B"/>
    <w:rsid w:val="0F7F2185"/>
    <w:rsid w:val="0F977B31"/>
    <w:rsid w:val="0F9A112B"/>
    <w:rsid w:val="0F9B582F"/>
    <w:rsid w:val="0FA20CD9"/>
    <w:rsid w:val="0FA54210"/>
    <w:rsid w:val="0FA763A6"/>
    <w:rsid w:val="0FAF2A38"/>
    <w:rsid w:val="0FB00BF3"/>
    <w:rsid w:val="0FB05663"/>
    <w:rsid w:val="0FC71A98"/>
    <w:rsid w:val="0FCF22DD"/>
    <w:rsid w:val="0FD4388F"/>
    <w:rsid w:val="0FD57485"/>
    <w:rsid w:val="0FE724C1"/>
    <w:rsid w:val="0FE8289F"/>
    <w:rsid w:val="0FF56590"/>
    <w:rsid w:val="0FF800B3"/>
    <w:rsid w:val="100F0474"/>
    <w:rsid w:val="10436C7E"/>
    <w:rsid w:val="104D2073"/>
    <w:rsid w:val="104E7D15"/>
    <w:rsid w:val="10584688"/>
    <w:rsid w:val="106D2F64"/>
    <w:rsid w:val="106D346F"/>
    <w:rsid w:val="10757746"/>
    <w:rsid w:val="107A4C09"/>
    <w:rsid w:val="10804DEA"/>
    <w:rsid w:val="10833A05"/>
    <w:rsid w:val="109C2F25"/>
    <w:rsid w:val="10A628C8"/>
    <w:rsid w:val="10AB4CF3"/>
    <w:rsid w:val="10AC5802"/>
    <w:rsid w:val="10AF0EAA"/>
    <w:rsid w:val="10AF1B6A"/>
    <w:rsid w:val="10B0473E"/>
    <w:rsid w:val="10B16976"/>
    <w:rsid w:val="10B63710"/>
    <w:rsid w:val="10B66C2D"/>
    <w:rsid w:val="10C0180E"/>
    <w:rsid w:val="10C5247C"/>
    <w:rsid w:val="10CA4035"/>
    <w:rsid w:val="10CB63FD"/>
    <w:rsid w:val="10D40911"/>
    <w:rsid w:val="10DE52EC"/>
    <w:rsid w:val="10EA1EE2"/>
    <w:rsid w:val="10F437C5"/>
    <w:rsid w:val="10FA5E09"/>
    <w:rsid w:val="1102722C"/>
    <w:rsid w:val="110415E7"/>
    <w:rsid w:val="110B2F7B"/>
    <w:rsid w:val="111753B0"/>
    <w:rsid w:val="111C2F7A"/>
    <w:rsid w:val="11236C5D"/>
    <w:rsid w:val="112A58E0"/>
    <w:rsid w:val="113013DE"/>
    <w:rsid w:val="11333D4A"/>
    <w:rsid w:val="113F2FD1"/>
    <w:rsid w:val="11473CBB"/>
    <w:rsid w:val="116023C1"/>
    <w:rsid w:val="11721084"/>
    <w:rsid w:val="11763776"/>
    <w:rsid w:val="11A042B8"/>
    <w:rsid w:val="11D8115F"/>
    <w:rsid w:val="11F931C6"/>
    <w:rsid w:val="11FC5C56"/>
    <w:rsid w:val="12004841"/>
    <w:rsid w:val="1207641F"/>
    <w:rsid w:val="120E5E65"/>
    <w:rsid w:val="12161B03"/>
    <w:rsid w:val="122218C5"/>
    <w:rsid w:val="12280079"/>
    <w:rsid w:val="122B06C2"/>
    <w:rsid w:val="123078F9"/>
    <w:rsid w:val="123275C5"/>
    <w:rsid w:val="12353EDC"/>
    <w:rsid w:val="12387850"/>
    <w:rsid w:val="12397514"/>
    <w:rsid w:val="12503FC7"/>
    <w:rsid w:val="125952F2"/>
    <w:rsid w:val="12595324"/>
    <w:rsid w:val="1278410D"/>
    <w:rsid w:val="127B2C2A"/>
    <w:rsid w:val="127C3F7B"/>
    <w:rsid w:val="128F21FA"/>
    <w:rsid w:val="12A130F5"/>
    <w:rsid w:val="12A2023E"/>
    <w:rsid w:val="12A500CE"/>
    <w:rsid w:val="12BE2094"/>
    <w:rsid w:val="12C56415"/>
    <w:rsid w:val="12DE2D61"/>
    <w:rsid w:val="12E47394"/>
    <w:rsid w:val="12F677FC"/>
    <w:rsid w:val="12FF650D"/>
    <w:rsid w:val="130F7D06"/>
    <w:rsid w:val="13107454"/>
    <w:rsid w:val="1327537F"/>
    <w:rsid w:val="132963A2"/>
    <w:rsid w:val="132E0A0A"/>
    <w:rsid w:val="133631BD"/>
    <w:rsid w:val="1346749D"/>
    <w:rsid w:val="135C4265"/>
    <w:rsid w:val="13622315"/>
    <w:rsid w:val="136610BA"/>
    <w:rsid w:val="136D350F"/>
    <w:rsid w:val="13797E4E"/>
    <w:rsid w:val="139305F8"/>
    <w:rsid w:val="13951726"/>
    <w:rsid w:val="139B4580"/>
    <w:rsid w:val="13A4156E"/>
    <w:rsid w:val="13B348AD"/>
    <w:rsid w:val="13BC0933"/>
    <w:rsid w:val="13BD2118"/>
    <w:rsid w:val="13C06BBB"/>
    <w:rsid w:val="13C46A1B"/>
    <w:rsid w:val="13CC60D1"/>
    <w:rsid w:val="13CE5DFA"/>
    <w:rsid w:val="13D42F38"/>
    <w:rsid w:val="13E42065"/>
    <w:rsid w:val="13E5773C"/>
    <w:rsid w:val="13FB2D47"/>
    <w:rsid w:val="14025BC9"/>
    <w:rsid w:val="14074B59"/>
    <w:rsid w:val="14075A41"/>
    <w:rsid w:val="141C2E80"/>
    <w:rsid w:val="14255A2F"/>
    <w:rsid w:val="142E6003"/>
    <w:rsid w:val="143907A3"/>
    <w:rsid w:val="14396509"/>
    <w:rsid w:val="143F2F22"/>
    <w:rsid w:val="14445DAD"/>
    <w:rsid w:val="1445127B"/>
    <w:rsid w:val="1447165C"/>
    <w:rsid w:val="1455222F"/>
    <w:rsid w:val="14566AF5"/>
    <w:rsid w:val="145D21F6"/>
    <w:rsid w:val="146F2E2A"/>
    <w:rsid w:val="1476308F"/>
    <w:rsid w:val="1478285A"/>
    <w:rsid w:val="147C7D5E"/>
    <w:rsid w:val="147E4E1C"/>
    <w:rsid w:val="14830684"/>
    <w:rsid w:val="1493761C"/>
    <w:rsid w:val="149765F1"/>
    <w:rsid w:val="149A6C9B"/>
    <w:rsid w:val="149B0E7A"/>
    <w:rsid w:val="149D2AE5"/>
    <w:rsid w:val="14CB5C5F"/>
    <w:rsid w:val="14CF1976"/>
    <w:rsid w:val="14D33674"/>
    <w:rsid w:val="14D902A4"/>
    <w:rsid w:val="14EA5343"/>
    <w:rsid w:val="14EE215F"/>
    <w:rsid w:val="14F819BD"/>
    <w:rsid w:val="14FF5A8F"/>
    <w:rsid w:val="150953F2"/>
    <w:rsid w:val="150E1797"/>
    <w:rsid w:val="15194B1C"/>
    <w:rsid w:val="151D6829"/>
    <w:rsid w:val="15220B30"/>
    <w:rsid w:val="1532322E"/>
    <w:rsid w:val="1538581F"/>
    <w:rsid w:val="15473B19"/>
    <w:rsid w:val="154A3A7E"/>
    <w:rsid w:val="154B16D9"/>
    <w:rsid w:val="156413A1"/>
    <w:rsid w:val="156B3C6D"/>
    <w:rsid w:val="156E2A7C"/>
    <w:rsid w:val="1579784D"/>
    <w:rsid w:val="157F52EF"/>
    <w:rsid w:val="15840B8A"/>
    <w:rsid w:val="159414DC"/>
    <w:rsid w:val="15950018"/>
    <w:rsid w:val="159A618C"/>
    <w:rsid w:val="15A11FB6"/>
    <w:rsid w:val="15AC39DD"/>
    <w:rsid w:val="15AC446C"/>
    <w:rsid w:val="15AE448B"/>
    <w:rsid w:val="15BC3E84"/>
    <w:rsid w:val="15CD17E8"/>
    <w:rsid w:val="15E46C06"/>
    <w:rsid w:val="15E72776"/>
    <w:rsid w:val="15E850F6"/>
    <w:rsid w:val="15E94D1E"/>
    <w:rsid w:val="15FF358F"/>
    <w:rsid w:val="16000CA3"/>
    <w:rsid w:val="16026040"/>
    <w:rsid w:val="160265C0"/>
    <w:rsid w:val="161139C0"/>
    <w:rsid w:val="1612678B"/>
    <w:rsid w:val="161C0D90"/>
    <w:rsid w:val="164248EB"/>
    <w:rsid w:val="16574529"/>
    <w:rsid w:val="165C7A79"/>
    <w:rsid w:val="165F2A06"/>
    <w:rsid w:val="166250D0"/>
    <w:rsid w:val="16656AB7"/>
    <w:rsid w:val="16795DF9"/>
    <w:rsid w:val="16814C30"/>
    <w:rsid w:val="16985F3D"/>
    <w:rsid w:val="16A3500D"/>
    <w:rsid w:val="16B4796E"/>
    <w:rsid w:val="16D5783C"/>
    <w:rsid w:val="16E225CF"/>
    <w:rsid w:val="17060FA6"/>
    <w:rsid w:val="170A41BE"/>
    <w:rsid w:val="17127A9D"/>
    <w:rsid w:val="172851B0"/>
    <w:rsid w:val="17295F4C"/>
    <w:rsid w:val="173B24D6"/>
    <w:rsid w:val="17522A09"/>
    <w:rsid w:val="176172F8"/>
    <w:rsid w:val="176629CF"/>
    <w:rsid w:val="176806C3"/>
    <w:rsid w:val="177249C4"/>
    <w:rsid w:val="17735226"/>
    <w:rsid w:val="177E1872"/>
    <w:rsid w:val="178D1819"/>
    <w:rsid w:val="17924ECF"/>
    <w:rsid w:val="17975A32"/>
    <w:rsid w:val="17BE056C"/>
    <w:rsid w:val="17C0399D"/>
    <w:rsid w:val="17C57205"/>
    <w:rsid w:val="17D3176A"/>
    <w:rsid w:val="17D70FE2"/>
    <w:rsid w:val="17E43279"/>
    <w:rsid w:val="17F3239B"/>
    <w:rsid w:val="17FE37D2"/>
    <w:rsid w:val="180170C8"/>
    <w:rsid w:val="18091A78"/>
    <w:rsid w:val="180F0ACF"/>
    <w:rsid w:val="18144267"/>
    <w:rsid w:val="18161906"/>
    <w:rsid w:val="182A292D"/>
    <w:rsid w:val="18447D17"/>
    <w:rsid w:val="1846058A"/>
    <w:rsid w:val="184B3AD5"/>
    <w:rsid w:val="184F150A"/>
    <w:rsid w:val="187730EF"/>
    <w:rsid w:val="187A3B4C"/>
    <w:rsid w:val="188C1593"/>
    <w:rsid w:val="18924D70"/>
    <w:rsid w:val="189D477D"/>
    <w:rsid w:val="189E4ED0"/>
    <w:rsid w:val="18A15ED9"/>
    <w:rsid w:val="18AE397F"/>
    <w:rsid w:val="18B13E45"/>
    <w:rsid w:val="18B43502"/>
    <w:rsid w:val="18BA47B7"/>
    <w:rsid w:val="18BE74D1"/>
    <w:rsid w:val="18C64FE3"/>
    <w:rsid w:val="18C731FF"/>
    <w:rsid w:val="18D6719E"/>
    <w:rsid w:val="18EC6C72"/>
    <w:rsid w:val="18FD2A24"/>
    <w:rsid w:val="19001606"/>
    <w:rsid w:val="1907594C"/>
    <w:rsid w:val="190B6E9A"/>
    <w:rsid w:val="191126CA"/>
    <w:rsid w:val="19125026"/>
    <w:rsid w:val="191739ED"/>
    <w:rsid w:val="195827BD"/>
    <w:rsid w:val="19662322"/>
    <w:rsid w:val="197B1200"/>
    <w:rsid w:val="197F201B"/>
    <w:rsid w:val="19835B18"/>
    <w:rsid w:val="199610A4"/>
    <w:rsid w:val="199943A1"/>
    <w:rsid w:val="19AA72EA"/>
    <w:rsid w:val="19BE68E4"/>
    <w:rsid w:val="19CB2ACB"/>
    <w:rsid w:val="19EA0C97"/>
    <w:rsid w:val="19F0723E"/>
    <w:rsid w:val="19F442B2"/>
    <w:rsid w:val="19FC3212"/>
    <w:rsid w:val="19FD6308"/>
    <w:rsid w:val="1A024D4A"/>
    <w:rsid w:val="1A191A23"/>
    <w:rsid w:val="1A1C66C0"/>
    <w:rsid w:val="1A1D4AAD"/>
    <w:rsid w:val="1A1E636B"/>
    <w:rsid w:val="1A376F99"/>
    <w:rsid w:val="1A3B555D"/>
    <w:rsid w:val="1A3E3E61"/>
    <w:rsid w:val="1A42393B"/>
    <w:rsid w:val="1A48485D"/>
    <w:rsid w:val="1A4C38BA"/>
    <w:rsid w:val="1A4C79D5"/>
    <w:rsid w:val="1A4F0731"/>
    <w:rsid w:val="1A606A2E"/>
    <w:rsid w:val="1A631921"/>
    <w:rsid w:val="1A703458"/>
    <w:rsid w:val="1A7D5D2D"/>
    <w:rsid w:val="1A82010F"/>
    <w:rsid w:val="1A822476"/>
    <w:rsid w:val="1A835480"/>
    <w:rsid w:val="1A894DFA"/>
    <w:rsid w:val="1A990AE3"/>
    <w:rsid w:val="1A9B5FFB"/>
    <w:rsid w:val="1AA03612"/>
    <w:rsid w:val="1AA50196"/>
    <w:rsid w:val="1AC1378B"/>
    <w:rsid w:val="1AC45552"/>
    <w:rsid w:val="1ACB4B33"/>
    <w:rsid w:val="1ACE362F"/>
    <w:rsid w:val="1AD04470"/>
    <w:rsid w:val="1AE003CE"/>
    <w:rsid w:val="1AE11148"/>
    <w:rsid w:val="1AE300CE"/>
    <w:rsid w:val="1AEF6FD0"/>
    <w:rsid w:val="1B046F80"/>
    <w:rsid w:val="1B107CF4"/>
    <w:rsid w:val="1B154000"/>
    <w:rsid w:val="1B1A6265"/>
    <w:rsid w:val="1B206AFF"/>
    <w:rsid w:val="1B262293"/>
    <w:rsid w:val="1B272C7E"/>
    <w:rsid w:val="1B277E3C"/>
    <w:rsid w:val="1B2B3823"/>
    <w:rsid w:val="1B32365B"/>
    <w:rsid w:val="1B3267B5"/>
    <w:rsid w:val="1B5164E1"/>
    <w:rsid w:val="1B536DDD"/>
    <w:rsid w:val="1B570174"/>
    <w:rsid w:val="1B580D6B"/>
    <w:rsid w:val="1B5C4E1E"/>
    <w:rsid w:val="1B602AC2"/>
    <w:rsid w:val="1B6801AB"/>
    <w:rsid w:val="1B68523E"/>
    <w:rsid w:val="1B6860EE"/>
    <w:rsid w:val="1B777C85"/>
    <w:rsid w:val="1B86196E"/>
    <w:rsid w:val="1B906F8F"/>
    <w:rsid w:val="1BA333BA"/>
    <w:rsid w:val="1BAF532C"/>
    <w:rsid w:val="1BB42798"/>
    <w:rsid w:val="1BB453DC"/>
    <w:rsid w:val="1BB61C5D"/>
    <w:rsid w:val="1BBE0FA1"/>
    <w:rsid w:val="1BBF0771"/>
    <w:rsid w:val="1BC25DC8"/>
    <w:rsid w:val="1BCD6F8D"/>
    <w:rsid w:val="1BD02C5C"/>
    <w:rsid w:val="1BD42491"/>
    <w:rsid w:val="1BD45C69"/>
    <w:rsid w:val="1BE1458F"/>
    <w:rsid w:val="1BE56C20"/>
    <w:rsid w:val="1BE70E4C"/>
    <w:rsid w:val="1C057BD0"/>
    <w:rsid w:val="1C0D11E8"/>
    <w:rsid w:val="1C220782"/>
    <w:rsid w:val="1C247235"/>
    <w:rsid w:val="1C277E36"/>
    <w:rsid w:val="1C330A51"/>
    <w:rsid w:val="1C3C37B9"/>
    <w:rsid w:val="1C4B597B"/>
    <w:rsid w:val="1C542906"/>
    <w:rsid w:val="1C590781"/>
    <w:rsid w:val="1C5E0518"/>
    <w:rsid w:val="1C5E7925"/>
    <w:rsid w:val="1C643C27"/>
    <w:rsid w:val="1C6D02DA"/>
    <w:rsid w:val="1C6E0849"/>
    <w:rsid w:val="1C79669C"/>
    <w:rsid w:val="1C887FC8"/>
    <w:rsid w:val="1C8E5E18"/>
    <w:rsid w:val="1C9A72FC"/>
    <w:rsid w:val="1C9B7DA7"/>
    <w:rsid w:val="1CA728DC"/>
    <w:rsid w:val="1CB23344"/>
    <w:rsid w:val="1CC20B4A"/>
    <w:rsid w:val="1CC874FC"/>
    <w:rsid w:val="1CC87F00"/>
    <w:rsid w:val="1CD66D94"/>
    <w:rsid w:val="1CFD561E"/>
    <w:rsid w:val="1D0C415A"/>
    <w:rsid w:val="1D1D6529"/>
    <w:rsid w:val="1D532BBD"/>
    <w:rsid w:val="1D567ADF"/>
    <w:rsid w:val="1D5762D0"/>
    <w:rsid w:val="1D5F6196"/>
    <w:rsid w:val="1D6132A5"/>
    <w:rsid w:val="1D6C281B"/>
    <w:rsid w:val="1D6D31ED"/>
    <w:rsid w:val="1D7959B1"/>
    <w:rsid w:val="1D7A6AFB"/>
    <w:rsid w:val="1D80552D"/>
    <w:rsid w:val="1D835BCF"/>
    <w:rsid w:val="1D8A604B"/>
    <w:rsid w:val="1D8C1D47"/>
    <w:rsid w:val="1D8D5B5B"/>
    <w:rsid w:val="1D8E56D5"/>
    <w:rsid w:val="1D935160"/>
    <w:rsid w:val="1DB03E60"/>
    <w:rsid w:val="1DB449D3"/>
    <w:rsid w:val="1DC83986"/>
    <w:rsid w:val="1DCB2B29"/>
    <w:rsid w:val="1DCB4E4A"/>
    <w:rsid w:val="1DCF7169"/>
    <w:rsid w:val="1DD81A59"/>
    <w:rsid w:val="1DE026A3"/>
    <w:rsid w:val="1DE4715F"/>
    <w:rsid w:val="1DEB22D4"/>
    <w:rsid w:val="1DF47EFC"/>
    <w:rsid w:val="1E0004E8"/>
    <w:rsid w:val="1E021A33"/>
    <w:rsid w:val="1E025DCE"/>
    <w:rsid w:val="1E0B5677"/>
    <w:rsid w:val="1E0C5E01"/>
    <w:rsid w:val="1E0F6275"/>
    <w:rsid w:val="1E227E0F"/>
    <w:rsid w:val="1E287152"/>
    <w:rsid w:val="1E3318A9"/>
    <w:rsid w:val="1E5064AC"/>
    <w:rsid w:val="1E5773F8"/>
    <w:rsid w:val="1E65295C"/>
    <w:rsid w:val="1E694901"/>
    <w:rsid w:val="1E7868B8"/>
    <w:rsid w:val="1E7A3E87"/>
    <w:rsid w:val="1E7A43DA"/>
    <w:rsid w:val="1E7D4396"/>
    <w:rsid w:val="1E8C282B"/>
    <w:rsid w:val="1E8E60CB"/>
    <w:rsid w:val="1E9112BD"/>
    <w:rsid w:val="1E933BB9"/>
    <w:rsid w:val="1E981472"/>
    <w:rsid w:val="1E9B077F"/>
    <w:rsid w:val="1EA01E32"/>
    <w:rsid w:val="1EAE27A1"/>
    <w:rsid w:val="1EB277FE"/>
    <w:rsid w:val="1EBB649F"/>
    <w:rsid w:val="1EC117B6"/>
    <w:rsid w:val="1EC863DD"/>
    <w:rsid w:val="1EF35AD1"/>
    <w:rsid w:val="1F101694"/>
    <w:rsid w:val="1F1D792B"/>
    <w:rsid w:val="1F2D476D"/>
    <w:rsid w:val="1F2D630C"/>
    <w:rsid w:val="1F310E75"/>
    <w:rsid w:val="1F460A77"/>
    <w:rsid w:val="1F484BBE"/>
    <w:rsid w:val="1F4E21DE"/>
    <w:rsid w:val="1F536EA5"/>
    <w:rsid w:val="1F5E0771"/>
    <w:rsid w:val="1F613BBB"/>
    <w:rsid w:val="1F643AF4"/>
    <w:rsid w:val="1F6958CF"/>
    <w:rsid w:val="1F6C10D1"/>
    <w:rsid w:val="1F766AF6"/>
    <w:rsid w:val="1F784B5D"/>
    <w:rsid w:val="1F7A4D66"/>
    <w:rsid w:val="1F8D4BA2"/>
    <w:rsid w:val="1F9279CD"/>
    <w:rsid w:val="1FA567BD"/>
    <w:rsid w:val="1FAD2A59"/>
    <w:rsid w:val="1FB90739"/>
    <w:rsid w:val="1FC021DB"/>
    <w:rsid w:val="1FC34F70"/>
    <w:rsid w:val="1FC44D3D"/>
    <w:rsid w:val="1FCD6AB7"/>
    <w:rsid w:val="1FCF3212"/>
    <w:rsid w:val="1FD94C0F"/>
    <w:rsid w:val="1FDD7E15"/>
    <w:rsid w:val="1FE7539E"/>
    <w:rsid w:val="1FE775E2"/>
    <w:rsid w:val="20014261"/>
    <w:rsid w:val="2007660D"/>
    <w:rsid w:val="200F04EC"/>
    <w:rsid w:val="2031368A"/>
    <w:rsid w:val="20325E5D"/>
    <w:rsid w:val="204033EC"/>
    <w:rsid w:val="20436F19"/>
    <w:rsid w:val="204A10DD"/>
    <w:rsid w:val="204F0899"/>
    <w:rsid w:val="20615D95"/>
    <w:rsid w:val="20764A5C"/>
    <w:rsid w:val="20786F20"/>
    <w:rsid w:val="207D1939"/>
    <w:rsid w:val="208732AA"/>
    <w:rsid w:val="208F34A0"/>
    <w:rsid w:val="20963CB8"/>
    <w:rsid w:val="209E7FCE"/>
    <w:rsid w:val="20A83220"/>
    <w:rsid w:val="20AF0E51"/>
    <w:rsid w:val="20B07FB6"/>
    <w:rsid w:val="20BA06D4"/>
    <w:rsid w:val="20BC220E"/>
    <w:rsid w:val="20BC2B62"/>
    <w:rsid w:val="20C1710A"/>
    <w:rsid w:val="20CD7DF2"/>
    <w:rsid w:val="20D373DF"/>
    <w:rsid w:val="20DD0925"/>
    <w:rsid w:val="20EE6C5F"/>
    <w:rsid w:val="20FA1279"/>
    <w:rsid w:val="21053A8A"/>
    <w:rsid w:val="210565E8"/>
    <w:rsid w:val="2107693C"/>
    <w:rsid w:val="2132518A"/>
    <w:rsid w:val="21350F58"/>
    <w:rsid w:val="213B74B1"/>
    <w:rsid w:val="213E5D30"/>
    <w:rsid w:val="215A2310"/>
    <w:rsid w:val="215D662A"/>
    <w:rsid w:val="21611D4D"/>
    <w:rsid w:val="21634A3F"/>
    <w:rsid w:val="2176125C"/>
    <w:rsid w:val="217A2E0F"/>
    <w:rsid w:val="217F4F84"/>
    <w:rsid w:val="2181622E"/>
    <w:rsid w:val="2184538B"/>
    <w:rsid w:val="21871088"/>
    <w:rsid w:val="218913B7"/>
    <w:rsid w:val="218D388F"/>
    <w:rsid w:val="219C405D"/>
    <w:rsid w:val="21A67785"/>
    <w:rsid w:val="21AB6F0B"/>
    <w:rsid w:val="21B62569"/>
    <w:rsid w:val="21B64537"/>
    <w:rsid w:val="21B93937"/>
    <w:rsid w:val="21BF6A73"/>
    <w:rsid w:val="21C17A2A"/>
    <w:rsid w:val="21CE1201"/>
    <w:rsid w:val="21DE318A"/>
    <w:rsid w:val="21E44EBF"/>
    <w:rsid w:val="21E62230"/>
    <w:rsid w:val="21E64000"/>
    <w:rsid w:val="21EF5B80"/>
    <w:rsid w:val="22034DC1"/>
    <w:rsid w:val="22094DFE"/>
    <w:rsid w:val="220B38F3"/>
    <w:rsid w:val="22154CA5"/>
    <w:rsid w:val="22165A82"/>
    <w:rsid w:val="222C060F"/>
    <w:rsid w:val="222C49E4"/>
    <w:rsid w:val="222E6249"/>
    <w:rsid w:val="22391B03"/>
    <w:rsid w:val="223E2BC2"/>
    <w:rsid w:val="22406FF0"/>
    <w:rsid w:val="22471972"/>
    <w:rsid w:val="22576990"/>
    <w:rsid w:val="2259667B"/>
    <w:rsid w:val="225B2C40"/>
    <w:rsid w:val="22632C76"/>
    <w:rsid w:val="228358ED"/>
    <w:rsid w:val="228F661B"/>
    <w:rsid w:val="22927FD6"/>
    <w:rsid w:val="229C4EAB"/>
    <w:rsid w:val="229F2BE7"/>
    <w:rsid w:val="22BE3E20"/>
    <w:rsid w:val="22D32EC5"/>
    <w:rsid w:val="22D54809"/>
    <w:rsid w:val="22DC0C58"/>
    <w:rsid w:val="22E242DF"/>
    <w:rsid w:val="22EB6E3C"/>
    <w:rsid w:val="22F67187"/>
    <w:rsid w:val="232C6885"/>
    <w:rsid w:val="23334E08"/>
    <w:rsid w:val="233537DF"/>
    <w:rsid w:val="23477509"/>
    <w:rsid w:val="234A6F70"/>
    <w:rsid w:val="234C074B"/>
    <w:rsid w:val="235B3A93"/>
    <w:rsid w:val="235C099A"/>
    <w:rsid w:val="235E4F3C"/>
    <w:rsid w:val="23612490"/>
    <w:rsid w:val="237356E6"/>
    <w:rsid w:val="237B4B4B"/>
    <w:rsid w:val="237C2E6E"/>
    <w:rsid w:val="23BC290A"/>
    <w:rsid w:val="23E762E7"/>
    <w:rsid w:val="23E948B8"/>
    <w:rsid w:val="23EA0F67"/>
    <w:rsid w:val="23EF189F"/>
    <w:rsid w:val="23FE6D4D"/>
    <w:rsid w:val="240B2DB2"/>
    <w:rsid w:val="242428F9"/>
    <w:rsid w:val="24277B10"/>
    <w:rsid w:val="2429193D"/>
    <w:rsid w:val="242D0B81"/>
    <w:rsid w:val="242D6581"/>
    <w:rsid w:val="24302D61"/>
    <w:rsid w:val="2449200F"/>
    <w:rsid w:val="24591B8E"/>
    <w:rsid w:val="24595A2F"/>
    <w:rsid w:val="24622B43"/>
    <w:rsid w:val="246B6A3F"/>
    <w:rsid w:val="246F29D3"/>
    <w:rsid w:val="247A27CC"/>
    <w:rsid w:val="247C0307"/>
    <w:rsid w:val="24800324"/>
    <w:rsid w:val="248025F1"/>
    <w:rsid w:val="248A43F9"/>
    <w:rsid w:val="248C0DC6"/>
    <w:rsid w:val="248D10AB"/>
    <w:rsid w:val="248E341F"/>
    <w:rsid w:val="24937D3A"/>
    <w:rsid w:val="249B7C1B"/>
    <w:rsid w:val="249C2661"/>
    <w:rsid w:val="24AC2378"/>
    <w:rsid w:val="24B640AD"/>
    <w:rsid w:val="24B646CD"/>
    <w:rsid w:val="24B83630"/>
    <w:rsid w:val="24C9709F"/>
    <w:rsid w:val="24F42ED8"/>
    <w:rsid w:val="24FA3EBD"/>
    <w:rsid w:val="252D53FE"/>
    <w:rsid w:val="25327ABE"/>
    <w:rsid w:val="25332838"/>
    <w:rsid w:val="25494FD2"/>
    <w:rsid w:val="255843BD"/>
    <w:rsid w:val="257937A7"/>
    <w:rsid w:val="2581631E"/>
    <w:rsid w:val="25822CDA"/>
    <w:rsid w:val="259A582D"/>
    <w:rsid w:val="25A60FA9"/>
    <w:rsid w:val="25AB5421"/>
    <w:rsid w:val="25C47D35"/>
    <w:rsid w:val="25C856A3"/>
    <w:rsid w:val="25CD5C03"/>
    <w:rsid w:val="25EA0330"/>
    <w:rsid w:val="25EC2D81"/>
    <w:rsid w:val="25EC4C28"/>
    <w:rsid w:val="25F66094"/>
    <w:rsid w:val="26034CFA"/>
    <w:rsid w:val="26091805"/>
    <w:rsid w:val="260C14C5"/>
    <w:rsid w:val="26156D1F"/>
    <w:rsid w:val="261D333B"/>
    <w:rsid w:val="262D7303"/>
    <w:rsid w:val="263B4D30"/>
    <w:rsid w:val="263B79B6"/>
    <w:rsid w:val="26442509"/>
    <w:rsid w:val="264528BD"/>
    <w:rsid w:val="264609E0"/>
    <w:rsid w:val="26473DB2"/>
    <w:rsid w:val="264F2A86"/>
    <w:rsid w:val="26582F2B"/>
    <w:rsid w:val="265E2CFF"/>
    <w:rsid w:val="265E59AE"/>
    <w:rsid w:val="26625DC2"/>
    <w:rsid w:val="268078EB"/>
    <w:rsid w:val="26841F2E"/>
    <w:rsid w:val="268427CE"/>
    <w:rsid w:val="2695133D"/>
    <w:rsid w:val="269F0C21"/>
    <w:rsid w:val="26AB2F4C"/>
    <w:rsid w:val="26AF7F89"/>
    <w:rsid w:val="26BA7B6D"/>
    <w:rsid w:val="26BE07F5"/>
    <w:rsid w:val="26C3214F"/>
    <w:rsid w:val="26D624FC"/>
    <w:rsid w:val="26E31456"/>
    <w:rsid w:val="26E71E05"/>
    <w:rsid w:val="26EF2273"/>
    <w:rsid w:val="26FA2333"/>
    <w:rsid w:val="27003DB6"/>
    <w:rsid w:val="2709248C"/>
    <w:rsid w:val="270D3269"/>
    <w:rsid w:val="27163B58"/>
    <w:rsid w:val="271C69DA"/>
    <w:rsid w:val="2728241B"/>
    <w:rsid w:val="272D085F"/>
    <w:rsid w:val="273729F5"/>
    <w:rsid w:val="27392A3D"/>
    <w:rsid w:val="273967E4"/>
    <w:rsid w:val="27473793"/>
    <w:rsid w:val="27596AF4"/>
    <w:rsid w:val="275D67E7"/>
    <w:rsid w:val="275E154A"/>
    <w:rsid w:val="27645D45"/>
    <w:rsid w:val="27655155"/>
    <w:rsid w:val="27702CEA"/>
    <w:rsid w:val="277F236A"/>
    <w:rsid w:val="2795446D"/>
    <w:rsid w:val="27B5527A"/>
    <w:rsid w:val="27BC5F2F"/>
    <w:rsid w:val="27D15DD1"/>
    <w:rsid w:val="27D50D9F"/>
    <w:rsid w:val="27DF1BE6"/>
    <w:rsid w:val="27E30BF3"/>
    <w:rsid w:val="28057F64"/>
    <w:rsid w:val="2816013D"/>
    <w:rsid w:val="28175F44"/>
    <w:rsid w:val="281D23A5"/>
    <w:rsid w:val="28221B0A"/>
    <w:rsid w:val="2826663B"/>
    <w:rsid w:val="2829159E"/>
    <w:rsid w:val="283B3937"/>
    <w:rsid w:val="284010F9"/>
    <w:rsid w:val="284512AC"/>
    <w:rsid w:val="28485A15"/>
    <w:rsid w:val="284B1972"/>
    <w:rsid w:val="286E0D92"/>
    <w:rsid w:val="2872525A"/>
    <w:rsid w:val="28814C63"/>
    <w:rsid w:val="28942A08"/>
    <w:rsid w:val="28A76295"/>
    <w:rsid w:val="28B56831"/>
    <w:rsid w:val="28DC41D1"/>
    <w:rsid w:val="28DE11AD"/>
    <w:rsid w:val="28DE1ED5"/>
    <w:rsid w:val="28E847B7"/>
    <w:rsid w:val="28F74DDB"/>
    <w:rsid w:val="29014000"/>
    <w:rsid w:val="29083CA6"/>
    <w:rsid w:val="29085C1A"/>
    <w:rsid w:val="290A6638"/>
    <w:rsid w:val="290B4394"/>
    <w:rsid w:val="290C7B25"/>
    <w:rsid w:val="291520C8"/>
    <w:rsid w:val="291678C1"/>
    <w:rsid w:val="2917217F"/>
    <w:rsid w:val="291A7378"/>
    <w:rsid w:val="29206EB8"/>
    <w:rsid w:val="292E22DB"/>
    <w:rsid w:val="293959A8"/>
    <w:rsid w:val="293A3F76"/>
    <w:rsid w:val="293D7310"/>
    <w:rsid w:val="294A70D0"/>
    <w:rsid w:val="294F7233"/>
    <w:rsid w:val="2950392D"/>
    <w:rsid w:val="296B65D9"/>
    <w:rsid w:val="29743A4F"/>
    <w:rsid w:val="297F28B5"/>
    <w:rsid w:val="29837108"/>
    <w:rsid w:val="2987256D"/>
    <w:rsid w:val="299F5879"/>
    <w:rsid w:val="299F641D"/>
    <w:rsid w:val="29A34C56"/>
    <w:rsid w:val="29AA1DB7"/>
    <w:rsid w:val="29AA594D"/>
    <w:rsid w:val="29B536C8"/>
    <w:rsid w:val="29C05763"/>
    <w:rsid w:val="29D076F8"/>
    <w:rsid w:val="29D40AC8"/>
    <w:rsid w:val="29D474C0"/>
    <w:rsid w:val="29D947CA"/>
    <w:rsid w:val="29DD2D0C"/>
    <w:rsid w:val="29E325E0"/>
    <w:rsid w:val="29E75E57"/>
    <w:rsid w:val="29EB0019"/>
    <w:rsid w:val="29F33307"/>
    <w:rsid w:val="29F872C7"/>
    <w:rsid w:val="2A075596"/>
    <w:rsid w:val="2A0B7A33"/>
    <w:rsid w:val="2A0F77B2"/>
    <w:rsid w:val="2A145811"/>
    <w:rsid w:val="2A280658"/>
    <w:rsid w:val="2A2F60F2"/>
    <w:rsid w:val="2A452503"/>
    <w:rsid w:val="2A4B1262"/>
    <w:rsid w:val="2A556482"/>
    <w:rsid w:val="2A59716D"/>
    <w:rsid w:val="2A774EF8"/>
    <w:rsid w:val="2A7C077E"/>
    <w:rsid w:val="2A7C1FE6"/>
    <w:rsid w:val="2A7F5DA0"/>
    <w:rsid w:val="2A88607D"/>
    <w:rsid w:val="2A923081"/>
    <w:rsid w:val="2A9C3C01"/>
    <w:rsid w:val="2AA231D8"/>
    <w:rsid w:val="2AA639A6"/>
    <w:rsid w:val="2ACD2201"/>
    <w:rsid w:val="2AD40762"/>
    <w:rsid w:val="2ADD74BB"/>
    <w:rsid w:val="2AEA1CFE"/>
    <w:rsid w:val="2AED1EF0"/>
    <w:rsid w:val="2AEF6FDC"/>
    <w:rsid w:val="2AF17E49"/>
    <w:rsid w:val="2AFD46E2"/>
    <w:rsid w:val="2B037418"/>
    <w:rsid w:val="2B0C3BF4"/>
    <w:rsid w:val="2B0F6D92"/>
    <w:rsid w:val="2B297CB4"/>
    <w:rsid w:val="2B31182E"/>
    <w:rsid w:val="2B321A8C"/>
    <w:rsid w:val="2B383234"/>
    <w:rsid w:val="2B440085"/>
    <w:rsid w:val="2B543F55"/>
    <w:rsid w:val="2B574D40"/>
    <w:rsid w:val="2B5F0725"/>
    <w:rsid w:val="2B614ABA"/>
    <w:rsid w:val="2B677702"/>
    <w:rsid w:val="2B6B0126"/>
    <w:rsid w:val="2B6B1FE7"/>
    <w:rsid w:val="2B8D0631"/>
    <w:rsid w:val="2BA052E9"/>
    <w:rsid w:val="2BA936A8"/>
    <w:rsid w:val="2BB1567F"/>
    <w:rsid w:val="2BCE4565"/>
    <w:rsid w:val="2BD73D9E"/>
    <w:rsid w:val="2BD813DB"/>
    <w:rsid w:val="2BDB094E"/>
    <w:rsid w:val="2BE05B02"/>
    <w:rsid w:val="2BE377E6"/>
    <w:rsid w:val="2C00146E"/>
    <w:rsid w:val="2C07313B"/>
    <w:rsid w:val="2C0C185A"/>
    <w:rsid w:val="2C1D1E2E"/>
    <w:rsid w:val="2C315A5A"/>
    <w:rsid w:val="2C370C8E"/>
    <w:rsid w:val="2C5564FC"/>
    <w:rsid w:val="2C6249B9"/>
    <w:rsid w:val="2C671E97"/>
    <w:rsid w:val="2C6A6908"/>
    <w:rsid w:val="2C895DDB"/>
    <w:rsid w:val="2C963BB6"/>
    <w:rsid w:val="2C98683F"/>
    <w:rsid w:val="2CA13945"/>
    <w:rsid w:val="2CB63865"/>
    <w:rsid w:val="2CC822C4"/>
    <w:rsid w:val="2CCB755C"/>
    <w:rsid w:val="2CCC0C95"/>
    <w:rsid w:val="2CCD66F4"/>
    <w:rsid w:val="2CDF7FCA"/>
    <w:rsid w:val="2CE70E10"/>
    <w:rsid w:val="2CE911A9"/>
    <w:rsid w:val="2CEE7E25"/>
    <w:rsid w:val="2CF9155B"/>
    <w:rsid w:val="2D0D4B37"/>
    <w:rsid w:val="2D151F27"/>
    <w:rsid w:val="2D214C54"/>
    <w:rsid w:val="2D216895"/>
    <w:rsid w:val="2D2C76B3"/>
    <w:rsid w:val="2D352824"/>
    <w:rsid w:val="2D425299"/>
    <w:rsid w:val="2D4568EB"/>
    <w:rsid w:val="2D4C2E1A"/>
    <w:rsid w:val="2D4C2FDD"/>
    <w:rsid w:val="2D4E6C0B"/>
    <w:rsid w:val="2D555AAF"/>
    <w:rsid w:val="2D5A23FE"/>
    <w:rsid w:val="2D5A3528"/>
    <w:rsid w:val="2D650E6F"/>
    <w:rsid w:val="2D651D2D"/>
    <w:rsid w:val="2D6C1FE6"/>
    <w:rsid w:val="2D7E3394"/>
    <w:rsid w:val="2D7F7F97"/>
    <w:rsid w:val="2D8114FD"/>
    <w:rsid w:val="2D841AC7"/>
    <w:rsid w:val="2D8D7919"/>
    <w:rsid w:val="2D9D1D32"/>
    <w:rsid w:val="2D9E56F5"/>
    <w:rsid w:val="2DBA62CC"/>
    <w:rsid w:val="2DC3263D"/>
    <w:rsid w:val="2DD438A6"/>
    <w:rsid w:val="2DD65871"/>
    <w:rsid w:val="2DD77C6D"/>
    <w:rsid w:val="2DE5066F"/>
    <w:rsid w:val="2DEC0BA6"/>
    <w:rsid w:val="2DEF5A1F"/>
    <w:rsid w:val="2DF66C7D"/>
    <w:rsid w:val="2E125126"/>
    <w:rsid w:val="2E1254F3"/>
    <w:rsid w:val="2E207EE0"/>
    <w:rsid w:val="2E26112F"/>
    <w:rsid w:val="2E29578F"/>
    <w:rsid w:val="2E2965BF"/>
    <w:rsid w:val="2E2D25BD"/>
    <w:rsid w:val="2E347989"/>
    <w:rsid w:val="2E36304E"/>
    <w:rsid w:val="2E370EF2"/>
    <w:rsid w:val="2E411F69"/>
    <w:rsid w:val="2E667F96"/>
    <w:rsid w:val="2E673F15"/>
    <w:rsid w:val="2E6966E5"/>
    <w:rsid w:val="2E6E7857"/>
    <w:rsid w:val="2E77198B"/>
    <w:rsid w:val="2E7D7A9A"/>
    <w:rsid w:val="2E8226AB"/>
    <w:rsid w:val="2E986FB5"/>
    <w:rsid w:val="2EBB19F8"/>
    <w:rsid w:val="2EBE46A3"/>
    <w:rsid w:val="2EC13453"/>
    <w:rsid w:val="2EC45D08"/>
    <w:rsid w:val="2EC66862"/>
    <w:rsid w:val="2ED4211E"/>
    <w:rsid w:val="2ED96352"/>
    <w:rsid w:val="2EE21C23"/>
    <w:rsid w:val="2EE60986"/>
    <w:rsid w:val="2EFD3C5D"/>
    <w:rsid w:val="2F14208E"/>
    <w:rsid w:val="2F1E6FCD"/>
    <w:rsid w:val="2F273801"/>
    <w:rsid w:val="2F2B5748"/>
    <w:rsid w:val="2F315011"/>
    <w:rsid w:val="2F3B5020"/>
    <w:rsid w:val="2F420F2E"/>
    <w:rsid w:val="2F581C31"/>
    <w:rsid w:val="2F5E7918"/>
    <w:rsid w:val="2F6C3717"/>
    <w:rsid w:val="2F7D5EF8"/>
    <w:rsid w:val="2F832C79"/>
    <w:rsid w:val="2F844CCD"/>
    <w:rsid w:val="2F8C7F5D"/>
    <w:rsid w:val="2F8D2B62"/>
    <w:rsid w:val="2F955939"/>
    <w:rsid w:val="2F996D99"/>
    <w:rsid w:val="2F9C0AB2"/>
    <w:rsid w:val="2F9D772A"/>
    <w:rsid w:val="2FAD2184"/>
    <w:rsid w:val="2FAE2EA3"/>
    <w:rsid w:val="2FAF6379"/>
    <w:rsid w:val="2FBB4D1E"/>
    <w:rsid w:val="2FC33DAA"/>
    <w:rsid w:val="2FC71915"/>
    <w:rsid w:val="2FCF51C7"/>
    <w:rsid w:val="2FDE00E5"/>
    <w:rsid w:val="2FE16419"/>
    <w:rsid w:val="2FEF2D58"/>
    <w:rsid w:val="2FF40E52"/>
    <w:rsid w:val="30085A89"/>
    <w:rsid w:val="301B2F44"/>
    <w:rsid w:val="301B7408"/>
    <w:rsid w:val="301B77B6"/>
    <w:rsid w:val="30240497"/>
    <w:rsid w:val="3046483D"/>
    <w:rsid w:val="30580BC9"/>
    <w:rsid w:val="305A151B"/>
    <w:rsid w:val="306C5143"/>
    <w:rsid w:val="306F5622"/>
    <w:rsid w:val="307003A6"/>
    <w:rsid w:val="30705B08"/>
    <w:rsid w:val="30717AC2"/>
    <w:rsid w:val="3074782C"/>
    <w:rsid w:val="30766E97"/>
    <w:rsid w:val="30850E88"/>
    <w:rsid w:val="309549AA"/>
    <w:rsid w:val="30A62FDC"/>
    <w:rsid w:val="30B347BE"/>
    <w:rsid w:val="30C2784A"/>
    <w:rsid w:val="30E24467"/>
    <w:rsid w:val="30E35CFB"/>
    <w:rsid w:val="30E6757B"/>
    <w:rsid w:val="30E70CF2"/>
    <w:rsid w:val="30EB5F0D"/>
    <w:rsid w:val="30ED1118"/>
    <w:rsid w:val="30F50226"/>
    <w:rsid w:val="310B3A83"/>
    <w:rsid w:val="31146496"/>
    <w:rsid w:val="311B0C3E"/>
    <w:rsid w:val="311E2ED7"/>
    <w:rsid w:val="313345B6"/>
    <w:rsid w:val="3136765A"/>
    <w:rsid w:val="3139239E"/>
    <w:rsid w:val="313A7EC4"/>
    <w:rsid w:val="31436D79"/>
    <w:rsid w:val="315C449C"/>
    <w:rsid w:val="316901AE"/>
    <w:rsid w:val="316C5173"/>
    <w:rsid w:val="317765F6"/>
    <w:rsid w:val="31815AF3"/>
    <w:rsid w:val="318756C5"/>
    <w:rsid w:val="318835C8"/>
    <w:rsid w:val="31B82709"/>
    <w:rsid w:val="31B90C2A"/>
    <w:rsid w:val="31C003CA"/>
    <w:rsid w:val="31C44214"/>
    <w:rsid w:val="31C65232"/>
    <w:rsid w:val="31D326DA"/>
    <w:rsid w:val="31F44800"/>
    <w:rsid w:val="31FF2A8D"/>
    <w:rsid w:val="3201433C"/>
    <w:rsid w:val="3207249C"/>
    <w:rsid w:val="32096681"/>
    <w:rsid w:val="32096D4D"/>
    <w:rsid w:val="320F44A5"/>
    <w:rsid w:val="32112080"/>
    <w:rsid w:val="322248D8"/>
    <w:rsid w:val="322C3309"/>
    <w:rsid w:val="32340348"/>
    <w:rsid w:val="32400B34"/>
    <w:rsid w:val="324A76EE"/>
    <w:rsid w:val="325368A0"/>
    <w:rsid w:val="32567DFE"/>
    <w:rsid w:val="325C472F"/>
    <w:rsid w:val="32640E00"/>
    <w:rsid w:val="32662758"/>
    <w:rsid w:val="326A07A3"/>
    <w:rsid w:val="3276747D"/>
    <w:rsid w:val="327D13A9"/>
    <w:rsid w:val="328533EB"/>
    <w:rsid w:val="32900B35"/>
    <w:rsid w:val="32936F89"/>
    <w:rsid w:val="329B3899"/>
    <w:rsid w:val="329E6876"/>
    <w:rsid w:val="32A63A63"/>
    <w:rsid w:val="32AF0BB8"/>
    <w:rsid w:val="32B50610"/>
    <w:rsid w:val="32B56D70"/>
    <w:rsid w:val="32B97A66"/>
    <w:rsid w:val="32C034B7"/>
    <w:rsid w:val="32C15A0B"/>
    <w:rsid w:val="32CA3031"/>
    <w:rsid w:val="32D36776"/>
    <w:rsid w:val="32E02E24"/>
    <w:rsid w:val="32E973D9"/>
    <w:rsid w:val="32FC49E2"/>
    <w:rsid w:val="33033E43"/>
    <w:rsid w:val="330523B9"/>
    <w:rsid w:val="33093BD3"/>
    <w:rsid w:val="330B5807"/>
    <w:rsid w:val="330E399C"/>
    <w:rsid w:val="33167093"/>
    <w:rsid w:val="331D184C"/>
    <w:rsid w:val="331F728D"/>
    <w:rsid w:val="332B38E8"/>
    <w:rsid w:val="332E3A59"/>
    <w:rsid w:val="333C6176"/>
    <w:rsid w:val="334261D0"/>
    <w:rsid w:val="33547DF2"/>
    <w:rsid w:val="335921D0"/>
    <w:rsid w:val="33647E78"/>
    <w:rsid w:val="336647D9"/>
    <w:rsid w:val="336D550D"/>
    <w:rsid w:val="33853F8E"/>
    <w:rsid w:val="338738BD"/>
    <w:rsid w:val="339E7CD5"/>
    <w:rsid w:val="339F6AA3"/>
    <w:rsid w:val="33AC28D0"/>
    <w:rsid w:val="33BA19FC"/>
    <w:rsid w:val="33C5689E"/>
    <w:rsid w:val="33CE3940"/>
    <w:rsid w:val="33D934D4"/>
    <w:rsid w:val="33DC4D76"/>
    <w:rsid w:val="33E123FE"/>
    <w:rsid w:val="33E13A0E"/>
    <w:rsid w:val="33E74713"/>
    <w:rsid w:val="33F20F2A"/>
    <w:rsid w:val="33F72888"/>
    <w:rsid w:val="33FD0E1F"/>
    <w:rsid w:val="33FE2F6A"/>
    <w:rsid w:val="34012583"/>
    <w:rsid w:val="340A0964"/>
    <w:rsid w:val="341A0E0F"/>
    <w:rsid w:val="3421332C"/>
    <w:rsid w:val="34255272"/>
    <w:rsid w:val="34273306"/>
    <w:rsid w:val="34413E33"/>
    <w:rsid w:val="3441653D"/>
    <w:rsid w:val="346260D6"/>
    <w:rsid w:val="346B7401"/>
    <w:rsid w:val="347D6A46"/>
    <w:rsid w:val="348444C5"/>
    <w:rsid w:val="34A33A94"/>
    <w:rsid w:val="34A867B4"/>
    <w:rsid w:val="34A86FE8"/>
    <w:rsid w:val="34B32E15"/>
    <w:rsid w:val="34B61171"/>
    <w:rsid w:val="34BA0546"/>
    <w:rsid w:val="34BA1A48"/>
    <w:rsid w:val="34BD573E"/>
    <w:rsid w:val="34BF2BBB"/>
    <w:rsid w:val="34C60A1C"/>
    <w:rsid w:val="34D41089"/>
    <w:rsid w:val="34D819A1"/>
    <w:rsid w:val="34D9134A"/>
    <w:rsid w:val="34E5106D"/>
    <w:rsid w:val="34ED4F6C"/>
    <w:rsid w:val="34F547BB"/>
    <w:rsid w:val="35015F00"/>
    <w:rsid w:val="35131158"/>
    <w:rsid w:val="351847E3"/>
    <w:rsid w:val="352A757E"/>
    <w:rsid w:val="355D53FD"/>
    <w:rsid w:val="356F06AA"/>
    <w:rsid w:val="35745D9B"/>
    <w:rsid w:val="357B2162"/>
    <w:rsid w:val="357E0CC8"/>
    <w:rsid w:val="358D4A67"/>
    <w:rsid w:val="35935288"/>
    <w:rsid w:val="35A824E8"/>
    <w:rsid w:val="35B03ACD"/>
    <w:rsid w:val="35C65202"/>
    <w:rsid w:val="35C66845"/>
    <w:rsid w:val="35D03EBA"/>
    <w:rsid w:val="35E00C87"/>
    <w:rsid w:val="35E7137E"/>
    <w:rsid w:val="35EA3AA9"/>
    <w:rsid w:val="35F556FF"/>
    <w:rsid w:val="35F870E8"/>
    <w:rsid w:val="35FA7402"/>
    <w:rsid w:val="36074A7F"/>
    <w:rsid w:val="360C52C4"/>
    <w:rsid w:val="36236967"/>
    <w:rsid w:val="3625674D"/>
    <w:rsid w:val="362E5E4C"/>
    <w:rsid w:val="36335A55"/>
    <w:rsid w:val="36361117"/>
    <w:rsid w:val="3643781B"/>
    <w:rsid w:val="36497D93"/>
    <w:rsid w:val="364A2958"/>
    <w:rsid w:val="365A4D33"/>
    <w:rsid w:val="365C29A3"/>
    <w:rsid w:val="36627E2F"/>
    <w:rsid w:val="36675744"/>
    <w:rsid w:val="366F7A12"/>
    <w:rsid w:val="3675015E"/>
    <w:rsid w:val="367A7408"/>
    <w:rsid w:val="36912A2B"/>
    <w:rsid w:val="36923549"/>
    <w:rsid w:val="36A84426"/>
    <w:rsid w:val="36A96E91"/>
    <w:rsid w:val="36AA1648"/>
    <w:rsid w:val="36B547E2"/>
    <w:rsid w:val="36B75FBF"/>
    <w:rsid w:val="36C02CAA"/>
    <w:rsid w:val="36C46BAE"/>
    <w:rsid w:val="36C50466"/>
    <w:rsid w:val="36C60594"/>
    <w:rsid w:val="36CA5EDD"/>
    <w:rsid w:val="36CA6E7D"/>
    <w:rsid w:val="36EC5217"/>
    <w:rsid w:val="36EE08F5"/>
    <w:rsid w:val="36FB4891"/>
    <w:rsid w:val="3700109B"/>
    <w:rsid w:val="37060F75"/>
    <w:rsid w:val="370B0A0C"/>
    <w:rsid w:val="370E7E29"/>
    <w:rsid w:val="37207A8A"/>
    <w:rsid w:val="37277A22"/>
    <w:rsid w:val="37280317"/>
    <w:rsid w:val="37334E3C"/>
    <w:rsid w:val="37337890"/>
    <w:rsid w:val="37360DCC"/>
    <w:rsid w:val="373E784D"/>
    <w:rsid w:val="374B0608"/>
    <w:rsid w:val="374B17E8"/>
    <w:rsid w:val="375B7FD0"/>
    <w:rsid w:val="376B2604"/>
    <w:rsid w:val="377B6E67"/>
    <w:rsid w:val="377C1237"/>
    <w:rsid w:val="377E416E"/>
    <w:rsid w:val="37A01EDF"/>
    <w:rsid w:val="37A33BB4"/>
    <w:rsid w:val="37AB53BE"/>
    <w:rsid w:val="37B87B0E"/>
    <w:rsid w:val="37BB2409"/>
    <w:rsid w:val="37D310E2"/>
    <w:rsid w:val="37E20A83"/>
    <w:rsid w:val="37ED3818"/>
    <w:rsid w:val="37F77805"/>
    <w:rsid w:val="37FC2EBC"/>
    <w:rsid w:val="38000258"/>
    <w:rsid w:val="3803443B"/>
    <w:rsid w:val="38043E7C"/>
    <w:rsid w:val="38174A7C"/>
    <w:rsid w:val="38174ABC"/>
    <w:rsid w:val="381E63EE"/>
    <w:rsid w:val="38306103"/>
    <w:rsid w:val="3856229D"/>
    <w:rsid w:val="385C39C7"/>
    <w:rsid w:val="38697375"/>
    <w:rsid w:val="38732635"/>
    <w:rsid w:val="38790E1F"/>
    <w:rsid w:val="389358B3"/>
    <w:rsid w:val="38A11EFA"/>
    <w:rsid w:val="38B16E3F"/>
    <w:rsid w:val="38C16DC2"/>
    <w:rsid w:val="38C71B7B"/>
    <w:rsid w:val="38CC5273"/>
    <w:rsid w:val="38D16FDA"/>
    <w:rsid w:val="38EA31E5"/>
    <w:rsid w:val="38F12CD3"/>
    <w:rsid w:val="38F94775"/>
    <w:rsid w:val="390E5EBF"/>
    <w:rsid w:val="39146D1E"/>
    <w:rsid w:val="39203CF0"/>
    <w:rsid w:val="392971ED"/>
    <w:rsid w:val="393A3495"/>
    <w:rsid w:val="394156C3"/>
    <w:rsid w:val="394807FC"/>
    <w:rsid w:val="39532BD2"/>
    <w:rsid w:val="395E207C"/>
    <w:rsid w:val="396234A8"/>
    <w:rsid w:val="39657AA9"/>
    <w:rsid w:val="39727DB4"/>
    <w:rsid w:val="397A2803"/>
    <w:rsid w:val="3982065B"/>
    <w:rsid w:val="399162AE"/>
    <w:rsid w:val="39A6714D"/>
    <w:rsid w:val="39AE0EDD"/>
    <w:rsid w:val="39B80E1C"/>
    <w:rsid w:val="39BC7293"/>
    <w:rsid w:val="39CA5338"/>
    <w:rsid w:val="39D34366"/>
    <w:rsid w:val="39E674D3"/>
    <w:rsid w:val="3A03667A"/>
    <w:rsid w:val="3A157721"/>
    <w:rsid w:val="3A166311"/>
    <w:rsid w:val="3A2542FA"/>
    <w:rsid w:val="3A295604"/>
    <w:rsid w:val="3A2F4CDC"/>
    <w:rsid w:val="3A3B0FE1"/>
    <w:rsid w:val="3A3E33AF"/>
    <w:rsid w:val="3A4341C6"/>
    <w:rsid w:val="3A494512"/>
    <w:rsid w:val="3A5E0220"/>
    <w:rsid w:val="3A6E1B44"/>
    <w:rsid w:val="3A6F5083"/>
    <w:rsid w:val="3A7718B8"/>
    <w:rsid w:val="3A7E0E22"/>
    <w:rsid w:val="3A921E9A"/>
    <w:rsid w:val="3AA62BF7"/>
    <w:rsid w:val="3AAC1D4C"/>
    <w:rsid w:val="3AC63DD8"/>
    <w:rsid w:val="3AC94CD2"/>
    <w:rsid w:val="3ACA34C5"/>
    <w:rsid w:val="3AD53887"/>
    <w:rsid w:val="3AE710BD"/>
    <w:rsid w:val="3AF71225"/>
    <w:rsid w:val="3B3564DB"/>
    <w:rsid w:val="3B3763D1"/>
    <w:rsid w:val="3B516795"/>
    <w:rsid w:val="3B532961"/>
    <w:rsid w:val="3B595F40"/>
    <w:rsid w:val="3B59752D"/>
    <w:rsid w:val="3B6818CE"/>
    <w:rsid w:val="3B681C59"/>
    <w:rsid w:val="3B731D3F"/>
    <w:rsid w:val="3B7E02F4"/>
    <w:rsid w:val="3B851590"/>
    <w:rsid w:val="3B884C92"/>
    <w:rsid w:val="3B917F24"/>
    <w:rsid w:val="3BAD7068"/>
    <w:rsid w:val="3BB91C44"/>
    <w:rsid w:val="3BC23069"/>
    <w:rsid w:val="3BC55A0F"/>
    <w:rsid w:val="3BEA3FA2"/>
    <w:rsid w:val="3C095DB4"/>
    <w:rsid w:val="3C0B1F40"/>
    <w:rsid w:val="3C125753"/>
    <w:rsid w:val="3C1F66EF"/>
    <w:rsid w:val="3C21552E"/>
    <w:rsid w:val="3C2B3C77"/>
    <w:rsid w:val="3C321722"/>
    <w:rsid w:val="3C3712E9"/>
    <w:rsid w:val="3C3A346E"/>
    <w:rsid w:val="3C4916DE"/>
    <w:rsid w:val="3C646DB9"/>
    <w:rsid w:val="3C683B38"/>
    <w:rsid w:val="3C6B5B1D"/>
    <w:rsid w:val="3C6C6DE9"/>
    <w:rsid w:val="3C6F11F5"/>
    <w:rsid w:val="3C7076DE"/>
    <w:rsid w:val="3C726CA2"/>
    <w:rsid w:val="3C7F1656"/>
    <w:rsid w:val="3C8915D2"/>
    <w:rsid w:val="3C8A1DC2"/>
    <w:rsid w:val="3C960D27"/>
    <w:rsid w:val="3CA64660"/>
    <w:rsid w:val="3CAD59EE"/>
    <w:rsid w:val="3CB86F07"/>
    <w:rsid w:val="3CC03974"/>
    <w:rsid w:val="3CC14AC3"/>
    <w:rsid w:val="3CC47AEB"/>
    <w:rsid w:val="3CC66256"/>
    <w:rsid w:val="3CCA0FE8"/>
    <w:rsid w:val="3CCD6091"/>
    <w:rsid w:val="3CD2661C"/>
    <w:rsid w:val="3CD83E9E"/>
    <w:rsid w:val="3CD91DD0"/>
    <w:rsid w:val="3CDA245A"/>
    <w:rsid w:val="3CE053D7"/>
    <w:rsid w:val="3CEE0A37"/>
    <w:rsid w:val="3CFA2402"/>
    <w:rsid w:val="3CFB2A6E"/>
    <w:rsid w:val="3D02372A"/>
    <w:rsid w:val="3D034397"/>
    <w:rsid w:val="3D1000F9"/>
    <w:rsid w:val="3D1216CC"/>
    <w:rsid w:val="3D143CBF"/>
    <w:rsid w:val="3D1C55DC"/>
    <w:rsid w:val="3D252611"/>
    <w:rsid w:val="3D66530A"/>
    <w:rsid w:val="3D874DC2"/>
    <w:rsid w:val="3D8F4FCD"/>
    <w:rsid w:val="3D98669F"/>
    <w:rsid w:val="3D9B0224"/>
    <w:rsid w:val="3D9F093C"/>
    <w:rsid w:val="3DA05553"/>
    <w:rsid w:val="3DB66B25"/>
    <w:rsid w:val="3DBF0434"/>
    <w:rsid w:val="3DCD4092"/>
    <w:rsid w:val="3DD17A5C"/>
    <w:rsid w:val="3DDC7009"/>
    <w:rsid w:val="3DFA568E"/>
    <w:rsid w:val="3E0327CF"/>
    <w:rsid w:val="3E0A38CD"/>
    <w:rsid w:val="3E0D3E50"/>
    <w:rsid w:val="3E1D6BA4"/>
    <w:rsid w:val="3E235AFA"/>
    <w:rsid w:val="3E385B95"/>
    <w:rsid w:val="3E4505A2"/>
    <w:rsid w:val="3E646F5B"/>
    <w:rsid w:val="3E6B3B4E"/>
    <w:rsid w:val="3E757073"/>
    <w:rsid w:val="3E773745"/>
    <w:rsid w:val="3E8B6468"/>
    <w:rsid w:val="3E9B71CE"/>
    <w:rsid w:val="3E9D2FB3"/>
    <w:rsid w:val="3E9E341B"/>
    <w:rsid w:val="3EAF1058"/>
    <w:rsid w:val="3EC3022F"/>
    <w:rsid w:val="3ECA2873"/>
    <w:rsid w:val="3ECB276A"/>
    <w:rsid w:val="3ECF3D81"/>
    <w:rsid w:val="3ECF6677"/>
    <w:rsid w:val="3ED00626"/>
    <w:rsid w:val="3ED35E1B"/>
    <w:rsid w:val="3EE31B32"/>
    <w:rsid w:val="3EEC192D"/>
    <w:rsid w:val="3EF23247"/>
    <w:rsid w:val="3EF81092"/>
    <w:rsid w:val="3EFA549B"/>
    <w:rsid w:val="3EFC2B5E"/>
    <w:rsid w:val="3EFF2233"/>
    <w:rsid w:val="3F000940"/>
    <w:rsid w:val="3F006678"/>
    <w:rsid w:val="3F0120E5"/>
    <w:rsid w:val="3F0F751E"/>
    <w:rsid w:val="3F1139B6"/>
    <w:rsid w:val="3F1C6E5B"/>
    <w:rsid w:val="3F1E0AB6"/>
    <w:rsid w:val="3F214062"/>
    <w:rsid w:val="3F46713E"/>
    <w:rsid w:val="3F4777F4"/>
    <w:rsid w:val="3F492B79"/>
    <w:rsid w:val="3F4A39C9"/>
    <w:rsid w:val="3F545801"/>
    <w:rsid w:val="3F632CDC"/>
    <w:rsid w:val="3F660E74"/>
    <w:rsid w:val="3F6C393F"/>
    <w:rsid w:val="3F6E4F82"/>
    <w:rsid w:val="3F6E5909"/>
    <w:rsid w:val="3F7017B6"/>
    <w:rsid w:val="3F84061B"/>
    <w:rsid w:val="3F892743"/>
    <w:rsid w:val="3F8D71E4"/>
    <w:rsid w:val="3F901A8A"/>
    <w:rsid w:val="3F97018E"/>
    <w:rsid w:val="3FA70987"/>
    <w:rsid w:val="3FA80E08"/>
    <w:rsid w:val="3FBE286C"/>
    <w:rsid w:val="3FC07813"/>
    <w:rsid w:val="3FC16295"/>
    <w:rsid w:val="3FCA628A"/>
    <w:rsid w:val="3FCC351D"/>
    <w:rsid w:val="3FCE7FB1"/>
    <w:rsid w:val="3FDA763E"/>
    <w:rsid w:val="3FDD3C62"/>
    <w:rsid w:val="3FDE75A2"/>
    <w:rsid w:val="3FE179A8"/>
    <w:rsid w:val="3FE3588E"/>
    <w:rsid w:val="3FE645A8"/>
    <w:rsid w:val="3FFE21A2"/>
    <w:rsid w:val="40030F74"/>
    <w:rsid w:val="400365C2"/>
    <w:rsid w:val="40094E5F"/>
    <w:rsid w:val="400B7A60"/>
    <w:rsid w:val="400C16C6"/>
    <w:rsid w:val="401436B8"/>
    <w:rsid w:val="401D7477"/>
    <w:rsid w:val="401F129D"/>
    <w:rsid w:val="40270E01"/>
    <w:rsid w:val="40281440"/>
    <w:rsid w:val="40295E61"/>
    <w:rsid w:val="403271F5"/>
    <w:rsid w:val="403A57EB"/>
    <w:rsid w:val="403F213E"/>
    <w:rsid w:val="405745EF"/>
    <w:rsid w:val="40591A9A"/>
    <w:rsid w:val="406666CA"/>
    <w:rsid w:val="407A6407"/>
    <w:rsid w:val="408E5B37"/>
    <w:rsid w:val="408F5F0B"/>
    <w:rsid w:val="4091332A"/>
    <w:rsid w:val="40A350F7"/>
    <w:rsid w:val="40B81380"/>
    <w:rsid w:val="40BC67D4"/>
    <w:rsid w:val="40BF6B34"/>
    <w:rsid w:val="40C042C9"/>
    <w:rsid w:val="40C92960"/>
    <w:rsid w:val="40CF1C55"/>
    <w:rsid w:val="40D82FCC"/>
    <w:rsid w:val="40E85183"/>
    <w:rsid w:val="40F260C6"/>
    <w:rsid w:val="41190884"/>
    <w:rsid w:val="411C75E7"/>
    <w:rsid w:val="412806FD"/>
    <w:rsid w:val="413650BD"/>
    <w:rsid w:val="413668D3"/>
    <w:rsid w:val="413B561F"/>
    <w:rsid w:val="41445DCC"/>
    <w:rsid w:val="41546ADE"/>
    <w:rsid w:val="41622CA1"/>
    <w:rsid w:val="4164407E"/>
    <w:rsid w:val="41646561"/>
    <w:rsid w:val="416B5522"/>
    <w:rsid w:val="416D1DEF"/>
    <w:rsid w:val="416D45A1"/>
    <w:rsid w:val="416F6180"/>
    <w:rsid w:val="4170436B"/>
    <w:rsid w:val="417B21CD"/>
    <w:rsid w:val="417E2B03"/>
    <w:rsid w:val="418036C0"/>
    <w:rsid w:val="418238EE"/>
    <w:rsid w:val="41833BE1"/>
    <w:rsid w:val="418A32C9"/>
    <w:rsid w:val="41985B82"/>
    <w:rsid w:val="41A06C29"/>
    <w:rsid w:val="41A72584"/>
    <w:rsid w:val="41AD023F"/>
    <w:rsid w:val="41B472ED"/>
    <w:rsid w:val="41B6390E"/>
    <w:rsid w:val="41B6622A"/>
    <w:rsid w:val="41B76717"/>
    <w:rsid w:val="41BE1886"/>
    <w:rsid w:val="41E05ADB"/>
    <w:rsid w:val="41ED0CFE"/>
    <w:rsid w:val="41F12A49"/>
    <w:rsid w:val="42204EB5"/>
    <w:rsid w:val="42300FFE"/>
    <w:rsid w:val="423A3BCC"/>
    <w:rsid w:val="424125A4"/>
    <w:rsid w:val="42463791"/>
    <w:rsid w:val="42472B0D"/>
    <w:rsid w:val="424B5280"/>
    <w:rsid w:val="425038A4"/>
    <w:rsid w:val="4265127E"/>
    <w:rsid w:val="4266598F"/>
    <w:rsid w:val="426A69F2"/>
    <w:rsid w:val="426B68FC"/>
    <w:rsid w:val="42912DC3"/>
    <w:rsid w:val="42A01BAE"/>
    <w:rsid w:val="42A20475"/>
    <w:rsid w:val="42B96E21"/>
    <w:rsid w:val="42C4191D"/>
    <w:rsid w:val="42C74552"/>
    <w:rsid w:val="42C86497"/>
    <w:rsid w:val="42CB402F"/>
    <w:rsid w:val="42D178D5"/>
    <w:rsid w:val="42D952BD"/>
    <w:rsid w:val="42E66E13"/>
    <w:rsid w:val="42F3550C"/>
    <w:rsid w:val="42F54026"/>
    <w:rsid w:val="43164319"/>
    <w:rsid w:val="431B4BD2"/>
    <w:rsid w:val="433333C3"/>
    <w:rsid w:val="433A6FE6"/>
    <w:rsid w:val="4348024D"/>
    <w:rsid w:val="435009BB"/>
    <w:rsid w:val="4350713C"/>
    <w:rsid w:val="435B0A40"/>
    <w:rsid w:val="436653E0"/>
    <w:rsid w:val="43681820"/>
    <w:rsid w:val="43762409"/>
    <w:rsid w:val="438E0D75"/>
    <w:rsid w:val="43923B90"/>
    <w:rsid w:val="439A3BDE"/>
    <w:rsid w:val="43A16FA3"/>
    <w:rsid w:val="43AB08EA"/>
    <w:rsid w:val="43B53E61"/>
    <w:rsid w:val="43B90115"/>
    <w:rsid w:val="43CF5106"/>
    <w:rsid w:val="43CF51E6"/>
    <w:rsid w:val="43E20674"/>
    <w:rsid w:val="43E51F12"/>
    <w:rsid w:val="43E5669F"/>
    <w:rsid w:val="43F252DE"/>
    <w:rsid w:val="44194B23"/>
    <w:rsid w:val="4420692B"/>
    <w:rsid w:val="44322511"/>
    <w:rsid w:val="443D4EC9"/>
    <w:rsid w:val="445330D9"/>
    <w:rsid w:val="4453331F"/>
    <w:rsid w:val="4455737C"/>
    <w:rsid w:val="445624A3"/>
    <w:rsid w:val="445A071F"/>
    <w:rsid w:val="446B28A6"/>
    <w:rsid w:val="447B1456"/>
    <w:rsid w:val="448D2DFB"/>
    <w:rsid w:val="448E07FB"/>
    <w:rsid w:val="448F0108"/>
    <w:rsid w:val="448F3877"/>
    <w:rsid w:val="44934DF3"/>
    <w:rsid w:val="449C1EE6"/>
    <w:rsid w:val="449C42A8"/>
    <w:rsid w:val="44A40DF5"/>
    <w:rsid w:val="44A512FB"/>
    <w:rsid w:val="44AE525B"/>
    <w:rsid w:val="44B518E4"/>
    <w:rsid w:val="44CD14E0"/>
    <w:rsid w:val="44D26634"/>
    <w:rsid w:val="44D34460"/>
    <w:rsid w:val="44EF37E1"/>
    <w:rsid w:val="44F26838"/>
    <w:rsid w:val="44F543D6"/>
    <w:rsid w:val="451707F1"/>
    <w:rsid w:val="45234285"/>
    <w:rsid w:val="452A50E8"/>
    <w:rsid w:val="452D591E"/>
    <w:rsid w:val="45432FA6"/>
    <w:rsid w:val="45517C8A"/>
    <w:rsid w:val="45534254"/>
    <w:rsid w:val="45652FD8"/>
    <w:rsid w:val="45773385"/>
    <w:rsid w:val="458946E9"/>
    <w:rsid w:val="458F7F27"/>
    <w:rsid w:val="459D7805"/>
    <w:rsid w:val="45A010D2"/>
    <w:rsid w:val="45A17486"/>
    <w:rsid w:val="45A94374"/>
    <w:rsid w:val="45AC16EC"/>
    <w:rsid w:val="45B26091"/>
    <w:rsid w:val="45BA1FF4"/>
    <w:rsid w:val="45E306D3"/>
    <w:rsid w:val="45E61930"/>
    <w:rsid w:val="46037D57"/>
    <w:rsid w:val="46076A77"/>
    <w:rsid w:val="460C2AA6"/>
    <w:rsid w:val="462928DB"/>
    <w:rsid w:val="462C7B1B"/>
    <w:rsid w:val="462F6544"/>
    <w:rsid w:val="4648499B"/>
    <w:rsid w:val="46503FBA"/>
    <w:rsid w:val="465313B5"/>
    <w:rsid w:val="46580D36"/>
    <w:rsid w:val="465D49FB"/>
    <w:rsid w:val="465F4DD1"/>
    <w:rsid w:val="466510E8"/>
    <w:rsid w:val="46685474"/>
    <w:rsid w:val="466D1192"/>
    <w:rsid w:val="46844AEB"/>
    <w:rsid w:val="46850DDA"/>
    <w:rsid w:val="468723C7"/>
    <w:rsid w:val="468A6DA0"/>
    <w:rsid w:val="4693123D"/>
    <w:rsid w:val="469B0D0E"/>
    <w:rsid w:val="46A07CBB"/>
    <w:rsid w:val="46B863DB"/>
    <w:rsid w:val="46C64587"/>
    <w:rsid w:val="46C6602A"/>
    <w:rsid w:val="46CA56B8"/>
    <w:rsid w:val="46CC4BAE"/>
    <w:rsid w:val="46D02D5F"/>
    <w:rsid w:val="46D67586"/>
    <w:rsid w:val="46D955A7"/>
    <w:rsid w:val="46E25291"/>
    <w:rsid w:val="46F458DD"/>
    <w:rsid w:val="46FF32EA"/>
    <w:rsid w:val="47060065"/>
    <w:rsid w:val="47063E9E"/>
    <w:rsid w:val="4713143E"/>
    <w:rsid w:val="47133957"/>
    <w:rsid w:val="471B3166"/>
    <w:rsid w:val="472431AC"/>
    <w:rsid w:val="4726400B"/>
    <w:rsid w:val="47315CEC"/>
    <w:rsid w:val="473B3F1C"/>
    <w:rsid w:val="47485A59"/>
    <w:rsid w:val="476701FD"/>
    <w:rsid w:val="476A2A5E"/>
    <w:rsid w:val="4779329E"/>
    <w:rsid w:val="47A07E0C"/>
    <w:rsid w:val="47A81BD4"/>
    <w:rsid w:val="47A83982"/>
    <w:rsid w:val="47AC722E"/>
    <w:rsid w:val="47B80432"/>
    <w:rsid w:val="47BA1BF2"/>
    <w:rsid w:val="47BF7EAD"/>
    <w:rsid w:val="47C5547B"/>
    <w:rsid w:val="47CF1C05"/>
    <w:rsid w:val="47D729DB"/>
    <w:rsid w:val="47DC0B21"/>
    <w:rsid w:val="47E44C6F"/>
    <w:rsid w:val="47E533DC"/>
    <w:rsid w:val="47EA6C9E"/>
    <w:rsid w:val="47F13F37"/>
    <w:rsid w:val="47F60B91"/>
    <w:rsid w:val="47FA31FC"/>
    <w:rsid w:val="4802182F"/>
    <w:rsid w:val="48061860"/>
    <w:rsid w:val="482C339B"/>
    <w:rsid w:val="482F1C35"/>
    <w:rsid w:val="483B7411"/>
    <w:rsid w:val="483C0B29"/>
    <w:rsid w:val="483F38A4"/>
    <w:rsid w:val="484C6C46"/>
    <w:rsid w:val="48515DC8"/>
    <w:rsid w:val="485B086F"/>
    <w:rsid w:val="485B5226"/>
    <w:rsid w:val="4870272E"/>
    <w:rsid w:val="48791E71"/>
    <w:rsid w:val="488A1692"/>
    <w:rsid w:val="48916A94"/>
    <w:rsid w:val="489B48E1"/>
    <w:rsid w:val="489B72F2"/>
    <w:rsid w:val="489C390B"/>
    <w:rsid w:val="48BE3524"/>
    <w:rsid w:val="48D258BD"/>
    <w:rsid w:val="48DA4882"/>
    <w:rsid w:val="48DF2B13"/>
    <w:rsid w:val="48F55E95"/>
    <w:rsid w:val="48FC0F83"/>
    <w:rsid w:val="490B134E"/>
    <w:rsid w:val="49166E1D"/>
    <w:rsid w:val="491A54D6"/>
    <w:rsid w:val="491C2E3A"/>
    <w:rsid w:val="492349B1"/>
    <w:rsid w:val="493A4218"/>
    <w:rsid w:val="493E282A"/>
    <w:rsid w:val="49520A0C"/>
    <w:rsid w:val="495A050C"/>
    <w:rsid w:val="495C2C76"/>
    <w:rsid w:val="4967570B"/>
    <w:rsid w:val="4972214E"/>
    <w:rsid w:val="497E26AE"/>
    <w:rsid w:val="498972CB"/>
    <w:rsid w:val="49990806"/>
    <w:rsid w:val="49AE4F11"/>
    <w:rsid w:val="49BD2061"/>
    <w:rsid w:val="49CF60C2"/>
    <w:rsid w:val="49D82A61"/>
    <w:rsid w:val="49DC7715"/>
    <w:rsid w:val="49DD5D43"/>
    <w:rsid w:val="49E0045F"/>
    <w:rsid w:val="49EC0E37"/>
    <w:rsid w:val="49F96579"/>
    <w:rsid w:val="49FB76D4"/>
    <w:rsid w:val="4A023139"/>
    <w:rsid w:val="4A0A5D4A"/>
    <w:rsid w:val="4A162E25"/>
    <w:rsid w:val="4A1922D0"/>
    <w:rsid w:val="4A24241E"/>
    <w:rsid w:val="4A325A86"/>
    <w:rsid w:val="4A371EB8"/>
    <w:rsid w:val="4A425E6D"/>
    <w:rsid w:val="4A57750C"/>
    <w:rsid w:val="4A5B6AF2"/>
    <w:rsid w:val="4A621596"/>
    <w:rsid w:val="4A6C6E62"/>
    <w:rsid w:val="4A7B576F"/>
    <w:rsid w:val="4A9800C2"/>
    <w:rsid w:val="4A9D10A4"/>
    <w:rsid w:val="4AAE2A69"/>
    <w:rsid w:val="4AB52051"/>
    <w:rsid w:val="4AB93CD7"/>
    <w:rsid w:val="4ABA6167"/>
    <w:rsid w:val="4AC62BFB"/>
    <w:rsid w:val="4AD11442"/>
    <w:rsid w:val="4AD45C9B"/>
    <w:rsid w:val="4AE84F87"/>
    <w:rsid w:val="4AE922E8"/>
    <w:rsid w:val="4AEB00C6"/>
    <w:rsid w:val="4AEE7E5D"/>
    <w:rsid w:val="4AF43402"/>
    <w:rsid w:val="4AFC7CDE"/>
    <w:rsid w:val="4B402B55"/>
    <w:rsid w:val="4B424992"/>
    <w:rsid w:val="4B441C14"/>
    <w:rsid w:val="4B5B490A"/>
    <w:rsid w:val="4B641ACE"/>
    <w:rsid w:val="4B647C93"/>
    <w:rsid w:val="4B6713EE"/>
    <w:rsid w:val="4B7F1D59"/>
    <w:rsid w:val="4B86085C"/>
    <w:rsid w:val="4B8620A0"/>
    <w:rsid w:val="4B862F0F"/>
    <w:rsid w:val="4B8869AD"/>
    <w:rsid w:val="4B8C359B"/>
    <w:rsid w:val="4B910FF2"/>
    <w:rsid w:val="4B931612"/>
    <w:rsid w:val="4B945585"/>
    <w:rsid w:val="4B9511D6"/>
    <w:rsid w:val="4B984A10"/>
    <w:rsid w:val="4B9D30D2"/>
    <w:rsid w:val="4BA034D9"/>
    <w:rsid w:val="4BA84137"/>
    <w:rsid w:val="4BAD51C0"/>
    <w:rsid w:val="4BB607A9"/>
    <w:rsid w:val="4BBE021A"/>
    <w:rsid w:val="4BC5145C"/>
    <w:rsid w:val="4BDD6A09"/>
    <w:rsid w:val="4BE70107"/>
    <w:rsid w:val="4BEA4569"/>
    <w:rsid w:val="4BF2608E"/>
    <w:rsid w:val="4BFF714E"/>
    <w:rsid w:val="4C0363CC"/>
    <w:rsid w:val="4C153FC6"/>
    <w:rsid w:val="4C2758CC"/>
    <w:rsid w:val="4C4750EA"/>
    <w:rsid w:val="4C4820DF"/>
    <w:rsid w:val="4C4A0649"/>
    <w:rsid w:val="4C4C1F90"/>
    <w:rsid w:val="4C4C54B4"/>
    <w:rsid w:val="4C57101F"/>
    <w:rsid w:val="4C572D88"/>
    <w:rsid w:val="4C582321"/>
    <w:rsid w:val="4C68521F"/>
    <w:rsid w:val="4C780B25"/>
    <w:rsid w:val="4C7B3413"/>
    <w:rsid w:val="4C856BAA"/>
    <w:rsid w:val="4C8727C2"/>
    <w:rsid w:val="4C913495"/>
    <w:rsid w:val="4C942727"/>
    <w:rsid w:val="4C973BC5"/>
    <w:rsid w:val="4C9D2A81"/>
    <w:rsid w:val="4CA12DB4"/>
    <w:rsid w:val="4CA925CF"/>
    <w:rsid w:val="4CB22820"/>
    <w:rsid w:val="4CC0070C"/>
    <w:rsid w:val="4CC047CC"/>
    <w:rsid w:val="4CC52EEE"/>
    <w:rsid w:val="4CCC146F"/>
    <w:rsid w:val="4CE470D3"/>
    <w:rsid w:val="4CE847EC"/>
    <w:rsid w:val="4CF278B4"/>
    <w:rsid w:val="4CF51F3B"/>
    <w:rsid w:val="4CF87B02"/>
    <w:rsid w:val="4CFA1EDC"/>
    <w:rsid w:val="4D04116D"/>
    <w:rsid w:val="4D102A16"/>
    <w:rsid w:val="4D263DF4"/>
    <w:rsid w:val="4D3E2B14"/>
    <w:rsid w:val="4D447951"/>
    <w:rsid w:val="4D4C3002"/>
    <w:rsid w:val="4D573E80"/>
    <w:rsid w:val="4D67074C"/>
    <w:rsid w:val="4D6D36A4"/>
    <w:rsid w:val="4D7423E7"/>
    <w:rsid w:val="4D8A6654"/>
    <w:rsid w:val="4D8B3449"/>
    <w:rsid w:val="4D964078"/>
    <w:rsid w:val="4DA4448C"/>
    <w:rsid w:val="4DA5719C"/>
    <w:rsid w:val="4DB63B05"/>
    <w:rsid w:val="4DB7491F"/>
    <w:rsid w:val="4DC3736F"/>
    <w:rsid w:val="4DC46D29"/>
    <w:rsid w:val="4DC85681"/>
    <w:rsid w:val="4DCC354C"/>
    <w:rsid w:val="4DD14E97"/>
    <w:rsid w:val="4DEC4FB0"/>
    <w:rsid w:val="4DF614BA"/>
    <w:rsid w:val="4DF65B50"/>
    <w:rsid w:val="4E075D8A"/>
    <w:rsid w:val="4E16316B"/>
    <w:rsid w:val="4E1814E5"/>
    <w:rsid w:val="4E236172"/>
    <w:rsid w:val="4E2570C0"/>
    <w:rsid w:val="4E2F0959"/>
    <w:rsid w:val="4E3B1910"/>
    <w:rsid w:val="4E3E19D9"/>
    <w:rsid w:val="4E3E4267"/>
    <w:rsid w:val="4E494BCC"/>
    <w:rsid w:val="4E525C6B"/>
    <w:rsid w:val="4E58707C"/>
    <w:rsid w:val="4E5A55D0"/>
    <w:rsid w:val="4E5E170D"/>
    <w:rsid w:val="4E606D65"/>
    <w:rsid w:val="4E6A7577"/>
    <w:rsid w:val="4E76542B"/>
    <w:rsid w:val="4E8363E0"/>
    <w:rsid w:val="4E844A5C"/>
    <w:rsid w:val="4E870795"/>
    <w:rsid w:val="4E8D405B"/>
    <w:rsid w:val="4E8E746A"/>
    <w:rsid w:val="4E92220D"/>
    <w:rsid w:val="4EA200E9"/>
    <w:rsid w:val="4EC17FC5"/>
    <w:rsid w:val="4EC32820"/>
    <w:rsid w:val="4ECA696D"/>
    <w:rsid w:val="4ED750F6"/>
    <w:rsid w:val="4EF63225"/>
    <w:rsid w:val="4F0E3801"/>
    <w:rsid w:val="4F127CF1"/>
    <w:rsid w:val="4F160D88"/>
    <w:rsid w:val="4F2404CD"/>
    <w:rsid w:val="4F2A4EA4"/>
    <w:rsid w:val="4F324EBA"/>
    <w:rsid w:val="4F3423E6"/>
    <w:rsid w:val="4F3D12EE"/>
    <w:rsid w:val="4F407EEA"/>
    <w:rsid w:val="4F6608DC"/>
    <w:rsid w:val="4F667B64"/>
    <w:rsid w:val="4F67531E"/>
    <w:rsid w:val="4F6C6539"/>
    <w:rsid w:val="4F703564"/>
    <w:rsid w:val="4F767134"/>
    <w:rsid w:val="4F895E47"/>
    <w:rsid w:val="4F924A71"/>
    <w:rsid w:val="4FA671FE"/>
    <w:rsid w:val="4FB6151D"/>
    <w:rsid w:val="4FBB625A"/>
    <w:rsid w:val="4FC04DD6"/>
    <w:rsid w:val="4FC62A8C"/>
    <w:rsid w:val="4FD233C0"/>
    <w:rsid w:val="4FD5328E"/>
    <w:rsid w:val="4FDD43E5"/>
    <w:rsid w:val="4FE20F0D"/>
    <w:rsid w:val="50020304"/>
    <w:rsid w:val="501062E2"/>
    <w:rsid w:val="501528FD"/>
    <w:rsid w:val="501C02D4"/>
    <w:rsid w:val="501C064B"/>
    <w:rsid w:val="501D3227"/>
    <w:rsid w:val="503A4BE2"/>
    <w:rsid w:val="50493AD1"/>
    <w:rsid w:val="50504C4B"/>
    <w:rsid w:val="50592F6D"/>
    <w:rsid w:val="50593B66"/>
    <w:rsid w:val="506F4ACA"/>
    <w:rsid w:val="507170C9"/>
    <w:rsid w:val="507174A0"/>
    <w:rsid w:val="50890410"/>
    <w:rsid w:val="508D4D33"/>
    <w:rsid w:val="509222DD"/>
    <w:rsid w:val="509C6E7C"/>
    <w:rsid w:val="50DA051D"/>
    <w:rsid w:val="50F93270"/>
    <w:rsid w:val="510168B7"/>
    <w:rsid w:val="510445D5"/>
    <w:rsid w:val="510C31D4"/>
    <w:rsid w:val="51111969"/>
    <w:rsid w:val="5121338F"/>
    <w:rsid w:val="51216CE9"/>
    <w:rsid w:val="513A28EB"/>
    <w:rsid w:val="513D4EF1"/>
    <w:rsid w:val="51494F94"/>
    <w:rsid w:val="515378AA"/>
    <w:rsid w:val="515B7CB7"/>
    <w:rsid w:val="5162104E"/>
    <w:rsid w:val="51654692"/>
    <w:rsid w:val="516D4B34"/>
    <w:rsid w:val="517301E0"/>
    <w:rsid w:val="51850D07"/>
    <w:rsid w:val="51900E5C"/>
    <w:rsid w:val="519D207E"/>
    <w:rsid w:val="519D4DAB"/>
    <w:rsid w:val="51A559FD"/>
    <w:rsid w:val="51B94C5F"/>
    <w:rsid w:val="51C50AAB"/>
    <w:rsid w:val="51C85C20"/>
    <w:rsid w:val="51CB2747"/>
    <w:rsid w:val="51CC615B"/>
    <w:rsid w:val="51CE20DA"/>
    <w:rsid w:val="51D63573"/>
    <w:rsid w:val="51D807C1"/>
    <w:rsid w:val="51DF5F27"/>
    <w:rsid w:val="51E6465B"/>
    <w:rsid w:val="51E71642"/>
    <w:rsid w:val="51EA4DBD"/>
    <w:rsid w:val="51F1596F"/>
    <w:rsid w:val="51FA0BCD"/>
    <w:rsid w:val="52173828"/>
    <w:rsid w:val="52243DCC"/>
    <w:rsid w:val="52262073"/>
    <w:rsid w:val="522D3402"/>
    <w:rsid w:val="522E5843"/>
    <w:rsid w:val="5240428E"/>
    <w:rsid w:val="524245F4"/>
    <w:rsid w:val="524517E9"/>
    <w:rsid w:val="52485B88"/>
    <w:rsid w:val="524A2CC3"/>
    <w:rsid w:val="52611E82"/>
    <w:rsid w:val="52663096"/>
    <w:rsid w:val="5275227E"/>
    <w:rsid w:val="527C310C"/>
    <w:rsid w:val="5281374D"/>
    <w:rsid w:val="528218DB"/>
    <w:rsid w:val="528475D8"/>
    <w:rsid w:val="52887D7D"/>
    <w:rsid w:val="52943342"/>
    <w:rsid w:val="52A12F10"/>
    <w:rsid w:val="52AA2DD6"/>
    <w:rsid w:val="52AB2266"/>
    <w:rsid w:val="52B70F1D"/>
    <w:rsid w:val="52B961D9"/>
    <w:rsid w:val="52BA04EE"/>
    <w:rsid w:val="52C35737"/>
    <w:rsid w:val="52C9363E"/>
    <w:rsid w:val="52CB2DB3"/>
    <w:rsid w:val="52CE1F68"/>
    <w:rsid w:val="52D35A35"/>
    <w:rsid w:val="52D70257"/>
    <w:rsid w:val="52F061DD"/>
    <w:rsid w:val="52FF1B1A"/>
    <w:rsid w:val="53091C7D"/>
    <w:rsid w:val="53152610"/>
    <w:rsid w:val="532E6220"/>
    <w:rsid w:val="532F16EE"/>
    <w:rsid w:val="53332D23"/>
    <w:rsid w:val="533407C0"/>
    <w:rsid w:val="5345779E"/>
    <w:rsid w:val="537A3C4A"/>
    <w:rsid w:val="5382152B"/>
    <w:rsid w:val="53824106"/>
    <w:rsid w:val="53832FFF"/>
    <w:rsid w:val="538B2FA5"/>
    <w:rsid w:val="539F62BD"/>
    <w:rsid w:val="53A039CC"/>
    <w:rsid w:val="53A1505A"/>
    <w:rsid w:val="53A775F2"/>
    <w:rsid w:val="53A96560"/>
    <w:rsid w:val="53B06844"/>
    <w:rsid w:val="53B839CF"/>
    <w:rsid w:val="53C600B7"/>
    <w:rsid w:val="53CE29C2"/>
    <w:rsid w:val="53D12147"/>
    <w:rsid w:val="53D25DFE"/>
    <w:rsid w:val="53D96414"/>
    <w:rsid w:val="53E21F58"/>
    <w:rsid w:val="53F44D83"/>
    <w:rsid w:val="53F85E2F"/>
    <w:rsid w:val="54011038"/>
    <w:rsid w:val="54030F4A"/>
    <w:rsid w:val="54063E08"/>
    <w:rsid w:val="54066314"/>
    <w:rsid w:val="540974AB"/>
    <w:rsid w:val="543437E8"/>
    <w:rsid w:val="54470F3F"/>
    <w:rsid w:val="544D63BC"/>
    <w:rsid w:val="545F1919"/>
    <w:rsid w:val="548408DE"/>
    <w:rsid w:val="54847377"/>
    <w:rsid w:val="54890DE3"/>
    <w:rsid w:val="54972DB4"/>
    <w:rsid w:val="54A07922"/>
    <w:rsid w:val="54A10E3E"/>
    <w:rsid w:val="54A1752B"/>
    <w:rsid w:val="54A2450D"/>
    <w:rsid w:val="54AF4F81"/>
    <w:rsid w:val="54B25E40"/>
    <w:rsid w:val="54C75496"/>
    <w:rsid w:val="54D84F3C"/>
    <w:rsid w:val="54E94EBE"/>
    <w:rsid w:val="54F772E4"/>
    <w:rsid w:val="54F85D62"/>
    <w:rsid w:val="54F91DE4"/>
    <w:rsid w:val="550008DE"/>
    <w:rsid w:val="5506389A"/>
    <w:rsid w:val="5509168F"/>
    <w:rsid w:val="550C3F14"/>
    <w:rsid w:val="55115C82"/>
    <w:rsid w:val="5514739B"/>
    <w:rsid w:val="55354FEE"/>
    <w:rsid w:val="55382395"/>
    <w:rsid w:val="553F6AAE"/>
    <w:rsid w:val="55420D32"/>
    <w:rsid w:val="55431960"/>
    <w:rsid w:val="555108D6"/>
    <w:rsid w:val="5552142F"/>
    <w:rsid w:val="555B26F3"/>
    <w:rsid w:val="5563151E"/>
    <w:rsid w:val="556370EB"/>
    <w:rsid w:val="556701E8"/>
    <w:rsid w:val="557A5795"/>
    <w:rsid w:val="5582241D"/>
    <w:rsid w:val="558441F6"/>
    <w:rsid w:val="558B661A"/>
    <w:rsid w:val="559341F3"/>
    <w:rsid w:val="55977FC3"/>
    <w:rsid w:val="559B174B"/>
    <w:rsid w:val="55A0038E"/>
    <w:rsid w:val="55A0598E"/>
    <w:rsid w:val="55B001EA"/>
    <w:rsid w:val="55C50DF3"/>
    <w:rsid w:val="55C637AC"/>
    <w:rsid w:val="55C9444D"/>
    <w:rsid w:val="55CE0CF4"/>
    <w:rsid w:val="55D22EF4"/>
    <w:rsid w:val="55EF374D"/>
    <w:rsid w:val="55F679E2"/>
    <w:rsid w:val="55F83D27"/>
    <w:rsid w:val="560237D9"/>
    <w:rsid w:val="560D2E25"/>
    <w:rsid w:val="56252405"/>
    <w:rsid w:val="562672AE"/>
    <w:rsid w:val="56301712"/>
    <w:rsid w:val="563229F1"/>
    <w:rsid w:val="56404133"/>
    <w:rsid w:val="5657378F"/>
    <w:rsid w:val="565F03F0"/>
    <w:rsid w:val="566E223B"/>
    <w:rsid w:val="566E66CC"/>
    <w:rsid w:val="56726E10"/>
    <w:rsid w:val="56803D47"/>
    <w:rsid w:val="56857172"/>
    <w:rsid w:val="568660ED"/>
    <w:rsid w:val="5697264C"/>
    <w:rsid w:val="56993EB4"/>
    <w:rsid w:val="56A578EC"/>
    <w:rsid w:val="56B0180D"/>
    <w:rsid w:val="56B22A9C"/>
    <w:rsid w:val="56C239A5"/>
    <w:rsid w:val="56C55269"/>
    <w:rsid w:val="56F54695"/>
    <w:rsid w:val="56FC15F5"/>
    <w:rsid w:val="56FE35BF"/>
    <w:rsid w:val="56FF6099"/>
    <w:rsid w:val="57132B8A"/>
    <w:rsid w:val="571B61C7"/>
    <w:rsid w:val="571D5411"/>
    <w:rsid w:val="57265D15"/>
    <w:rsid w:val="572A3CD9"/>
    <w:rsid w:val="57404234"/>
    <w:rsid w:val="57406FD6"/>
    <w:rsid w:val="5741108B"/>
    <w:rsid w:val="574B1FB6"/>
    <w:rsid w:val="57560D05"/>
    <w:rsid w:val="57564940"/>
    <w:rsid w:val="576A07B1"/>
    <w:rsid w:val="576A2A17"/>
    <w:rsid w:val="576B512B"/>
    <w:rsid w:val="5776067F"/>
    <w:rsid w:val="57763628"/>
    <w:rsid w:val="57782501"/>
    <w:rsid w:val="577B0428"/>
    <w:rsid w:val="577D5A1F"/>
    <w:rsid w:val="57A01233"/>
    <w:rsid w:val="57A67D4F"/>
    <w:rsid w:val="57A92201"/>
    <w:rsid w:val="57AD0D51"/>
    <w:rsid w:val="57B72A76"/>
    <w:rsid w:val="57BC300F"/>
    <w:rsid w:val="57D165DD"/>
    <w:rsid w:val="57DB56AE"/>
    <w:rsid w:val="57E13B39"/>
    <w:rsid w:val="57E5652D"/>
    <w:rsid w:val="57EE156D"/>
    <w:rsid w:val="57FF638B"/>
    <w:rsid w:val="5844692B"/>
    <w:rsid w:val="584A33C9"/>
    <w:rsid w:val="584E1260"/>
    <w:rsid w:val="585E5208"/>
    <w:rsid w:val="589955E8"/>
    <w:rsid w:val="58B9354C"/>
    <w:rsid w:val="58CF2F54"/>
    <w:rsid w:val="58D176CD"/>
    <w:rsid w:val="58DC1045"/>
    <w:rsid w:val="58E46D34"/>
    <w:rsid w:val="58E6430A"/>
    <w:rsid w:val="58ED5C14"/>
    <w:rsid w:val="58EE63F4"/>
    <w:rsid w:val="58F82AC6"/>
    <w:rsid w:val="58FE3808"/>
    <w:rsid w:val="59051EE0"/>
    <w:rsid w:val="590524BF"/>
    <w:rsid w:val="59056A5B"/>
    <w:rsid w:val="590B3D71"/>
    <w:rsid w:val="5917556F"/>
    <w:rsid w:val="59262592"/>
    <w:rsid w:val="592E1576"/>
    <w:rsid w:val="59350081"/>
    <w:rsid w:val="594C013E"/>
    <w:rsid w:val="59505C28"/>
    <w:rsid w:val="5955568D"/>
    <w:rsid w:val="595F7087"/>
    <w:rsid w:val="5969417C"/>
    <w:rsid w:val="59724538"/>
    <w:rsid w:val="59744E44"/>
    <w:rsid w:val="598751C8"/>
    <w:rsid w:val="598F5DAE"/>
    <w:rsid w:val="59926240"/>
    <w:rsid w:val="599432AE"/>
    <w:rsid w:val="59AF3E85"/>
    <w:rsid w:val="59BE5AA8"/>
    <w:rsid w:val="59BF7AA4"/>
    <w:rsid w:val="59C66DA2"/>
    <w:rsid w:val="59CC77FA"/>
    <w:rsid w:val="59ED0A36"/>
    <w:rsid w:val="59EF071C"/>
    <w:rsid w:val="59F85C8D"/>
    <w:rsid w:val="5A030A78"/>
    <w:rsid w:val="5A0507C0"/>
    <w:rsid w:val="5A37005A"/>
    <w:rsid w:val="5A382002"/>
    <w:rsid w:val="5A3C747D"/>
    <w:rsid w:val="5A493A64"/>
    <w:rsid w:val="5A5E48DE"/>
    <w:rsid w:val="5A616299"/>
    <w:rsid w:val="5A625C12"/>
    <w:rsid w:val="5A6E2809"/>
    <w:rsid w:val="5A743715"/>
    <w:rsid w:val="5A74534F"/>
    <w:rsid w:val="5A7454E6"/>
    <w:rsid w:val="5A7B7636"/>
    <w:rsid w:val="5A7D734D"/>
    <w:rsid w:val="5A805043"/>
    <w:rsid w:val="5A827976"/>
    <w:rsid w:val="5A906901"/>
    <w:rsid w:val="5A915D38"/>
    <w:rsid w:val="5A9B5C32"/>
    <w:rsid w:val="5A9B646A"/>
    <w:rsid w:val="5AAD0072"/>
    <w:rsid w:val="5AAF57F4"/>
    <w:rsid w:val="5ABE2233"/>
    <w:rsid w:val="5ADA28F3"/>
    <w:rsid w:val="5AEC1365"/>
    <w:rsid w:val="5AF50835"/>
    <w:rsid w:val="5B0809A3"/>
    <w:rsid w:val="5B0F4258"/>
    <w:rsid w:val="5B184506"/>
    <w:rsid w:val="5B276D18"/>
    <w:rsid w:val="5B281075"/>
    <w:rsid w:val="5B320E95"/>
    <w:rsid w:val="5B55608E"/>
    <w:rsid w:val="5B58746D"/>
    <w:rsid w:val="5B5C12A7"/>
    <w:rsid w:val="5B6576C1"/>
    <w:rsid w:val="5B6B6D49"/>
    <w:rsid w:val="5B71195B"/>
    <w:rsid w:val="5B8A426D"/>
    <w:rsid w:val="5B9057CD"/>
    <w:rsid w:val="5BA109BC"/>
    <w:rsid w:val="5BDF5D95"/>
    <w:rsid w:val="5BEE395D"/>
    <w:rsid w:val="5BF06063"/>
    <w:rsid w:val="5BFD6B94"/>
    <w:rsid w:val="5C007892"/>
    <w:rsid w:val="5C0719F7"/>
    <w:rsid w:val="5C0858EC"/>
    <w:rsid w:val="5C0E6AF5"/>
    <w:rsid w:val="5C146509"/>
    <w:rsid w:val="5C2A4725"/>
    <w:rsid w:val="5C3B3635"/>
    <w:rsid w:val="5C3B6969"/>
    <w:rsid w:val="5C426E45"/>
    <w:rsid w:val="5C471564"/>
    <w:rsid w:val="5C545A2F"/>
    <w:rsid w:val="5C601DE9"/>
    <w:rsid w:val="5C683DC4"/>
    <w:rsid w:val="5C6D1824"/>
    <w:rsid w:val="5C6D7E77"/>
    <w:rsid w:val="5C75518E"/>
    <w:rsid w:val="5C7776D1"/>
    <w:rsid w:val="5C8302B2"/>
    <w:rsid w:val="5C8B32E0"/>
    <w:rsid w:val="5C9248A9"/>
    <w:rsid w:val="5C991765"/>
    <w:rsid w:val="5CA07AB7"/>
    <w:rsid w:val="5CA12590"/>
    <w:rsid w:val="5CBA499B"/>
    <w:rsid w:val="5CBE6A43"/>
    <w:rsid w:val="5CC35BD6"/>
    <w:rsid w:val="5CD233D4"/>
    <w:rsid w:val="5CD26548"/>
    <w:rsid w:val="5CD92A3E"/>
    <w:rsid w:val="5CE30209"/>
    <w:rsid w:val="5CF07204"/>
    <w:rsid w:val="5CF54E52"/>
    <w:rsid w:val="5CFA4F7E"/>
    <w:rsid w:val="5D262884"/>
    <w:rsid w:val="5D267233"/>
    <w:rsid w:val="5D300A27"/>
    <w:rsid w:val="5D4B62D5"/>
    <w:rsid w:val="5D4D5C2D"/>
    <w:rsid w:val="5D5005EA"/>
    <w:rsid w:val="5D543669"/>
    <w:rsid w:val="5D5851F2"/>
    <w:rsid w:val="5D5C5BE4"/>
    <w:rsid w:val="5D7E1729"/>
    <w:rsid w:val="5D8822CD"/>
    <w:rsid w:val="5D9021F7"/>
    <w:rsid w:val="5D9367C2"/>
    <w:rsid w:val="5DB43F67"/>
    <w:rsid w:val="5DBC4647"/>
    <w:rsid w:val="5DC15341"/>
    <w:rsid w:val="5DC24E85"/>
    <w:rsid w:val="5DC554EC"/>
    <w:rsid w:val="5DD77371"/>
    <w:rsid w:val="5DF21420"/>
    <w:rsid w:val="5DF87A0F"/>
    <w:rsid w:val="5DFD214F"/>
    <w:rsid w:val="5DFE29EA"/>
    <w:rsid w:val="5E157701"/>
    <w:rsid w:val="5E182A66"/>
    <w:rsid w:val="5E2861EC"/>
    <w:rsid w:val="5E3A2FCF"/>
    <w:rsid w:val="5E3B62A5"/>
    <w:rsid w:val="5E3D23C0"/>
    <w:rsid w:val="5E587A58"/>
    <w:rsid w:val="5E5E262C"/>
    <w:rsid w:val="5E766130"/>
    <w:rsid w:val="5E8412B9"/>
    <w:rsid w:val="5E8E11F4"/>
    <w:rsid w:val="5E975D2F"/>
    <w:rsid w:val="5E9B7945"/>
    <w:rsid w:val="5EAA1C60"/>
    <w:rsid w:val="5EAB6711"/>
    <w:rsid w:val="5EAE4050"/>
    <w:rsid w:val="5EB72737"/>
    <w:rsid w:val="5EBB452B"/>
    <w:rsid w:val="5ED27DC0"/>
    <w:rsid w:val="5ED52383"/>
    <w:rsid w:val="5ED66BCF"/>
    <w:rsid w:val="5EDC5506"/>
    <w:rsid w:val="5EE3724D"/>
    <w:rsid w:val="5F0143DF"/>
    <w:rsid w:val="5F034876"/>
    <w:rsid w:val="5F090B3B"/>
    <w:rsid w:val="5F0D4828"/>
    <w:rsid w:val="5F13689A"/>
    <w:rsid w:val="5F171FF4"/>
    <w:rsid w:val="5F1A2B43"/>
    <w:rsid w:val="5F1A5975"/>
    <w:rsid w:val="5F1B1802"/>
    <w:rsid w:val="5F374B3A"/>
    <w:rsid w:val="5F4049FC"/>
    <w:rsid w:val="5F4F5EF6"/>
    <w:rsid w:val="5F556E0A"/>
    <w:rsid w:val="5F5D0E23"/>
    <w:rsid w:val="5F5D6B35"/>
    <w:rsid w:val="5F6B21CF"/>
    <w:rsid w:val="5F7A10FD"/>
    <w:rsid w:val="5F82395B"/>
    <w:rsid w:val="5F936D1B"/>
    <w:rsid w:val="5F970AD5"/>
    <w:rsid w:val="5F990D88"/>
    <w:rsid w:val="5F9A5E4E"/>
    <w:rsid w:val="5FA0323B"/>
    <w:rsid w:val="5FB361BF"/>
    <w:rsid w:val="5FB837BB"/>
    <w:rsid w:val="5FBA55D4"/>
    <w:rsid w:val="5FBD2A0C"/>
    <w:rsid w:val="5FC672FA"/>
    <w:rsid w:val="5FE51BA2"/>
    <w:rsid w:val="5FEB7764"/>
    <w:rsid w:val="5FF4055D"/>
    <w:rsid w:val="60004D53"/>
    <w:rsid w:val="60042A3D"/>
    <w:rsid w:val="60063719"/>
    <w:rsid w:val="60126D88"/>
    <w:rsid w:val="6019201B"/>
    <w:rsid w:val="601C4C89"/>
    <w:rsid w:val="60246B64"/>
    <w:rsid w:val="60402552"/>
    <w:rsid w:val="60425097"/>
    <w:rsid w:val="60444A80"/>
    <w:rsid w:val="604B20E0"/>
    <w:rsid w:val="604C48D1"/>
    <w:rsid w:val="605029D0"/>
    <w:rsid w:val="6051650D"/>
    <w:rsid w:val="605E6915"/>
    <w:rsid w:val="606C63A6"/>
    <w:rsid w:val="60826F73"/>
    <w:rsid w:val="60847076"/>
    <w:rsid w:val="608508AD"/>
    <w:rsid w:val="608D18F6"/>
    <w:rsid w:val="60953C88"/>
    <w:rsid w:val="60976AEE"/>
    <w:rsid w:val="60980000"/>
    <w:rsid w:val="60987EFB"/>
    <w:rsid w:val="609E5A0D"/>
    <w:rsid w:val="60B80192"/>
    <w:rsid w:val="60C43183"/>
    <w:rsid w:val="60C82547"/>
    <w:rsid w:val="60D31618"/>
    <w:rsid w:val="60D5564D"/>
    <w:rsid w:val="60FD4B67"/>
    <w:rsid w:val="61026219"/>
    <w:rsid w:val="61075023"/>
    <w:rsid w:val="61077514"/>
    <w:rsid w:val="61106753"/>
    <w:rsid w:val="611A3F9A"/>
    <w:rsid w:val="61216A87"/>
    <w:rsid w:val="61306BF3"/>
    <w:rsid w:val="61306F80"/>
    <w:rsid w:val="61334359"/>
    <w:rsid w:val="613579A0"/>
    <w:rsid w:val="613A5ABB"/>
    <w:rsid w:val="61425A64"/>
    <w:rsid w:val="61510F83"/>
    <w:rsid w:val="61516F22"/>
    <w:rsid w:val="61532759"/>
    <w:rsid w:val="615C3991"/>
    <w:rsid w:val="616A2207"/>
    <w:rsid w:val="6175447D"/>
    <w:rsid w:val="61930D4C"/>
    <w:rsid w:val="619847CA"/>
    <w:rsid w:val="619F6EA3"/>
    <w:rsid w:val="61A028EE"/>
    <w:rsid w:val="61AA2B1C"/>
    <w:rsid w:val="61B25B3A"/>
    <w:rsid w:val="61BA5EAD"/>
    <w:rsid w:val="61D549A0"/>
    <w:rsid w:val="61DB36B3"/>
    <w:rsid w:val="61EE1848"/>
    <w:rsid w:val="61F61156"/>
    <w:rsid w:val="62076FEE"/>
    <w:rsid w:val="622A5268"/>
    <w:rsid w:val="622C6BCA"/>
    <w:rsid w:val="6233638E"/>
    <w:rsid w:val="62364782"/>
    <w:rsid w:val="623B4120"/>
    <w:rsid w:val="62614E27"/>
    <w:rsid w:val="626A0F6A"/>
    <w:rsid w:val="62B61C53"/>
    <w:rsid w:val="62B842B6"/>
    <w:rsid w:val="62C751AC"/>
    <w:rsid w:val="62C9025B"/>
    <w:rsid w:val="62DC1A18"/>
    <w:rsid w:val="62ED3BFB"/>
    <w:rsid w:val="62F152B4"/>
    <w:rsid w:val="62FC76A3"/>
    <w:rsid w:val="631303F2"/>
    <w:rsid w:val="632701D9"/>
    <w:rsid w:val="633D1AD0"/>
    <w:rsid w:val="635E71BE"/>
    <w:rsid w:val="63603A53"/>
    <w:rsid w:val="6366063F"/>
    <w:rsid w:val="63694E33"/>
    <w:rsid w:val="636D2502"/>
    <w:rsid w:val="63C80932"/>
    <w:rsid w:val="63CD5D22"/>
    <w:rsid w:val="63D40BE9"/>
    <w:rsid w:val="63D736AB"/>
    <w:rsid w:val="63DB79A0"/>
    <w:rsid w:val="63E0211F"/>
    <w:rsid w:val="63E63788"/>
    <w:rsid w:val="63E90E53"/>
    <w:rsid w:val="63F43F67"/>
    <w:rsid w:val="63FC0E86"/>
    <w:rsid w:val="63FC28CC"/>
    <w:rsid w:val="6405612D"/>
    <w:rsid w:val="64056AAD"/>
    <w:rsid w:val="640815D9"/>
    <w:rsid w:val="64254DC0"/>
    <w:rsid w:val="642816B5"/>
    <w:rsid w:val="642A42F8"/>
    <w:rsid w:val="64354835"/>
    <w:rsid w:val="64434C32"/>
    <w:rsid w:val="644B3501"/>
    <w:rsid w:val="645B7DA3"/>
    <w:rsid w:val="64664383"/>
    <w:rsid w:val="648A3E5B"/>
    <w:rsid w:val="648B76F3"/>
    <w:rsid w:val="64981640"/>
    <w:rsid w:val="649F7792"/>
    <w:rsid w:val="64A870E6"/>
    <w:rsid w:val="64AB14E2"/>
    <w:rsid w:val="64B737B1"/>
    <w:rsid w:val="64C57B54"/>
    <w:rsid w:val="64CA0D07"/>
    <w:rsid w:val="64D11341"/>
    <w:rsid w:val="64D55F44"/>
    <w:rsid w:val="64DC5DBB"/>
    <w:rsid w:val="64E205EB"/>
    <w:rsid w:val="64ED7110"/>
    <w:rsid w:val="64FA5D38"/>
    <w:rsid w:val="64FD6FDB"/>
    <w:rsid w:val="64FE1A13"/>
    <w:rsid w:val="65037FF2"/>
    <w:rsid w:val="650B5297"/>
    <w:rsid w:val="6511265D"/>
    <w:rsid w:val="6514354E"/>
    <w:rsid w:val="651956F6"/>
    <w:rsid w:val="65291B60"/>
    <w:rsid w:val="65314406"/>
    <w:rsid w:val="65346E87"/>
    <w:rsid w:val="65373578"/>
    <w:rsid w:val="653B5D56"/>
    <w:rsid w:val="653E5663"/>
    <w:rsid w:val="654523B9"/>
    <w:rsid w:val="65572E05"/>
    <w:rsid w:val="6576174A"/>
    <w:rsid w:val="65802F77"/>
    <w:rsid w:val="658F4986"/>
    <w:rsid w:val="65905E97"/>
    <w:rsid w:val="65945AA1"/>
    <w:rsid w:val="65966C1C"/>
    <w:rsid w:val="65AC79C6"/>
    <w:rsid w:val="65C523DA"/>
    <w:rsid w:val="65CB6913"/>
    <w:rsid w:val="65CC4888"/>
    <w:rsid w:val="65D22D7E"/>
    <w:rsid w:val="65D50955"/>
    <w:rsid w:val="65DA0416"/>
    <w:rsid w:val="65E35C92"/>
    <w:rsid w:val="65E71A53"/>
    <w:rsid w:val="65EB3C81"/>
    <w:rsid w:val="65FE5FFE"/>
    <w:rsid w:val="66014531"/>
    <w:rsid w:val="66016F36"/>
    <w:rsid w:val="660744F1"/>
    <w:rsid w:val="662F5543"/>
    <w:rsid w:val="66486309"/>
    <w:rsid w:val="664D31FA"/>
    <w:rsid w:val="66627B73"/>
    <w:rsid w:val="6672630C"/>
    <w:rsid w:val="667967BE"/>
    <w:rsid w:val="667F18FA"/>
    <w:rsid w:val="668533B4"/>
    <w:rsid w:val="66A04A91"/>
    <w:rsid w:val="66A33543"/>
    <w:rsid w:val="66AB32B0"/>
    <w:rsid w:val="66AD6051"/>
    <w:rsid w:val="66BF5FD9"/>
    <w:rsid w:val="66C069D3"/>
    <w:rsid w:val="66C13FBC"/>
    <w:rsid w:val="66CA0D1B"/>
    <w:rsid w:val="66DB167A"/>
    <w:rsid w:val="66DE3FAA"/>
    <w:rsid w:val="66DF2A5D"/>
    <w:rsid w:val="66E2392E"/>
    <w:rsid w:val="66E538A9"/>
    <w:rsid w:val="66ED7816"/>
    <w:rsid w:val="66EE4464"/>
    <w:rsid w:val="67156094"/>
    <w:rsid w:val="672B3DA1"/>
    <w:rsid w:val="67303CD1"/>
    <w:rsid w:val="67397CFB"/>
    <w:rsid w:val="673C2500"/>
    <w:rsid w:val="673F2C7A"/>
    <w:rsid w:val="675F113E"/>
    <w:rsid w:val="676D12BD"/>
    <w:rsid w:val="676D6E2C"/>
    <w:rsid w:val="677529E8"/>
    <w:rsid w:val="6779536D"/>
    <w:rsid w:val="677A27ED"/>
    <w:rsid w:val="677D4B12"/>
    <w:rsid w:val="678878C8"/>
    <w:rsid w:val="6792064F"/>
    <w:rsid w:val="6796697E"/>
    <w:rsid w:val="67BA02EE"/>
    <w:rsid w:val="67C7450D"/>
    <w:rsid w:val="67CB7CBC"/>
    <w:rsid w:val="67CC00F1"/>
    <w:rsid w:val="67CF3DE7"/>
    <w:rsid w:val="67D5132F"/>
    <w:rsid w:val="6802073B"/>
    <w:rsid w:val="6811416A"/>
    <w:rsid w:val="681250B8"/>
    <w:rsid w:val="68160FAF"/>
    <w:rsid w:val="681F3395"/>
    <w:rsid w:val="681F6961"/>
    <w:rsid w:val="684E2108"/>
    <w:rsid w:val="684E35B2"/>
    <w:rsid w:val="68572DDD"/>
    <w:rsid w:val="685C6397"/>
    <w:rsid w:val="685E4CAC"/>
    <w:rsid w:val="68610A2F"/>
    <w:rsid w:val="687026FF"/>
    <w:rsid w:val="6873723D"/>
    <w:rsid w:val="68805514"/>
    <w:rsid w:val="68856EDB"/>
    <w:rsid w:val="689879B5"/>
    <w:rsid w:val="68BE3566"/>
    <w:rsid w:val="68DB35D1"/>
    <w:rsid w:val="68E864B5"/>
    <w:rsid w:val="68EA2D99"/>
    <w:rsid w:val="68EA51E1"/>
    <w:rsid w:val="68EA74FF"/>
    <w:rsid w:val="68F25ADB"/>
    <w:rsid w:val="68F5051F"/>
    <w:rsid w:val="68FA7168"/>
    <w:rsid w:val="69017C2C"/>
    <w:rsid w:val="6902282A"/>
    <w:rsid w:val="69047678"/>
    <w:rsid w:val="690C1A38"/>
    <w:rsid w:val="691E3915"/>
    <w:rsid w:val="692B3984"/>
    <w:rsid w:val="6932651B"/>
    <w:rsid w:val="69371C5B"/>
    <w:rsid w:val="69384C82"/>
    <w:rsid w:val="693C287F"/>
    <w:rsid w:val="694E2071"/>
    <w:rsid w:val="69526E2B"/>
    <w:rsid w:val="695D1B52"/>
    <w:rsid w:val="69603C2C"/>
    <w:rsid w:val="69635BAC"/>
    <w:rsid w:val="697A3B33"/>
    <w:rsid w:val="69905171"/>
    <w:rsid w:val="69962813"/>
    <w:rsid w:val="699A719F"/>
    <w:rsid w:val="699E2456"/>
    <w:rsid w:val="699E3029"/>
    <w:rsid w:val="69D47C85"/>
    <w:rsid w:val="69D57519"/>
    <w:rsid w:val="69E07E23"/>
    <w:rsid w:val="69E743B2"/>
    <w:rsid w:val="69F1387D"/>
    <w:rsid w:val="69FB573C"/>
    <w:rsid w:val="6A002A7C"/>
    <w:rsid w:val="6A060CA6"/>
    <w:rsid w:val="6A06480C"/>
    <w:rsid w:val="6A09277B"/>
    <w:rsid w:val="6A094DEA"/>
    <w:rsid w:val="6A0A6B71"/>
    <w:rsid w:val="6A106A52"/>
    <w:rsid w:val="6A260A0B"/>
    <w:rsid w:val="6A2829D5"/>
    <w:rsid w:val="6A2A7E28"/>
    <w:rsid w:val="6A4528C1"/>
    <w:rsid w:val="6A49294B"/>
    <w:rsid w:val="6A6C0A0D"/>
    <w:rsid w:val="6A6D216F"/>
    <w:rsid w:val="6AA83C15"/>
    <w:rsid w:val="6AA96292"/>
    <w:rsid w:val="6ABA028C"/>
    <w:rsid w:val="6ABF0322"/>
    <w:rsid w:val="6AC04FC8"/>
    <w:rsid w:val="6AC25E43"/>
    <w:rsid w:val="6AD018A0"/>
    <w:rsid w:val="6ADB46C4"/>
    <w:rsid w:val="6AE5448D"/>
    <w:rsid w:val="6AE76DEB"/>
    <w:rsid w:val="6AE82D18"/>
    <w:rsid w:val="6AF8745D"/>
    <w:rsid w:val="6AFB7915"/>
    <w:rsid w:val="6B0322A3"/>
    <w:rsid w:val="6B253756"/>
    <w:rsid w:val="6B2E5A1A"/>
    <w:rsid w:val="6B322639"/>
    <w:rsid w:val="6B4F6613"/>
    <w:rsid w:val="6B6B26CD"/>
    <w:rsid w:val="6B7464EF"/>
    <w:rsid w:val="6B74718C"/>
    <w:rsid w:val="6B76442C"/>
    <w:rsid w:val="6B7A43A3"/>
    <w:rsid w:val="6B81764E"/>
    <w:rsid w:val="6B827E9E"/>
    <w:rsid w:val="6B8F4E1E"/>
    <w:rsid w:val="6BA76EB5"/>
    <w:rsid w:val="6BAD01D3"/>
    <w:rsid w:val="6BAF69D4"/>
    <w:rsid w:val="6BB025C3"/>
    <w:rsid w:val="6BBB5183"/>
    <w:rsid w:val="6BBF6E1D"/>
    <w:rsid w:val="6BC96077"/>
    <w:rsid w:val="6BD26271"/>
    <w:rsid w:val="6BE039F9"/>
    <w:rsid w:val="6BE86A20"/>
    <w:rsid w:val="6BFA1BEA"/>
    <w:rsid w:val="6BFB1326"/>
    <w:rsid w:val="6C04099E"/>
    <w:rsid w:val="6C055A38"/>
    <w:rsid w:val="6C260993"/>
    <w:rsid w:val="6C262F44"/>
    <w:rsid w:val="6C367FAA"/>
    <w:rsid w:val="6C3E6F1D"/>
    <w:rsid w:val="6C427CC2"/>
    <w:rsid w:val="6C4A4665"/>
    <w:rsid w:val="6C552981"/>
    <w:rsid w:val="6C557A9E"/>
    <w:rsid w:val="6C5A4F75"/>
    <w:rsid w:val="6C636C38"/>
    <w:rsid w:val="6C694992"/>
    <w:rsid w:val="6C764728"/>
    <w:rsid w:val="6C766147"/>
    <w:rsid w:val="6C781125"/>
    <w:rsid w:val="6C7E02DC"/>
    <w:rsid w:val="6C82401E"/>
    <w:rsid w:val="6C864B4A"/>
    <w:rsid w:val="6C9F63A5"/>
    <w:rsid w:val="6CA54DC3"/>
    <w:rsid w:val="6CA62F7B"/>
    <w:rsid w:val="6CAA79AA"/>
    <w:rsid w:val="6CB015CA"/>
    <w:rsid w:val="6CC142B7"/>
    <w:rsid w:val="6CD2275B"/>
    <w:rsid w:val="6CDC03F7"/>
    <w:rsid w:val="6CEA2386"/>
    <w:rsid w:val="6CFA640B"/>
    <w:rsid w:val="6D0042F0"/>
    <w:rsid w:val="6D050DAB"/>
    <w:rsid w:val="6D0A5B8D"/>
    <w:rsid w:val="6D0A5D4B"/>
    <w:rsid w:val="6D1446A2"/>
    <w:rsid w:val="6D14576F"/>
    <w:rsid w:val="6D1D32EB"/>
    <w:rsid w:val="6D303E08"/>
    <w:rsid w:val="6D313419"/>
    <w:rsid w:val="6D3E606B"/>
    <w:rsid w:val="6D410E04"/>
    <w:rsid w:val="6D4718C8"/>
    <w:rsid w:val="6D480EFE"/>
    <w:rsid w:val="6D495FB8"/>
    <w:rsid w:val="6D514600"/>
    <w:rsid w:val="6D5636BA"/>
    <w:rsid w:val="6D57585E"/>
    <w:rsid w:val="6D605FE2"/>
    <w:rsid w:val="6D710812"/>
    <w:rsid w:val="6D854B1C"/>
    <w:rsid w:val="6D895E78"/>
    <w:rsid w:val="6DA80068"/>
    <w:rsid w:val="6DB13EB5"/>
    <w:rsid w:val="6DB34098"/>
    <w:rsid w:val="6DB545B6"/>
    <w:rsid w:val="6DB72C69"/>
    <w:rsid w:val="6DB80440"/>
    <w:rsid w:val="6DC94052"/>
    <w:rsid w:val="6DCB6A05"/>
    <w:rsid w:val="6DCB7348"/>
    <w:rsid w:val="6DEC3AE9"/>
    <w:rsid w:val="6DEF369C"/>
    <w:rsid w:val="6DFF2CAD"/>
    <w:rsid w:val="6E1447C1"/>
    <w:rsid w:val="6E1868BC"/>
    <w:rsid w:val="6E273670"/>
    <w:rsid w:val="6E283707"/>
    <w:rsid w:val="6E2A4E03"/>
    <w:rsid w:val="6E331948"/>
    <w:rsid w:val="6E396513"/>
    <w:rsid w:val="6E3A1C78"/>
    <w:rsid w:val="6E3A6FE2"/>
    <w:rsid w:val="6E4375A0"/>
    <w:rsid w:val="6E514CED"/>
    <w:rsid w:val="6E562C86"/>
    <w:rsid w:val="6E5813AF"/>
    <w:rsid w:val="6E763852"/>
    <w:rsid w:val="6E79491A"/>
    <w:rsid w:val="6E944C5F"/>
    <w:rsid w:val="6E9638EB"/>
    <w:rsid w:val="6E9A0088"/>
    <w:rsid w:val="6EA404A4"/>
    <w:rsid w:val="6EAF51AF"/>
    <w:rsid w:val="6EB563D5"/>
    <w:rsid w:val="6EB60CC8"/>
    <w:rsid w:val="6EBD48CE"/>
    <w:rsid w:val="6EC96169"/>
    <w:rsid w:val="6EDB4B28"/>
    <w:rsid w:val="6EE95896"/>
    <w:rsid w:val="6EF52FCA"/>
    <w:rsid w:val="6F134DA6"/>
    <w:rsid w:val="6F1A27B4"/>
    <w:rsid w:val="6F225983"/>
    <w:rsid w:val="6F5A2AD6"/>
    <w:rsid w:val="6F672B40"/>
    <w:rsid w:val="6F6D49E6"/>
    <w:rsid w:val="6F6D7E0E"/>
    <w:rsid w:val="6F760985"/>
    <w:rsid w:val="6F776D97"/>
    <w:rsid w:val="6F7D368B"/>
    <w:rsid w:val="6F806E0F"/>
    <w:rsid w:val="6F841C6B"/>
    <w:rsid w:val="6F9644FE"/>
    <w:rsid w:val="6FA01245"/>
    <w:rsid w:val="6FB14B95"/>
    <w:rsid w:val="6FB501C9"/>
    <w:rsid w:val="6FB90762"/>
    <w:rsid w:val="6FCB721E"/>
    <w:rsid w:val="6FD9793A"/>
    <w:rsid w:val="6FDD3684"/>
    <w:rsid w:val="6FE01709"/>
    <w:rsid w:val="6FE74798"/>
    <w:rsid w:val="6FEC0CDB"/>
    <w:rsid w:val="6FEE0EBC"/>
    <w:rsid w:val="6FF84139"/>
    <w:rsid w:val="6FFC5590"/>
    <w:rsid w:val="6FFD220E"/>
    <w:rsid w:val="70060D2B"/>
    <w:rsid w:val="70070C77"/>
    <w:rsid w:val="701221A1"/>
    <w:rsid w:val="702931BC"/>
    <w:rsid w:val="702D685B"/>
    <w:rsid w:val="70301DA3"/>
    <w:rsid w:val="703379DD"/>
    <w:rsid w:val="70391C0D"/>
    <w:rsid w:val="705020EA"/>
    <w:rsid w:val="7052682E"/>
    <w:rsid w:val="70585696"/>
    <w:rsid w:val="705E657D"/>
    <w:rsid w:val="70656929"/>
    <w:rsid w:val="70677815"/>
    <w:rsid w:val="706D1DD0"/>
    <w:rsid w:val="708216A9"/>
    <w:rsid w:val="70856B87"/>
    <w:rsid w:val="708E4D3F"/>
    <w:rsid w:val="70936644"/>
    <w:rsid w:val="70A2754E"/>
    <w:rsid w:val="70AB4BEE"/>
    <w:rsid w:val="70B66678"/>
    <w:rsid w:val="70C0327C"/>
    <w:rsid w:val="70D20DA9"/>
    <w:rsid w:val="70D527EE"/>
    <w:rsid w:val="70E17847"/>
    <w:rsid w:val="70E402CF"/>
    <w:rsid w:val="70F1210A"/>
    <w:rsid w:val="70FE2C41"/>
    <w:rsid w:val="710609E4"/>
    <w:rsid w:val="710A1586"/>
    <w:rsid w:val="71127DEF"/>
    <w:rsid w:val="712C3471"/>
    <w:rsid w:val="712D4048"/>
    <w:rsid w:val="71341C5F"/>
    <w:rsid w:val="714E2FED"/>
    <w:rsid w:val="71502B7C"/>
    <w:rsid w:val="71547B7D"/>
    <w:rsid w:val="71552A05"/>
    <w:rsid w:val="7157594D"/>
    <w:rsid w:val="715B5300"/>
    <w:rsid w:val="715D4B58"/>
    <w:rsid w:val="715F4BD7"/>
    <w:rsid w:val="71622348"/>
    <w:rsid w:val="716A0710"/>
    <w:rsid w:val="716E7290"/>
    <w:rsid w:val="71792DB5"/>
    <w:rsid w:val="71793B16"/>
    <w:rsid w:val="71823121"/>
    <w:rsid w:val="718E4948"/>
    <w:rsid w:val="718F3C01"/>
    <w:rsid w:val="718F50E7"/>
    <w:rsid w:val="71970FCA"/>
    <w:rsid w:val="71A465CD"/>
    <w:rsid w:val="71A578A6"/>
    <w:rsid w:val="71A71E7E"/>
    <w:rsid w:val="71B42DA0"/>
    <w:rsid w:val="71BB412E"/>
    <w:rsid w:val="71BC293B"/>
    <w:rsid w:val="71C34D91"/>
    <w:rsid w:val="71CA4979"/>
    <w:rsid w:val="71CD2019"/>
    <w:rsid w:val="71CF2FEF"/>
    <w:rsid w:val="71D27F8A"/>
    <w:rsid w:val="71D92806"/>
    <w:rsid w:val="71DA182E"/>
    <w:rsid w:val="71DC28BF"/>
    <w:rsid w:val="71EA0C1A"/>
    <w:rsid w:val="71F744C6"/>
    <w:rsid w:val="71F960CF"/>
    <w:rsid w:val="72047A04"/>
    <w:rsid w:val="72074178"/>
    <w:rsid w:val="720A34EB"/>
    <w:rsid w:val="72423FE5"/>
    <w:rsid w:val="72455F54"/>
    <w:rsid w:val="725A388A"/>
    <w:rsid w:val="725B6E15"/>
    <w:rsid w:val="726379B4"/>
    <w:rsid w:val="72691DDC"/>
    <w:rsid w:val="72707EFE"/>
    <w:rsid w:val="727C2ADD"/>
    <w:rsid w:val="728919FF"/>
    <w:rsid w:val="728D1C80"/>
    <w:rsid w:val="729B1DAE"/>
    <w:rsid w:val="72A87A59"/>
    <w:rsid w:val="72C25D37"/>
    <w:rsid w:val="72CE22EA"/>
    <w:rsid w:val="72E062EA"/>
    <w:rsid w:val="72EB0497"/>
    <w:rsid w:val="72F30202"/>
    <w:rsid w:val="72F35B4A"/>
    <w:rsid w:val="72FA78E3"/>
    <w:rsid w:val="730613D9"/>
    <w:rsid w:val="73090EC9"/>
    <w:rsid w:val="730C74E2"/>
    <w:rsid w:val="731416B3"/>
    <w:rsid w:val="731F5D5E"/>
    <w:rsid w:val="732C2D89"/>
    <w:rsid w:val="733414DA"/>
    <w:rsid w:val="734E60A1"/>
    <w:rsid w:val="735B5666"/>
    <w:rsid w:val="73605CF2"/>
    <w:rsid w:val="73646ADC"/>
    <w:rsid w:val="73686071"/>
    <w:rsid w:val="73740188"/>
    <w:rsid w:val="73812E81"/>
    <w:rsid w:val="738D1AFA"/>
    <w:rsid w:val="73A90379"/>
    <w:rsid w:val="73B9288A"/>
    <w:rsid w:val="73D52715"/>
    <w:rsid w:val="73D55EF8"/>
    <w:rsid w:val="73DB4500"/>
    <w:rsid w:val="73E852EF"/>
    <w:rsid w:val="73F0335E"/>
    <w:rsid w:val="73F6534C"/>
    <w:rsid w:val="73F653A4"/>
    <w:rsid w:val="741236C7"/>
    <w:rsid w:val="741E793C"/>
    <w:rsid w:val="74333346"/>
    <w:rsid w:val="74337351"/>
    <w:rsid w:val="743A17FA"/>
    <w:rsid w:val="743C509B"/>
    <w:rsid w:val="744058BE"/>
    <w:rsid w:val="74512618"/>
    <w:rsid w:val="745524AF"/>
    <w:rsid w:val="745D771F"/>
    <w:rsid w:val="74645724"/>
    <w:rsid w:val="747D2E7F"/>
    <w:rsid w:val="74812A1E"/>
    <w:rsid w:val="74A24D5F"/>
    <w:rsid w:val="74AA231F"/>
    <w:rsid w:val="74AA7D6A"/>
    <w:rsid w:val="74AD7E94"/>
    <w:rsid w:val="74D70A47"/>
    <w:rsid w:val="74E16EF4"/>
    <w:rsid w:val="74EA3EF1"/>
    <w:rsid w:val="74ED659E"/>
    <w:rsid w:val="750B21EE"/>
    <w:rsid w:val="750B7DAA"/>
    <w:rsid w:val="750C2AA5"/>
    <w:rsid w:val="75111CC9"/>
    <w:rsid w:val="75151DA7"/>
    <w:rsid w:val="75184F67"/>
    <w:rsid w:val="751874B8"/>
    <w:rsid w:val="751A40A6"/>
    <w:rsid w:val="751D3729"/>
    <w:rsid w:val="752743C6"/>
    <w:rsid w:val="753A7A60"/>
    <w:rsid w:val="75483F2B"/>
    <w:rsid w:val="75554A00"/>
    <w:rsid w:val="75564F56"/>
    <w:rsid w:val="75596138"/>
    <w:rsid w:val="75676C39"/>
    <w:rsid w:val="758327B9"/>
    <w:rsid w:val="75866A45"/>
    <w:rsid w:val="758A030B"/>
    <w:rsid w:val="758D75E2"/>
    <w:rsid w:val="75940B60"/>
    <w:rsid w:val="759C7340"/>
    <w:rsid w:val="75A953C1"/>
    <w:rsid w:val="75B475CD"/>
    <w:rsid w:val="75B47B69"/>
    <w:rsid w:val="75BB5D18"/>
    <w:rsid w:val="75D23842"/>
    <w:rsid w:val="75DB25C5"/>
    <w:rsid w:val="75E14A8B"/>
    <w:rsid w:val="75E57E77"/>
    <w:rsid w:val="75FD377E"/>
    <w:rsid w:val="760A2ACB"/>
    <w:rsid w:val="760E77DA"/>
    <w:rsid w:val="76131352"/>
    <w:rsid w:val="76150803"/>
    <w:rsid w:val="76191423"/>
    <w:rsid w:val="762D00D4"/>
    <w:rsid w:val="76373B82"/>
    <w:rsid w:val="763B0136"/>
    <w:rsid w:val="7642187C"/>
    <w:rsid w:val="76430491"/>
    <w:rsid w:val="765475A0"/>
    <w:rsid w:val="765611A9"/>
    <w:rsid w:val="765A4CE5"/>
    <w:rsid w:val="765B1DBD"/>
    <w:rsid w:val="7662101C"/>
    <w:rsid w:val="76802002"/>
    <w:rsid w:val="7692639C"/>
    <w:rsid w:val="769A6A71"/>
    <w:rsid w:val="76A446D4"/>
    <w:rsid w:val="76A47376"/>
    <w:rsid w:val="76BD0517"/>
    <w:rsid w:val="76BE2312"/>
    <w:rsid w:val="76C172E5"/>
    <w:rsid w:val="76D4359C"/>
    <w:rsid w:val="76DE03EE"/>
    <w:rsid w:val="76E96A24"/>
    <w:rsid w:val="76F33176"/>
    <w:rsid w:val="76F40D86"/>
    <w:rsid w:val="76F47F4B"/>
    <w:rsid w:val="77024C3F"/>
    <w:rsid w:val="770B5DD6"/>
    <w:rsid w:val="771403C6"/>
    <w:rsid w:val="77170B96"/>
    <w:rsid w:val="771A5074"/>
    <w:rsid w:val="771C566F"/>
    <w:rsid w:val="771F57DD"/>
    <w:rsid w:val="7720363A"/>
    <w:rsid w:val="772E2C76"/>
    <w:rsid w:val="773106E4"/>
    <w:rsid w:val="775E5C88"/>
    <w:rsid w:val="77664403"/>
    <w:rsid w:val="776D14DD"/>
    <w:rsid w:val="777056F2"/>
    <w:rsid w:val="77762421"/>
    <w:rsid w:val="77781CF1"/>
    <w:rsid w:val="777C7EBC"/>
    <w:rsid w:val="77836141"/>
    <w:rsid w:val="779A48AE"/>
    <w:rsid w:val="77A62371"/>
    <w:rsid w:val="77B659D9"/>
    <w:rsid w:val="77BA6C36"/>
    <w:rsid w:val="77BF20BF"/>
    <w:rsid w:val="77BF7691"/>
    <w:rsid w:val="77C10F0F"/>
    <w:rsid w:val="77C40A5F"/>
    <w:rsid w:val="77C7052C"/>
    <w:rsid w:val="77D8675B"/>
    <w:rsid w:val="77DA1086"/>
    <w:rsid w:val="77EA02D2"/>
    <w:rsid w:val="77F116C6"/>
    <w:rsid w:val="77F2017E"/>
    <w:rsid w:val="77F24677"/>
    <w:rsid w:val="780F09F4"/>
    <w:rsid w:val="781A6B8A"/>
    <w:rsid w:val="781D3938"/>
    <w:rsid w:val="781F632B"/>
    <w:rsid w:val="78221E51"/>
    <w:rsid w:val="783976CE"/>
    <w:rsid w:val="783B00A0"/>
    <w:rsid w:val="783B1B25"/>
    <w:rsid w:val="7842338C"/>
    <w:rsid w:val="7847044A"/>
    <w:rsid w:val="78563BE9"/>
    <w:rsid w:val="78593803"/>
    <w:rsid w:val="785C1FFD"/>
    <w:rsid w:val="7869574C"/>
    <w:rsid w:val="786C0419"/>
    <w:rsid w:val="786F5C73"/>
    <w:rsid w:val="78705315"/>
    <w:rsid w:val="78757FBF"/>
    <w:rsid w:val="788D60F9"/>
    <w:rsid w:val="789B396A"/>
    <w:rsid w:val="789C4F47"/>
    <w:rsid w:val="78A90480"/>
    <w:rsid w:val="78C34350"/>
    <w:rsid w:val="78CB6182"/>
    <w:rsid w:val="78CD285A"/>
    <w:rsid w:val="78CE6255"/>
    <w:rsid w:val="78CF3065"/>
    <w:rsid w:val="78D57F63"/>
    <w:rsid w:val="78E47C55"/>
    <w:rsid w:val="78E57CE3"/>
    <w:rsid w:val="790852B2"/>
    <w:rsid w:val="79090505"/>
    <w:rsid w:val="790B6C26"/>
    <w:rsid w:val="790C7EBF"/>
    <w:rsid w:val="790E2A6A"/>
    <w:rsid w:val="79223BAB"/>
    <w:rsid w:val="79301275"/>
    <w:rsid w:val="794326F5"/>
    <w:rsid w:val="794772A1"/>
    <w:rsid w:val="795128C7"/>
    <w:rsid w:val="79512AFE"/>
    <w:rsid w:val="79525C64"/>
    <w:rsid w:val="79567644"/>
    <w:rsid w:val="796C04EA"/>
    <w:rsid w:val="797207B2"/>
    <w:rsid w:val="797664F3"/>
    <w:rsid w:val="79811327"/>
    <w:rsid w:val="7997722F"/>
    <w:rsid w:val="79A57BCC"/>
    <w:rsid w:val="79AA6722"/>
    <w:rsid w:val="79C27602"/>
    <w:rsid w:val="79C3587A"/>
    <w:rsid w:val="79CA181D"/>
    <w:rsid w:val="79DA6459"/>
    <w:rsid w:val="79DC164B"/>
    <w:rsid w:val="79E6756B"/>
    <w:rsid w:val="79E95399"/>
    <w:rsid w:val="79EB5018"/>
    <w:rsid w:val="79EE451D"/>
    <w:rsid w:val="79F90B40"/>
    <w:rsid w:val="79FD7340"/>
    <w:rsid w:val="7A013AAF"/>
    <w:rsid w:val="7A033333"/>
    <w:rsid w:val="7A0E266F"/>
    <w:rsid w:val="7A1F7EB1"/>
    <w:rsid w:val="7A293F92"/>
    <w:rsid w:val="7A2D4BA9"/>
    <w:rsid w:val="7A340AB3"/>
    <w:rsid w:val="7A364017"/>
    <w:rsid w:val="7A3820D6"/>
    <w:rsid w:val="7A3B5BD2"/>
    <w:rsid w:val="7A4B7123"/>
    <w:rsid w:val="7A532FCA"/>
    <w:rsid w:val="7A537FA1"/>
    <w:rsid w:val="7A70182E"/>
    <w:rsid w:val="7A777810"/>
    <w:rsid w:val="7A8265E1"/>
    <w:rsid w:val="7A902145"/>
    <w:rsid w:val="7A9703C0"/>
    <w:rsid w:val="7AB455A5"/>
    <w:rsid w:val="7ABD41DA"/>
    <w:rsid w:val="7AC766A6"/>
    <w:rsid w:val="7ADD02B4"/>
    <w:rsid w:val="7AE873A5"/>
    <w:rsid w:val="7AE96541"/>
    <w:rsid w:val="7AF366E7"/>
    <w:rsid w:val="7B126DB1"/>
    <w:rsid w:val="7B1B3F8A"/>
    <w:rsid w:val="7B1D7C08"/>
    <w:rsid w:val="7B1E3F61"/>
    <w:rsid w:val="7B1E61F8"/>
    <w:rsid w:val="7B246CA5"/>
    <w:rsid w:val="7B297F78"/>
    <w:rsid w:val="7B2D3009"/>
    <w:rsid w:val="7B480FBD"/>
    <w:rsid w:val="7B686D42"/>
    <w:rsid w:val="7B6A0AC5"/>
    <w:rsid w:val="7B733859"/>
    <w:rsid w:val="7B7973C9"/>
    <w:rsid w:val="7B841746"/>
    <w:rsid w:val="7B8A2CF3"/>
    <w:rsid w:val="7B8B1910"/>
    <w:rsid w:val="7B8C08E9"/>
    <w:rsid w:val="7B8C2698"/>
    <w:rsid w:val="7B8E6E1E"/>
    <w:rsid w:val="7B8F440C"/>
    <w:rsid w:val="7B9040F4"/>
    <w:rsid w:val="7B9B5937"/>
    <w:rsid w:val="7BA46C4D"/>
    <w:rsid w:val="7BA66D43"/>
    <w:rsid w:val="7BAA27D6"/>
    <w:rsid w:val="7BB22B41"/>
    <w:rsid w:val="7BB44B87"/>
    <w:rsid w:val="7BC77B74"/>
    <w:rsid w:val="7BD16D8D"/>
    <w:rsid w:val="7BD54806"/>
    <w:rsid w:val="7BDB052A"/>
    <w:rsid w:val="7BE073D7"/>
    <w:rsid w:val="7BE21673"/>
    <w:rsid w:val="7BE85886"/>
    <w:rsid w:val="7BF146DD"/>
    <w:rsid w:val="7BF33896"/>
    <w:rsid w:val="7BF51B71"/>
    <w:rsid w:val="7BFC5A6F"/>
    <w:rsid w:val="7C00208B"/>
    <w:rsid w:val="7C024068"/>
    <w:rsid w:val="7C044924"/>
    <w:rsid w:val="7C0E044C"/>
    <w:rsid w:val="7C4F5FE4"/>
    <w:rsid w:val="7C5B32CE"/>
    <w:rsid w:val="7C5B78C0"/>
    <w:rsid w:val="7C5F030D"/>
    <w:rsid w:val="7C6C524E"/>
    <w:rsid w:val="7C7E46D6"/>
    <w:rsid w:val="7C7F0ADE"/>
    <w:rsid w:val="7C805725"/>
    <w:rsid w:val="7C86444D"/>
    <w:rsid w:val="7C8F42AC"/>
    <w:rsid w:val="7CAF2A6C"/>
    <w:rsid w:val="7CB974BC"/>
    <w:rsid w:val="7CBF07D3"/>
    <w:rsid w:val="7CC80C48"/>
    <w:rsid w:val="7CD66028"/>
    <w:rsid w:val="7CE27E55"/>
    <w:rsid w:val="7CE968C5"/>
    <w:rsid w:val="7CFB4F3E"/>
    <w:rsid w:val="7CFE37EC"/>
    <w:rsid w:val="7D012C11"/>
    <w:rsid w:val="7D0239FF"/>
    <w:rsid w:val="7D0504B6"/>
    <w:rsid w:val="7D0B6C32"/>
    <w:rsid w:val="7D0F7B4F"/>
    <w:rsid w:val="7D137958"/>
    <w:rsid w:val="7D151836"/>
    <w:rsid w:val="7D2869F5"/>
    <w:rsid w:val="7D2A76CD"/>
    <w:rsid w:val="7D3470A1"/>
    <w:rsid w:val="7D356528"/>
    <w:rsid w:val="7D3C3B32"/>
    <w:rsid w:val="7D4A5A6F"/>
    <w:rsid w:val="7D4D6E19"/>
    <w:rsid w:val="7D5624D1"/>
    <w:rsid w:val="7D565F36"/>
    <w:rsid w:val="7D5E40CD"/>
    <w:rsid w:val="7D693BED"/>
    <w:rsid w:val="7D6B0D13"/>
    <w:rsid w:val="7D746D4A"/>
    <w:rsid w:val="7D755AD9"/>
    <w:rsid w:val="7D943A85"/>
    <w:rsid w:val="7DB4105E"/>
    <w:rsid w:val="7DB67EA0"/>
    <w:rsid w:val="7DBF6D95"/>
    <w:rsid w:val="7DC605F1"/>
    <w:rsid w:val="7DD46EF7"/>
    <w:rsid w:val="7DD578E8"/>
    <w:rsid w:val="7DD86EE8"/>
    <w:rsid w:val="7DE252B3"/>
    <w:rsid w:val="7DE84928"/>
    <w:rsid w:val="7DF1063F"/>
    <w:rsid w:val="7DF9183D"/>
    <w:rsid w:val="7E000514"/>
    <w:rsid w:val="7E194DCD"/>
    <w:rsid w:val="7E1B4180"/>
    <w:rsid w:val="7E22674A"/>
    <w:rsid w:val="7E250D35"/>
    <w:rsid w:val="7E2953A7"/>
    <w:rsid w:val="7E485985"/>
    <w:rsid w:val="7E4B683A"/>
    <w:rsid w:val="7E4F1BF3"/>
    <w:rsid w:val="7E543420"/>
    <w:rsid w:val="7E5F4B4D"/>
    <w:rsid w:val="7E625AB3"/>
    <w:rsid w:val="7E64166A"/>
    <w:rsid w:val="7E6C2FC3"/>
    <w:rsid w:val="7E8D6E52"/>
    <w:rsid w:val="7E9B3E7D"/>
    <w:rsid w:val="7EB04A96"/>
    <w:rsid w:val="7EB51F05"/>
    <w:rsid w:val="7EBA6331"/>
    <w:rsid w:val="7ECA54A0"/>
    <w:rsid w:val="7ECE7778"/>
    <w:rsid w:val="7ED108C1"/>
    <w:rsid w:val="7EF91E57"/>
    <w:rsid w:val="7F0215EE"/>
    <w:rsid w:val="7F075CF0"/>
    <w:rsid w:val="7F0A735D"/>
    <w:rsid w:val="7F0F1A2B"/>
    <w:rsid w:val="7F122A1D"/>
    <w:rsid w:val="7F1A0AFB"/>
    <w:rsid w:val="7F231028"/>
    <w:rsid w:val="7F2457B1"/>
    <w:rsid w:val="7F267EFD"/>
    <w:rsid w:val="7F280487"/>
    <w:rsid w:val="7F2D1909"/>
    <w:rsid w:val="7F2D1D6B"/>
    <w:rsid w:val="7F330F2F"/>
    <w:rsid w:val="7F35367D"/>
    <w:rsid w:val="7F3E2B28"/>
    <w:rsid w:val="7F58490C"/>
    <w:rsid w:val="7F645BE5"/>
    <w:rsid w:val="7F662778"/>
    <w:rsid w:val="7F6934EF"/>
    <w:rsid w:val="7F7A6F2B"/>
    <w:rsid w:val="7F7E49ED"/>
    <w:rsid w:val="7F804C71"/>
    <w:rsid w:val="7F80620B"/>
    <w:rsid w:val="7F8B3A2A"/>
    <w:rsid w:val="7F8D79E0"/>
    <w:rsid w:val="7F961BD6"/>
    <w:rsid w:val="7FA153AA"/>
    <w:rsid w:val="7FA2248A"/>
    <w:rsid w:val="7FB8112B"/>
    <w:rsid w:val="7FBC5A01"/>
    <w:rsid w:val="7FC2163E"/>
    <w:rsid w:val="7FC53233"/>
    <w:rsid w:val="7FC54BEC"/>
    <w:rsid w:val="7FC56394"/>
    <w:rsid w:val="7FCA6BE1"/>
    <w:rsid w:val="7FCC7BB8"/>
    <w:rsid w:val="7FE02FB2"/>
    <w:rsid w:val="7FE47E50"/>
    <w:rsid w:val="7FE6684C"/>
    <w:rsid w:val="7FE75FC9"/>
    <w:rsid w:val="7FED6F78"/>
    <w:rsid w:val="7FF6382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ocked="1"/>
    <w:lsdException w:qFormat="1" w:uiPriority="0" w:semiHidden="0" w:name="heading 3" w:locked="1"/>
    <w:lsdException w:qFormat="1"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ocked="1"/>
    <w:lsdException w:unhideWhenUsed="0" w:uiPriority="0" w:semiHidden="0" w:name="Closing"/>
    <w:lsdException w:qFormat="1" w:uiPriority="99"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08"/>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unhideWhenUsed/>
    <w:qFormat/>
    <w:locked/>
    <w:uiPriority w:val="0"/>
    <w:pPr>
      <w:keepNext/>
      <w:keepLines/>
      <w:spacing w:before="260" w:beforeLines="0" w:beforeAutospacing="0" w:after="260" w:afterLines="0" w:afterAutospacing="0" w:line="413" w:lineRule="auto"/>
      <w:outlineLvl w:val="1"/>
    </w:pPr>
    <w:rPr>
      <w:rFonts w:ascii="Arial" w:hAnsi="Arial" w:eastAsia="黑体"/>
      <w:b/>
      <w:kern w:val="2"/>
      <w:sz w:val="32"/>
      <w:lang w:val="en-US" w:eastAsia="zh-CN"/>
    </w:rPr>
  </w:style>
  <w:style w:type="paragraph" w:styleId="4">
    <w:name w:val="heading 3"/>
    <w:basedOn w:val="1"/>
    <w:next w:val="1"/>
    <w:unhideWhenUsed/>
    <w:qFormat/>
    <w:locked/>
    <w:uiPriority w:val="0"/>
    <w:pPr>
      <w:adjustRightInd w:val="0"/>
      <w:spacing w:line="360" w:lineRule="auto"/>
      <w:textAlignment w:val="baseline"/>
      <w:outlineLvl w:val="2"/>
    </w:pPr>
    <w:rPr>
      <w:rFonts w:eastAsia="黑体"/>
      <w:kern w:val="2"/>
      <w:sz w:val="28"/>
      <w:lang w:val="en-US" w:eastAsia="zh-CN"/>
    </w:rPr>
  </w:style>
  <w:style w:type="paragraph" w:styleId="5">
    <w:name w:val="heading 4"/>
    <w:basedOn w:val="1"/>
    <w:next w:val="1"/>
    <w:unhideWhenUsed/>
    <w:qFormat/>
    <w:locked/>
    <w:uiPriority w:val="9"/>
    <w:pPr>
      <w:keepNext/>
      <w:keepLines/>
      <w:spacing w:before="280" w:after="290" w:line="376" w:lineRule="auto"/>
      <w:outlineLvl w:val="3"/>
    </w:pPr>
    <w:rPr>
      <w:rFonts w:ascii="Cambria" w:hAnsi="Cambria"/>
      <w:b/>
      <w:bCs/>
      <w:sz w:val="28"/>
      <w:szCs w:val="28"/>
    </w:rPr>
  </w:style>
  <w:style w:type="character" w:default="1" w:styleId="34">
    <w:name w:val="Default Paragraph Font"/>
    <w:link w:val="35"/>
    <w:semiHidden/>
    <w:qFormat/>
    <w:uiPriority w:val="0"/>
    <w:rPr>
      <w:rFonts w:ascii="Times New Roman" w:hAnsi="Times New Roman"/>
      <w:sz w:val="28"/>
      <w:szCs w:val="28"/>
    </w:rPr>
  </w:style>
  <w:style w:type="table" w:default="1" w:styleId="32">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qFormat/>
    <w:uiPriority w:val="0"/>
    <w:pPr>
      <w:ind w:firstLine="420" w:firstLineChars="200"/>
    </w:pPr>
    <w:rPr>
      <w:rFonts w:eastAsia="宋体"/>
      <w:kern w:val="2"/>
      <w:sz w:val="21"/>
      <w:lang w:val="en-US" w:eastAsia="zh-CN"/>
    </w:rPr>
  </w:style>
  <w:style w:type="paragraph" w:styleId="7">
    <w:name w:val="caption"/>
    <w:basedOn w:val="8"/>
    <w:next w:val="1"/>
    <w:unhideWhenUsed/>
    <w:qFormat/>
    <w:locked/>
    <w:uiPriority w:val="0"/>
    <w:pPr>
      <w:adjustRightInd w:val="0"/>
      <w:snapToGrid w:val="0"/>
    </w:pPr>
    <w:rPr>
      <w:rFonts w:ascii="Calibri Light" w:hAnsi="Calibri Light" w:eastAsia="黑体"/>
      <w:szCs w:val="20"/>
    </w:rPr>
  </w:style>
  <w:style w:type="paragraph" w:styleId="8">
    <w:name w:val="Plain Text"/>
    <w:basedOn w:val="1"/>
    <w:next w:val="9"/>
    <w:qFormat/>
    <w:uiPriority w:val="0"/>
    <w:rPr>
      <w:rFonts w:ascii="宋体" w:hAnsi="Courier New" w:eastAsia="仿宋_GB2312"/>
      <w:kern w:val="2"/>
      <w:sz w:val="28"/>
      <w:lang w:val="en-US" w:eastAsia="zh-CN"/>
    </w:rPr>
  </w:style>
  <w:style w:type="paragraph" w:styleId="9">
    <w:name w:val="Signature"/>
    <w:basedOn w:val="1"/>
    <w:unhideWhenUsed/>
    <w:qFormat/>
    <w:uiPriority w:val="99"/>
    <w:pPr>
      <w:ind w:left="100" w:leftChars="2100"/>
    </w:pPr>
    <w:rPr>
      <w:sz w:val="21"/>
      <w:szCs w:val="24"/>
    </w:rPr>
  </w:style>
  <w:style w:type="paragraph" w:styleId="10">
    <w:name w:val="annotation text"/>
    <w:basedOn w:val="1"/>
    <w:link w:val="86"/>
    <w:semiHidden/>
    <w:qFormat/>
    <w:uiPriority w:val="0"/>
    <w:pPr>
      <w:jc w:val="left"/>
    </w:pPr>
    <w:rPr>
      <w:kern w:val="0"/>
      <w:sz w:val="24"/>
      <w:szCs w:val="20"/>
    </w:rPr>
  </w:style>
  <w:style w:type="paragraph" w:styleId="11">
    <w:name w:val="Body Text 3"/>
    <w:basedOn w:val="1"/>
    <w:qFormat/>
    <w:uiPriority w:val="0"/>
    <w:pPr>
      <w:spacing w:after="120" w:afterLines="0" w:afterAutospacing="0"/>
    </w:pPr>
    <w:rPr>
      <w:sz w:val="16"/>
    </w:rPr>
  </w:style>
  <w:style w:type="paragraph" w:styleId="12">
    <w:name w:val="Body Text"/>
    <w:basedOn w:val="1"/>
    <w:next w:val="13"/>
    <w:link w:val="81"/>
    <w:qFormat/>
    <w:uiPriority w:val="0"/>
    <w:pPr>
      <w:widowControl/>
      <w:snapToGrid w:val="0"/>
      <w:spacing w:before="60" w:after="160" w:line="259" w:lineRule="auto"/>
      <w:ind w:right="113"/>
    </w:pPr>
    <w:rPr>
      <w:kern w:val="0"/>
      <w:sz w:val="18"/>
      <w:szCs w:val="20"/>
    </w:rPr>
  </w:style>
  <w:style w:type="paragraph" w:styleId="13">
    <w:name w:val="Title"/>
    <w:basedOn w:val="1"/>
    <w:next w:val="1"/>
    <w:qFormat/>
    <w:locked/>
    <w:uiPriority w:val="0"/>
    <w:pPr>
      <w:autoSpaceDE/>
      <w:autoSpaceDN/>
      <w:spacing w:beforeLines="50" w:after="60" w:line="312" w:lineRule="auto"/>
      <w:ind w:firstLine="200" w:firstLineChars="200"/>
      <w:jc w:val="center"/>
      <w:textAlignment w:val="baseline"/>
      <w:outlineLvl w:val="0"/>
    </w:pPr>
    <w:rPr>
      <w:rFonts w:ascii="Cambria" w:hAnsi="Cambria"/>
      <w:b/>
      <w:bCs/>
      <w:sz w:val="32"/>
      <w:szCs w:val="32"/>
    </w:rPr>
  </w:style>
  <w:style w:type="paragraph" w:styleId="14">
    <w:name w:val="Body Text Indent"/>
    <w:basedOn w:val="1"/>
    <w:next w:val="15"/>
    <w:link w:val="78"/>
    <w:semiHidden/>
    <w:qFormat/>
    <w:uiPriority w:val="0"/>
    <w:pPr>
      <w:spacing w:after="120"/>
      <w:ind w:left="420" w:leftChars="200"/>
    </w:pPr>
  </w:style>
  <w:style w:type="paragraph" w:styleId="15">
    <w:name w:val="Body Text First Indent 2"/>
    <w:basedOn w:val="14"/>
    <w:next w:val="14"/>
    <w:qFormat/>
    <w:uiPriority w:val="0"/>
    <w:pPr>
      <w:ind w:firstLine="420"/>
    </w:pPr>
    <w:rPr>
      <w:rFonts w:ascii="Calibri" w:hAnsi="Calibri"/>
      <w:szCs w:val="22"/>
    </w:rPr>
  </w:style>
  <w:style w:type="paragraph" w:styleId="16">
    <w:name w:val="Date"/>
    <w:basedOn w:val="1"/>
    <w:next w:val="1"/>
    <w:link w:val="82"/>
    <w:qFormat/>
    <w:uiPriority w:val="0"/>
    <w:pPr>
      <w:ind w:left="100" w:leftChars="2500"/>
    </w:pPr>
    <w:rPr>
      <w:kern w:val="0"/>
      <w:sz w:val="24"/>
      <w:szCs w:val="20"/>
    </w:rPr>
  </w:style>
  <w:style w:type="paragraph" w:styleId="17">
    <w:name w:val="Body Text Indent 2"/>
    <w:basedOn w:val="1"/>
    <w:qFormat/>
    <w:uiPriority w:val="0"/>
    <w:pPr>
      <w:adjustRightInd w:val="0"/>
      <w:snapToGrid w:val="0"/>
      <w:spacing w:line="500" w:lineRule="exact"/>
      <w:ind w:firstLine="480"/>
    </w:pPr>
    <w:rPr>
      <w:rFonts w:ascii="宋体" w:hAnsi="宋体"/>
      <w:color w:val="FF0000"/>
      <w:sz w:val="24"/>
    </w:rPr>
  </w:style>
  <w:style w:type="paragraph" w:styleId="18">
    <w:name w:val="Balloon Text"/>
    <w:basedOn w:val="1"/>
    <w:link w:val="92"/>
    <w:semiHidden/>
    <w:qFormat/>
    <w:uiPriority w:val="0"/>
    <w:rPr>
      <w:sz w:val="18"/>
      <w:szCs w:val="18"/>
    </w:rPr>
  </w:style>
  <w:style w:type="paragraph" w:styleId="19">
    <w:name w:val="footer"/>
    <w:basedOn w:val="1"/>
    <w:link w:val="80"/>
    <w:qFormat/>
    <w:uiPriority w:val="0"/>
    <w:pPr>
      <w:tabs>
        <w:tab w:val="center" w:pos="4153"/>
        <w:tab w:val="right" w:pos="8306"/>
      </w:tabs>
      <w:snapToGrid w:val="0"/>
      <w:jc w:val="left"/>
    </w:pPr>
    <w:rPr>
      <w:sz w:val="18"/>
      <w:szCs w:val="18"/>
    </w:rPr>
  </w:style>
  <w:style w:type="paragraph" w:styleId="20">
    <w:name w:val="header"/>
    <w:basedOn w:val="1"/>
    <w:next w:val="1"/>
    <w:link w:val="94"/>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0"/>
    <w:pPr>
      <w:adjustRightInd w:val="0"/>
      <w:snapToGrid w:val="0"/>
      <w:spacing w:line="360" w:lineRule="auto"/>
    </w:pPr>
    <w:rPr>
      <w:rFonts w:eastAsia="黑体"/>
      <w:sz w:val="28"/>
    </w:rPr>
  </w:style>
  <w:style w:type="paragraph" w:styleId="22">
    <w:name w:val="index heading"/>
    <w:basedOn w:val="1"/>
    <w:next w:val="23"/>
    <w:qFormat/>
    <w:uiPriority w:val="0"/>
    <w:rPr>
      <w:szCs w:val="20"/>
    </w:rPr>
  </w:style>
  <w:style w:type="paragraph" w:styleId="23">
    <w:name w:val="index 1"/>
    <w:basedOn w:val="1"/>
    <w:next w:val="1"/>
    <w:unhideWhenUsed/>
    <w:qFormat/>
    <w:uiPriority w:val="0"/>
    <w:pPr>
      <w:adjustRightInd w:val="0"/>
      <w:snapToGrid w:val="0"/>
      <w:spacing w:line="440" w:lineRule="atLeast"/>
      <w:ind w:left="240" w:hanging="240"/>
      <w:jc w:val="left"/>
    </w:pPr>
    <w:rPr>
      <w:rFonts w:ascii="宋体"/>
      <w:sz w:val="18"/>
      <w:szCs w:val="18"/>
    </w:rPr>
  </w:style>
  <w:style w:type="paragraph" w:styleId="24">
    <w:name w:val="List Number 5"/>
    <w:basedOn w:val="1"/>
    <w:qFormat/>
    <w:uiPriority w:val="0"/>
    <w:pPr>
      <w:numPr>
        <w:ilvl w:val="0"/>
        <w:numId w:val="1"/>
      </w:numPr>
    </w:pPr>
  </w:style>
  <w:style w:type="paragraph" w:styleId="25">
    <w:name w:val="List"/>
    <w:basedOn w:val="1"/>
    <w:qFormat/>
    <w:uiPriority w:val="0"/>
    <w:pPr>
      <w:numPr>
        <w:ilvl w:val="0"/>
        <w:numId w:val="0"/>
      </w:numPr>
      <w:adjustRightInd w:val="0"/>
      <w:spacing w:line="460" w:lineRule="exact"/>
      <w:ind w:left="1276" w:hanging="425"/>
      <w:jc w:val="left"/>
      <w:textAlignment w:val="baseline"/>
    </w:pPr>
    <w:rPr>
      <w:rFonts w:ascii="Times New Roman" w:hAnsi="Times New Roman"/>
      <w:kern w:val="0"/>
      <w:sz w:val="24"/>
    </w:rPr>
  </w:style>
  <w:style w:type="paragraph" w:styleId="26">
    <w:name w:val="Body Text Indent 3"/>
    <w:basedOn w:val="1"/>
    <w:qFormat/>
    <w:uiPriority w:val="0"/>
    <w:pPr>
      <w:spacing w:line="520" w:lineRule="exact"/>
      <w:ind w:firstLine="640" w:firstLineChars="200"/>
    </w:pPr>
    <w:rPr>
      <w:rFonts w:eastAsia="楷体_GB2312"/>
      <w:sz w:val="32"/>
      <w:szCs w:val="20"/>
    </w:rPr>
  </w:style>
  <w:style w:type="paragraph" w:styleId="27">
    <w:name w:val="toc 2"/>
    <w:basedOn w:val="1"/>
    <w:next w:val="1"/>
    <w:qFormat/>
    <w:locked/>
    <w:uiPriority w:val="0"/>
    <w:pPr>
      <w:adjustRightInd w:val="0"/>
      <w:snapToGrid w:val="0"/>
      <w:spacing w:line="360" w:lineRule="auto"/>
      <w:ind w:left="200" w:leftChars="200"/>
    </w:pPr>
    <w:rPr>
      <w:sz w:val="28"/>
    </w:rPr>
  </w:style>
  <w:style w:type="paragraph" w:styleId="28">
    <w:name w:val="Body Text 2"/>
    <w:basedOn w:val="1"/>
    <w:unhideWhenUsed/>
    <w:qFormat/>
    <w:uiPriority w:val="0"/>
    <w:pPr>
      <w:widowControl/>
      <w:jc w:val="left"/>
    </w:pPr>
    <w:rPr>
      <w:rFonts w:ascii="仿宋_GB2312" w:eastAsia="仿宋_GB2312"/>
      <w:sz w:val="30"/>
      <w:szCs w:val="20"/>
    </w:rPr>
  </w:style>
  <w:style w:type="paragraph" w:styleId="29">
    <w:name w:val="Normal (Web)"/>
    <w:basedOn w:val="1"/>
    <w:link w:val="85"/>
    <w:qFormat/>
    <w:uiPriority w:val="0"/>
    <w:pPr>
      <w:widowControl/>
      <w:spacing w:before="100" w:beforeAutospacing="1" w:after="100" w:afterAutospacing="1"/>
      <w:jc w:val="left"/>
    </w:pPr>
    <w:rPr>
      <w:rFonts w:ascii="宋体" w:hAnsi="宋体"/>
      <w:kern w:val="0"/>
      <w:sz w:val="24"/>
      <w:szCs w:val="20"/>
    </w:rPr>
  </w:style>
  <w:style w:type="paragraph" w:styleId="30">
    <w:name w:val="annotation subject"/>
    <w:basedOn w:val="10"/>
    <w:next w:val="10"/>
    <w:link w:val="87"/>
    <w:semiHidden/>
    <w:qFormat/>
    <w:uiPriority w:val="0"/>
    <w:rPr>
      <w:b/>
      <w:bCs/>
    </w:rPr>
  </w:style>
  <w:style w:type="paragraph" w:styleId="31">
    <w:name w:val="Body Text First Indent"/>
    <w:basedOn w:val="12"/>
    <w:qFormat/>
    <w:uiPriority w:val="0"/>
  </w:style>
  <w:style w:type="table" w:styleId="33">
    <w:name w:val="Table Grid"/>
    <w:basedOn w:val="32"/>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5">
    <w:name w:val="Char Char1"/>
    <w:basedOn w:val="1"/>
    <w:link w:val="34"/>
    <w:qFormat/>
    <w:uiPriority w:val="0"/>
    <w:pPr>
      <w:spacing w:before="156" w:beforeLines="50" w:after="156" w:afterLines="50" w:line="360" w:lineRule="auto"/>
    </w:pPr>
    <w:rPr>
      <w:rFonts w:ascii="Times New Roman" w:hAnsi="Times New Roman"/>
      <w:sz w:val="28"/>
      <w:szCs w:val="28"/>
    </w:rPr>
  </w:style>
  <w:style w:type="character" w:styleId="36">
    <w:name w:val="page number"/>
    <w:basedOn w:val="34"/>
    <w:qFormat/>
    <w:uiPriority w:val="0"/>
  </w:style>
  <w:style w:type="character" w:styleId="37">
    <w:name w:val="Hyperlink"/>
    <w:basedOn w:val="34"/>
    <w:unhideWhenUsed/>
    <w:qFormat/>
    <w:uiPriority w:val="99"/>
    <w:rPr>
      <w:color w:val="0000FF"/>
      <w:u w:val="single"/>
    </w:rPr>
  </w:style>
  <w:style w:type="character" w:styleId="38">
    <w:name w:val="annotation reference"/>
    <w:basedOn w:val="34"/>
    <w:semiHidden/>
    <w:qFormat/>
    <w:uiPriority w:val="0"/>
    <w:rPr>
      <w:sz w:val="21"/>
    </w:rPr>
  </w:style>
  <w:style w:type="paragraph" w:customStyle="1" w:styleId="39">
    <w:name w:val="Char"/>
    <w:basedOn w:val="1"/>
    <w:next w:val="1"/>
    <w:qFormat/>
    <w:uiPriority w:val="0"/>
    <w:rPr>
      <w:rFonts w:ascii="Arial" w:hAnsi="Arial" w:eastAsia="黑体"/>
      <w:b/>
      <w:kern w:val="2"/>
      <w:sz w:val="28"/>
      <w:lang w:val="en-US" w:eastAsia="zh-CN"/>
    </w:rPr>
  </w:style>
  <w:style w:type="paragraph" w:customStyle="1" w:styleId="40">
    <w:name w:val="Body Text 21"/>
    <w:basedOn w:val="1"/>
    <w:qFormat/>
    <w:uiPriority w:val="0"/>
    <w:pPr>
      <w:spacing w:after="120" w:line="480" w:lineRule="auto"/>
    </w:pPr>
  </w:style>
  <w:style w:type="paragraph" w:customStyle="1" w:styleId="41">
    <w:name w:val="Char Char Char Char Char Char Char Char Char1 Char"/>
    <w:basedOn w:val="1"/>
    <w:qFormat/>
    <w:uiPriority w:val="0"/>
    <w:pPr>
      <w:spacing w:line="360" w:lineRule="auto"/>
      <w:ind w:firstLine="200" w:firstLineChars="200"/>
    </w:pPr>
    <w:rPr>
      <w:rFonts w:ascii="Times New Roman" w:hAnsi="宋体" w:cs="宋体"/>
      <w:sz w:val="24"/>
    </w:rPr>
  </w:style>
  <w:style w:type="paragraph" w:customStyle="1" w:styleId="42">
    <w:name w:val="Default"/>
    <w:basedOn w:val="43"/>
    <w:next w:val="1"/>
    <w:unhideWhenUsed/>
    <w:qFormat/>
    <w:uiPriority w:val="99"/>
    <w:pPr>
      <w:widowControl w:val="0"/>
      <w:tabs>
        <w:tab w:val="left" w:pos="2760"/>
      </w:tabs>
      <w:autoSpaceDE w:val="0"/>
      <w:autoSpaceDN w:val="0"/>
      <w:adjustRightInd w:val="0"/>
      <w:spacing w:beforeLines="0" w:afterLines="0"/>
    </w:pPr>
    <w:rPr>
      <w:rFonts w:hint="eastAsia" w:ascii="FangSong_GB2312" w:hAnsi="FangSong_GB2312" w:eastAsia="FangSong_GB2312" w:cs="Times New Roman"/>
      <w:color w:val="000000"/>
      <w:sz w:val="24"/>
    </w:rPr>
  </w:style>
  <w:style w:type="paragraph" w:customStyle="1" w:styleId="43">
    <w:name w:val="1 表头"/>
    <w:basedOn w:val="1"/>
    <w:qFormat/>
    <w:uiPriority w:val="0"/>
    <w:pPr>
      <w:adjustRightInd w:val="0"/>
      <w:snapToGrid w:val="0"/>
      <w:jc w:val="center"/>
    </w:pPr>
    <w:rPr>
      <w:b/>
      <w:color w:val="000000"/>
      <w:sz w:val="21"/>
    </w:rPr>
  </w:style>
  <w:style w:type="paragraph" w:customStyle="1" w:styleId="44">
    <w:name w:val="纯文本1"/>
    <w:basedOn w:val="1"/>
    <w:qFormat/>
    <w:uiPriority w:val="0"/>
    <w:pPr>
      <w:tabs>
        <w:tab w:val="left" w:pos="2760"/>
      </w:tabs>
      <w:adjustRightInd w:val="0"/>
    </w:pPr>
    <w:rPr>
      <w:rFonts w:ascii="宋体" w:hAnsi="Courier New"/>
      <w:szCs w:val="20"/>
    </w:rPr>
  </w:style>
  <w:style w:type="paragraph" w:customStyle="1" w:styleId="45">
    <w:name w:val="样式1"/>
    <w:basedOn w:val="22"/>
    <w:next w:val="1"/>
    <w:qFormat/>
    <w:uiPriority w:val="0"/>
    <w:pPr>
      <w:ind w:firstLine="0"/>
    </w:pPr>
    <w:rPr>
      <w:rFonts w:ascii="Times New Roman"/>
      <w:b/>
      <w:sz w:val="30"/>
      <w:szCs w:val="30"/>
    </w:rPr>
  </w:style>
  <w:style w:type="paragraph" w:customStyle="1" w:styleId="46">
    <w:name w:val="XBY正文"/>
    <w:basedOn w:val="1"/>
    <w:qFormat/>
    <w:uiPriority w:val="0"/>
    <w:pPr>
      <w:adjustRightInd w:val="0"/>
      <w:snapToGrid w:val="0"/>
      <w:spacing w:line="360" w:lineRule="auto"/>
      <w:ind w:firstLine="200" w:firstLineChars="200"/>
    </w:pPr>
    <w:rPr>
      <w:rFonts w:ascii="Times New Roman" w:hAnsi="Times New Roman" w:eastAsia="宋体" w:cs="Times New Roman"/>
      <w:snapToGrid w:val="0"/>
      <w:color w:val="000000"/>
      <w:kern w:val="0"/>
      <w:sz w:val="24"/>
      <w:szCs w:val="20"/>
    </w:rPr>
  </w:style>
  <w:style w:type="paragraph" w:customStyle="1" w:styleId="47">
    <w:name w:val="表格文字"/>
    <w:basedOn w:val="1"/>
    <w:qFormat/>
    <w:uiPriority w:val="0"/>
    <w:pPr>
      <w:adjustRightInd w:val="0"/>
      <w:spacing w:line="400" w:lineRule="exact"/>
      <w:jc w:val="center"/>
      <w:textAlignment w:val="baseline"/>
    </w:pPr>
    <w:rPr>
      <w:rFonts w:ascii="Calibri" w:hAnsi="Calibri" w:eastAsia="宋体" w:cs="Times New Roman"/>
    </w:rPr>
  </w:style>
  <w:style w:type="paragraph" w:customStyle="1" w:styleId="48">
    <w:name w:val="表格1"/>
    <w:basedOn w:val="1"/>
    <w:qFormat/>
    <w:uiPriority w:val="0"/>
    <w:pPr>
      <w:adjustRightInd w:val="0"/>
      <w:snapToGrid w:val="0"/>
      <w:jc w:val="center"/>
    </w:pPr>
    <w:rPr>
      <w:rFonts w:ascii="Times New Roman" w:hAnsi="Times New Roman" w:eastAsia="方正仿宋_GBK"/>
      <w:color w:val="000000"/>
      <w:kern w:val="0"/>
      <w:szCs w:val="24"/>
    </w:rPr>
  </w:style>
  <w:style w:type="paragraph" w:customStyle="1" w:styleId="49">
    <w:name w:val="表格内"/>
    <w:basedOn w:val="1"/>
    <w:qFormat/>
    <w:uiPriority w:val="0"/>
    <w:pPr>
      <w:adjustRightInd w:val="0"/>
      <w:snapToGrid w:val="0"/>
      <w:spacing w:line="360" w:lineRule="exact"/>
      <w:jc w:val="center"/>
    </w:pPr>
    <w:rPr>
      <w:rFonts w:eastAsia="Times New Roman"/>
      <w:snapToGrid w:val="0"/>
      <w:kern w:val="0"/>
      <w:szCs w:val="21"/>
    </w:rPr>
  </w:style>
  <w:style w:type="paragraph" w:customStyle="1" w:styleId="50">
    <w:name w:val="正文缩进1"/>
    <w:basedOn w:val="1"/>
    <w:qFormat/>
    <w:uiPriority w:val="0"/>
    <w:pPr>
      <w:ind w:firstLine="420" w:firstLineChars="200"/>
    </w:pPr>
    <w:rPr>
      <w:sz w:val="24"/>
    </w:rPr>
  </w:style>
  <w:style w:type="paragraph" w:customStyle="1" w:styleId="51">
    <w:name w:val="Char Char Char Char Char Char Char Char Char"/>
    <w:basedOn w:val="1"/>
    <w:semiHidden/>
    <w:qFormat/>
    <w:uiPriority w:val="99"/>
    <w:rPr>
      <w:sz w:val="24"/>
    </w:rPr>
  </w:style>
  <w:style w:type="paragraph" w:customStyle="1" w:styleId="52">
    <w:name w:val="3333333"/>
    <w:basedOn w:val="4"/>
    <w:qFormat/>
    <w:uiPriority w:val="0"/>
    <w:pPr>
      <w:tabs>
        <w:tab w:val="left" w:pos="1532"/>
      </w:tabs>
      <w:overflowPunct w:val="0"/>
      <w:autoSpaceDE w:val="0"/>
      <w:autoSpaceDN w:val="0"/>
      <w:snapToGrid w:val="0"/>
      <w:spacing w:line="440" w:lineRule="atLeast"/>
      <w:outlineLvl w:val="9"/>
    </w:pPr>
    <w:rPr>
      <w:rFonts w:ascii="宋体" w:hAnsi="黑体" w:eastAsia="宋体" w:cs="黑体"/>
      <w:caps/>
      <w:color w:val="000000"/>
      <w:kern w:val="0"/>
      <w:sz w:val="24"/>
    </w:rPr>
  </w:style>
  <w:style w:type="paragraph" w:customStyle="1" w:styleId="53">
    <w:name w:val="zw"/>
    <w:basedOn w:val="8"/>
    <w:next w:val="1"/>
    <w:qFormat/>
    <w:uiPriority w:val="0"/>
    <w:pPr>
      <w:spacing w:line="360" w:lineRule="auto"/>
      <w:ind w:firstLine="480" w:firstLineChars="200"/>
    </w:pPr>
    <w:rPr>
      <w:rFonts w:ascii="Times New Roman" w:hAnsi="Times New Roman"/>
      <w:sz w:val="24"/>
      <w:szCs w:val="20"/>
    </w:rPr>
  </w:style>
  <w:style w:type="paragraph" w:customStyle="1" w:styleId="54">
    <w:name w:val="Char 正文"/>
    <w:basedOn w:val="2"/>
    <w:qFormat/>
    <w:uiPriority w:val="0"/>
    <w:pPr>
      <w:snapToGrid w:val="0"/>
      <w:spacing w:before="240" w:beforeLines="0" w:beforeAutospacing="0" w:after="240" w:afterLines="0" w:afterAutospacing="0" w:line="348" w:lineRule="auto"/>
    </w:pPr>
  </w:style>
  <w:style w:type="paragraph" w:customStyle="1" w:styleId="55">
    <w:name w:val="表头"/>
    <w:basedOn w:val="6"/>
    <w:link w:val="91"/>
    <w:qFormat/>
    <w:uiPriority w:val="0"/>
    <w:pPr>
      <w:snapToGrid w:val="0"/>
      <w:spacing w:line="400" w:lineRule="atLeast"/>
    </w:pPr>
    <w:rPr>
      <w:rFonts w:ascii="黑体" w:hAnsi="黑体" w:eastAsia="黑体"/>
      <w:sz w:val="24"/>
    </w:rPr>
  </w:style>
  <w:style w:type="paragraph" w:customStyle="1" w:styleId="56">
    <w:name w:val="样式 正文缩进s4标题4表正文正文非缩进图标题段1Body Text(ch)缩进ALT+Z特点四号正文不...2"/>
    <w:basedOn w:val="6"/>
    <w:link w:val="90"/>
    <w:qFormat/>
    <w:uiPriority w:val="0"/>
    <w:pPr>
      <w:ind w:firstLine="200" w:firstLineChars="200"/>
    </w:pPr>
    <w:rPr>
      <w:rFonts w:ascii="宋体" w:eastAsia="仿宋_GB2312"/>
      <w:sz w:val="24"/>
    </w:rPr>
  </w:style>
  <w:style w:type="paragraph" w:customStyle="1" w:styleId="57">
    <w:name w:val="样式2"/>
    <w:basedOn w:val="1"/>
    <w:link w:val="77"/>
    <w:qFormat/>
    <w:uiPriority w:val="99"/>
    <w:pPr>
      <w:tabs>
        <w:tab w:val="left" w:pos="634"/>
      </w:tabs>
      <w:adjustRightInd w:val="0"/>
      <w:snapToGrid w:val="0"/>
    </w:pPr>
    <w:rPr>
      <w:rFonts w:ascii="宋体" w:hAnsi="宋体"/>
    </w:rPr>
  </w:style>
  <w:style w:type="paragraph" w:customStyle="1" w:styleId="58">
    <w:name w:val="表格"/>
    <w:basedOn w:val="25"/>
    <w:next w:val="1"/>
    <w:link w:val="83"/>
    <w:qFormat/>
    <w:uiPriority w:val="0"/>
    <w:pPr>
      <w:adjustRightInd w:val="0"/>
      <w:snapToGrid w:val="0"/>
      <w:spacing w:beforeLines="10" w:afterLines="10" w:line="259" w:lineRule="auto"/>
      <w:jc w:val="center"/>
    </w:pPr>
    <w:rPr>
      <w:rFonts w:ascii="宋体"/>
      <w:kern w:val="0"/>
      <w:szCs w:val="20"/>
    </w:rPr>
  </w:style>
  <w:style w:type="paragraph" w:customStyle="1" w:styleId="59">
    <w:name w:val="A3"/>
    <w:basedOn w:val="4"/>
    <w:qFormat/>
    <w:uiPriority w:val="0"/>
    <w:pPr>
      <w:numPr>
        <w:ilvl w:val="2"/>
        <w:numId w:val="2"/>
      </w:numPr>
      <w:adjustRightInd w:val="0"/>
      <w:snapToGrid w:val="0"/>
      <w:spacing w:before="0" w:after="0" w:line="360" w:lineRule="auto"/>
    </w:pPr>
    <w:rPr>
      <w:rFonts w:ascii="宋体" w:hAnsi="宋体"/>
      <w:sz w:val="28"/>
      <w:szCs w:val="28"/>
    </w:rPr>
  </w:style>
  <w:style w:type="paragraph" w:customStyle="1" w:styleId="60">
    <w:name w:val="Normal Indent"/>
    <w:basedOn w:val="1"/>
    <w:qFormat/>
    <w:uiPriority w:val="0"/>
    <w:pPr>
      <w:ind w:firstLine="420" w:firstLineChars="200"/>
    </w:pPr>
    <w:rPr>
      <w:sz w:val="24"/>
    </w:rPr>
  </w:style>
  <w:style w:type="paragraph" w:customStyle="1" w:styleId="61">
    <w:name w:val="p0"/>
    <w:basedOn w:val="1"/>
    <w:qFormat/>
    <w:uiPriority w:val="0"/>
    <w:pPr>
      <w:widowControl/>
    </w:pPr>
    <w:rPr>
      <w:kern w:val="0"/>
    </w:rPr>
  </w:style>
  <w:style w:type="paragraph" w:customStyle="1" w:styleId="62">
    <w:name w:val="样式 样式 正文缩进s4标题4表正文正文非缩进图标题段1Body Text(ch)缩进ALT+Z特点四号正文不... + 首行缩..."/>
    <w:basedOn w:val="1"/>
    <w:qFormat/>
    <w:uiPriority w:val="0"/>
    <w:pPr>
      <w:ind w:firstLine="480" w:firstLineChars="200"/>
    </w:pPr>
    <w:rPr>
      <w:rFonts w:ascii="宋体" w:hAnsi="宋体" w:eastAsia="仿宋_GB2312" w:cs="宋体"/>
      <w:kern w:val="0"/>
      <w:sz w:val="24"/>
      <w:szCs w:val="20"/>
    </w:rPr>
  </w:style>
  <w:style w:type="paragraph" w:customStyle="1" w:styleId="63">
    <w:name w:val="Char Char5 Char Char Char Char Char Char Char"/>
    <w:basedOn w:val="1"/>
    <w:next w:val="1"/>
    <w:qFormat/>
    <w:uiPriority w:val="0"/>
    <w:pPr>
      <w:spacing w:line="360" w:lineRule="auto"/>
      <w:ind w:firstLine="200" w:firstLineChars="200"/>
    </w:pPr>
  </w:style>
  <w:style w:type="paragraph" w:customStyle="1" w:styleId="64">
    <w:name w:val="报告表正文"/>
    <w:basedOn w:val="1"/>
    <w:qFormat/>
    <w:uiPriority w:val="0"/>
    <w:pPr>
      <w:adjustRightInd w:val="0"/>
      <w:spacing w:line="312" w:lineRule="auto"/>
      <w:ind w:left="113" w:right="113" w:firstLine="482"/>
      <w:jc w:val="left"/>
      <w:textAlignment w:val="baseline"/>
    </w:pPr>
    <w:rPr>
      <w:rFonts w:ascii="Calibri" w:hAnsi="Calibri" w:cs="Times New Roman"/>
      <w:sz w:val="24"/>
      <w:szCs w:val="22"/>
    </w:rPr>
  </w:style>
  <w:style w:type="paragraph" w:customStyle="1" w:styleId="65">
    <w:name w:val="B正文"/>
    <w:basedOn w:val="1"/>
    <w:qFormat/>
    <w:uiPriority w:val="0"/>
    <w:pPr>
      <w:widowControl/>
      <w:spacing w:line="360" w:lineRule="auto"/>
      <w:ind w:firstLine="200" w:firstLineChars="200"/>
      <w:jc w:val="left"/>
    </w:pPr>
    <w:rPr>
      <w:rFonts w:cs="宋体"/>
      <w:kern w:val="0"/>
      <w:sz w:val="24"/>
    </w:rPr>
  </w:style>
  <w:style w:type="paragraph" w:customStyle="1" w:styleId="66">
    <w:name w:val="文本"/>
    <w:basedOn w:val="1"/>
    <w:qFormat/>
    <w:uiPriority w:val="0"/>
    <w:pPr>
      <w:adjustRightInd w:val="0"/>
      <w:snapToGrid w:val="0"/>
      <w:spacing w:line="360" w:lineRule="auto"/>
      <w:ind w:firstLine="480" w:firstLineChars="200"/>
      <w:jc w:val="left"/>
    </w:pPr>
    <w:rPr>
      <w:rFonts w:ascii="Times New Roman" w:hAnsi="Times New Roman" w:eastAsia="宋体" w:cs="Times New Roman"/>
      <w:sz w:val="24"/>
      <w:szCs w:val="24"/>
    </w:rPr>
  </w:style>
  <w:style w:type="paragraph" w:customStyle="1" w:styleId="67">
    <w:name w:val="BodyText1I2"/>
    <w:basedOn w:val="68"/>
    <w:semiHidden/>
    <w:qFormat/>
    <w:uiPriority w:val="0"/>
    <w:pPr>
      <w:spacing w:line="560" w:lineRule="exact"/>
      <w:ind w:left="0" w:leftChars="0" w:firstLine="420" w:firstLineChars="200"/>
    </w:pPr>
    <w:rPr>
      <w:rFonts w:eastAsia="仿宋_GB2312"/>
      <w:sz w:val="32"/>
    </w:rPr>
  </w:style>
  <w:style w:type="paragraph" w:customStyle="1" w:styleId="68">
    <w:name w:val="BodyTextIndent"/>
    <w:basedOn w:val="1"/>
    <w:semiHidden/>
    <w:qFormat/>
    <w:uiPriority w:val="0"/>
    <w:pPr>
      <w:ind w:left="420" w:leftChars="200"/>
      <w:textAlignment w:val="baseline"/>
    </w:pPr>
  </w:style>
  <w:style w:type="paragraph" w:customStyle="1" w:styleId="69">
    <w:name w:val="样式 正文 + 首行缩进:  2 字符 + 宋体"/>
    <w:basedOn w:val="1"/>
    <w:qFormat/>
    <w:uiPriority w:val="0"/>
    <w:pPr>
      <w:tabs>
        <w:tab w:val="left" w:pos="2940"/>
      </w:tabs>
      <w:adjustRightInd w:val="0"/>
      <w:snapToGrid w:val="0"/>
      <w:spacing w:line="360" w:lineRule="auto"/>
      <w:ind w:firstLine="200" w:firstLineChars="200"/>
    </w:pPr>
    <w:rPr>
      <w:rFonts w:eastAsia="宋体"/>
      <w:snapToGrid w:val="0"/>
      <w:kern w:val="2"/>
      <w:sz w:val="24"/>
      <w:lang w:val="en-US" w:eastAsia="zh-CN"/>
    </w:rPr>
  </w:style>
  <w:style w:type="paragraph" w:customStyle="1" w:styleId="7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1">
    <w:name w:val="新地勘正文 Char Char"/>
    <w:qFormat/>
    <w:uiPriority w:val="99"/>
    <w:pPr>
      <w:snapToGrid w:val="0"/>
      <w:spacing w:line="480" w:lineRule="atLeast"/>
      <w:ind w:firstLine="480" w:firstLineChars="200"/>
    </w:pPr>
    <w:rPr>
      <w:rFonts w:ascii="Calibri" w:hAnsi="Calibri" w:eastAsia="宋体" w:cs="Calibri"/>
      <w:sz w:val="24"/>
      <w:szCs w:val="24"/>
      <w:lang w:val="en-US" w:eastAsia="zh-CN" w:bidi="ar-SA"/>
    </w:rPr>
  </w:style>
  <w:style w:type="paragraph" w:customStyle="1" w:styleId="72">
    <w:name w:val="2 Char Char Char Char Char Char Char Char Char Char Char Char Char Char Char Char"/>
    <w:basedOn w:val="1"/>
    <w:qFormat/>
    <w:uiPriority w:val="0"/>
    <w:pPr>
      <w:spacing w:line="360" w:lineRule="auto"/>
      <w:ind w:firstLine="200" w:firstLineChars="200"/>
    </w:pPr>
  </w:style>
  <w:style w:type="paragraph" w:styleId="73">
    <w:name w:val="List Paragraph"/>
    <w:basedOn w:val="1"/>
    <w:qFormat/>
    <w:uiPriority w:val="34"/>
    <w:pPr>
      <w:ind w:firstLine="420" w:firstLineChars="200"/>
    </w:pPr>
  </w:style>
  <w:style w:type="paragraph" w:customStyle="1" w:styleId="74">
    <w:name w:val="样式 正文缩进s4标题4表正文正文非缩进图标题段1Body Text(ch)缩进ALT+Z特点四号正文不...3"/>
    <w:basedOn w:val="6"/>
    <w:qFormat/>
    <w:uiPriority w:val="0"/>
    <w:pPr>
      <w:ind w:firstLine="200" w:firstLineChars="200"/>
    </w:pPr>
    <w:rPr>
      <w:rFonts w:ascii="宋体" w:eastAsia="仿宋_GB2312" w:cs="宋体"/>
      <w:sz w:val="24"/>
    </w:rPr>
  </w:style>
  <w:style w:type="paragraph" w:customStyle="1" w:styleId="75">
    <w:name w:val="正文内容"/>
    <w:basedOn w:val="1"/>
    <w:qFormat/>
    <w:uiPriority w:val="0"/>
    <w:pPr>
      <w:adjustRightInd w:val="0"/>
      <w:snapToGrid w:val="0"/>
      <w:spacing w:line="360" w:lineRule="auto"/>
      <w:ind w:firstLine="560" w:firstLineChars="200"/>
    </w:pPr>
    <w:rPr>
      <w:rFonts w:ascii="Times New Roman" w:hAnsi="Times New Roman" w:eastAsia="仿宋_GB2312"/>
      <w:color w:val="000000"/>
      <w:sz w:val="28"/>
      <w:szCs w:val="30"/>
    </w:rPr>
  </w:style>
  <w:style w:type="paragraph" w:customStyle="1" w:styleId="76">
    <w:name w:val="样式 正文缩进s4标题4表正文正文非缩进图标题段1Body Text(ch)缩进ALT+Z特点四号正文不...1"/>
    <w:basedOn w:val="6"/>
    <w:qFormat/>
    <w:uiPriority w:val="0"/>
    <w:pPr>
      <w:ind w:firstLine="840" w:firstLineChars="400"/>
    </w:pPr>
    <w:rPr>
      <w:rFonts w:ascii="宋体" w:hAnsi="宋体" w:eastAsia="仿宋_GB2312" w:cs="宋体"/>
      <w:sz w:val="24"/>
    </w:rPr>
  </w:style>
  <w:style w:type="character" w:customStyle="1" w:styleId="77">
    <w:name w:val="样式2 Char"/>
    <w:link w:val="57"/>
    <w:qFormat/>
    <w:uiPriority w:val="99"/>
    <w:rPr>
      <w:rFonts w:ascii="宋体" w:hAnsi="宋体"/>
    </w:rPr>
  </w:style>
  <w:style w:type="character" w:customStyle="1" w:styleId="78">
    <w:name w:val="正文文本缩进 Char"/>
    <w:basedOn w:val="34"/>
    <w:link w:val="14"/>
    <w:semiHidden/>
    <w:qFormat/>
    <w:locked/>
    <w:uiPriority w:val="0"/>
    <w:rPr>
      <w:rFonts w:ascii="Times New Roman" w:hAnsi="Times New Roman" w:eastAsia="宋体" w:cs="Times New Roman"/>
      <w:sz w:val="24"/>
      <w:szCs w:val="24"/>
    </w:rPr>
  </w:style>
  <w:style w:type="character" w:customStyle="1" w:styleId="79">
    <w:name w:val="普通(网站) Char"/>
    <w:qFormat/>
    <w:locked/>
    <w:uiPriority w:val="0"/>
    <w:rPr>
      <w:rFonts w:ascii="宋体" w:hAnsi="宋体" w:eastAsia="宋体"/>
      <w:sz w:val="24"/>
    </w:rPr>
  </w:style>
  <w:style w:type="character" w:customStyle="1" w:styleId="80">
    <w:name w:val="页脚 Char"/>
    <w:basedOn w:val="34"/>
    <w:link w:val="19"/>
    <w:qFormat/>
    <w:locked/>
    <w:uiPriority w:val="0"/>
    <w:rPr>
      <w:rFonts w:cs="Times New Roman"/>
      <w:sz w:val="18"/>
      <w:szCs w:val="18"/>
    </w:rPr>
  </w:style>
  <w:style w:type="character" w:customStyle="1" w:styleId="81">
    <w:name w:val="正文文本 Char"/>
    <w:link w:val="12"/>
    <w:qFormat/>
    <w:locked/>
    <w:uiPriority w:val="0"/>
    <w:rPr>
      <w:sz w:val="18"/>
    </w:rPr>
  </w:style>
  <w:style w:type="character" w:customStyle="1" w:styleId="82">
    <w:name w:val="日期 Char"/>
    <w:link w:val="16"/>
    <w:qFormat/>
    <w:locked/>
    <w:uiPriority w:val="0"/>
    <w:rPr>
      <w:rFonts w:ascii="Times New Roman" w:hAnsi="Times New Roman" w:eastAsia="宋体"/>
      <w:sz w:val="24"/>
    </w:rPr>
  </w:style>
  <w:style w:type="character" w:customStyle="1" w:styleId="83">
    <w:name w:val="表格 Char"/>
    <w:link w:val="58"/>
    <w:qFormat/>
    <w:locked/>
    <w:uiPriority w:val="0"/>
    <w:rPr>
      <w:rFonts w:ascii="宋体"/>
      <w:sz w:val="21"/>
    </w:rPr>
  </w:style>
  <w:style w:type="character" w:customStyle="1" w:styleId="84">
    <w:name w:val="日期 字符"/>
    <w:basedOn w:val="34"/>
    <w:semiHidden/>
    <w:qFormat/>
    <w:uiPriority w:val="0"/>
    <w:rPr>
      <w:rFonts w:ascii="Times New Roman" w:hAnsi="Times New Roman" w:eastAsia="宋体" w:cs="Times New Roman"/>
      <w:sz w:val="24"/>
      <w:szCs w:val="24"/>
    </w:rPr>
  </w:style>
  <w:style w:type="character" w:customStyle="1" w:styleId="85">
    <w:name w:val="普通(网站) Char1"/>
    <w:link w:val="29"/>
    <w:qFormat/>
    <w:locked/>
    <w:uiPriority w:val="0"/>
    <w:rPr>
      <w:rFonts w:ascii="宋体" w:hAnsi="宋体" w:eastAsia="宋体"/>
      <w:sz w:val="24"/>
    </w:rPr>
  </w:style>
  <w:style w:type="character" w:customStyle="1" w:styleId="86">
    <w:name w:val="批注文字 Char"/>
    <w:link w:val="10"/>
    <w:qFormat/>
    <w:locked/>
    <w:uiPriority w:val="0"/>
    <w:rPr>
      <w:rFonts w:ascii="Times New Roman" w:hAnsi="Times New Roman" w:eastAsia="宋体"/>
      <w:sz w:val="24"/>
    </w:rPr>
  </w:style>
  <w:style w:type="character" w:customStyle="1" w:styleId="87">
    <w:name w:val="批注主题 Char"/>
    <w:basedOn w:val="86"/>
    <w:link w:val="30"/>
    <w:semiHidden/>
    <w:qFormat/>
    <w:locked/>
    <w:uiPriority w:val="0"/>
    <w:rPr>
      <w:rFonts w:cs="Times New Roman"/>
      <w:b/>
      <w:bCs/>
      <w:kern w:val="2"/>
      <w:szCs w:val="24"/>
    </w:rPr>
  </w:style>
  <w:style w:type="character" w:customStyle="1" w:styleId="88">
    <w:name w:val="fontstyle01"/>
    <w:basedOn w:val="34"/>
    <w:qFormat/>
    <w:uiPriority w:val="0"/>
    <w:rPr>
      <w:rFonts w:ascii="宋体" w:hAnsi="宋体" w:eastAsia="宋体" w:cs="宋体"/>
      <w:color w:val="000000"/>
      <w:sz w:val="28"/>
      <w:szCs w:val="28"/>
    </w:rPr>
  </w:style>
  <w:style w:type="character" w:customStyle="1" w:styleId="89">
    <w:name w:val="apple-style-span"/>
    <w:basedOn w:val="34"/>
    <w:qFormat/>
    <w:uiPriority w:val="0"/>
  </w:style>
  <w:style w:type="character" w:customStyle="1" w:styleId="90">
    <w:name w:val="样式 正文缩进s4标题4表正文正文非缩进图标题段1Body Text(ch)缩进ALT+Z特点四号正文不...2 Char"/>
    <w:link w:val="56"/>
    <w:qFormat/>
    <w:uiPriority w:val="0"/>
    <w:rPr>
      <w:rFonts w:ascii="宋体" w:eastAsia="仿宋_GB2312"/>
      <w:sz w:val="24"/>
    </w:rPr>
  </w:style>
  <w:style w:type="character" w:customStyle="1" w:styleId="91">
    <w:name w:val="表头 Char Char"/>
    <w:link w:val="55"/>
    <w:qFormat/>
    <w:locked/>
    <w:uiPriority w:val="0"/>
    <w:rPr>
      <w:rFonts w:ascii="黑体" w:hAnsi="黑体" w:eastAsia="黑体"/>
      <w:sz w:val="24"/>
    </w:rPr>
  </w:style>
  <w:style w:type="character" w:customStyle="1" w:styleId="92">
    <w:name w:val="批注框文本 Char"/>
    <w:basedOn w:val="34"/>
    <w:link w:val="18"/>
    <w:semiHidden/>
    <w:qFormat/>
    <w:locked/>
    <w:uiPriority w:val="0"/>
    <w:rPr>
      <w:rFonts w:ascii="Times New Roman" w:hAnsi="Times New Roman" w:eastAsia="宋体" w:cs="Times New Roman"/>
      <w:sz w:val="18"/>
      <w:szCs w:val="18"/>
    </w:rPr>
  </w:style>
  <w:style w:type="character" w:customStyle="1" w:styleId="93">
    <w:name w:val="fontstyle31"/>
    <w:basedOn w:val="34"/>
    <w:qFormat/>
    <w:uiPriority w:val="0"/>
    <w:rPr>
      <w:rFonts w:hint="default" w:ascii="Times New Roman" w:hAnsi="Times New Roman" w:cs="Times New Roman"/>
      <w:color w:val="000000"/>
      <w:sz w:val="22"/>
      <w:szCs w:val="22"/>
    </w:rPr>
  </w:style>
  <w:style w:type="character" w:customStyle="1" w:styleId="94">
    <w:name w:val="页眉 Char"/>
    <w:basedOn w:val="34"/>
    <w:link w:val="20"/>
    <w:qFormat/>
    <w:locked/>
    <w:uiPriority w:val="0"/>
    <w:rPr>
      <w:rFonts w:cs="Times New Roman"/>
      <w:sz w:val="18"/>
      <w:szCs w:val="18"/>
    </w:rPr>
  </w:style>
  <w:style w:type="character" w:customStyle="1" w:styleId="95">
    <w:name w:val="批注文字 字符1"/>
    <w:basedOn w:val="34"/>
    <w:semiHidden/>
    <w:qFormat/>
    <w:uiPriority w:val="0"/>
    <w:rPr>
      <w:rFonts w:ascii="Times New Roman" w:hAnsi="Times New Roman" w:eastAsia="宋体" w:cs="Times New Roman"/>
      <w:sz w:val="24"/>
      <w:szCs w:val="24"/>
    </w:rPr>
  </w:style>
  <w:style w:type="character" w:customStyle="1" w:styleId="96">
    <w:name w:val="正文文本 字符1"/>
    <w:basedOn w:val="34"/>
    <w:semiHidden/>
    <w:qFormat/>
    <w:uiPriority w:val="0"/>
    <w:rPr>
      <w:rFonts w:ascii="Times New Roman" w:hAnsi="Times New Roman" w:eastAsia="宋体" w:cs="Times New Roman"/>
      <w:sz w:val="24"/>
      <w:szCs w:val="24"/>
    </w:rPr>
  </w:style>
  <w:style w:type="paragraph" w:customStyle="1" w:styleId="97">
    <w:name w:val="袁亚洲"/>
    <w:basedOn w:val="1"/>
    <w:qFormat/>
    <w:uiPriority w:val="0"/>
    <w:pPr>
      <w:ind w:firstLine="482"/>
    </w:pPr>
  </w:style>
  <w:style w:type="paragraph" w:customStyle="1" w:styleId="98">
    <w:name w:val="1正文"/>
    <w:basedOn w:val="1"/>
    <w:qFormat/>
    <w:uiPriority w:val="0"/>
    <w:pPr>
      <w:widowControl/>
      <w:spacing w:line="360" w:lineRule="auto"/>
      <w:ind w:firstLine="200" w:firstLineChars="200"/>
    </w:pPr>
    <w:rPr>
      <w:kern w:val="0"/>
      <w:sz w:val="24"/>
      <w:szCs w:val="20"/>
      <w:lang w:val="en-GB"/>
    </w:rPr>
  </w:style>
  <w:style w:type="paragraph" w:customStyle="1" w:styleId="99">
    <w:name w:val="表中字体"/>
    <w:basedOn w:val="6"/>
    <w:qFormat/>
    <w:uiPriority w:val="0"/>
    <w:pPr>
      <w:tabs>
        <w:tab w:val="left" w:pos="8176"/>
      </w:tabs>
      <w:spacing w:line="280" w:lineRule="exact"/>
      <w:ind w:firstLine="0" w:firstLineChars="0"/>
      <w:jc w:val="center"/>
    </w:pPr>
    <w:rPr>
      <w:rFonts w:ascii="宋体" w:hAnsi="宋体"/>
      <w:kern w:val="0"/>
      <w:sz w:val="20"/>
    </w:rPr>
  </w:style>
  <w:style w:type="paragraph" w:customStyle="1" w:styleId="100">
    <w:name w:val="1文本正文"/>
    <w:basedOn w:val="1"/>
    <w:qFormat/>
    <w:uiPriority w:val="0"/>
    <w:pPr>
      <w:spacing w:line="427" w:lineRule="exact"/>
      <w:ind w:firstLine="200" w:firstLineChars="200"/>
    </w:pPr>
    <w:rPr>
      <w:rFonts w:eastAsia="宋体"/>
      <w:kern w:val="2"/>
      <w:sz w:val="24"/>
      <w:lang w:val="en-US" w:eastAsia="zh-CN"/>
    </w:rPr>
  </w:style>
  <w:style w:type="paragraph" w:customStyle="1" w:styleId="101">
    <w:name w:val="Table Paragraph"/>
    <w:basedOn w:val="1"/>
    <w:qFormat/>
    <w:uiPriority w:val="0"/>
    <w:rPr>
      <w:rFonts w:ascii="宋体"/>
      <w:kern w:val="0"/>
      <w:sz w:val="34"/>
      <w:szCs w:val="34"/>
    </w:rPr>
  </w:style>
  <w:style w:type="paragraph" w:customStyle="1" w:styleId="102">
    <w:name w:val="4刘群正文*"/>
    <w:basedOn w:val="1"/>
    <w:qFormat/>
    <w:uiPriority w:val="0"/>
    <w:pPr>
      <w:spacing w:line="520" w:lineRule="exact"/>
      <w:ind w:firstLine="480" w:firstLineChars="200"/>
    </w:pPr>
    <w:rPr>
      <w:kern w:val="0"/>
      <w:sz w:val="24"/>
      <w:szCs w:val="24"/>
      <w:lang w:val="zh-CN"/>
    </w:rPr>
  </w:style>
  <w:style w:type="paragraph" w:customStyle="1" w:styleId="103">
    <w:name w:val="表格中格式"/>
    <w:basedOn w:val="1"/>
    <w:qFormat/>
    <w:uiPriority w:val="0"/>
    <w:pPr>
      <w:keepNext w:val="0"/>
      <w:keepLines w:val="0"/>
      <w:widowControl w:val="0"/>
      <w:suppressLineNumbers w:val="0"/>
      <w:spacing w:before="0" w:beforeAutospacing="0" w:after="0" w:afterAutospacing="0" w:line="240" w:lineRule="auto"/>
      <w:ind w:left="0" w:right="0" w:firstLine="0" w:firstLineChars="0"/>
      <w:jc w:val="center"/>
    </w:pPr>
    <w:rPr>
      <w:rFonts w:hint="eastAsia" w:ascii="宋体" w:hAnsi="宋体" w:eastAsia="宋体" w:cs="宋体"/>
      <w:kern w:val="2"/>
      <w:sz w:val="21"/>
      <w:szCs w:val="21"/>
      <w:lang w:val="en-US" w:eastAsia="zh-CN" w:bidi="ar"/>
    </w:rPr>
  </w:style>
  <w:style w:type="paragraph" w:customStyle="1" w:styleId="104">
    <w:name w:val="WPSOffice手动目录 1"/>
    <w:qFormat/>
    <w:uiPriority w:val="0"/>
    <w:pPr>
      <w:ind w:leftChars="0"/>
    </w:pPr>
    <w:rPr>
      <w:rFonts w:ascii="Times New Roman" w:hAnsi="Times New Roman" w:eastAsia="宋体" w:cs="Times New Roman"/>
      <w:sz w:val="20"/>
      <w:szCs w:val="20"/>
    </w:rPr>
  </w:style>
  <w:style w:type="paragraph" w:customStyle="1" w:styleId="105">
    <w:name w:val="WPSOffice手动目录 2"/>
    <w:qFormat/>
    <w:uiPriority w:val="0"/>
    <w:pPr>
      <w:ind w:leftChars="200"/>
    </w:pPr>
    <w:rPr>
      <w:rFonts w:ascii="Times New Roman" w:hAnsi="Times New Roman" w:eastAsia="宋体" w:cs="Times New Roman"/>
      <w:sz w:val="20"/>
      <w:szCs w:val="20"/>
    </w:rPr>
  </w:style>
  <w:style w:type="table" w:customStyle="1" w:styleId="106">
    <w:name w:val="Table Normal"/>
    <w:basedOn w:val="32"/>
    <w:unhideWhenUsed/>
    <w:qFormat/>
    <w:uiPriority w:val="2"/>
    <w:rPr>
      <w:sz w:val="22"/>
      <w:szCs w:val="22"/>
      <w:lang w:eastAsia="en-US"/>
    </w:rPr>
    <w:tblPr>
      <w:tblCellMar>
        <w:left w:w="0" w:type="dxa"/>
        <w:right w:w="0" w:type="dxa"/>
      </w:tblCellMar>
    </w:tblPr>
  </w:style>
  <w:style w:type="paragraph" w:customStyle="1" w:styleId="107">
    <w:name w:val="表格文本"/>
    <w:basedOn w:val="1"/>
    <w:qFormat/>
    <w:uiPriority w:val="0"/>
    <w:pPr>
      <w:widowControl/>
      <w:adjustRightInd w:val="0"/>
      <w:snapToGrid w:val="0"/>
      <w:spacing w:beforeLines="20"/>
      <w:jc w:val="center"/>
    </w:pPr>
    <w:rPr>
      <w:rFonts w:ascii="宋体" w:hAnsi="宋体" w:eastAsia="宋体" w:cs="宋体"/>
      <w:color w:val="000000"/>
      <w:sz w:val="21"/>
    </w:rPr>
  </w:style>
  <w:style w:type="character" w:customStyle="1" w:styleId="108">
    <w:name w:val="标题 1 Char"/>
    <w:link w:val="2"/>
    <w:qFormat/>
    <w:uiPriority w:val="0"/>
    <w:rPr>
      <w:rFonts w:eastAsia="黑体"/>
      <w:b/>
      <w:bCs/>
      <w:color w:val="000000"/>
      <w:kern w:val="44"/>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4" Type="http://schemas.openxmlformats.org/officeDocument/2006/relationships/fontTable" Target="fontTable.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42.png"/><Relationship Id="rId80" Type="http://schemas.openxmlformats.org/officeDocument/2006/relationships/image" Target="media/image41.png"/><Relationship Id="rId8" Type="http://schemas.openxmlformats.org/officeDocument/2006/relationships/theme" Target="theme/theme1.xml"/><Relationship Id="rId79" Type="http://schemas.openxmlformats.org/officeDocument/2006/relationships/image" Target="media/image40.png"/><Relationship Id="rId78" Type="http://schemas.openxmlformats.org/officeDocument/2006/relationships/image" Target="media/image39.png"/><Relationship Id="rId77" Type="http://schemas.openxmlformats.org/officeDocument/2006/relationships/image" Target="media/image38.png"/><Relationship Id="rId76" Type="http://schemas.openxmlformats.org/officeDocument/2006/relationships/image" Target="media/image37.png"/><Relationship Id="rId75" Type="http://schemas.openxmlformats.org/officeDocument/2006/relationships/image" Target="media/image36.png"/><Relationship Id="rId74" Type="http://schemas.openxmlformats.org/officeDocument/2006/relationships/image" Target="media/image35.wmf"/><Relationship Id="rId73" Type="http://schemas.openxmlformats.org/officeDocument/2006/relationships/oleObject" Target="embeddings/oleObject29.bin"/><Relationship Id="rId72" Type="http://schemas.openxmlformats.org/officeDocument/2006/relationships/image" Target="media/image34.jpeg"/><Relationship Id="rId71" Type="http://schemas.openxmlformats.org/officeDocument/2006/relationships/image" Target="media/image33.wmf"/><Relationship Id="rId70" Type="http://schemas.openxmlformats.org/officeDocument/2006/relationships/oleObject" Target="embeddings/oleObject28.bin"/><Relationship Id="rId7" Type="http://schemas.openxmlformats.org/officeDocument/2006/relationships/footer" Target="footer4.xml"/><Relationship Id="rId69" Type="http://schemas.openxmlformats.org/officeDocument/2006/relationships/image" Target="media/image32.wmf"/><Relationship Id="rId68" Type="http://schemas.openxmlformats.org/officeDocument/2006/relationships/oleObject" Target="embeddings/oleObject27.bin"/><Relationship Id="rId67" Type="http://schemas.openxmlformats.org/officeDocument/2006/relationships/image" Target="media/image31.wmf"/><Relationship Id="rId66" Type="http://schemas.openxmlformats.org/officeDocument/2006/relationships/oleObject" Target="embeddings/oleObject26.bin"/><Relationship Id="rId65" Type="http://schemas.openxmlformats.org/officeDocument/2006/relationships/image" Target="media/image30.wmf"/><Relationship Id="rId64" Type="http://schemas.openxmlformats.org/officeDocument/2006/relationships/oleObject" Target="embeddings/oleObject25.bin"/><Relationship Id="rId63" Type="http://schemas.openxmlformats.org/officeDocument/2006/relationships/image" Target="media/image29.wmf"/><Relationship Id="rId62" Type="http://schemas.openxmlformats.org/officeDocument/2006/relationships/oleObject" Target="embeddings/oleObject24.bin"/><Relationship Id="rId61" Type="http://schemas.openxmlformats.org/officeDocument/2006/relationships/image" Target="media/image28.wmf"/><Relationship Id="rId60" Type="http://schemas.openxmlformats.org/officeDocument/2006/relationships/oleObject" Target="embeddings/oleObject23.bin"/><Relationship Id="rId6" Type="http://schemas.openxmlformats.org/officeDocument/2006/relationships/header" Target="header1.xml"/><Relationship Id="rId59" Type="http://schemas.openxmlformats.org/officeDocument/2006/relationships/image" Target="media/image27.wmf"/><Relationship Id="rId58" Type="http://schemas.openxmlformats.org/officeDocument/2006/relationships/oleObject" Target="embeddings/oleObject22.bin"/><Relationship Id="rId57" Type="http://schemas.openxmlformats.org/officeDocument/2006/relationships/image" Target="media/image26.wmf"/><Relationship Id="rId56" Type="http://schemas.openxmlformats.org/officeDocument/2006/relationships/oleObject" Target="embeddings/oleObject21.bin"/><Relationship Id="rId55" Type="http://schemas.openxmlformats.org/officeDocument/2006/relationships/image" Target="media/image25.wmf"/><Relationship Id="rId54" Type="http://schemas.openxmlformats.org/officeDocument/2006/relationships/oleObject" Target="embeddings/oleObject20.bin"/><Relationship Id="rId53" Type="http://schemas.openxmlformats.org/officeDocument/2006/relationships/image" Target="media/image24.wmf"/><Relationship Id="rId52" Type="http://schemas.openxmlformats.org/officeDocument/2006/relationships/oleObject" Target="embeddings/oleObject19.bin"/><Relationship Id="rId51" Type="http://schemas.openxmlformats.org/officeDocument/2006/relationships/image" Target="media/image23.wmf"/><Relationship Id="rId50" Type="http://schemas.openxmlformats.org/officeDocument/2006/relationships/oleObject" Target="embeddings/oleObject18.bin"/><Relationship Id="rId5" Type="http://schemas.openxmlformats.org/officeDocument/2006/relationships/footer" Target="footer3.xml"/><Relationship Id="rId49" Type="http://schemas.openxmlformats.org/officeDocument/2006/relationships/image" Target="media/image22.wmf"/><Relationship Id="rId48" Type="http://schemas.openxmlformats.org/officeDocument/2006/relationships/oleObject" Target="embeddings/oleObject17.bin"/><Relationship Id="rId47" Type="http://schemas.openxmlformats.org/officeDocument/2006/relationships/image" Target="media/image21.wmf"/><Relationship Id="rId46" Type="http://schemas.openxmlformats.org/officeDocument/2006/relationships/oleObject" Target="embeddings/oleObject16.bin"/><Relationship Id="rId45" Type="http://schemas.openxmlformats.org/officeDocument/2006/relationships/image" Target="media/image20.wmf"/><Relationship Id="rId44" Type="http://schemas.openxmlformats.org/officeDocument/2006/relationships/oleObject" Target="embeddings/oleObject15.bin"/><Relationship Id="rId43" Type="http://schemas.openxmlformats.org/officeDocument/2006/relationships/image" Target="media/image19.wmf"/><Relationship Id="rId42" Type="http://schemas.openxmlformats.org/officeDocument/2006/relationships/oleObject" Target="embeddings/oleObject14.bin"/><Relationship Id="rId41" Type="http://schemas.openxmlformats.org/officeDocument/2006/relationships/image" Target="media/image18.wmf"/><Relationship Id="rId40" Type="http://schemas.openxmlformats.org/officeDocument/2006/relationships/oleObject" Target="embeddings/oleObject13.bin"/><Relationship Id="rId4" Type="http://schemas.openxmlformats.org/officeDocument/2006/relationships/footer" Target="footer2.xml"/><Relationship Id="rId39" Type="http://schemas.openxmlformats.org/officeDocument/2006/relationships/image" Target="media/image17.wmf"/><Relationship Id="rId38" Type="http://schemas.openxmlformats.org/officeDocument/2006/relationships/oleObject" Target="embeddings/oleObject12.bin"/><Relationship Id="rId37" Type="http://schemas.openxmlformats.org/officeDocument/2006/relationships/image" Target="media/image16.wmf"/><Relationship Id="rId36" Type="http://schemas.openxmlformats.org/officeDocument/2006/relationships/oleObject" Target="embeddings/oleObject11.bin"/><Relationship Id="rId35" Type="http://schemas.openxmlformats.org/officeDocument/2006/relationships/image" Target="media/image15.jpeg"/><Relationship Id="rId34" Type="http://schemas.openxmlformats.org/officeDocument/2006/relationships/image" Target="media/image14.jpeg"/><Relationship Id="rId33" Type="http://schemas.openxmlformats.org/officeDocument/2006/relationships/image" Target="media/image13.wmf"/><Relationship Id="rId32" Type="http://schemas.openxmlformats.org/officeDocument/2006/relationships/oleObject" Target="embeddings/oleObject10.bin"/><Relationship Id="rId31" Type="http://schemas.openxmlformats.org/officeDocument/2006/relationships/image" Target="media/image12.wmf"/><Relationship Id="rId30" Type="http://schemas.openxmlformats.org/officeDocument/2006/relationships/oleObject" Target="embeddings/oleObject9.bin"/><Relationship Id="rId3" Type="http://schemas.openxmlformats.org/officeDocument/2006/relationships/footer" Target="footer1.xml"/><Relationship Id="rId29" Type="http://schemas.openxmlformats.org/officeDocument/2006/relationships/image" Target="media/image11.wmf"/><Relationship Id="rId28" Type="http://schemas.openxmlformats.org/officeDocument/2006/relationships/oleObject" Target="embeddings/oleObject8.bin"/><Relationship Id="rId27" Type="http://schemas.openxmlformats.org/officeDocument/2006/relationships/image" Target="media/image10.wmf"/><Relationship Id="rId26" Type="http://schemas.openxmlformats.org/officeDocument/2006/relationships/oleObject" Target="embeddings/oleObject7.bin"/><Relationship Id="rId25" Type="http://schemas.openxmlformats.org/officeDocument/2006/relationships/image" Target="media/image9.wmf"/><Relationship Id="rId24" Type="http://schemas.openxmlformats.org/officeDocument/2006/relationships/oleObject" Target="embeddings/oleObject6.bin"/><Relationship Id="rId23" Type="http://schemas.openxmlformats.org/officeDocument/2006/relationships/image" Target="media/image8.jpeg"/><Relationship Id="rId22" Type="http://schemas.openxmlformats.org/officeDocument/2006/relationships/image" Target="media/image7.wmf"/><Relationship Id="rId21" Type="http://schemas.openxmlformats.org/officeDocument/2006/relationships/oleObject" Target="embeddings/oleObject5.bin"/><Relationship Id="rId20" Type="http://schemas.openxmlformats.org/officeDocument/2006/relationships/image" Target="media/image6.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chart" Target="charts/chart2.xml"/><Relationship Id="rId17" Type="http://schemas.openxmlformats.org/officeDocument/2006/relationships/chart" Target="charts/chart1.xml"/><Relationship Id="rId16" Type="http://schemas.openxmlformats.org/officeDocument/2006/relationships/image" Target="media/image5.png"/><Relationship Id="rId15" Type="http://schemas.openxmlformats.org/officeDocument/2006/relationships/image" Target="media/image4.emf"/><Relationship Id="rId14" Type="http://schemas.openxmlformats.org/officeDocument/2006/relationships/oleObject" Target="embeddings/oleObject3.bin"/><Relationship Id="rId13" Type="http://schemas.openxmlformats.org/officeDocument/2006/relationships/image" Target="media/image3.emf"/><Relationship Id="rId12" Type="http://schemas.openxmlformats.org/officeDocument/2006/relationships/oleObject" Target="embeddings/oleObject2.bin"/><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ysClr val="windowText" lastClr="000000">
                    <a:lumMod val="65000"/>
                    <a:lumOff val="35000"/>
                  </a:sys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sz="1200">
                <a:solidFill>
                  <a:sysClr val="windowText" lastClr="000000">
                    <a:lumMod val="95000"/>
                    <a:lumOff val="5000"/>
                  </a:sysClr>
                </a:solidFill>
                <a:latin typeface="宋体" panose="02010600030101010101" charset="-122"/>
                <a:ea typeface="宋体" panose="02010600030101010101" charset="-122"/>
                <a:cs typeface="Times New Roman" panose="02020603050405020304" charset="0"/>
                <a:sym typeface="Times New Roman" panose="02020603050405020304" charset="0"/>
              </a:rPr>
              <a:t>工频电场变化曲线示意图</a:t>
            </a:r>
            <a:endParaRPr sz="1200">
              <a:solidFill>
                <a:sysClr val="windowText" lastClr="000000">
                  <a:lumMod val="95000"/>
                  <a:lumOff val="5000"/>
                </a:sysClr>
              </a:solidFill>
              <a:latin typeface="宋体" panose="02010600030101010101" charset="-122"/>
              <a:ea typeface="宋体" panose="02010600030101010101" charset="-122"/>
              <a:cs typeface="Times New Roman" panose="02020603050405020304" charset="0"/>
              <a:sym typeface="Times New Roman" panose="02020603050405020304" charset="0"/>
            </a:endParaRPr>
          </a:p>
        </c:rich>
      </c:tx>
      <c:layout/>
      <c:overlay val="0"/>
      <c:spPr>
        <a:noFill/>
        <a:ln>
          <a:noFill/>
        </a:ln>
        <a:effectLst/>
      </c:spPr>
    </c:title>
    <c:autoTitleDeleted val="0"/>
    <c:plotArea>
      <c:layout/>
      <c:lineChart>
        <c:grouping val="standard"/>
        <c:varyColors val="0"/>
        <c:ser>
          <c:idx val="0"/>
          <c:order val="0"/>
          <c:tx>
            <c:strRef>
              <c:f>[工作簿1]Sheet1!$B$1</c:f>
              <c:strCache>
                <c:ptCount val="1"/>
                <c:pt idx="0">
                  <c:v>工频电场强度(V/m)</c:v>
                </c:pt>
              </c:strCache>
            </c:strRef>
          </c:tx>
          <c:spPr>
            <a:ln w="19050" cap="rnd">
              <a:solidFill>
                <a:srgbClr val="4F81BD">
                  <a:lumMod val="75000"/>
                </a:srgbClr>
              </a:solidFill>
              <a:round/>
            </a:ln>
            <a:effectLst/>
            <a:sp3d contourW="19050"/>
          </c:spPr>
          <c:marker>
            <c:symbol val="none"/>
          </c:marker>
          <c:dLbls>
            <c:delete val="1"/>
          </c:dLbls>
          <c:cat>
            <c:strRef>
              <c:f>[工作簿1]Sheet1!$A$2:$A$11</c:f>
              <c:strCache>
                <c:ptCount val="10"/>
                <c:pt idx="0">
                  <c:v>5m</c:v>
                </c:pt>
                <c:pt idx="1">
                  <c:v>10m</c:v>
                </c:pt>
                <c:pt idx="2">
                  <c:v>15m</c:v>
                </c:pt>
                <c:pt idx="3">
                  <c:v>20m</c:v>
                </c:pt>
                <c:pt idx="4">
                  <c:v>25m</c:v>
                </c:pt>
                <c:pt idx="5">
                  <c:v>30m</c:v>
                </c:pt>
                <c:pt idx="6">
                  <c:v>35m</c:v>
                </c:pt>
                <c:pt idx="7">
                  <c:v>40m</c:v>
                </c:pt>
                <c:pt idx="8">
                  <c:v>45m</c:v>
                </c:pt>
                <c:pt idx="9">
                  <c:v>50m</c:v>
                </c:pt>
              </c:strCache>
            </c:strRef>
          </c:cat>
          <c:val>
            <c:numRef>
              <c:f>[工作簿1]Sheet1!$B$2:$B$11</c:f>
              <c:numCache>
                <c:formatCode>General</c:formatCode>
                <c:ptCount val="10"/>
                <c:pt idx="0">
                  <c:v>58.6</c:v>
                </c:pt>
                <c:pt idx="1">
                  <c:v>45</c:v>
                </c:pt>
                <c:pt idx="2">
                  <c:v>37.5</c:v>
                </c:pt>
                <c:pt idx="3">
                  <c:v>31.4</c:v>
                </c:pt>
                <c:pt idx="4">
                  <c:v>25.5</c:v>
                </c:pt>
                <c:pt idx="5">
                  <c:v>20.1</c:v>
                </c:pt>
                <c:pt idx="6">
                  <c:v>17.5</c:v>
                </c:pt>
                <c:pt idx="7">
                  <c:v>13.5</c:v>
                </c:pt>
                <c:pt idx="8">
                  <c:v>7.2</c:v>
                </c:pt>
                <c:pt idx="9">
                  <c:v>3.53</c:v>
                </c:pt>
              </c:numCache>
            </c:numRef>
          </c:val>
          <c:smooth val="0"/>
        </c:ser>
        <c:dLbls>
          <c:showLegendKey val="0"/>
          <c:showVal val="0"/>
          <c:showCatName val="0"/>
          <c:showSerName val="0"/>
          <c:showPercent val="0"/>
          <c:showBubbleSize val="0"/>
        </c:dLbls>
        <c:marker val="0"/>
        <c:smooth val="0"/>
        <c:axId val="22978534"/>
        <c:axId val="654422103"/>
      </c:lineChart>
      <c:catAx>
        <c:axId val="22978534"/>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ysClr val="windowText" lastClr="000000">
                        <a:lumMod val="65000"/>
                        <a:lumOff val="35000"/>
                      </a:sys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a:latin typeface="Times New Roman" panose="02020603050405020304" charset="0"/>
                    <a:ea typeface="Times New Roman" panose="02020603050405020304" charset="0"/>
                    <a:cs typeface="Times New Roman" panose="02020603050405020304" charset="0"/>
                    <a:sym typeface="Times New Roman" panose="02020603050405020304" charset="0"/>
                  </a:rPr>
                  <a:t>距围墙距离</a:t>
                </a:r>
                <a:endParaRPr>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overlay val="0"/>
          <c:spPr>
            <a:noFill/>
            <a:ln>
              <a:noFill/>
            </a:ln>
            <a:effectLst/>
          </c:spPr>
        </c:title>
        <c:majorTickMark val="in"/>
        <c:minorTickMark val="none"/>
        <c:tickLblPos val="nextTo"/>
        <c:spPr>
          <a:noFill/>
          <a:ln w="9525" cap="flat" cmpd="sng" algn="ctr">
            <a:solidFill>
              <a:sysClr val="windowText" lastClr="000000"/>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宋体" panose="02010600030101010101" charset="-122"/>
                <a:ea typeface="宋体" panose="02010600030101010101" charset="-122"/>
                <a:cs typeface="宋体" panose="02010600030101010101" charset="-122"/>
                <a:sym typeface="宋体" panose="02010600030101010101" charset="-122"/>
              </a:defRPr>
            </a:pPr>
          </a:p>
        </c:txPr>
        <c:crossAx val="654422103"/>
        <c:crossesAt val="0"/>
        <c:auto val="1"/>
        <c:lblAlgn val="ctr"/>
        <c:lblOffset val="100"/>
        <c:noMultiLvlLbl val="0"/>
      </c:catAx>
      <c:valAx>
        <c:axId val="654422103"/>
        <c:scaling>
          <c:orientation val="minMax"/>
        </c:scaling>
        <c:delete val="0"/>
        <c:axPos val="l"/>
        <c:majorGridlines>
          <c:spPr>
            <a:ln w="9525" cap="flat" cmpd="sng" algn="ctr">
              <a:solidFill>
                <a:srgbClr val="EEECE1">
                  <a:lumMod val="90000"/>
                </a:srgbClr>
              </a:solidFill>
              <a:round/>
              <a:headEnd type="none"/>
              <a:tailEnd type="none"/>
            </a:ln>
            <a:effectLst/>
          </c:spPr>
        </c:majorGridlines>
        <c:title>
          <c:tx>
            <c:rich>
              <a:bodyPr rot="-5400000" spcFirstLastPara="0" vertOverflow="ellipsis" vert="horz" wrap="square" anchor="ctr" anchorCtr="1"/>
              <a:lstStyle/>
              <a:p>
                <a:pPr defTabSz="914400">
                  <a:defRPr lang="zh-CN" sz="1000" b="0" i="0" u="none" strike="noStrike" kern="1200" baseline="0">
                    <a:solidFill>
                      <a:sysClr val="windowText" lastClr="000000">
                        <a:lumMod val="65000"/>
                        <a:lumOff val="35000"/>
                      </a:sys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a:solidFill>
                      <a:sysClr val="windowText" lastClr="000000"/>
                    </a:solidFill>
                    <a:latin typeface="宋体" panose="02010600030101010101" charset="-122"/>
                    <a:ea typeface="宋体" panose="02010600030101010101" charset="-122"/>
                    <a:cs typeface="宋体" panose="02010600030101010101" charset="-122"/>
                    <a:sym typeface="Times New Roman" panose="02020603050405020304" charset="0"/>
                  </a:rPr>
                  <a:t>工频电场强度</a:t>
                </a:r>
                <a:r>
                  <a:rPr lang="en-US" altLang="zh-CN">
                    <a:solidFill>
                      <a:sysClr val="windowText" lastClr="000000"/>
                    </a:solidFill>
                    <a:latin typeface="宋体" panose="02010600030101010101" charset="-122"/>
                    <a:ea typeface="宋体" panose="02010600030101010101" charset="-122"/>
                    <a:cs typeface="宋体" panose="02010600030101010101" charset="-122"/>
                    <a:sym typeface="Times New Roman" panose="02020603050405020304" charset="0"/>
                  </a:rPr>
                  <a:t>(V/m)</a:t>
                </a:r>
                <a:endParaRPr lang="en-US" altLang="zh-CN">
                  <a:solidFill>
                    <a:sysClr val="windowText" lastClr="000000"/>
                  </a:solidFill>
                  <a:latin typeface="宋体" panose="02010600030101010101" charset="-122"/>
                  <a:ea typeface="宋体" panose="02010600030101010101" charset="-122"/>
                  <a:cs typeface="宋体" panose="02010600030101010101" charset="-122"/>
                  <a:sym typeface="Times New Roman" panose="02020603050405020304" charset="0"/>
                </a:endParaRPr>
              </a:p>
            </c:rich>
          </c:tx>
          <c:layout/>
          <c:overlay val="0"/>
          <c:spPr>
            <a:noFill/>
            <a:ln>
              <a:noFill/>
            </a:ln>
            <a:effectLst/>
          </c:spPr>
        </c:title>
        <c:numFmt formatCode="General" sourceLinked="1"/>
        <c:majorTickMark val="in"/>
        <c:minorTickMark val="none"/>
        <c:tickLblPos val="nextTo"/>
        <c:spPr>
          <a:noFill/>
          <a:ln>
            <a:solidFill>
              <a:sysClr val="windowText" lastClr="000000"/>
            </a:solidFill>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宋体" panose="02010600030101010101" charset="-122"/>
                <a:ea typeface="宋体" panose="02010600030101010101" charset="-122"/>
                <a:cs typeface="宋体" panose="02010600030101010101" charset="-122"/>
                <a:sym typeface="宋体" panose="02010600030101010101" charset="-122"/>
              </a:defRPr>
            </a:pPr>
          </a:p>
        </c:txPr>
        <c:crossAx val="22978534"/>
        <c:crosses val="autoZero"/>
        <c:crossBetween val="midCat"/>
      </c:valAx>
      <c:spPr>
        <a:noFill/>
        <a:ln w="12700" cmpd="sng">
          <a:noFill/>
          <a:prstDash val="solid"/>
        </a:ln>
        <a:effectLst/>
      </c:spPr>
    </c:plotArea>
    <c:plotVisOnly val="1"/>
    <c:dispBlanksAs val="gap"/>
    <c:showDLblsOverMax val="0"/>
    <c:extLst>
      <c:ext uri="{0b15fc19-7d7d-44ad-8c2d-2c3a37ce22c3}">
        <chartProps xmlns="https://web.wps.cn/et/2018/main" chartId="{a1cc5bd9-45f1-4301-a6c6-22336ef1010c}"/>
      </c:ext>
    </c:extLst>
  </c:chart>
  <c:spPr>
    <a:solidFill>
      <a:sysClr val="window" lastClr="FFFFFF"/>
    </a:solidFill>
    <a:ln w="9525" cap="flat" cmpd="sng" algn="ctr">
      <a:solidFill>
        <a:sysClr val="windowText" lastClr="000000">
          <a:alpha val="90000"/>
        </a:sysClr>
      </a:solidFill>
      <a:round/>
    </a:ln>
    <a:effectLst/>
  </c:spPr>
  <c:txPr>
    <a:bodyPr/>
    <a:lstStyle/>
    <a:p>
      <a:pPr>
        <a:defRPr lang="zh-CN">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200" b="0" i="0" u="none" strike="noStrike" kern="1200" spc="0" baseline="0">
                <a:solidFill>
                  <a:sysClr val="windowText" lastClr="000000"/>
                </a:solidFill>
                <a:latin typeface="+mn-lt"/>
                <a:ea typeface="+mn-ea"/>
                <a:cs typeface="+mn-cs"/>
              </a:defRPr>
            </a:pPr>
            <a:r>
              <a:rPr sz="1200">
                <a:solidFill>
                  <a:sysClr val="windowText" lastClr="000000">
                    <a:lumMod val="95000"/>
                    <a:lumOff val="5000"/>
                  </a:sysClr>
                </a:solidFill>
              </a:rPr>
              <a:t>工频磁场变化曲线示意图</a:t>
            </a:r>
            <a:endParaRPr lang="en-US" altLang="zh-CN" sz="1200">
              <a:solidFill>
                <a:sysClr val="windowText" lastClr="000000">
                  <a:lumMod val="95000"/>
                  <a:lumOff val="5000"/>
                </a:sysClr>
              </a:solidFill>
            </a:endParaRPr>
          </a:p>
        </c:rich>
      </c:tx>
      <c:layout/>
      <c:overlay val="0"/>
      <c:spPr>
        <a:noFill/>
        <a:ln>
          <a:noFill/>
        </a:ln>
        <a:effectLst/>
      </c:spPr>
    </c:title>
    <c:autoTitleDeleted val="0"/>
    <c:plotArea>
      <c:layout>
        <c:manualLayout>
          <c:layoutTarget val="inner"/>
          <c:xMode val="edge"/>
          <c:yMode val="edge"/>
          <c:x val="0.140916666666667"/>
          <c:y val="0.176388888888889"/>
          <c:w val="0.824638888888889"/>
          <c:h val="0.622662037037037"/>
        </c:manualLayout>
      </c:layout>
      <c:lineChart>
        <c:grouping val="standard"/>
        <c:varyColors val="0"/>
        <c:ser>
          <c:idx val="0"/>
          <c:order val="0"/>
          <c:tx>
            <c:strRef>
              <c:f>[工作簿1]Sheet1!$C$1</c:f>
              <c:strCache>
                <c:ptCount val="1"/>
                <c:pt idx="0">
                  <c:v>工频磁感应强度(μT)</c:v>
                </c:pt>
              </c:strCache>
            </c:strRef>
          </c:tx>
          <c:spPr>
            <a:ln w="19050" cap="rnd">
              <a:solidFill>
                <a:srgbClr val="4F81BD">
                  <a:lumMod val="75000"/>
                </a:srgbClr>
              </a:solidFill>
              <a:round/>
            </a:ln>
            <a:effectLst/>
            <a:sp3d contourW="19050"/>
          </c:spPr>
          <c:marker>
            <c:symbol val="none"/>
          </c:marker>
          <c:dLbls>
            <c:delete val="1"/>
          </c:dLbls>
          <c:cat>
            <c:strRef>
              <c:f>[工作簿1]Sheet1!$A$2:$A$11</c:f>
              <c:strCache>
                <c:ptCount val="10"/>
                <c:pt idx="0">
                  <c:v>5m</c:v>
                </c:pt>
                <c:pt idx="1">
                  <c:v>10m</c:v>
                </c:pt>
                <c:pt idx="2">
                  <c:v>15m</c:v>
                </c:pt>
                <c:pt idx="3">
                  <c:v>20m</c:v>
                </c:pt>
                <c:pt idx="4">
                  <c:v>25m</c:v>
                </c:pt>
                <c:pt idx="5">
                  <c:v>30m</c:v>
                </c:pt>
                <c:pt idx="6">
                  <c:v>35m</c:v>
                </c:pt>
                <c:pt idx="7">
                  <c:v>40m</c:v>
                </c:pt>
                <c:pt idx="8">
                  <c:v>45m</c:v>
                </c:pt>
                <c:pt idx="9">
                  <c:v>50m</c:v>
                </c:pt>
              </c:strCache>
            </c:strRef>
          </c:cat>
          <c:val>
            <c:numRef>
              <c:f>[工作簿1]Sheet1!$C$2:$C$11</c:f>
              <c:numCache>
                <c:formatCode>General</c:formatCode>
                <c:ptCount val="10"/>
                <c:pt idx="0">
                  <c:v>0.41</c:v>
                </c:pt>
                <c:pt idx="1">
                  <c:v>0.35</c:v>
                </c:pt>
                <c:pt idx="2">
                  <c:v>0.03</c:v>
                </c:pt>
                <c:pt idx="3">
                  <c:v>0.022</c:v>
                </c:pt>
                <c:pt idx="4">
                  <c:v>0.026</c:v>
                </c:pt>
                <c:pt idx="5">
                  <c:v>0.023</c:v>
                </c:pt>
                <c:pt idx="6">
                  <c:v>0.014</c:v>
                </c:pt>
                <c:pt idx="7">
                  <c:v>0.015</c:v>
                </c:pt>
                <c:pt idx="8">
                  <c:v>0.01</c:v>
                </c:pt>
                <c:pt idx="9">
                  <c:v>0.006</c:v>
                </c:pt>
              </c:numCache>
            </c:numRef>
          </c:val>
          <c:smooth val="0"/>
        </c:ser>
        <c:dLbls>
          <c:showLegendKey val="0"/>
          <c:showVal val="0"/>
          <c:showCatName val="0"/>
          <c:showSerName val="0"/>
          <c:showPercent val="0"/>
          <c:showBubbleSize val="0"/>
        </c:dLbls>
        <c:marker val="0"/>
        <c:smooth val="0"/>
        <c:axId val="880955431"/>
        <c:axId val="694219219"/>
      </c:lineChart>
      <c:catAx>
        <c:axId val="880955431"/>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ysClr val="windowText" lastClr="000000"/>
                    </a:solidFill>
                    <a:latin typeface="+mn-lt"/>
                    <a:ea typeface="+mn-ea"/>
                    <a:cs typeface="+mn-cs"/>
                  </a:defRPr>
                </a:pPr>
                <a:r>
                  <a:rPr>
                    <a:solidFill>
                      <a:sysClr val="windowText" lastClr="000000"/>
                    </a:solidFill>
                  </a:rPr>
                  <a:t>距围墙距离</a:t>
                </a:r>
                <a:endParaRPr>
                  <a:solidFill>
                    <a:sysClr val="windowText" lastClr="000000"/>
                  </a:solidFill>
                </a:endParaRPr>
              </a:p>
            </c:rich>
          </c:tx>
          <c:layout/>
          <c:overlay val="0"/>
          <c:spPr>
            <a:noFill/>
            <a:ln>
              <a:noFill/>
            </a:ln>
            <a:effectLst/>
          </c:spPr>
        </c:title>
        <c:numFmt formatCode="_ &quot;￥&quot;* #,##0.00_ ;_ &quot;￥&quot;* \-#,##0.00_ ;_ &quot;￥&quot;* &quot;-&quot;??_ ;_ @_ " sourceLinked="0"/>
        <c:majorTickMark val="in"/>
        <c:minorTickMark val="none"/>
        <c:tickLblPos val="nextTo"/>
        <c:spPr>
          <a:noFill/>
          <a:ln w="9525" cap="flat" cmpd="sng" algn="ctr">
            <a:solidFill>
              <a:sysClr val="windowText" lastClr="000000"/>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694219219"/>
        <c:crosses val="autoZero"/>
        <c:auto val="1"/>
        <c:lblAlgn val="ctr"/>
        <c:lblOffset val="50"/>
        <c:noMultiLvlLbl val="0"/>
      </c:catAx>
      <c:valAx>
        <c:axId val="694219219"/>
        <c:scaling>
          <c:orientation val="minMax"/>
        </c:scaling>
        <c:delete val="0"/>
        <c:axPos val="l"/>
        <c:majorGridlines>
          <c:spPr>
            <a:ln w="9525" cap="flat" cmpd="sng" algn="ctr">
              <a:solidFill>
                <a:sysClr val="windowText" lastClr="000000">
                  <a:lumMod val="15000"/>
                  <a:lumOff val="85000"/>
                </a:sys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ysClr val="windowText" lastClr="000000"/>
                    </a:solidFill>
                    <a:latin typeface="+mn-lt"/>
                    <a:ea typeface="+mn-ea"/>
                    <a:cs typeface="+mn-cs"/>
                  </a:defRPr>
                </a:pPr>
                <a:r>
                  <a:rPr>
                    <a:solidFill>
                      <a:sysClr val="windowText" lastClr="000000"/>
                    </a:solidFill>
                    <a:latin typeface="宋体" panose="02010600030101010101" charset="-122"/>
                    <a:ea typeface="宋体" panose="02010600030101010101" charset="-122"/>
                    <a:cs typeface="宋体" panose="02010600030101010101" charset="-122"/>
                  </a:rPr>
                  <a:t>工频磁感应强度</a:t>
                </a:r>
                <a:r>
                  <a:rPr lang="en-US" altLang="zh-CN">
                    <a:solidFill>
                      <a:sysClr val="windowText" lastClr="000000"/>
                    </a:solidFill>
                    <a:latin typeface="宋体" panose="02010600030101010101" charset="-122"/>
                    <a:ea typeface="宋体" panose="02010600030101010101" charset="-122"/>
                    <a:cs typeface="宋体" panose="02010600030101010101" charset="-122"/>
                  </a:rPr>
                  <a:t>(</a:t>
                </a:r>
                <a:r>
                  <a:rPr>
                    <a:solidFill>
                      <a:sysClr val="windowText" lastClr="000000"/>
                    </a:solidFill>
                    <a:latin typeface="宋体" panose="02010600030101010101" charset="-122"/>
                    <a:ea typeface="宋体" panose="02010600030101010101" charset="-122"/>
                    <a:cs typeface="宋体" panose="02010600030101010101" charset="-122"/>
                  </a:rPr>
                  <a:t>μT</a:t>
                </a:r>
                <a:r>
                  <a:rPr lang="en-US" altLang="zh-CN">
                    <a:solidFill>
                      <a:sysClr val="windowText" lastClr="000000"/>
                    </a:solidFill>
                    <a:latin typeface="宋体" panose="02010600030101010101" charset="-122"/>
                    <a:ea typeface="宋体" panose="02010600030101010101" charset="-122"/>
                    <a:cs typeface="宋体" panose="02010600030101010101" charset="-122"/>
                  </a:rPr>
                  <a:t>)</a:t>
                </a:r>
                <a:endParaRPr lang="en-US" altLang="zh-CN">
                  <a:solidFill>
                    <a:sysClr val="windowText" lastClr="000000"/>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numFmt formatCode="General" sourceLinked="1"/>
        <c:majorTickMark val="in"/>
        <c:minorTickMark val="none"/>
        <c:tickLblPos val="nextTo"/>
        <c:spPr>
          <a:noFill/>
          <a:ln>
            <a:solidFill>
              <a:sysClr val="windowText" lastClr="000000"/>
            </a:solidFill>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880955431"/>
        <c:crosses val="autoZero"/>
        <c:crossBetween val="midCat"/>
      </c:valAx>
      <c:spPr>
        <a:noFill/>
        <a:ln>
          <a:noFill/>
        </a:ln>
        <a:effectLst/>
      </c:spPr>
    </c:plotArea>
    <c:plotVisOnly val="1"/>
    <c:dispBlanksAs val="gap"/>
    <c:showDLblsOverMax val="0"/>
    <c:extLst>
      <c:ext uri="{0b15fc19-7d7d-44ad-8c2d-2c3a37ce22c3}">
        <chartProps xmlns="https://web.wps.cn/et/2018/main" chartId="{14b1dea3-38d4-450e-819d-98646d5ab91a}"/>
      </c:ext>
    </c:extLst>
  </c:chart>
  <c:spPr>
    <a:solidFill>
      <a:sysClr val="window" lastClr="FFFFFF"/>
    </a:solidFill>
    <a:ln w="9525" cap="flat" cmpd="sng" algn="ctr">
      <a:solidFill>
        <a:sysClr val="windowText" lastClr="000000"/>
      </a:solidFill>
      <a:round/>
    </a:ln>
    <a:effectLst/>
  </c:spPr>
  <c:txPr>
    <a:bodyPr/>
    <a:lstStyle/>
    <a:p>
      <a:pPr>
        <a:defRPr lang="zh-CN">
          <a:solidFill>
            <a:sysClr val="windowText" lastClr="000000"/>
          </a:solidFill>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spPr>
      <a:solidFill>
        <a:schemeClr val="phClr"/>
      </a:solidFill>
    </cs:spPr>
  </cs:dataPoint>
  <cs:dataPoint3D>
    <cs:lnRef idx="0"/>
    <cs:fillRef idx="1">
      <cs:styleClr val="auto"/>
    </cs:fillRef>
    <cs:effectRef idx="0"/>
    <cs:fontRef idx="minor">
      <a:sysClr val="windowText" lastClr="000000"/>
    </cs:fontRef>
    <cs:spPr>
      <a:solidFill>
        <a:schemeClr val="phClr"/>
      </a:solidFill>
    </cs:spPr>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spPr>
      <a:solidFill>
        <a:schemeClr val="phClr"/>
      </a:solidFill>
    </cs:spPr>
  </cs:dataPoint>
  <cs:dataPoint3D>
    <cs:lnRef idx="0"/>
    <cs:fillRef idx="1">
      <cs:styleClr val="auto"/>
    </cs:fillRef>
    <cs:effectRef idx="0"/>
    <cs:fontRef idx="minor">
      <a:sysClr val="windowText" lastClr="000000"/>
    </cs:fontRef>
    <cs:spPr>
      <a:solidFill>
        <a:schemeClr val="phClr"/>
      </a:solidFill>
    </cs:spPr>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88</Pages>
  <Words>51557</Words>
  <Characters>62703</Characters>
  <Lines>1</Lines>
  <Paragraphs>1</Paragraphs>
  <TotalTime>19</TotalTime>
  <ScaleCrop>false</ScaleCrop>
  <LinksUpToDate>false</LinksUpToDate>
  <CharactersWithSpaces>63139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沐阳</cp:lastModifiedBy>
  <cp:lastPrinted>2022-06-20T11:02:00Z</cp:lastPrinted>
  <dcterms:modified xsi:type="dcterms:W3CDTF">2025-04-14T02:35:29Z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66813D9089F549599EF71BDA4760A528</vt:lpwstr>
  </property>
  <property fmtid="{D5CDD505-2E9C-101B-9397-08002B2CF9AE}" pid="4" name="KSOTemplateDocerSaveRecord">
    <vt:lpwstr>eyJoZGlkIjoiYzc1N2ExMzk1ODNlMzA3MjdlNjZlODVmMTNjYjFjODAiLCJ1c2VySWQiOiIxMTgxODI0NTQ4In0=</vt:lpwstr>
  </property>
</Properties>
</file>