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08B2E">
      <w:pPr>
        <w:pStyle w:val="95"/>
        <w:rPr>
          <w:rFonts w:hint="eastAsia" w:eastAsia="宋体"/>
          <w:lang w:val="en-US" w:eastAsia="zh-CN"/>
        </w:rPr>
      </w:pPr>
      <w:bookmarkStart w:id="0" w:name="_Hlk57883707"/>
      <w:r>
        <w:t>40-</w:t>
      </w:r>
      <w:r>
        <w:rPr>
          <w:rFonts w:hint="eastAsia"/>
          <w:highlight w:val="none"/>
        </w:rPr>
        <w:t>WH1102</w:t>
      </w:r>
      <w:r>
        <w:rPr>
          <w:rFonts w:hint="eastAsia"/>
          <w:highlight w:val="none"/>
          <w:lang w:val="en-US" w:eastAsia="zh-CN"/>
        </w:rPr>
        <w:t>1</w:t>
      </w:r>
      <w:r>
        <w:rPr>
          <w:rFonts w:hint="eastAsia"/>
          <w:highlight w:val="none"/>
        </w:rPr>
        <w:t>K</w:t>
      </w:r>
      <w:r>
        <w:t>-P2201</w:t>
      </w:r>
    </w:p>
    <w:p w14:paraId="577BAC9E">
      <w:pPr>
        <w:rPr>
          <w:sz w:val="36"/>
          <w:szCs w:val="36"/>
          <w:highlight w:val="yellow"/>
        </w:rPr>
      </w:pPr>
    </w:p>
    <w:p w14:paraId="2EA86516">
      <w:pPr>
        <w:rPr>
          <w:color w:val="000000"/>
          <w:sz w:val="36"/>
          <w:szCs w:val="36"/>
          <w:highlight w:val="yellow"/>
        </w:rPr>
      </w:pPr>
    </w:p>
    <w:p w14:paraId="4A48BAEA">
      <w:pPr>
        <w:rPr>
          <w:color w:val="000000"/>
          <w:sz w:val="36"/>
          <w:szCs w:val="36"/>
          <w:highlight w:val="yellow"/>
        </w:rPr>
      </w:pPr>
    </w:p>
    <w:p w14:paraId="5F3A9974">
      <w:pPr>
        <w:rPr>
          <w:color w:val="000000"/>
          <w:sz w:val="36"/>
          <w:szCs w:val="36"/>
          <w:highlight w:val="yellow"/>
        </w:rPr>
      </w:pPr>
    </w:p>
    <w:p w14:paraId="1F6EC4E4">
      <w:pPr>
        <w:rPr>
          <w:color w:val="000000"/>
          <w:sz w:val="36"/>
          <w:szCs w:val="36"/>
          <w:highlight w:val="yellow"/>
        </w:rPr>
      </w:pPr>
    </w:p>
    <w:p w14:paraId="377F71D3">
      <w:pPr>
        <w:rPr>
          <w:color w:val="000000"/>
          <w:sz w:val="36"/>
          <w:szCs w:val="36"/>
          <w:highlight w:val="yellow"/>
        </w:rPr>
      </w:pPr>
    </w:p>
    <w:bookmarkEnd w:id="0"/>
    <w:p w14:paraId="208E1504">
      <w:pPr>
        <w:ind w:firstLine="0"/>
        <w:jc w:val="center"/>
        <w:rPr>
          <w:b/>
          <w:color w:val="000000"/>
          <w:sz w:val="72"/>
        </w:rPr>
      </w:pPr>
      <w:r>
        <w:rPr>
          <w:b/>
          <w:color w:val="000000"/>
          <w:sz w:val="72"/>
        </w:rPr>
        <w:t>建设项目环境影响报告表</w:t>
      </w:r>
    </w:p>
    <w:p w14:paraId="264EB586">
      <w:pPr>
        <w:pStyle w:val="11"/>
        <w:ind w:firstLine="3" w:firstLineChars="0"/>
        <w:jc w:val="center"/>
        <w:rPr>
          <w:color w:val="000000"/>
          <w:sz w:val="44"/>
          <w:szCs w:val="44"/>
        </w:rPr>
      </w:pPr>
    </w:p>
    <w:p w14:paraId="77E528E6">
      <w:pPr>
        <w:ind w:firstLine="360"/>
        <w:rPr>
          <w:color w:val="000000"/>
          <w:sz w:val="36"/>
        </w:rPr>
      </w:pPr>
    </w:p>
    <w:p w14:paraId="143DEBD7">
      <w:pPr>
        <w:ind w:firstLine="360"/>
        <w:jc w:val="center"/>
        <w:rPr>
          <w:color w:val="000000"/>
          <w:sz w:val="36"/>
        </w:rPr>
      </w:pPr>
    </w:p>
    <w:p w14:paraId="6418C71F">
      <w:pPr>
        <w:ind w:firstLine="360"/>
        <w:jc w:val="right"/>
        <w:rPr>
          <w:color w:val="000000"/>
          <w:sz w:val="36"/>
        </w:rPr>
      </w:pPr>
    </w:p>
    <w:p w14:paraId="1E859372">
      <w:pPr>
        <w:tabs>
          <w:tab w:val="left" w:pos="3286"/>
        </w:tabs>
        <w:ind w:firstLine="360"/>
        <w:rPr>
          <w:color w:val="000000"/>
          <w:sz w:val="36"/>
        </w:rPr>
      </w:pPr>
      <w:r>
        <w:rPr>
          <w:color w:val="000000"/>
          <w:sz w:val="36"/>
        </w:rPr>
        <w:tab/>
      </w:r>
    </w:p>
    <w:p w14:paraId="38E422CA">
      <w:pPr>
        <w:ind w:left="210" w:leftChars="100" w:firstLine="360"/>
        <w:jc w:val="center"/>
        <w:rPr>
          <w:color w:val="000000"/>
          <w:sz w:val="36"/>
        </w:rPr>
      </w:pPr>
    </w:p>
    <w:tbl>
      <w:tblPr>
        <w:tblStyle w:val="34"/>
        <w:tblW w:w="9923" w:type="dxa"/>
        <w:jc w:val="center"/>
        <w:tblLayout w:type="autofit"/>
        <w:tblCellMar>
          <w:top w:w="0" w:type="dxa"/>
          <w:left w:w="108" w:type="dxa"/>
          <w:bottom w:w="0" w:type="dxa"/>
          <w:right w:w="108" w:type="dxa"/>
        </w:tblCellMar>
      </w:tblPr>
      <w:tblGrid>
        <w:gridCol w:w="1843"/>
        <w:gridCol w:w="8080"/>
      </w:tblGrid>
      <w:tr w14:paraId="647FE890">
        <w:tblPrEx>
          <w:tblCellMar>
            <w:top w:w="0" w:type="dxa"/>
            <w:left w:w="108" w:type="dxa"/>
            <w:bottom w:w="0" w:type="dxa"/>
            <w:right w:w="108" w:type="dxa"/>
          </w:tblCellMar>
        </w:tblPrEx>
        <w:trPr>
          <w:jc w:val="center"/>
        </w:trPr>
        <w:tc>
          <w:tcPr>
            <w:tcW w:w="1843" w:type="dxa"/>
            <w:vAlign w:val="center"/>
          </w:tcPr>
          <w:p w14:paraId="21DBB334">
            <w:pPr>
              <w:spacing w:line="360" w:lineRule="auto"/>
              <w:jc w:val="center"/>
              <w:rPr>
                <w:rFonts w:ascii="宋体" w:hAnsi="宋体"/>
                <w:b/>
                <w:color w:val="000000"/>
                <w:sz w:val="32"/>
              </w:rPr>
            </w:pPr>
            <w:r>
              <w:rPr>
                <w:rFonts w:ascii="宋体" w:hAnsi="宋体"/>
                <w:b/>
                <w:color w:val="000000"/>
                <w:sz w:val="32"/>
              </w:rPr>
              <w:t>项目名称：</w:t>
            </w:r>
          </w:p>
        </w:tc>
        <w:tc>
          <w:tcPr>
            <w:tcW w:w="8080" w:type="dxa"/>
            <w:vAlign w:val="center"/>
          </w:tcPr>
          <w:p w14:paraId="66CFDE50">
            <w:pPr>
              <w:spacing w:line="360" w:lineRule="auto"/>
              <w:jc w:val="distribute"/>
              <w:rPr>
                <w:rFonts w:hint="eastAsia" w:eastAsia="宋体"/>
                <w:bCs/>
                <w:snapToGrid w:val="0"/>
                <w:color w:val="000000"/>
                <w:kern w:val="0"/>
                <w:sz w:val="30"/>
                <w:szCs w:val="30"/>
                <w:lang w:eastAsia="zh-CN"/>
              </w:rPr>
            </w:pPr>
            <w:r>
              <w:rPr>
                <w:rFonts w:hint="eastAsia"/>
                <w:bCs/>
                <w:snapToGrid w:val="0"/>
                <w:color w:val="000000"/>
                <w:kern w:val="0"/>
                <w:sz w:val="30"/>
                <w:szCs w:val="30"/>
                <w:lang w:eastAsia="zh-CN"/>
              </w:rPr>
              <w:t>吐鲁番市新阳新能源产业有限公司110千伏业扩配套工程</w:t>
            </w:r>
          </w:p>
        </w:tc>
      </w:tr>
      <w:tr w14:paraId="01784FB2">
        <w:tblPrEx>
          <w:tblCellMar>
            <w:top w:w="0" w:type="dxa"/>
            <w:left w:w="108" w:type="dxa"/>
            <w:bottom w:w="0" w:type="dxa"/>
            <w:right w:w="108" w:type="dxa"/>
          </w:tblCellMar>
        </w:tblPrEx>
        <w:trPr>
          <w:jc w:val="center"/>
        </w:trPr>
        <w:tc>
          <w:tcPr>
            <w:tcW w:w="1843" w:type="dxa"/>
            <w:vAlign w:val="center"/>
          </w:tcPr>
          <w:p w14:paraId="25F3F3EB">
            <w:pPr>
              <w:spacing w:line="360" w:lineRule="auto"/>
              <w:jc w:val="center"/>
              <w:rPr>
                <w:rFonts w:ascii="宋体" w:hAnsi="宋体"/>
                <w:b/>
                <w:color w:val="000000"/>
                <w:sz w:val="32"/>
              </w:rPr>
            </w:pPr>
            <w:r>
              <w:rPr>
                <w:rFonts w:ascii="宋体" w:hAnsi="宋体"/>
                <w:b/>
                <w:color w:val="000000"/>
                <w:sz w:val="32"/>
              </w:rPr>
              <w:t>建设单位：</w:t>
            </w:r>
          </w:p>
        </w:tc>
        <w:tc>
          <w:tcPr>
            <w:tcW w:w="8080" w:type="dxa"/>
            <w:vAlign w:val="center"/>
          </w:tcPr>
          <w:p w14:paraId="217384C1">
            <w:pPr>
              <w:spacing w:line="360" w:lineRule="auto"/>
              <w:jc w:val="distribute"/>
              <w:rPr>
                <w:rFonts w:ascii="宋体" w:hAnsi="宋体"/>
                <w:bCs/>
                <w:snapToGrid w:val="0"/>
                <w:color w:val="000000"/>
                <w:kern w:val="0"/>
                <w:sz w:val="30"/>
                <w:szCs w:val="30"/>
              </w:rPr>
            </w:pPr>
            <w:r>
              <w:rPr>
                <w:rFonts w:hint="eastAsia" w:ascii="宋体" w:hAnsi="宋体"/>
                <w:bCs/>
                <w:snapToGrid w:val="0"/>
                <w:color w:val="000000"/>
                <w:kern w:val="0"/>
                <w:sz w:val="30"/>
                <w:szCs w:val="30"/>
              </w:rPr>
              <w:t>国网新疆电力有限公司</w:t>
            </w:r>
            <w:r>
              <w:rPr>
                <w:rFonts w:hint="eastAsia" w:ascii="宋体" w:hAnsi="宋体"/>
                <w:bCs/>
                <w:snapToGrid w:val="0"/>
                <w:color w:val="000000"/>
                <w:kern w:val="0"/>
                <w:sz w:val="30"/>
                <w:szCs w:val="30"/>
                <w:lang w:val="en-US" w:eastAsia="zh-CN"/>
              </w:rPr>
              <w:t>吐鲁番</w:t>
            </w:r>
            <w:r>
              <w:rPr>
                <w:rFonts w:hint="eastAsia" w:ascii="宋体" w:hAnsi="宋体"/>
                <w:bCs/>
                <w:snapToGrid w:val="0"/>
                <w:color w:val="000000"/>
                <w:kern w:val="0"/>
                <w:sz w:val="30"/>
                <w:szCs w:val="30"/>
              </w:rPr>
              <w:t>供电公司</w:t>
            </w:r>
          </w:p>
        </w:tc>
      </w:tr>
    </w:tbl>
    <w:p w14:paraId="59E5B818">
      <w:pPr>
        <w:ind w:firstLine="280"/>
        <w:rPr>
          <w:rFonts w:eastAsia="仿宋_GB2312"/>
          <w:color w:val="000000"/>
          <w:sz w:val="28"/>
          <w:highlight w:val="yellow"/>
        </w:rPr>
      </w:pPr>
    </w:p>
    <w:p w14:paraId="7A22D4D9">
      <w:pPr>
        <w:ind w:firstLine="280"/>
        <w:rPr>
          <w:rFonts w:eastAsia="仿宋_GB2312"/>
          <w:color w:val="000000"/>
          <w:sz w:val="28"/>
          <w:highlight w:val="yellow"/>
        </w:rPr>
      </w:pPr>
    </w:p>
    <w:p w14:paraId="370A94BB">
      <w:pPr>
        <w:ind w:firstLine="280"/>
        <w:rPr>
          <w:rFonts w:eastAsia="仿宋_GB2312"/>
          <w:color w:val="000000"/>
          <w:sz w:val="28"/>
          <w:highlight w:val="yellow"/>
        </w:rPr>
      </w:pPr>
    </w:p>
    <w:p w14:paraId="6ECDD2E2">
      <w:pPr>
        <w:ind w:firstLine="280"/>
        <w:rPr>
          <w:rFonts w:eastAsia="仿宋_GB2312"/>
          <w:color w:val="000000"/>
          <w:sz w:val="28"/>
          <w:highlight w:val="yellow"/>
        </w:rPr>
      </w:pPr>
    </w:p>
    <w:p w14:paraId="6F674A17">
      <w:pPr>
        <w:ind w:firstLine="280"/>
        <w:rPr>
          <w:rFonts w:eastAsia="仿宋_GB2312"/>
          <w:color w:val="000000"/>
          <w:sz w:val="28"/>
          <w:highlight w:val="yellow"/>
        </w:rPr>
      </w:pPr>
    </w:p>
    <w:p w14:paraId="60E3446C">
      <w:pPr>
        <w:ind w:firstLine="280"/>
        <w:rPr>
          <w:rFonts w:eastAsia="仿宋_GB2312"/>
          <w:color w:val="000000"/>
          <w:sz w:val="28"/>
          <w:highlight w:val="yellow"/>
        </w:rPr>
      </w:pPr>
    </w:p>
    <w:p w14:paraId="0DEAF9EF">
      <w:pPr>
        <w:ind w:firstLine="280"/>
        <w:rPr>
          <w:rFonts w:eastAsia="仿宋_GB2312"/>
          <w:color w:val="000000"/>
          <w:sz w:val="28"/>
          <w:highlight w:val="yellow"/>
        </w:rPr>
      </w:pPr>
    </w:p>
    <w:p w14:paraId="313275BD">
      <w:pPr>
        <w:ind w:firstLine="280"/>
        <w:rPr>
          <w:rFonts w:eastAsia="仿宋_GB2312"/>
          <w:color w:val="000000"/>
          <w:sz w:val="28"/>
          <w:highlight w:val="yellow"/>
        </w:rPr>
      </w:pPr>
    </w:p>
    <w:p w14:paraId="6D69A023">
      <w:pPr>
        <w:ind w:firstLine="280"/>
        <w:rPr>
          <w:color w:val="000000"/>
          <w:highlight w:val="yellow"/>
        </w:rPr>
      </w:pPr>
    </w:p>
    <w:p w14:paraId="74AB4257">
      <w:pPr>
        <w:ind w:firstLine="280"/>
        <w:rPr>
          <w:color w:val="000000"/>
          <w:highlight w:val="yellow"/>
        </w:rPr>
      </w:pPr>
    </w:p>
    <w:p w14:paraId="1F72BEEA">
      <w:pPr>
        <w:ind w:firstLine="280"/>
        <w:rPr>
          <w:color w:val="000000"/>
          <w:highlight w:val="yellow"/>
        </w:rPr>
      </w:pPr>
    </w:p>
    <w:p w14:paraId="3C7E03FF">
      <w:pPr>
        <w:ind w:firstLine="280"/>
        <w:rPr>
          <w:color w:val="000000"/>
          <w:highlight w:val="yellow"/>
        </w:rPr>
      </w:pPr>
    </w:p>
    <w:p w14:paraId="7D2893A7">
      <w:pPr>
        <w:pStyle w:val="108"/>
        <w:spacing w:line="360" w:lineRule="auto"/>
        <w:jc w:val="left"/>
        <w:rPr>
          <w:rFonts w:eastAsia="宋体"/>
          <w:bCs/>
          <w:snapToGrid w:val="0"/>
          <w:color w:val="000000"/>
          <w:kern w:val="0"/>
          <w:sz w:val="30"/>
          <w:szCs w:val="30"/>
        </w:rPr>
      </w:pPr>
      <w:r>
        <w:rPr>
          <w:rFonts w:eastAsia="宋体"/>
          <w:bCs/>
          <w:snapToGrid w:val="0"/>
          <w:color w:val="000000"/>
          <w:kern w:val="0"/>
          <w:sz w:val="30"/>
          <w:szCs w:val="30"/>
        </w:rPr>
        <w:t>编制单位：  中国电力工程顾问集团中南电力设计院有限公司</w:t>
      </w:r>
    </w:p>
    <w:p w14:paraId="5C133CF4">
      <w:pPr>
        <w:pStyle w:val="108"/>
        <w:jc w:val="left"/>
        <w:rPr>
          <w:rFonts w:eastAsia="宋体"/>
          <w:bCs/>
          <w:snapToGrid w:val="0"/>
          <w:color w:val="000000"/>
          <w:kern w:val="0"/>
          <w:sz w:val="30"/>
          <w:szCs w:val="30"/>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r>
        <w:rPr>
          <w:rFonts w:eastAsia="宋体"/>
          <w:bCs/>
          <w:snapToGrid w:val="0"/>
          <w:color w:val="000000"/>
          <w:kern w:val="0"/>
          <w:sz w:val="30"/>
          <w:szCs w:val="30"/>
        </w:rPr>
        <w:t>编制日期：             二〇二</w:t>
      </w:r>
      <w:r>
        <w:rPr>
          <w:rFonts w:hint="eastAsia" w:eastAsia="宋体"/>
          <w:bCs/>
          <w:snapToGrid w:val="0"/>
          <w:color w:val="000000"/>
          <w:kern w:val="0"/>
          <w:sz w:val="30"/>
          <w:szCs w:val="30"/>
        </w:rPr>
        <w:t>五年</w:t>
      </w:r>
      <w:r>
        <w:rPr>
          <w:rFonts w:hint="eastAsia" w:eastAsia="宋体"/>
          <w:bCs/>
          <w:snapToGrid w:val="0"/>
          <w:color w:val="000000"/>
          <w:kern w:val="0"/>
          <w:sz w:val="30"/>
          <w:szCs w:val="30"/>
          <w:lang w:val="en-US" w:eastAsia="zh-CN"/>
        </w:rPr>
        <w:t>八</w:t>
      </w:r>
      <w:r>
        <w:rPr>
          <w:rFonts w:hint="eastAsia" w:eastAsia="宋体"/>
          <w:bCs/>
          <w:snapToGrid w:val="0"/>
          <w:color w:val="000000"/>
          <w:kern w:val="0"/>
          <w:sz w:val="30"/>
          <w:szCs w:val="30"/>
        </w:rPr>
        <w:t>月</w:t>
      </w:r>
    </w:p>
    <w:p w14:paraId="2DC3953B">
      <w:pPr>
        <w:adjustRightInd w:val="0"/>
        <w:snapToGrid w:val="0"/>
        <w:spacing w:line="288" w:lineRule="auto"/>
        <w:rPr>
          <w:rFonts w:hint="eastAsia" w:eastAsia="仿宋_GB2312"/>
          <w:color w:val="000000"/>
          <w:sz w:val="36"/>
          <w:szCs w:val="36"/>
          <w:lang w:eastAsia="zh-CN"/>
        </w:rPr>
        <w:sectPr>
          <w:pgSz w:w="11906" w:h="16838"/>
          <w:pgMar w:top="1701" w:right="1531" w:bottom="1701" w:left="1531" w:header="851" w:footer="1077" w:gutter="0"/>
          <w:pgNumType w:start="21"/>
          <w:cols w:space="720" w:num="1"/>
          <w:docGrid w:linePitch="312" w:charSpace="0"/>
        </w:sectPr>
      </w:pPr>
    </w:p>
    <w:p w14:paraId="51027473">
      <w:pPr>
        <w:rPr>
          <w:color w:val="000000"/>
          <w:highlight w:val="yellow"/>
        </w:rPr>
      </w:pPr>
    </w:p>
    <w:p w14:paraId="6FE4713F">
      <w:pPr>
        <w:pStyle w:val="31"/>
        <w:jc w:val="center"/>
        <w:outlineLvl w:val="0"/>
        <w:rPr>
          <w:rFonts w:ascii="Times New Roman" w:hAnsi="Times New Roman"/>
          <w:b/>
          <w:bCs/>
          <w:snapToGrid w:val="0"/>
          <w:color w:val="000000"/>
          <w:sz w:val="32"/>
          <w:szCs w:val="32"/>
        </w:rPr>
      </w:pPr>
      <w:bookmarkStart w:id="1" w:name="_Toc111564269"/>
      <w:bookmarkStart w:id="2" w:name="_Toc4273"/>
      <w:r>
        <w:rPr>
          <w:rFonts w:ascii="Times New Roman" w:hAnsi="Times New Roman"/>
          <w:b/>
          <w:bCs/>
          <w:snapToGrid w:val="0"/>
          <w:color w:val="000000"/>
          <w:sz w:val="32"/>
          <w:szCs w:val="32"/>
        </w:rPr>
        <w:t>一、建设项目基本情况</w:t>
      </w:r>
      <w:bookmarkEnd w:id="1"/>
      <w:bookmarkEnd w:id="2"/>
    </w:p>
    <w:tbl>
      <w:tblPr>
        <w:tblStyle w:val="34"/>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06"/>
        <w:gridCol w:w="2112"/>
        <w:gridCol w:w="1860"/>
        <w:gridCol w:w="3761"/>
      </w:tblGrid>
      <w:tr w14:paraId="35311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306" w:type="dxa"/>
            <w:tcMar>
              <w:top w:w="16" w:type="dxa"/>
              <w:left w:w="16" w:type="dxa"/>
              <w:right w:w="16" w:type="dxa"/>
            </w:tcMar>
            <w:vAlign w:val="center"/>
          </w:tcPr>
          <w:p w14:paraId="06E2E7B1">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建设项目</w:t>
            </w:r>
          </w:p>
          <w:p w14:paraId="448D092D">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名称</w:t>
            </w:r>
          </w:p>
        </w:tc>
        <w:tc>
          <w:tcPr>
            <w:tcW w:w="7733" w:type="dxa"/>
            <w:gridSpan w:val="3"/>
            <w:vAlign w:val="center"/>
          </w:tcPr>
          <w:p w14:paraId="378B2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sz w:val="24"/>
                <w:lang w:eastAsia="zh-CN"/>
              </w:rPr>
            </w:pPr>
            <w:r>
              <w:rPr>
                <w:rFonts w:hint="eastAsia"/>
                <w:color w:val="000000"/>
                <w:sz w:val="24"/>
                <w:lang w:eastAsia="zh-CN"/>
              </w:rPr>
              <w:t>吐鲁番市新阳新能源产业有限公司110千伏业扩配套工程</w:t>
            </w:r>
          </w:p>
        </w:tc>
      </w:tr>
      <w:tr w14:paraId="19430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306" w:type="dxa"/>
            <w:tcMar>
              <w:top w:w="16" w:type="dxa"/>
              <w:left w:w="16" w:type="dxa"/>
              <w:right w:w="16" w:type="dxa"/>
            </w:tcMar>
            <w:vAlign w:val="center"/>
          </w:tcPr>
          <w:p w14:paraId="0A99DD31">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建设项目</w:t>
            </w:r>
          </w:p>
          <w:p w14:paraId="7FA3B2CE">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行业类别</w:t>
            </w:r>
          </w:p>
        </w:tc>
        <w:tc>
          <w:tcPr>
            <w:tcW w:w="2112" w:type="dxa"/>
            <w:vAlign w:val="center"/>
          </w:tcPr>
          <w:p w14:paraId="6C4C8F72">
            <w:pPr>
              <w:adjustRightInd w:val="0"/>
              <w:snapToGrid w:val="0"/>
              <w:jc w:val="left"/>
              <w:rPr>
                <w:color w:val="000000"/>
                <w:sz w:val="24"/>
              </w:rPr>
            </w:pPr>
            <w:r>
              <w:rPr>
                <w:color w:val="000000"/>
                <w:sz w:val="24"/>
              </w:rPr>
              <w:t>55-161输变电工程</w:t>
            </w:r>
          </w:p>
        </w:tc>
        <w:tc>
          <w:tcPr>
            <w:tcW w:w="1860" w:type="dxa"/>
            <w:vAlign w:val="center"/>
          </w:tcPr>
          <w:p w14:paraId="6F59FDA8">
            <w:pPr>
              <w:adjustRightInd w:val="0"/>
              <w:snapToGrid w:val="0"/>
              <w:jc w:val="left"/>
              <w:rPr>
                <w:b/>
                <w:bCs w:val="0"/>
                <w:color w:val="000000"/>
                <w:sz w:val="24"/>
              </w:rPr>
            </w:pPr>
            <w:r>
              <w:rPr>
                <w:b/>
                <w:bCs w:val="0"/>
                <w:color w:val="000000"/>
                <w:sz w:val="24"/>
              </w:rPr>
              <w:t>用地面积（</w:t>
            </w:r>
            <w:r>
              <w:rPr>
                <w:rFonts w:hint="eastAsia"/>
                <w:b/>
                <w:bCs w:val="0"/>
                <w:color w:val="000000"/>
                <w:sz w:val="24"/>
              </w:rPr>
              <w:t>h</w:t>
            </w:r>
            <w:r>
              <w:rPr>
                <w:b/>
                <w:bCs w:val="0"/>
                <w:color w:val="000000"/>
                <w:sz w:val="24"/>
              </w:rPr>
              <w:t>m</w:t>
            </w:r>
            <w:r>
              <w:rPr>
                <w:b/>
                <w:bCs w:val="0"/>
                <w:color w:val="000000"/>
                <w:sz w:val="24"/>
                <w:vertAlign w:val="superscript"/>
              </w:rPr>
              <w:t>2</w:t>
            </w:r>
            <w:r>
              <w:rPr>
                <w:b/>
                <w:bCs w:val="0"/>
                <w:color w:val="000000"/>
                <w:sz w:val="24"/>
              </w:rPr>
              <w:t>）/长度（km）</w:t>
            </w:r>
          </w:p>
        </w:tc>
        <w:tc>
          <w:tcPr>
            <w:tcW w:w="3761" w:type="dxa"/>
            <w:vAlign w:val="center"/>
          </w:tcPr>
          <w:p w14:paraId="6D28806A">
            <w:pPr>
              <w:adjustRightInd w:val="0"/>
              <w:snapToGrid w:val="0"/>
              <w:jc w:val="left"/>
              <w:rPr>
                <w:color w:val="000000"/>
                <w:sz w:val="24"/>
              </w:rPr>
            </w:pPr>
            <w:r>
              <w:rPr>
                <w:rFonts w:hint="eastAsia"/>
                <w:color w:val="000000"/>
                <w:sz w:val="24"/>
                <w:lang w:val="en-US" w:eastAsia="zh-CN"/>
              </w:rPr>
              <w:t>1.96</w:t>
            </w:r>
            <w:r>
              <w:rPr>
                <w:rFonts w:hint="eastAsia"/>
                <w:color w:val="000000"/>
                <w:sz w:val="24"/>
              </w:rPr>
              <w:t>h</w:t>
            </w:r>
            <w:r>
              <w:rPr>
                <w:color w:val="000000"/>
                <w:sz w:val="24"/>
              </w:rPr>
              <w:t>m</w:t>
            </w:r>
            <w:r>
              <w:rPr>
                <w:rFonts w:hint="eastAsia"/>
                <w:color w:val="000000"/>
                <w:sz w:val="24"/>
              </w:rPr>
              <w:t>²（其中永久占地0.1</w:t>
            </w:r>
            <w:r>
              <w:rPr>
                <w:rFonts w:hint="eastAsia"/>
                <w:color w:val="000000"/>
                <w:sz w:val="24"/>
                <w:lang w:val="en-US" w:eastAsia="zh-CN"/>
              </w:rPr>
              <w:t>1</w:t>
            </w:r>
            <w:r>
              <w:rPr>
                <w:rFonts w:hint="eastAsia"/>
                <w:color w:val="000000"/>
                <w:sz w:val="24"/>
              </w:rPr>
              <w:t>h</w:t>
            </w:r>
            <w:r>
              <w:rPr>
                <w:color w:val="000000"/>
                <w:sz w:val="24"/>
              </w:rPr>
              <w:t>m</w:t>
            </w:r>
            <w:r>
              <w:rPr>
                <w:rFonts w:hint="eastAsia"/>
                <w:color w:val="000000"/>
                <w:sz w:val="24"/>
              </w:rPr>
              <w:t>²，临时占地</w:t>
            </w:r>
            <w:r>
              <w:rPr>
                <w:rFonts w:hint="eastAsia"/>
                <w:color w:val="000000"/>
                <w:sz w:val="24"/>
                <w:lang w:val="en-US" w:eastAsia="zh-CN"/>
              </w:rPr>
              <w:t>1.85</w:t>
            </w:r>
            <w:r>
              <w:rPr>
                <w:rFonts w:hint="eastAsia"/>
                <w:color w:val="000000"/>
                <w:sz w:val="24"/>
              </w:rPr>
              <w:t>h</w:t>
            </w:r>
            <w:r>
              <w:rPr>
                <w:color w:val="000000"/>
                <w:sz w:val="24"/>
              </w:rPr>
              <w:t>m</w:t>
            </w:r>
            <w:r>
              <w:rPr>
                <w:rFonts w:hint="eastAsia"/>
                <w:color w:val="000000"/>
                <w:sz w:val="24"/>
              </w:rPr>
              <w:t>²）/</w:t>
            </w:r>
            <w:r>
              <w:rPr>
                <w:rFonts w:hint="eastAsia"/>
                <w:color w:val="000000"/>
                <w:sz w:val="24"/>
                <w:lang w:val="en-US" w:eastAsia="zh-CN"/>
              </w:rPr>
              <w:t>5.2</w:t>
            </w:r>
            <w:r>
              <w:rPr>
                <w:rFonts w:hint="eastAsia"/>
                <w:color w:val="000000"/>
                <w:sz w:val="24"/>
              </w:rPr>
              <w:t>km</w:t>
            </w:r>
          </w:p>
        </w:tc>
      </w:tr>
      <w:tr w14:paraId="318E0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306" w:type="dxa"/>
            <w:tcMar>
              <w:top w:w="16" w:type="dxa"/>
              <w:left w:w="16" w:type="dxa"/>
              <w:right w:w="16" w:type="dxa"/>
            </w:tcMar>
            <w:vAlign w:val="center"/>
          </w:tcPr>
          <w:p w14:paraId="46BCBF77">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建设性质</w:t>
            </w:r>
          </w:p>
        </w:tc>
        <w:tc>
          <w:tcPr>
            <w:tcW w:w="2112" w:type="dxa"/>
            <w:vAlign w:val="center"/>
          </w:tcPr>
          <w:p w14:paraId="57E1A6D7">
            <w:pPr>
              <w:adjustRightInd w:val="0"/>
              <w:snapToGrid w:val="0"/>
              <w:spacing w:line="360" w:lineRule="auto"/>
              <w:jc w:val="left"/>
              <w:rPr>
                <w:color w:val="000000"/>
                <w:sz w:val="24"/>
              </w:rPr>
            </w:pPr>
            <w:r>
              <w:rPr>
                <w:color w:val="000000"/>
                <w:sz w:val="24"/>
              </w:rPr>
              <w:sym w:font="Wingdings 2" w:char="0052"/>
            </w:r>
            <w:r>
              <w:rPr>
                <w:color w:val="000000"/>
                <w:sz w:val="24"/>
              </w:rPr>
              <w:t>新建（迁建）</w:t>
            </w:r>
          </w:p>
          <w:p w14:paraId="777F16E1">
            <w:pPr>
              <w:adjustRightInd w:val="0"/>
              <w:snapToGrid w:val="0"/>
              <w:spacing w:line="360" w:lineRule="auto"/>
              <w:jc w:val="left"/>
              <w:rPr>
                <w:color w:val="000000"/>
                <w:sz w:val="24"/>
              </w:rPr>
            </w:pPr>
            <w:r>
              <w:rPr>
                <w:color w:val="000000"/>
                <w:sz w:val="24"/>
              </w:rPr>
              <w:sym w:font="Wingdings 2" w:char="00A3"/>
            </w:r>
            <w:r>
              <w:rPr>
                <w:color w:val="000000"/>
                <w:sz w:val="24"/>
              </w:rPr>
              <w:t>改建</w:t>
            </w:r>
          </w:p>
          <w:p w14:paraId="36608E42">
            <w:pPr>
              <w:adjustRightInd w:val="0"/>
              <w:snapToGrid w:val="0"/>
              <w:spacing w:line="360" w:lineRule="auto"/>
              <w:jc w:val="left"/>
              <w:rPr>
                <w:color w:val="000000"/>
                <w:sz w:val="24"/>
              </w:rPr>
            </w:pPr>
            <w:r>
              <w:rPr>
                <w:color w:val="000000"/>
                <w:sz w:val="24"/>
              </w:rPr>
              <w:sym w:font="Wingdings 2" w:char="00A3"/>
            </w:r>
            <w:r>
              <w:rPr>
                <w:color w:val="000000"/>
                <w:sz w:val="24"/>
              </w:rPr>
              <w:t>扩建</w:t>
            </w:r>
          </w:p>
          <w:p w14:paraId="00520201">
            <w:pPr>
              <w:adjustRightInd w:val="0"/>
              <w:snapToGrid w:val="0"/>
              <w:spacing w:line="360" w:lineRule="auto"/>
              <w:jc w:val="left"/>
              <w:rPr>
                <w:color w:val="000000"/>
                <w:sz w:val="24"/>
              </w:rPr>
            </w:pPr>
            <w:r>
              <w:rPr>
                <w:color w:val="000000"/>
                <w:sz w:val="24"/>
              </w:rPr>
              <w:sym w:font="Wingdings 2" w:char="00A3"/>
            </w:r>
            <w:r>
              <w:rPr>
                <w:color w:val="000000"/>
                <w:sz w:val="24"/>
              </w:rPr>
              <w:t>技术改造</w:t>
            </w:r>
          </w:p>
        </w:tc>
        <w:tc>
          <w:tcPr>
            <w:tcW w:w="1860" w:type="dxa"/>
            <w:vAlign w:val="center"/>
          </w:tcPr>
          <w:p w14:paraId="2D4DEB1B">
            <w:pPr>
              <w:adjustRightInd w:val="0"/>
              <w:snapToGrid w:val="0"/>
              <w:spacing w:line="360" w:lineRule="auto"/>
              <w:jc w:val="center"/>
              <w:rPr>
                <w:b/>
                <w:bCs w:val="0"/>
                <w:color w:val="000000"/>
                <w:sz w:val="24"/>
              </w:rPr>
            </w:pPr>
            <w:r>
              <w:rPr>
                <w:b/>
                <w:bCs w:val="0"/>
                <w:color w:val="000000"/>
                <w:sz w:val="24"/>
              </w:rPr>
              <w:t>建设项目</w:t>
            </w:r>
          </w:p>
          <w:p w14:paraId="5CB3C038">
            <w:pPr>
              <w:adjustRightInd w:val="0"/>
              <w:snapToGrid w:val="0"/>
              <w:spacing w:line="360" w:lineRule="auto"/>
              <w:jc w:val="center"/>
              <w:rPr>
                <w:b/>
                <w:bCs w:val="0"/>
                <w:color w:val="000000"/>
                <w:sz w:val="24"/>
              </w:rPr>
            </w:pPr>
            <w:r>
              <w:rPr>
                <w:b/>
                <w:bCs w:val="0"/>
                <w:color w:val="000000"/>
                <w:sz w:val="24"/>
              </w:rPr>
              <w:t>申报情形</w:t>
            </w:r>
          </w:p>
        </w:tc>
        <w:tc>
          <w:tcPr>
            <w:tcW w:w="3761" w:type="dxa"/>
            <w:vAlign w:val="center"/>
          </w:tcPr>
          <w:p w14:paraId="7BE4DA8A">
            <w:pPr>
              <w:adjustRightInd w:val="0"/>
              <w:snapToGrid w:val="0"/>
              <w:spacing w:line="360" w:lineRule="auto"/>
              <w:rPr>
                <w:color w:val="000000"/>
                <w:sz w:val="24"/>
              </w:rPr>
            </w:pPr>
            <w:r>
              <w:rPr>
                <w:color w:val="000000"/>
                <w:sz w:val="24"/>
              </w:rPr>
              <w:sym w:font="Wingdings 2" w:char="0052"/>
            </w:r>
            <w:r>
              <w:rPr>
                <w:color w:val="000000"/>
                <w:sz w:val="24"/>
              </w:rPr>
              <w:t>首次申报项目</w:t>
            </w:r>
          </w:p>
          <w:p w14:paraId="7866A606">
            <w:pPr>
              <w:adjustRightInd w:val="0"/>
              <w:snapToGrid w:val="0"/>
              <w:spacing w:line="360" w:lineRule="auto"/>
              <w:rPr>
                <w:color w:val="000000"/>
                <w:sz w:val="24"/>
              </w:rPr>
            </w:pPr>
            <w:r>
              <w:rPr>
                <w:color w:val="000000"/>
                <w:sz w:val="24"/>
              </w:rPr>
              <w:sym w:font="Wingdings 2" w:char="00A3"/>
            </w:r>
            <w:r>
              <w:rPr>
                <w:color w:val="000000"/>
                <w:sz w:val="24"/>
              </w:rPr>
              <w:t>不予批准后再次申报项目</w:t>
            </w:r>
          </w:p>
          <w:p w14:paraId="4FB7B7A4">
            <w:pPr>
              <w:adjustRightInd w:val="0"/>
              <w:snapToGrid w:val="0"/>
              <w:spacing w:line="360" w:lineRule="auto"/>
              <w:rPr>
                <w:color w:val="000000"/>
                <w:sz w:val="24"/>
              </w:rPr>
            </w:pPr>
            <w:r>
              <w:rPr>
                <w:color w:val="000000"/>
                <w:sz w:val="24"/>
              </w:rPr>
              <w:sym w:font="Wingdings 2" w:char="00A3"/>
            </w:r>
            <w:r>
              <w:rPr>
                <w:color w:val="000000"/>
                <w:sz w:val="24"/>
              </w:rPr>
              <w:t>超五年重新审核项目</w:t>
            </w:r>
          </w:p>
          <w:p w14:paraId="1E69B174">
            <w:pPr>
              <w:adjustRightInd w:val="0"/>
              <w:snapToGrid w:val="0"/>
              <w:spacing w:line="360" w:lineRule="auto"/>
              <w:rPr>
                <w:color w:val="000000"/>
                <w:sz w:val="24"/>
              </w:rPr>
            </w:pPr>
            <w:r>
              <w:rPr>
                <w:color w:val="000000"/>
                <w:sz w:val="24"/>
              </w:rPr>
              <w:sym w:font="Wingdings 2" w:char="00A3"/>
            </w:r>
            <w:r>
              <w:rPr>
                <w:color w:val="000000"/>
                <w:sz w:val="24"/>
              </w:rPr>
              <w:t>重大变动重新报批项目</w:t>
            </w:r>
          </w:p>
        </w:tc>
      </w:tr>
      <w:tr w14:paraId="286F9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306" w:type="dxa"/>
            <w:tcMar>
              <w:top w:w="16" w:type="dxa"/>
              <w:left w:w="16" w:type="dxa"/>
              <w:right w:w="16" w:type="dxa"/>
            </w:tcMar>
            <w:vAlign w:val="center"/>
          </w:tcPr>
          <w:p w14:paraId="37DBCA4B">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是否开工</w:t>
            </w:r>
          </w:p>
          <w:p w14:paraId="72815C4D">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建设</w:t>
            </w:r>
          </w:p>
        </w:tc>
        <w:tc>
          <w:tcPr>
            <w:tcW w:w="7733" w:type="dxa"/>
            <w:gridSpan w:val="3"/>
            <w:vAlign w:val="center"/>
          </w:tcPr>
          <w:p w14:paraId="62108FE6">
            <w:pPr>
              <w:adjustRightInd w:val="0"/>
              <w:snapToGrid w:val="0"/>
              <w:spacing w:line="360" w:lineRule="auto"/>
              <w:ind w:firstLine="105"/>
              <w:jc w:val="left"/>
              <w:rPr>
                <w:color w:val="000000"/>
                <w:sz w:val="24"/>
              </w:rPr>
            </w:pPr>
            <w:r>
              <w:rPr>
                <w:color w:val="000000"/>
                <w:sz w:val="24"/>
              </w:rPr>
              <w:sym w:font="Wingdings 2" w:char="0052"/>
            </w:r>
            <w:r>
              <w:rPr>
                <w:color w:val="000000"/>
                <w:sz w:val="24"/>
              </w:rPr>
              <w:t>否</w:t>
            </w:r>
          </w:p>
          <w:p w14:paraId="24004604">
            <w:pPr>
              <w:adjustRightInd w:val="0"/>
              <w:snapToGrid w:val="0"/>
              <w:spacing w:line="360" w:lineRule="auto"/>
              <w:ind w:firstLine="92"/>
              <w:jc w:val="left"/>
              <w:rPr>
                <w:color w:val="000000"/>
                <w:sz w:val="24"/>
              </w:rPr>
            </w:pPr>
            <w:r>
              <w:rPr>
                <w:color w:val="000000"/>
                <w:sz w:val="24"/>
              </w:rPr>
              <w:sym w:font="Wingdings 2" w:char="00A3"/>
            </w:r>
            <w:r>
              <w:rPr>
                <w:color w:val="000000"/>
                <w:sz w:val="24"/>
              </w:rPr>
              <w:t>是：</w:t>
            </w:r>
            <w:r>
              <w:rPr>
                <w:color w:val="000000"/>
                <w:sz w:val="24"/>
                <w:u w:val="single"/>
              </w:rPr>
              <w:t xml:space="preserve">                             </w:t>
            </w:r>
          </w:p>
        </w:tc>
      </w:tr>
      <w:tr w14:paraId="51E63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306" w:type="dxa"/>
            <w:tcMar>
              <w:top w:w="16" w:type="dxa"/>
              <w:left w:w="16" w:type="dxa"/>
              <w:right w:w="16" w:type="dxa"/>
            </w:tcMar>
            <w:vAlign w:val="center"/>
          </w:tcPr>
          <w:p w14:paraId="2C9E6406">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专项评价</w:t>
            </w:r>
          </w:p>
          <w:p w14:paraId="1343BC26">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设置情况</w:t>
            </w:r>
          </w:p>
        </w:tc>
        <w:tc>
          <w:tcPr>
            <w:tcW w:w="7733" w:type="dxa"/>
            <w:gridSpan w:val="3"/>
            <w:tcMar>
              <w:top w:w="16" w:type="dxa"/>
              <w:left w:w="16" w:type="dxa"/>
              <w:right w:w="16" w:type="dxa"/>
            </w:tcMar>
            <w:vAlign w:val="center"/>
          </w:tcPr>
          <w:p w14:paraId="536EF810">
            <w:pPr>
              <w:autoSpaceDE w:val="0"/>
              <w:autoSpaceDN w:val="0"/>
              <w:adjustRightInd w:val="0"/>
              <w:snapToGrid w:val="0"/>
              <w:spacing w:before="240" w:line="360" w:lineRule="auto"/>
              <w:ind w:firstLine="480" w:firstLineChars="200"/>
              <w:jc w:val="left"/>
              <w:rPr>
                <w:color w:val="000000"/>
                <w:kern w:val="0"/>
                <w:sz w:val="24"/>
              </w:rPr>
            </w:pPr>
            <w:r>
              <w:rPr>
                <w:kern w:val="0"/>
                <w:sz w:val="24"/>
              </w:rPr>
              <w:t>本工程不涉及《建设项目环境影响评价分类管理名录（2021年版）》（生态环境部令第16号）第三条（一）中的环境敏感区，根据《环境影响评价技术导则 输变电》（HJ24-2020）中附录B</w:t>
            </w:r>
            <w:r>
              <w:rPr>
                <w:rFonts w:hint="eastAsia"/>
                <w:kern w:val="0"/>
                <w:sz w:val="24"/>
              </w:rPr>
              <w:t>“</w:t>
            </w:r>
            <w:r>
              <w:rPr>
                <w:kern w:val="0"/>
                <w:sz w:val="24"/>
              </w:rPr>
              <w:t>专题评价</w:t>
            </w:r>
            <w:r>
              <w:rPr>
                <w:rFonts w:hint="eastAsia"/>
                <w:kern w:val="0"/>
                <w:sz w:val="24"/>
              </w:rPr>
              <w:t>”</w:t>
            </w:r>
            <w:r>
              <w:rPr>
                <w:kern w:val="0"/>
                <w:sz w:val="24"/>
              </w:rPr>
              <w:t>及《建设项目环境影响报告表编制技术指南（生态影响类）（试行）》中</w:t>
            </w:r>
            <w:r>
              <w:rPr>
                <w:rFonts w:hint="eastAsia"/>
                <w:kern w:val="0"/>
                <w:sz w:val="24"/>
              </w:rPr>
              <w:t>“</w:t>
            </w:r>
            <w:r>
              <w:rPr>
                <w:kern w:val="0"/>
                <w:sz w:val="24"/>
              </w:rPr>
              <w:t>专项评价设置情况</w:t>
            </w:r>
            <w:r>
              <w:rPr>
                <w:rFonts w:hint="eastAsia"/>
                <w:kern w:val="0"/>
                <w:sz w:val="24"/>
              </w:rPr>
              <w:t>”</w:t>
            </w:r>
            <w:r>
              <w:rPr>
                <w:kern w:val="0"/>
                <w:sz w:val="24"/>
              </w:rPr>
              <w:t>的要求：应设电磁环境影响专题评价。</w:t>
            </w:r>
          </w:p>
        </w:tc>
      </w:tr>
      <w:tr w14:paraId="45449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06" w:type="dxa"/>
            <w:tcMar>
              <w:top w:w="16" w:type="dxa"/>
              <w:left w:w="16" w:type="dxa"/>
              <w:right w:w="16" w:type="dxa"/>
            </w:tcMar>
            <w:vAlign w:val="center"/>
          </w:tcPr>
          <w:p w14:paraId="43598271">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规划情况</w:t>
            </w:r>
          </w:p>
        </w:tc>
        <w:tc>
          <w:tcPr>
            <w:tcW w:w="7733" w:type="dxa"/>
            <w:gridSpan w:val="3"/>
            <w:tcMar>
              <w:top w:w="16" w:type="dxa"/>
              <w:left w:w="16" w:type="dxa"/>
              <w:right w:w="16" w:type="dxa"/>
            </w:tcMar>
            <w:vAlign w:val="center"/>
          </w:tcPr>
          <w:p w14:paraId="30E54D1D">
            <w:pPr>
              <w:pStyle w:val="42"/>
              <w:jc w:val="center"/>
              <w:rPr>
                <w:rFonts w:hint="eastAsia" w:eastAsia="宋体"/>
                <w:lang w:val="en-US" w:eastAsia="zh-CN"/>
              </w:rPr>
            </w:pPr>
            <w:r>
              <w:rPr>
                <w:rFonts w:hint="eastAsia"/>
                <w:sz w:val="24"/>
                <w:szCs w:val="24"/>
                <w:u w:val="none"/>
                <w:lang w:val="en-US" w:eastAsia="zh-CN"/>
              </w:rPr>
              <w:t>无</w:t>
            </w:r>
          </w:p>
        </w:tc>
      </w:tr>
      <w:tr w14:paraId="38819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306" w:type="dxa"/>
            <w:tcMar>
              <w:top w:w="16" w:type="dxa"/>
              <w:left w:w="16" w:type="dxa"/>
              <w:right w:w="16" w:type="dxa"/>
            </w:tcMar>
            <w:vAlign w:val="center"/>
          </w:tcPr>
          <w:p w14:paraId="22EAE7F0">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规划环境影响评价情况</w:t>
            </w:r>
          </w:p>
        </w:tc>
        <w:tc>
          <w:tcPr>
            <w:tcW w:w="7733" w:type="dxa"/>
            <w:gridSpan w:val="3"/>
            <w:tcMar>
              <w:top w:w="16" w:type="dxa"/>
              <w:left w:w="16" w:type="dxa"/>
              <w:right w:w="16" w:type="dxa"/>
            </w:tcMar>
            <w:vAlign w:val="center"/>
          </w:tcPr>
          <w:p w14:paraId="78475AFC">
            <w:pPr>
              <w:adjustRightInd w:val="0"/>
              <w:snapToGrid w:val="0"/>
              <w:spacing w:line="240" w:lineRule="auto"/>
              <w:jc w:val="center"/>
              <w:rPr>
                <w:rFonts w:hint="eastAsia" w:eastAsia="宋体"/>
                <w:color w:val="000000"/>
                <w:kern w:val="0"/>
                <w:sz w:val="24"/>
                <w:lang w:eastAsia="zh-CN"/>
              </w:rPr>
            </w:pPr>
            <w:r>
              <w:rPr>
                <w:rFonts w:hint="eastAsia"/>
                <w:kern w:val="0"/>
                <w:sz w:val="24"/>
                <w:lang w:val="en-US" w:eastAsia="zh-CN"/>
              </w:rPr>
              <w:t>无</w:t>
            </w:r>
          </w:p>
        </w:tc>
      </w:tr>
      <w:tr w14:paraId="679A1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1" w:hRule="atLeast"/>
          <w:jc w:val="center"/>
        </w:trPr>
        <w:tc>
          <w:tcPr>
            <w:tcW w:w="1306" w:type="dxa"/>
            <w:tcMar>
              <w:top w:w="16" w:type="dxa"/>
              <w:left w:w="16" w:type="dxa"/>
              <w:right w:w="16" w:type="dxa"/>
            </w:tcMar>
            <w:vAlign w:val="center"/>
          </w:tcPr>
          <w:p w14:paraId="71BA95AD">
            <w:pPr>
              <w:adjustRightInd w:val="0"/>
              <w:snapToGrid w:val="0"/>
              <w:jc w:val="center"/>
              <w:rPr>
                <w:rFonts w:ascii="宋体" w:hAnsi="宋体" w:cs="宋体"/>
                <w:b/>
                <w:bCs w:val="0"/>
                <w:color w:val="000000"/>
                <w:kern w:val="21"/>
                <w:sz w:val="24"/>
              </w:rPr>
            </w:pPr>
            <w:r>
              <w:rPr>
                <w:rFonts w:ascii="宋体" w:hAnsi="宋体" w:cs="宋体"/>
                <w:b/>
                <w:bCs w:val="0"/>
                <w:color w:val="000000"/>
                <w:kern w:val="21"/>
                <w:sz w:val="24"/>
              </w:rPr>
              <w:t>规划及规划环境影响评价符合性分析</w:t>
            </w:r>
          </w:p>
        </w:tc>
        <w:tc>
          <w:tcPr>
            <w:tcW w:w="7733" w:type="dxa"/>
            <w:gridSpan w:val="3"/>
            <w:tcMar>
              <w:top w:w="16" w:type="dxa"/>
              <w:left w:w="16" w:type="dxa"/>
              <w:right w:w="16" w:type="dxa"/>
            </w:tcMar>
            <w:vAlign w:val="center"/>
          </w:tcPr>
          <w:p w14:paraId="2386FF3C">
            <w:pPr>
              <w:pStyle w:val="105"/>
              <w:snapToGrid w:val="0"/>
              <w:spacing w:line="240" w:lineRule="auto"/>
              <w:ind w:firstLine="0" w:firstLineChars="0"/>
              <w:jc w:val="center"/>
              <w:rPr>
                <w:rFonts w:hint="eastAsia" w:eastAsia="宋体"/>
                <w:sz w:val="24"/>
                <w:lang w:val="en-US" w:eastAsia="zh-CN"/>
              </w:rPr>
            </w:pPr>
            <w:r>
              <w:rPr>
                <w:rFonts w:hint="eastAsia"/>
                <w:sz w:val="24"/>
                <w:lang w:val="en-US" w:eastAsia="zh-CN"/>
              </w:rPr>
              <w:t>无</w:t>
            </w:r>
          </w:p>
        </w:tc>
      </w:tr>
      <w:tr w14:paraId="0EFB0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306" w:type="dxa"/>
            <w:tcMar>
              <w:top w:w="16" w:type="dxa"/>
              <w:left w:w="16" w:type="dxa"/>
              <w:right w:w="16" w:type="dxa"/>
            </w:tcMar>
            <w:vAlign w:val="center"/>
          </w:tcPr>
          <w:p w14:paraId="7C90AA05">
            <w:pPr>
              <w:adjustRightInd w:val="0"/>
              <w:snapToGrid w:val="0"/>
              <w:jc w:val="center"/>
              <w:rPr>
                <w:rFonts w:ascii="宋体" w:hAnsi="宋体" w:cs="宋体"/>
                <w:b/>
                <w:bCs w:val="0"/>
                <w:color w:val="000000"/>
                <w:kern w:val="21"/>
                <w:sz w:val="24"/>
                <w:highlight w:val="yellow"/>
              </w:rPr>
            </w:pPr>
            <w:bookmarkStart w:id="3" w:name="_Hlk56690880"/>
            <w:r>
              <w:rPr>
                <w:rFonts w:ascii="宋体" w:hAnsi="宋体" w:cs="宋体"/>
                <w:b/>
                <w:bCs w:val="0"/>
                <w:color w:val="000000"/>
                <w:kern w:val="21"/>
                <w:sz w:val="24"/>
              </w:rPr>
              <w:t>其他符合性分析</w:t>
            </w:r>
            <w:bookmarkEnd w:id="3"/>
          </w:p>
        </w:tc>
        <w:tc>
          <w:tcPr>
            <w:tcW w:w="7733" w:type="dxa"/>
            <w:gridSpan w:val="3"/>
            <w:tcMar>
              <w:top w:w="16" w:type="dxa"/>
              <w:left w:w="16" w:type="dxa"/>
              <w:right w:w="16" w:type="dxa"/>
            </w:tcMar>
            <w:vAlign w:val="center"/>
          </w:tcPr>
          <w:p w14:paraId="02D51732">
            <w:pPr>
              <w:numPr>
                <w:ilvl w:val="0"/>
                <w:numId w:val="4"/>
              </w:numPr>
              <w:autoSpaceDE w:val="0"/>
              <w:autoSpaceDN w:val="0"/>
              <w:adjustRightInd w:val="0"/>
              <w:snapToGrid w:val="0"/>
              <w:spacing w:line="360" w:lineRule="auto"/>
              <w:rPr>
                <w:b/>
                <w:color w:val="000000"/>
                <w:sz w:val="24"/>
                <w:u w:val="none"/>
              </w:rPr>
            </w:pPr>
            <w:r>
              <w:rPr>
                <w:b/>
                <w:color w:val="000000"/>
                <w:sz w:val="24"/>
                <w:u w:val="none"/>
              </w:rPr>
              <w:t>与</w:t>
            </w:r>
            <w:r>
              <w:rPr>
                <w:rFonts w:hint="eastAsia"/>
                <w:b/>
                <w:color w:val="000000"/>
                <w:sz w:val="24"/>
                <w:u w:val="none"/>
              </w:rPr>
              <w:t>《新疆维吾尔自治区生态环境分区管控动态更新成果》（新环环评发〔2024〕157号）</w:t>
            </w:r>
            <w:r>
              <w:rPr>
                <w:b/>
                <w:color w:val="000000"/>
                <w:sz w:val="24"/>
                <w:u w:val="none"/>
              </w:rPr>
              <w:t>符合性分析</w:t>
            </w:r>
          </w:p>
          <w:p w14:paraId="50BEA786">
            <w:pPr>
              <w:pStyle w:val="105"/>
              <w:snapToGrid w:val="0"/>
              <w:spacing w:before="157" w:beforeLines="50" w:line="360" w:lineRule="auto"/>
              <w:ind w:firstLine="480"/>
              <w:rPr>
                <w:rFonts w:hint="eastAsia"/>
                <w:color w:val="000000"/>
                <w:sz w:val="24"/>
                <w:u w:val="none"/>
              </w:rPr>
            </w:pPr>
            <w:r>
              <w:rPr>
                <w:rFonts w:hint="eastAsia"/>
                <w:color w:val="000000"/>
                <w:sz w:val="24"/>
                <w:u w:val="none"/>
              </w:rPr>
              <w:t>本</w:t>
            </w:r>
            <w:r>
              <w:rPr>
                <w:rFonts w:hint="eastAsia"/>
                <w:color w:val="000000"/>
                <w:sz w:val="24"/>
                <w:u w:val="none"/>
                <w:lang w:val="en-US" w:eastAsia="zh-CN"/>
              </w:rPr>
              <w:t>工程</w:t>
            </w:r>
            <w:r>
              <w:rPr>
                <w:rFonts w:hint="eastAsia"/>
                <w:color w:val="000000"/>
                <w:sz w:val="24"/>
                <w:u w:val="none"/>
              </w:rPr>
              <w:t>位于</w:t>
            </w:r>
            <w:r>
              <w:rPr>
                <w:rFonts w:hint="eastAsia"/>
                <w:color w:val="000000"/>
                <w:sz w:val="24"/>
                <w:lang w:val="en-US" w:eastAsia="zh-CN"/>
              </w:rPr>
              <w:t>吐鲁番市高昌区</w:t>
            </w:r>
            <w:r>
              <w:rPr>
                <w:rFonts w:hint="eastAsia"/>
                <w:color w:val="000000"/>
                <w:sz w:val="24"/>
                <w:u w:val="none"/>
              </w:rPr>
              <w:t>，</w:t>
            </w:r>
            <w:r>
              <w:rPr>
                <w:rFonts w:hint="eastAsia"/>
                <w:color w:val="auto"/>
                <w:sz w:val="24"/>
                <w:lang w:val="en-US" w:eastAsia="zh-CN"/>
              </w:rPr>
              <w:t>工程的建设</w:t>
            </w:r>
            <w:r>
              <w:rPr>
                <w:rFonts w:hint="eastAsia"/>
                <w:color w:val="auto"/>
                <w:sz w:val="24"/>
              </w:rPr>
              <w:t>符合《新疆维吾尔自治区生态环境分区管控动态更新成果》</w:t>
            </w:r>
            <w:r>
              <w:rPr>
                <w:rFonts w:hint="eastAsia"/>
                <w:color w:val="000000"/>
                <w:sz w:val="24"/>
                <w:u w:val="none"/>
              </w:rPr>
              <w:t>新环环评发</w:t>
            </w:r>
            <w:r>
              <w:rPr>
                <w:rFonts w:hint="eastAsia"/>
                <w:color w:val="auto"/>
                <w:sz w:val="24"/>
              </w:rPr>
              <w:t>〔2024〕157号）。</w:t>
            </w:r>
          </w:p>
          <w:p w14:paraId="7F3B2910">
            <w:pPr>
              <w:numPr>
                <w:ilvl w:val="0"/>
                <w:numId w:val="4"/>
              </w:numPr>
              <w:autoSpaceDE w:val="0"/>
              <w:autoSpaceDN w:val="0"/>
              <w:adjustRightInd w:val="0"/>
              <w:snapToGrid w:val="0"/>
              <w:spacing w:line="360" w:lineRule="auto"/>
              <w:rPr>
                <w:rFonts w:hint="eastAsia" w:ascii="Times New Roman" w:hAnsi="Times New Roman" w:eastAsia="宋体" w:cs="Times New Roman"/>
                <w:b/>
                <w:color w:val="000000"/>
                <w:sz w:val="24"/>
                <w:lang w:eastAsia="zh-CN"/>
              </w:rPr>
            </w:pPr>
            <w:r>
              <w:rPr>
                <w:rFonts w:hint="eastAsia" w:ascii="Times New Roman" w:hAnsi="Times New Roman" w:eastAsia="宋体" w:cs="Times New Roman"/>
                <w:b/>
                <w:color w:val="000000"/>
                <w:sz w:val="24"/>
                <w:lang w:val="en-US" w:eastAsia="zh-CN"/>
              </w:rPr>
              <w:t>与《吐鲁番市“三线一单”生态环境分区管控方案动态更新成果》相符性分析</w:t>
            </w:r>
          </w:p>
          <w:p w14:paraId="08467B7C">
            <w:pPr>
              <w:autoSpaceDE w:val="0"/>
              <w:autoSpaceDN w:val="0"/>
              <w:adjustRightInd w:val="0"/>
              <w:snapToGrid w:val="0"/>
              <w:spacing w:before="120" w:beforeLines="50" w:line="360" w:lineRule="auto"/>
              <w:ind w:firstLine="480" w:firstLineChars="200"/>
              <w:rPr>
                <w:color w:val="000000"/>
                <w:sz w:val="24"/>
              </w:rPr>
            </w:pPr>
            <w:r>
              <w:rPr>
                <w:rFonts w:hint="eastAsia"/>
                <w:sz w:val="24"/>
                <w:szCs w:val="32"/>
              </w:rPr>
              <w:t>本工程位于吐鲁番市</w:t>
            </w:r>
            <w:r>
              <w:rPr>
                <w:rFonts w:hint="eastAsia"/>
                <w:sz w:val="24"/>
                <w:lang w:val="en-US" w:eastAsia="zh-CN"/>
              </w:rPr>
              <w:t>高昌区</w:t>
            </w:r>
            <w:r>
              <w:rPr>
                <w:rFonts w:hint="eastAsia"/>
                <w:sz w:val="24"/>
                <w:szCs w:val="32"/>
              </w:rPr>
              <w:t>。</w:t>
            </w:r>
            <w:r>
              <w:rPr>
                <w:color w:val="000000"/>
                <w:sz w:val="24"/>
              </w:rPr>
              <w:t>工程建设符合</w:t>
            </w:r>
            <w:r>
              <w:rPr>
                <w:rFonts w:hint="eastAsia"/>
                <w:color w:val="000000"/>
                <w:sz w:val="24"/>
              </w:rPr>
              <w:t>《吐鲁番市“三线一单”生态环境分区管控方案动态更新成果》</w:t>
            </w:r>
            <w:r>
              <w:rPr>
                <w:color w:val="000000"/>
                <w:sz w:val="24"/>
              </w:rPr>
              <w:t>相关要求，与</w:t>
            </w:r>
            <w:r>
              <w:rPr>
                <w:rFonts w:hint="eastAsia"/>
                <w:color w:val="000000"/>
                <w:sz w:val="24"/>
                <w:lang w:val="en-US" w:eastAsia="zh-CN"/>
              </w:rPr>
              <w:t>吐鲁番市</w:t>
            </w:r>
            <w:r>
              <w:rPr>
                <w:rFonts w:hint="eastAsia"/>
                <w:color w:val="000000"/>
                <w:sz w:val="24"/>
              </w:rPr>
              <w:t>环境管控单元管控要求</w:t>
            </w:r>
            <w:r>
              <w:rPr>
                <w:color w:val="000000"/>
                <w:sz w:val="24"/>
              </w:rPr>
              <w:t>相符。</w:t>
            </w:r>
          </w:p>
          <w:p w14:paraId="4D69778E">
            <w:pPr>
              <w:numPr>
                <w:ilvl w:val="0"/>
                <w:numId w:val="4"/>
              </w:numPr>
              <w:autoSpaceDE w:val="0"/>
              <w:autoSpaceDN w:val="0"/>
              <w:adjustRightInd w:val="0"/>
              <w:snapToGrid w:val="0"/>
              <w:spacing w:line="360" w:lineRule="auto"/>
              <w:rPr>
                <w:b/>
                <w:color w:val="000000"/>
                <w:sz w:val="24"/>
              </w:rPr>
            </w:pPr>
            <w:r>
              <w:rPr>
                <w:b/>
                <w:color w:val="000000"/>
                <w:sz w:val="24"/>
              </w:rPr>
              <w:t>与</w:t>
            </w:r>
            <w:r>
              <w:rPr>
                <w:rFonts w:hint="eastAsia"/>
                <w:b/>
                <w:color w:val="000000"/>
                <w:sz w:val="24"/>
              </w:rPr>
              <w:t>《输变电建设项目环境保护技术要求》（HJ1113-2020）</w:t>
            </w:r>
            <w:r>
              <w:rPr>
                <w:b/>
                <w:color w:val="000000"/>
                <w:sz w:val="24"/>
              </w:rPr>
              <w:t>符合性分析</w:t>
            </w:r>
          </w:p>
          <w:p w14:paraId="49369564">
            <w:pPr>
              <w:autoSpaceDE w:val="0"/>
              <w:autoSpaceDN w:val="0"/>
              <w:adjustRightInd w:val="0"/>
              <w:snapToGrid w:val="0"/>
              <w:spacing w:before="157" w:beforeLines="50" w:line="360" w:lineRule="auto"/>
              <w:ind w:firstLine="480" w:firstLineChars="200"/>
              <w:rPr>
                <w:color w:val="000000"/>
                <w:sz w:val="24"/>
              </w:rPr>
            </w:pPr>
            <w:r>
              <w:rPr>
                <w:color w:val="000000"/>
                <w:sz w:val="24"/>
              </w:rPr>
              <w:t>本工程建设</w:t>
            </w:r>
            <w:r>
              <w:rPr>
                <w:rFonts w:hint="eastAsia"/>
                <w:color w:val="000000"/>
                <w:sz w:val="24"/>
              </w:rPr>
              <w:t>满足</w:t>
            </w:r>
            <w:r>
              <w:rPr>
                <w:color w:val="000000"/>
                <w:sz w:val="24"/>
              </w:rPr>
              <w:t>《输变电建设项目环境保护技术要求》（HJ1113-2020）相关要求。</w:t>
            </w:r>
          </w:p>
          <w:p w14:paraId="799236DD">
            <w:pPr>
              <w:numPr>
                <w:ilvl w:val="0"/>
                <w:numId w:val="4"/>
              </w:numPr>
              <w:autoSpaceDE w:val="0"/>
              <w:autoSpaceDN w:val="0"/>
              <w:adjustRightInd w:val="0"/>
              <w:snapToGrid w:val="0"/>
              <w:spacing w:line="360" w:lineRule="auto"/>
              <w:rPr>
                <w:b/>
                <w:color w:val="000000"/>
                <w:sz w:val="24"/>
              </w:rPr>
            </w:pPr>
            <w:r>
              <w:rPr>
                <w:rFonts w:hint="eastAsia"/>
                <w:b/>
                <w:color w:val="000000"/>
                <w:sz w:val="24"/>
              </w:rPr>
              <w:t>与《新疆生态环境保护“十四五”生态环境保护规划》相符性分析</w:t>
            </w:r>
          </w:p>
          <w:p w14:paraId="20025AE0">
            <w:pPr>
              <w:autoSpaceDE w:val="0"/>
              <w:autoSpaceDN w:val="0"/>
              <w:adjustRightInd w:val="0"/>
              <w:snapToGrid w:val="0"/>
              <w:spacing w:line="360" w:lineRule="auto"/>
              <w:ind w:firstLine="480" w:firstLineChars="200"/>
              <w:rPr>
                <w:rFonts w:ascii="宋体" w:hAnsi="宋体" w:cs="宋体"/>
                <w:szCs w:val="21"/>
              </w:rPr>
            </w:pPr>
            <w:r>
              <w:rPr>
                <w:rFonts w:hint="eastAsia"/>
                <w:sz w:val="24"/>
                <w:szCs w:val="32"/>
              </w:rPr>
              <w:t>本工程为输变电工程，符合《新疆生态环境保护“十四五”生态环境保护规划》要求。</w:t>
            </w:r>
          </w:p>
          <w:p w14:paraId="58716D48">
            <w:pPr>
              <w:numPr>
                <w:ilvl w:val="0"/>
                <w:numId w:val="4"/>
              </w:numPr>
              <w:autoSpaceDE w:val="0"/>
              <w:autoSpaceDN w:val="0"/>
              <w:adjustRightInd w:val="0"/>
              <w:snapToGrid w:val="0"/>
              <w:spacing w:line="360" w:lineRule="auto"/>
              <w:rPr>
                <w:b/>
                <w:color w:val="000000"/>
                <w:sz w:val="24"/>
              </w:rPr>
            </w:pPr>
            <w:r>
              <w:rPr>
                <w:rFonts w:hint="eastAsia"/>
                <w:b/>
                <w:color w:val="000000"/>
                <w:sz w:val="24"/>
              </w:rPr>
              <w:t>与产业政策符合性分析</w:t>
            </w:r>
          </w:p>
          <w:p w14:paraId="4F0C1337">
            <w:pPr>
              <w:widowControl/>
              <w:spacing w:line="360" w:lineRule="auto"/>
              <w:ind w:firstLine="480" w:firstLineChars="200"/>
              <w:jc w:val="left"/>
              <w:rPr>
                <w:rFonts w:hint="eastAsia" w:cs="宋体"/>
                <w:sz w:val="24"/>
              </w:rPr>
            </w:pPr>
            <w:r>
              <w:rPr>
                <w:rFonts w:hint="eastAsia" w:cs="宋体"/>
                <w:sz w:val="24"/>
              </w:rPr>
              <w:t>本工程属于输变电</w:t>
            </w:r>
            <w:r>
              <w:rPr>
                <w:rFonts w:hint="eastAsia" w:cs="宋体"/>
                <w:sz w:val="24"/>
                <w:lang w:val="en-US" w:eastAsia="zh-CN"/>
              </w:rPr>
              <w:t>建设</w:t>
            </w:r>
            <w:r>
              <w:rPr>
                <w:rFonts w:hint="eastAsia" w:cs="宋体"/>
                <w:sz w:val="24"/>
              </w:rPr>
              <w:t>项目，根据国家发展和改革委员会令第7号《产业结构调整指导目录（2024年本）》，本工程属于第一类 鼓励类—四、电力—2.电力基础设施建设：“电网改造与建设、增量配电网建设”类项目，符合国家产业政策。</w:t>
            </w:r>
          </w:p>
          <w:p w14:paraId="35087645">
            <w:pPr>
              <w:numPr>
                <w:ilvl w:val="0"/>
                <w:numId w:val="4"/>
              </w:numPr>
              <w:autoSpaceDE w:val="0"/>
              <w:autoSpaceDN w:val="0"/>
              <w:adjustRightInd w:val="0"/>
              <w:snapToGrid w:val="0"/>
              <w:spacing w:line="360" w:lineRule="auto"/>
              <w:rPr>
                <w:b/>
              </w:rPr>
            </w:pPr>
            <w:r>
              <w:rPr>
                <w:rFonts w:hint="eastAsia"/>
                <w:b/>
                <w:sz w:val="24"/>
              </w:rPr>
              <w:t>与《关于规范临时用地管理的通知》符合性分析</w:t>
            </w:r>
          </w:p>
          <w:p w14:paraId="32A5B6CD">
            <w:pPr>
              <w:spacing w:line="360" w:lineRule="auto"/>
              <w:ind w:firstLine="480" w:firstLineChars="200"/>
              <w:rPr>
                <w:sz w:val="24"/>
                <w:szCs w:val="32"/>
              </w:rPr>
            </w:pPr>
            <w:r>
              <w:rPr>
                <w:rFonts w:hint="eastAsia"/>
                <w:sz w:val="24"/>
                <w:szCs w:val="32"/>
              </w:rPr>
              <w:t>本工程施工周期未超过两年。临时占地在施工结束后及时进行土地平整，恢复土地原有功能</w:t>
            </w:r>
            <w:r>
              <w:rPr>
                <w:rFonts w:hint="eastAsia"/>
                <w:sz w:val="24"/>
                <w:szCs w:val="32"/>
                <w:lang w:eastAsia="zh-CN"/>
              </w:rPr>
              <w:t>，</w:t>
            </w:r>
            <w:r>
              <w:rPr>
                <w:rFonts w:hint="eastAsia"/>
                <w:sz w:val="24"/>
                <w:szCs w:val="32"/>
              </w:rPr>
              <w:t>与</w:t>
            </w:r>
            <w:r>
              <w:rPr>
                <w:sz w:val="24"/>
                <w:szCs w:val="32"/>
              </w:rPr>
              <w:t>《关于规范临时用地管理的通知》</w:t>
            </w:r>
            <w:r>
              <w:rPr>
                <w:rFonts w:hint="eastAsia"/>
                <w:sz w:val="24"/>
                <w:szCs w:val="32"/>
              </w:rPr>
              <w:t>相符。</w:t>
            </w:r>
          </w:p>
          <w:p w14:paraId="39D4A17B">
            <w:pPr>
              <w:numPr>
                <w:ilvl w:val="0"/>
                <w:numId w:val="4"/>
              </w:numPr>
              <w:autoSpaceDE w:val="0"/>
              <w:autoSpaceDN w:val="0"/>
              <w:adjustRightInd w:val="0"/>
              <w:snapToGrid w:val="0"/>
              <w:spacing w:line="360" w:lineRule="auto"/>
              <w:rPr>
                <w:b/>
              </w:rPr>
            </w:pPr>
            <w:r>
              <w:rPr>
                <w:rFonts w:hint="eastAsia"/>
                <w:b/>
                <w:sz w:val="24"/>
              </w:rPr>
              <w:t>与地区规划符合性分析</w:t>
            </w:r>
          </w:p>
          <w:p w14:paraId="3D9DCA7B">
            <w:pPr>
              <w:pStyle w:val="11"/>
              <w:keepNext/>
              <w:rPr>
                <w:bCs/>
                <w:szCs w:val="24"/>
              </w:rPr>
            </w:pPr>
            <w:r>
              <w:rPr>
                <w:rFonts w:hint="eastAsia"/>
                <w:bCs/>
                <w:szCs w:val="24"/>
              </w:rPr>
              <w:t>本工程建设不影响当地土地利用规划和城镇发展规划。</w:t>
            </w:r>
          </w:p>
          <w:p w14:paraId="42403D05">
            <w:pPr>
              <w:numPr>
                <w:ilvl w:val="0"/>
                <w:numId w:val="4"/>
              </w:numPr>
              <w:autoSpaceDE w:val="0"/>
              <w:autoSpaceDN w:val="0"/>
              <w:adjustRightInd w:val="0"/>
              <w:snapToGrid w:val="0"/>
              <w:spacing w:before="157" w:beforeLines="50" w:line="360" w:lineRule="auto"/>
              <w:rPr>
                <w:b/>
              </w:rPr>
            </w:pPr>
            <w:r>
              <w:rPr>
                <w:rFonts w:hint="eastAsia"/>
                <w:b/>
                <w:sz w:val="24"/>
              </w:rPr>
              <w:t>与《吐鲁番市国民经济和社会发展第十四个五年规划和2035年远景目标纲要》符合性分析</w:t>
            </w:r>
          </w:p>
          <w:p w14:paraId="4369992E">
            <w:pPr>
              <w:autoSpaceDE w:val="0"/>
              <w:autoSpaceDN w:val="0"/>
              <w:adjustRightInd w:val="0"/>
              <w:snapToGrid w:val="0"/>
              <w:spacing w:line="360" w:lineRule="auto"/>
              <w:ind w:firstLine="480" w:firstLineChars="200"/>
              <w:rPr>
                <w:color w:val="000000"/>
                <w:sz w:val="24"/>
              </w:rPr>
            </w:pPr>
            <w:r>
              <w:rPr>
                <w:rFonts w:hint="eastAsia"/>
                <w:sz w:val="24"/>
                <w:szCs w:val="20"/>
              </w:rPr>
              <w:t>本工程建设符合《吐鲁番市国民经济和社会发展第十四个五年规划和2035年远景目标纲要》要求。</w:t>
            </w:r>
          </w:p>
        </w:tc>
      </w:tr>
    </w:tbl>
    <w:p w14:paraId="7DB7BE72">
      <w:pPr>
        <w:tabs>
          <w:tab w:val="left" w:pos="1165"/>
        </w:tabs>
        <w:rPr>
          <w:color w:val="000000"/>
          <w:highlight w:val="yellow"/>
        </w:rPr>
        <w:sectPr>
          <w:footerReference r:id="rId5" w:type="default"/>
          <w:pgSz w:w="11906" w:h="16838"/>
          <w:pgMar w:top="1440" w:right="1800" w:bottom="1440" w:left="1800" w:header="851" w:footer="1077" w:gutter="0"/>
          <w:pgNumType w:start="1"/>
          <w:cols w:space="720" w:num="1"/>
          <w:docGrid w:linePitch="312" w:charSpace="0"/>
        </w:sectPr>
      </w:pPr>
    </w:p>
    <w:p w14:paraId="260C51B2">
      <w:pPr>
        <w:pStyle w:val="31"/>
        <w:jc w:val="center"/>
        <w:outlineLvl w:val="0"/>
        <w:rPr>
          <w:rFonts w:ascii="Times New Roman" w:hAnsi="Times New Roman"/>
          <w:b/>
          <w:bCs/>
          <w:snapToGrid w:val="0"/>
          <w:color w:val="000000"/>
          <w:sz w:val="32"/>
          <w:szCs w:val="32"/>
        </w:rPr>
      </w:pPr>
      <w:bookmarkStart w:id="4" w:name="_Toc29200"/>
      <w:bookmarkStart w:id="5" w:name="_Toc111564270"/>
      <w:r>
        <w:rPr>
          <w:rFonts w:ascii="Times New Roman" w:hAnsi="Times New Roman"/>
          <w:b/>
          <w:bCs/>
          <w:snapToGrid w:val="0"/>
          <w:color w:val="000000"/>
          <w:sz w:val="32"/>
          <w:szCs w:val="32"/>
        </w:rPr>
        <w:t>二、建设内容</w:t>
      </w:r>
      <w:bookmarkEnd w:id="4"/>
      <w:bookmarkEnd w:id="5"/>
    </w:p>
    <w:tbl>
      <w:tblPr>
        <w:tblStyle w:val="34"/>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542"/>
      </w:tblGrid>
      <w:tr w14:paraId="75345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98" w:type="dxa"/>
            <w:vAlign w:val="center"/>
          </w:tcPr>
          <w:p w14:paraId="79B5EEA5">
            <w:pPr>
              <w:adjustRightInd w:val="0"/>
              <w:snapToGrid w:val="0"/>
              <w:jc w:val="center"/>
              <w:rPr>
                <w:b/>
                <w:color w:val="000000"/>
                <w:kern w:val="0"/>
                <w:sz w:val="24"/>
              </w:rPr>
            </w:pPr>
            <w:r>
              <w:rPr>
                <w:b/>
                <w:color w:val="000000"/>
                <w:kern w:val="0"/>
                <w:sz w:val="24"/>
              </w:rPr>
              <w:t>地理位置</w:t>
            </w:r>
          </w:p>
        </w:tc>
        <w:tc>
          <w:tcPr>
            <w:tcW w:w="8542" w:type="dxa"/>
            <w:vAlign w:val="center"/>
          </w:tcPr>
          <w:p w14:paraId="1285E59C">
            <w:pPr>
              <w:adjustRightInd w:val="0"/>
              <w:snapToGrid w:val="0"/>
              <w:spacing w:line="360" w:lineRule="auto"/>
              <w:ind w:firstLine="480" w:firstLineChars="200"/>
              <w:rPr>
                <w:color w:val="000000"/>
                <w:sz w:val="24"/>
              </w:rPr>
            </w:pPr>
            <w:r>
              <w:rPr>
                <w:rFonts w:hint="eastAsia"/>
                <w:color w:val="000000"/>
                <w:sz w:val="24"/>
                <w:lang w:eastAsia="zh-CN"/>
              </w:rPr>
              <w:t>吐鲁番市新阳新能源产业有限公司110千伏业扩配套工程</w:t>
            </w:r>
            <w:r>
              <w:rPr>
                <w:rFonts w:hint="eastAsia"/>
                <w:color w:val="000000"/>
                <w:sz w:val="24"/>
              </w:rPr>
              <w:t>位于</w:t>
            </w:r>
            <w:r>
              <w:rPr>
                <w:rFonts w:hint="eastAsia"/>
                <w:color w:val="000000"/>
                <w:sz w:val="24"/>
                <w:lang w:val="en-US" w:eastAsia="zh-CN"/>
              </w:rPr>
              <w:t>吐鲁番市高昌区境内</w:t>
            </w:r>
            <w:r>
              <w:rPr>
                <w:rFonts w:hint="eastAsia"/>
                <w:color w:val="000000"/>
                <w:sz w:val="24"/>
              </w:rPr>
              <w:t>。</w:t>
            </w:r>
          </w:p>
          <w:p w14:paraId="10F63A14">
            <w:pPr>
              <w:pStyle w:val="9"/>
              <w:jc w:val="center"/>
            </w:pPr>
          </w:p>
        </w:tc>
      </w:tr>
      <w:tr w14:paraId="03B83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Align w:val="center"/>
          </w:tcPr>
          <w:p w14:paraId="1444CB0E">
            <w:pPr>
              <w:adjustRightInd w:val="0"/>
              <w:snapToGrid w:val="0"/>
              <w:jc w:val="center"/>
              <w:rPr>
                <w:b/>
                <w:color w:val="000000"/>
                <w:kern w:val="0"/>
                <w:sz w:val="24"/>
                <w:highlight w:val="yellow"/>
              </w:rPr>
            </w:pPr>
            <w:r>
              <w:rPr>
                <w:b/>
                <w:color w:val="000000"/>
                <w:kern w:val="0"/>
                <w:sz w:val="24"/>
              </w:rPr>
              <w:t>项目组成及规模</w:t>
            </w:r>
          </w:p>
        </w:tc>
        <w:tc>
          <w:tcPr>
            <w:tcW w:w="8542" w:type="dxa"/>
            <w:vAlign w:val="center"/>
          </w:tcPr>
          <w:p w14:paraId="252C9D54">
            <w:pPr>
              <w:pStyle w:val="3"/>
              <w:numPr>
                <w:ilvl w:val="0"/>
                <w:numId w:val="5"/>
              </w:numPr>
              <w:spacing w:before="0" w:after="0" w:line="360" w:lineRule="auto"/>
              <w:rPr>
                <w:rFonts w:eastAsia="宋体"/>
                <w:sz w:val="24"/>
                <w:szCs w:val="24"/>
              </w:rPr>
            </w:pPr>
            <w:bookmarkStart w:id="6" w:name="_Toc97290400"/>
            <w:bookmarkStart w:id="7" w:name="_Toc88558479"/>
            <w:bookmarkStart w:id="8" w:name="_Toc109473837"/>
            <w:bookmarkStart w:id="9" w:name="_Toc6225"/>
            <w:bookmarkStart w:id="10" w:name="_Toc85036838"/>
            <w:bookmarkStart w:id="11" w:name="_Toc91532124"/>
            <w:bookmarkStart w:id="12" w:name="_Toc81415582"/>
            <w:bookmarkStart w:id="13" w:name="_Toc30172"/>
            <w:bookmarkStart w:id="14" w:name="_Toc110439050"/>
            <w:bookmarkStart w:id="15" w:name="_Toc96935364"/>
            <w:bookmarkStart w:id="16" w:name="_Toc91493217"/>
            <w:bookmarkStart w:id="17" w:name="_Toc96031327"/>
            <w:bookmarkStart w:id="18" w:name="_Toc109473758"/>
            <w:bookmarkStart w:id="19" w:name="_Toc85037172"/>
            <w:bookmarkStart w:id="20" w:name="_Toc81308110"/>
            <w:bookmarkStart w:id="21" w:name="_Toc109473524"/>
            <w:bookmarkStart w:id="22" w:name="_Toc111564271"/>
            <w:bookmarkStart w:id="23" w:name="_Toc97290534"/>
            <w:bookmarkStart w:id="24" w:name="_Toc96031244"/>
            <w:bookmarkStart w:id="25" w:name="_Toc109472531"/>
            <w:bookmarkStart w:id="26" w:name="_Toc95464618"/>
            <w:r>
              <w:rPr>
                <w:rFonts w:eastAsia="宋体"/>
                <w:sz w:val="24"/>
                <w:szCs w:val="24"/>
              </w:rPr>
              <w:t>项目组成</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8C749B0">
            <w:pPr>
              <w:autoSpaceDE w:val="0"/>
              <w:autoSpaceDN w:val="0"/>
              <w:adjustRightInd w:val="0"/>
              <w:snapToGrid w:val="0"/>
              <w:spacing w:line="360" w:lineRule="auto"/>
              <w:ind w:firstLine="480" w:firstLineChars="200"/>
              <w:rPr>
                <w:color w:val="000000"/>
                <w:sz w:val="24"/>
              </w:rPr>
            </w:pPr>
            <w:r>
              <w:rPr>
                <w:rFonts w:hint="eastAsia"/>
                <w:color w:val="000000"/>
                <w:sz w:val="24"/>
              </w:rPr>
              <w:t>本工程项目</w:t>
            </w:r>
            <w:r>
              <w:rPr>
                <w:color w:val="000000"/>
                <w:sz w:val="24"/>
              </w:rPr>
              <w:t>组成包括：</w:t>
            </w:r>
          </w:p>
          <w:p w14:paraId="7FDB22DB">
            <w:pPr>
              <w:widowControl/>
              <w:spacing w:line="360" w:lineRule="auto"/>
              <w:ind w:firstLine="480" w:firstLineChars="200"/>
              <w:jc w:val="left"/>
              <w:rPr>
                <w:color w:val="000000"/>
                <w:sz w:val="24"/>
              </w:rPr>
            </w:pPr>
            <w:r>
              <w:rPr>
                <w:rFonts w:hint="eastAsia"/>
                <w:color w:val="000000"/>
                <w:sz w:val="24"/>
                <w:lang w:val="en-US" w:eastAsia="zh-CN"/>
              </w:rPr>
              <w:t>①</w:t>
            </w:r>
            <w:r>
              <w:rPr>
                <w:rFonts w:hint="eastAsia"/>
                <w:color w:val="000000"/>
                <w:sz w:val="24"/>
                <w:lang w:eastAsia="zh-CN"/>
              </w:rPr>
              <w:t>港城变110千伏间隔扩建工程</w:t>
            </w:r>
            <w:r>
              <w:rPr>
                <w:rFonts w:hint="eastAsia"/>
                <w:color w:val="000000"/>
                <w:sz w:val="24"/>
              </w:rPr>
              <w:t>：港城变电站本期扩建1回110kV出线间隔</w:t>
            </w:r>
            <w:r>
              <w:rPr>
                <w:color w:val="000000"/>
                <w:sz w:val="24"/>
              </w:rPr>
              <w:t>。</w:t>
            </w:r>
          </w:p>
          <w:p w14:paraId="5E569A6B">
            <w:pPr>
              <w:widowControl/>
              <w:spacing w:line="360" w:lineRule="auto"/>
              <w:ind w:firstLine="480" w:firstLineChars="200"/>
              <w:jc w:val="left"/>
              <w:rPr>
                <w:color w:val="000000"/>
                <w:sz w:val="24"/>
              </w:rPr>
            </w:pPr>
            <w:r>
              <w:rPr>
                <w:rFonts w:hint="eastAsia"/>
                <w:color w:val="000000"/>
                <w:sz w:val="24"/>
              </w:rPr>
              <w:t>②</w:t>
            </w:r>
            <w:r>
              <w:rPr>
                <w:rFonts w:hint="eastAsia"/>
                <w:color w:val="000000"/>
                <w:sz w:val="24"/>
                <w:lang w:eastAsia="zh-CN"/>
              </w:rPr>
              <w:t>港城~新阳110千伏线路工程</w:t>
            </w:r>
            <w:r>
              <w:rPr>
                <w:rFonts w:hint="eastAsia"/>
                <w:color w:val="000000"/>
                <w:sz w:val="24"/>
              </w:rPr>
              <w:t>：新建线路起于</w:t>
            </w:r>
            <w:r>
              <w:rPr>
                <w:rFonts w:hint="eastAsia"/>
                <w:color w:val="000000"/>
                <w:sz w:val="24"/>
                <w:lang w:eastAsia="zh-CN"/>
              </w:rPr>
              <w:t>港城110kV变电站</w:t>
            </w:r>
            <w:r>
              <w:rPr>
                <w:rFonts w:hint="eastAsia"/>
                <w:color w:val="000000"/>
                <w:sz w:val="24"/>
              </w:rPr>
              <w:t>，止于</w:t>
            </w:r>
            <w:r>
              <w:rPr>
                <w:rFonts w:hint="eastAsia"/>
                <w:color w:val="000000"/>
                <w:sz w:val="24"/>
                <w:lang w:eastAsia="zh-CN"/>
              </w:rPr>
              <w:t>新阳110kV变电站</w:t>
            </w:r>
            <w:r>
              <w:rPr>
                <w:rFonts w:hint="eastAsia"/>
                <w:color w:val="000000"/>
                <w:sz w:val="24"/>
              </w:rPr>
              <w:t>，路径长约</w:t>
            </w:r>
            <w:r>
              <w:rPr>
                <w:rFonts w:hint="eastAsia"/>
                <w:color w:val="000000"/>
                <w:sz w:val="24"/>
                <w:lang w:val="en-US" w:eastAsia="zh-CN"/>
              </w:rPr>
              <w:t>5.2</w:t>
            </w:r>
            <w:r>
              <w:rPr>
                <w:rFonts w:hint="eastAsia"/>
                <w:color w:val="000000"/>
                <w:sz w:val="24"/>
              </w:rPr>
              <w:t>km，其中单回路架设约1.0km，双回路架设约4.2km</w:t>
            </w:r>
            <w:r>
              <w:rPr>
                <w:rFonts w:hint="eastAsia"/>
                <w:color w:val="000000"/>
                <w:sz w:val="24"/>
                <w:lang w:eastAsia="zh-CN"/>
              </w:rPr>
              <w:t>（</w:t>
            </w:r>
            <w:r>
              <w:rPr>
                <w:rFonts w:hint="eastAsia"/>
                <w:color w:val="000000"/>
                <w:sz w:val="24"/>
                <w:lang w:val="en-US" w:eastAsia="zh-CN"/>
              </w:rPr>
              <w:t>本期使用一回，预留一回）</w:t>
            </w:r>
            <w:r>
              <w:rPr>
                <w:rFonts w:hint="eastAsia"/>
                <w:color w:val="000000"/>
                <w:sz w:val="24"/>
              </w:rPr>
              <w:t>。</w:t>
            </w:r>
          </w:p>
          <w:p w14:paraId="214DC81D">
            <w:pPr>
              <w:widowControl/>
              <w:spacing w:line="360" w:lineRule="auto"/>
              <w:ind w:firstLine="480" w:firstLineChars="200"/>
              <w:jc w:val="left"/>
              <w:rPr>
                <w:color w:val="000000"/>
                <w:sz w:val="24"/>
              </w:rPr>
            </w:pPr>
            <w:r>
              <w:rPr>
                <w:color w:val="000000"/>
                <w:sz w:val="24"/>
              </w:rPr>
              <w:t>本工程基本组成情况见</w:t>
            </w:r>
            <w:r>
              <w:rPr>
                <w:rFonts w:hint="default"/>
                <w:b w:val="0"/>
                <w:bCs w:val="0"/>
                <w:color w:val="000000"/>
                <w:sz w:val="24"/>
                <w:szCs w:val="24"/>
                <w:lang w:val="en-US"/>
              </w:rPr>
              <w:fldChar w:fldCharType="begin"/>
            </w:r>
            <w:r>
              <w:rPr>
                <w:rFonts w:hint="default"/>
                <w:b w:val="0"/>
                <w:bCs w:val="0"/>
                <w:color w:val="000000"/>
                <w:sz w:val="24"/>
                <w:szCs w:val="24"/>
                <w:lang w:val="en-US"/>
              </w:rPr>
              <w:instrText xml:space="preserve"> REF _Ref9226 \h </w:instrText>
            </w:r>
            <w:r>
              <w:rPr>
                <w:rFonts w:hint="default"/>
                <w:b w:val="0"/>
                <w:bCs w:val="0"/>
                <w:color w:val="000000"/>
                <w:sz w:val="24"/>
                <w:szCs w:val="24"/>
                <w:lang w:val="en-US"/>
              </w:rPr>
              <w:fldChar w:fldCharType="separate"/>
            </w:r>
            <w:r>
              <w:rPr>
                <w:rFonts w:ascii="Times New Roman" w:hAnsi="Times New Roman"/>
                <w:b w:val="0"/>
                <w:bCs w:val="0"/>
                <w:sz w:val="24"/>
                <w:szCs w:val="24"/>
              </w:rPr>
              <w:t>表 5</w:t>
            </w:r>
            <w:r>
              <w:rPr>
                <w:rFonts w:hint="default"/>
                <w:b w:val="0"/>
                <w:bCs w:val="0"/>
                <w:color w:val="000000"/>
                <w:sz w:val="24"/>
                <w:szCs w:val="24"/>
                <w:lang w:val="en-US"/>
              </w:rPr>
              <w:fldChar w:fldCharType="end"/>
            </w:r>
            <w:r>
              <w:rPr>
                <w:color w:val="000000"/>
                <w:sz w:val="24"/>
              </w:rPr>
              <w:t>。</w:t>
            </w:r>
            <w:bookmarkStart w:id="27" w:name="_Ref157118955"/>
          </w:p>
          <w:p w14:paraId="73144EC0">
            <w:pPr>
              <w:pStyle w:val="9"/>
              <w:keepNext/>
              <w:rPr>
                <w:rFonts w:ascii="Times New Roman" w:hAnsi="Times New Roman"/>
                <w:b/>
              </w:rPr>
            </w:pPr>
            <w:bookmarkStart w:id="28" w:name="_Ref9226"/>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5</w:t>
            </w:r>
            <w:r>
              <w:rPr>
                <w:rFonts w:ascii="Times New Roman" w:hAnsi="Times New Roman"/>
                <w:b/>
              </w:rPr>
              <w:fldChar w:fldCharType="end"/>
            </w:r>
            <w:bookmarkEnd w:id="27"/>
            <w:bookmarkEnd w:id="28"/>
            <w:r>
              <w:rPr>
                <w:rFonts w:ascii="Times New Roman" w:hAnsi="Times New Roman"/>
                <w:b/>
              </w:rPr>
              <w:t xml:space="preserve">                            项目基本组成</w:t>
            </w:r>
          </w:p>
          <w:tbl>
            <w:tblPr>
              <w:tblStyle w:val="34"/>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07"/>
              <w:gridCol w:w="1209"/>
              <w:gridCol w:w="1393"/>
              <w:gridCol w:w="3692"/>
            </w:tblGrid>
            <w:tr w14:paraId="4F4CE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937" w:type="pct"/>
                  <w:gridSpan w:val="2"/>
                  <w:tcMar>
                    <w:left w:w="57" w:type="dxa"/>
                    <w:right w:w="57" w:type="dxa"/>
                  </w:tcMar>
                  <w:vAlign w:val="center"/>
                </w:tcPr>
                <w:p w14:paraId="00BD8C86">
                  <w:pPr>
                    <w:pStyle w:val="73"/>
                    <w:spacing w:before="50" w:after="50"/>
                    <w:rPr>
                      <w:b/>
                      <w:snapToGrid w:val="0"/>
                      <w:color w:val="000000"/>
                      <w:szCs w:val="21"/>
                    </w:rPr>
                  </w:pPr>
                  <w:r>
                    <w:rPr>
                      <w:b/>
                      <w:color w:val="000000"/>
                      <w:szCs w:val="21"/>
                    </w:rPr>
                    <w:t>建设内容</w:t>
                  </w:r>
                </w:p>
              </w:tc>
              <w:tc>
                <w:tcPr>
                  <w:tcW w:w="3062" w:type="pct"/>
                  <w:gridSpan w:val="2"/>
                  <w:tcMar>
                    <w:left w:w="57" w:type="dxa"/>
                    <w:right w:w="57" w:type="dxa"/>
                  </w:tcMar>
                  <w:vAlign w:val="center"/>
                </w:tcPr>
                <w:p w14:paraId="3922FB67">
                  <w:pPr>
                    <w:pStyle w:val="73"/>
                    <w:spacing w:before="50" w:after="50"/>
                    <w:rPr>
                      <w:b/>
                      <w:snapToGrid w:val="0"/>
                      <w:color w:val="000000"/>
                      <w:szCs w:val="21"/>
                    </w:rPr>
                  </w:pPr>
                  <w:r>
                    <w:rPr>
                      <w:b/>
                      <w:color w:val="000000"/>
                      <w:szCs w:val="21"/>
                    </w:rPr>
                    <w:t>规</w:t>
                  </w:r>
                  <w:r>
                    <w:rPr>
                      <w:b/>
                      <w:snapToGrid w:val="0"/>
                      <w:color w:val="000000"/>
                      <w:szCs w:val="21"/>
                    </w:rPr>
                    <w:t xml:space="preserve">  </w:t>
                  </w:r>
                  <w:r>
                    <w:rPr>
                      <w:b/>
                      <w:color w:val="000000"/>
                      <w:szCs w:val="21"/>
                    </w:rPr>
                    <w:t>模</w:t>
                  </w:r>
                </w:p>
              </w:tc>
            </w:tr>
            <w:tr w14:paraId="05CAA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restart"/>
                  <w:tcMar>
                    <w:left w:w="57" w:type="dxa"/>
                    <w:right w:w="57" w:type="dxa"/>
                  </w:tcMar>
                  <w:vAlign w:val="center"/>
                </w:tcPr>
                <w:p w14:paraId="4D16EEE5">
                  <w:pPr>
                    <w:pStyle w:val="73"/>
                    <w:spacing w:before="50" w:after="50"/>
                    <w:rPr>
                      <w:rFonts w:hint="eastAsia" w:eastAsia="宋体"/>
                      <w:snapToGrid w:val="0"/>
                      <w:color w:val="000000"/>
                      <w:szCs w:val="21"/>
                      <w:highlight w:val="yellow"/>
                      <w:lang w:eastAsia="zh-CN"/>
                    </w:rPr>
                  </w:pPr>
                  <w:bookmarkStart w:id="29" w:name="_Toc85036839"/>
                  <w:bookmarkStart w:id="30" w:name="_Toc85037173"/>
                  <w:bookmarkStart w:id="31" w:name="_Toc81308111"/>
                  <w:bookmarkStart w:id="32" w:name="_Toc81415583"/>
                  <w:r>
                    <w:rPr>
                      <w:rFonts w:hint="eastAsia"/>
                      <w:color w:val="000000"/>
                      <w:szCs w:val="21"/>
                      <w:lang w:eastAsia="zh-CN"/>
                    </w:rPr>
                    <w:t>港城变110千伏间隔扩建工程</w:t>
                  </w:r>
                </w:p>
              </w:tc>
              <w:tc>
                <w:tcPr>
                  <w:tcW w:w="728" w:type="pct"/>
                  <w:tcMar>
                    <w:left w:w="57" w:type="dxa"/>
                    <w:right w:w="57" w:type="dxa"/>
                  </w:tcMar>
                  <w:vAlign w:val="center"/>
                </w:tcPr>
                <w:p w14:paraId="0814D5A6">
                  <w:pPr>
                    <w:pStyle w:val="73"/>
                    <w:spacing w:before="50" w:after="50"/>
                    <w:rPr>
                      <w:color w:val="000000"/>
                      <w:szCs w:val="21"/>
                    </w:rPr>
                  </w:pPr>
                  <w:r>
                    <w:rPr>
                      <w:rFonts w:hint="eastAsia"/>
                      <w:color w:val="000000"/>
                      <w:szCs w:val="21"/>
                    </w:rPr>
                    <w:t>主体工程</w:t>
                  </w:r>
                </w:p>
              </w:tc>
              <w:tc>
                <w:tcPr>
                  <w:tcW w:w="3062" w:type="pct"/>
                  <w:gridSpan w:val="2"/>
                  <w:tcMar>
                    <w:left w:w="57" w:type="dxa"/>
                    <w:right w:w="57" w:type="dxa"/>
                  </w:tcMar>
                  <w:vAlign w:val="center"/>
                </w:tcPr>
                <w:p w14:paraId="25B79BDE">
                  <w:pPr>
                    <w:pStyle w:val="73"/>
                    <w:spacing w:before="50" w:after="50"/>
                    <w:jc w:val="both"/>
                    <w:rPr>
                      <w:color w:val="000000"/>
                      <w:szCs w:val="21"/>
                    </w:rPr>
                  </w:pPr>
                  <w:r>
                    <w:rPr>
                      <w:rFonts w:hint="eastAsia"/>
                      <w:color w:val="000000"/>
                      <w:szCs w:val="21"/>
                    </w:rPr>
                    <w:t>前期建有</w:t>
                  </w:r>
                  <w:r>
                    <w:rPr>
                      <w:rFonts w:hint="eastAsia"/>
                      <w:color w:val="000000"/>
                      <w:szCs w:val="21"/>
                      <w:lang w:val="en-US" w:eastAsia="zh-CN"/>
                    </w:rPr>
                    <w:t>2</w:t>
                  </w:r>
                  <w:r>
                    <w:rPr>
                      <w:rFonts w:hint="default"/>
                      <w:color w:val="000000"/>
                      <w:szCs w:val="21"/>
                    </w:rPr>
                    <w:t>×</w:t>
                  </w:r>
                  <w:r>
                    <w:rPr>
                      <w:rFonts w:hint="eastAsia"/>
                      <w:color w:val="000000"/>
                      <w:szCs w:val="21"/>
                      <w:lang w:val="en-US" w:eastAsia="zh-CN"/>
                    </w:rPr>
                    <w:t>50</w:t>
                  </w:r>
                  <w:r>
                    <w:rPr>
                      <w:rFonts w:hint="eastAsia"/>
                      <w:color w:val="000000"/>
                      <w:szCs w:val="21"/>
                    </w:rPr>
                    <w:t>MVA主变，</w:t>
                  </w:r>
                  <w:r>
                    <w:rPr>
                      <w:rFonts w:hint="eastAsia"/>
                      <w:color w:val="000000"/>
                      <w:szCs w:val="21"/>
                      <w:lang w:val="en-US" w:eastAsia="zh-CN"/>
                    </w:rPr>
                    <w:t>11</w:t>
                  </w:r>
                  <w:r>
                    <w:rPr>
                      <w:rFonts w:hint="eastAsia"/>
                      <w:color w:val="000000"/>
                      <w:szCs w:val="21"/>
                    </w:rPr>
                    <w:t>0kV出线2回。本期扩建</w:t>
                  </w:r>
                  <w:r>
                    <w:rPr>
                      <w:rFonts w:hint="eastAsia"/>
                      <w:color w:val="000000"/>
                      <w:szCs w:val="21"/>
                      <w:lang w:val="en-US" w:eastAsia="zh-CN"/>
                    </w:rPr>
                    <w:t>1回11</w:t>
                  </w:r>
                  <w:r>
                    <w:rPr>
                      <w:rFonts w:hint="eastAsia"/>
                      <w:color w:val="000000"/>
                      <w:szCs w:val="21"/>
                    </w:rPr>
                    <w:t>0kV出线间隔，出线至</w:t>
                  </w:r>
                  <w:r>
                    <w:rPr>
                      <w:rFonts w:hint="eastAsia"/>
                      <w:color w:val="000000"/>
                      <w:szCs w:val="21"/>
                      <w:lang w:val="en-US" w:eastAsia="zh-CN"/>
                    </w:rPr>
                    <w:t>新阳</w:t>
                  </w:r>
                  <w:r>
                    <w:rPr>
                      <w:rFonts w:hint="eastAsia"/>
                      <w:color w:val="000000"/>
                      <w:szCs w:val="21"/>
                    </w:rPr>
                    <w:t>变电站</w:t>
                  </w:r>
                  <w:r>
                    <w:rPr>
                      <w:rFonts w:hint="eastAsia"/>
                      <w:color w:val="000000"/>
                      <w:szCs w:val="21"/>
                      <w:lang w:eastAsia="zh-CN"/>
                    </w:rPr>
                    <w:t>，</w:t>
                  </w:r>
                  <w:r>
                    <w:rPr>
                      <w:rFonts w:hint="eastAsia"/>
                      <w:color w:val="000000"/>
                      <w:szCs w:val="21"/>
                      <w:lang w:val="en-US" w:eastAsia="zh-CN"/>
                    </w:rPr>
                    <w:t>为自西向东第一间隔</w:t>
                  </w:r>
                  <w:r>
                    <w:rPr>
                      <w:rFonts w:hint="eastAsia"/>
                      <w:color w:val="000000"/>
                      <w:szCs w:val="21"/>
                      <w:lang w:eastAsia="zh-CN"/>
                    </w:rPr>
                    <w:t>。</w:t>
                  </w:r>
                </w:p>
              </w:tc>
            </w:tr>
            <w:tr w14:paraId="2A607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5D3661E4">
                  <w:pPr>
                    <w:pStyle w:val="73"/>
                    <w:spacing w:before="50" w:after="50"/>
                    <w:rPr>
                      <w:snapToGrid w:val="0"/>
                      <w:color w:val="000000"/>
                      <w:szCs w:val="21"/>
                      <w:highlight w:val="yellow"/>
                    </w:rPr>
                  </w:pPr>
                </w:p>
              </w:tc>
              <w:tc>
                <w:tcPr>
                  <w:tcW w:w="728" w:type="pct"/>
                  <w:vMerge w:val="restart"/>
                  <w:tcMar>
                    <w:left w:w="57" w:type="dxa"/>
                    <w:right w:w="57" w:type="dxa"/>
                  </w:tcMar>
                  <w:vAlign w:val="center"/>
                </w:tcPr>
                <w:p w14:paraId="7C20552F">
                  <w:pPr>
                    <w:pStyle w:val="73"/>
                    <w:spacing w:before="50" w:after="50"/>
                    <w:rPr>
                      <w:color w:val="000000"/>
                      <w:szCs w:val="21"/>
                    </w:rPr>
                  </w:pPr>
                  <w:r>
                    <w:rPr>
                      <w:rFonts w:hint="eastAsia"/>
                      <w:color w:val="000000"/>
                      <w:szCs w:val="21"/>
                    </w:rPr>
                    <w:t>辅助工程</w:t>
                  </w:r>
                </w:p>
              </w:tc>
              <w:tc>
                <w:tcPr>
                  <w:tcW w:w="839" w:type="pct"/>
                  <w:tcMar>
                    <w:left w:w="57" w:type="dxa"/>
                    <w:right w:w="57" w:type="dxa"/>
                  </w:tcMar>
                  <w:vAlign w:val="center"/>
                </w:tcPr>
                <w:p w14:paraId="63E91C6E">
                  <w:pPr>
                    <w:pStyle w:val="73"/>
                    <w:spacing w:before="50" w:after="50"/>
                    <w:rPr>
                      <w:color w:val="000000"/>
                      <w:szCs w:val="21"/>
                    </w:rPr>
                  </w:pPr>
                  <w:r>
                    <w:rPr>
                      <w:rFonts w:hint="eastAsia"/>
                      <w:color w:val="000000"/>
                      <w:szCs w:val="21"/>
                    </w:rPr>
                    <w:t>进站道路</w:t>
                  </w:r>
                </w:p>
              </w:tc>
              <w:tc>
                <w:tcPr>
                  <w:tcW w:w="2223" w:type="pct"/>
                  <w:vMerge w:val="restart"/>
                  <w:vAlign w:val="center"/>
                </w:tcPr>
                <w:p w14:paraId="61990155">
                  <w:pPr>
                    <w:pStyle w:val="73"/>
                    <w:spacing w:before="50" w:after="50"/>
                    <w:jc w:val="both"/>
                    <w:rPr>
                      <w:color w:val="000000"/>
                      <w:szCs w:val="21"/>
                    </w:rPr>
                  </w:pPr>
                  <w:r>
                    <w:rPr>
                      <w:rFonts w:hint="eastAsia"/>
                      <w:snapToGrid w:val="0"/>
                      <w:color w:val="000000"/>
                      <w:szCs w:val="21"/>
                    </w:rPr>
                    <w:t>已按终期规模建成了全站的场地、道路、主控楼、辅助生产用房等，本期依托前期工程。</w:t>
                  </w:r>
                </w:p>
              </w:tc>
            </w:tr>
            <w:tr w14:paraId="50D82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372F31D7">
                  <w:pPr>
                    <w:pStyle w:val="73"/>
                    <w:spacing w:before="50" w:after="50"/>
                    <w:rPr>
                      <w:snapToGrid w:val="0"/>
                      <w:color w:val="000000"/>
                      <w:szCs w:val="21"/>
                      <w:highlight w:val="yellow"/>
                    </w:rPr>
                  </w:pPr>
                </w:p>
              </w:tc>
              <w:tc>
                <w:tcPr>
                  <w:tcW w:w="728" w:type="pct"/>
                  <w:vMerge w:val="continue"/>
                  <w:tcMar>
                    <w:left w:w="57" w:type="dxa"/>
                    <w:right w:w="57" w:type="dxa"/>
                  </w:tcMar>
                  <w:vAlign w:val="center"/>
                </w:tcPr>
                <w:p w14:paraId="7A8DB159">
                  <w:pPr>
                    <w:pStyle w:val="73"/>
                    <w:spacing w:before="50" w:after="50"/>
                    <w:rPr>
                      <w:color w:val="000000"/>
                      <w:szCs w:val="21"/>
                    </w:rPr>
                  </w:pPr>
                </w:p>
              </w:tc>
              <w:tc>
                <w:tcPr>
                  <w:tcW w:w="839" w:type="pct"/>
                  <w:tcMar>
                    <w:left w:w="57" w:type="dxa"/>
                    <w:right w:w="57" w:type="dxa"/>
                  </w:tcMar>
                  <w:vAlign w:val="center"/>
                </w:tcPr>
                <w:p w14:paraId="7E30115C">
                  <w:pPr>
                    <w:pStyle w:val="73"/>
                    <w:spacing w:before="50" w:after="50"/>
                    <w:rPr>
                      <w:color w:val="000000"/>
                      <w:szCs w:val="21"/>
                    </w:rPr>
                  </w:pPr>
                  <w:r>
                    <w:rPr>
                      <w:color w:val="000000"/>
                      <w:szCs w:val="21"/>
                    </w:rPr>
                    <w:t>生活设施及辅助生产用房</w:t>
                  </w:r>
                </w:p>
              </w:tc>
              <w:tc>
                <w:tcPr>
                  <w:tcW w:w="2223" w:type="pct"/>
                  <w:vMerge w:val="continue"/>
                  <w:vAlign w:val="center"/>
                </w:tcPr>
                <w:p w14:paraId="538F633C">
                  <w:pPr>
                    <w:pStyle w:val="73"/>
                    <w:spacing w:before="50" w:after="50"/>
                    <w:rPr>
                      <w:color w:val="000000"/>
                      <w:szCs w:val="21"/>
                    </w:rPr>
                  </w:pPr>
                </w:p>
              </w:tc>
            </w:tr>
            <w:tr w14:paraId="289AA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0E4D8426">
                  <w:pPr>
                    <w:pStyle w:val="73"/>
                    <w:spacing w:before="50" w:after="50"/>
                    <w:rPr>
                      <w:snapToGrid w:val="0"/>
                      <w:color w:val="000000"/>
                      <w:szCs w:val="21"/>
                      <w:highlight w:val="yellow"/>
                    </w:rPr>
                  </w:pPr>
                </w:p>
              </w:tc>
              <w:tc>
                <w:tcPr>
                  <w:tcW w:w="728" w:type="pct"/>
                  <w:vMerge w:val="continue"/>
                  <w:tcMar>
                    <w:left w:w="57" w:type="dxa"/>
                    <w:right w:w="57" w:type="dxa"/>
                  </w:tcMar>
                  <w:vAlign w:val="center"/>
                </w:tcPr>
                <w:p w14:paraId="54D46743">
                  <w:pPr>
                    <w:pStyle w:val="73"/>
                    <w:spacing w:before="50" w:after="50"/>
                    <w:rPr>
                      <w:color w:val="000000"/>
                      <w:szCs w:val="21"/>
                    </w:rPr>
                  </w:pPr>
                </w:p>
              </w:tc>
              <w:tc>
                <w:tcPr>
                  <w:tcW w:w="839" w:type="pct"/>
                  <w:tcMar>
                    <w:left w:w="57" w:type="dxa"/>
                    <w:right w:w="57" w:type="dxa"/>
                  </w:tcMar>
                  <w:vAlign w:val="center"/>
                </w:tcPr>
                <w:p w14:paraId="1948AEF1">
                  <w:pPr>
                    <w:pStyle w:val="73"/>
                    <w:spacing w:before="50" w:after="50"/>
                    <w:rPr>
                      <w:color w:val="000000"/>
                      <w:szCs w:val="21"/>
                    </w:rPr>
                  </w:pPr>
                  <w:r>
                    <w:rPr>
                      <w:color w:val="000000"/>
                      <w:szCs w:val="21"/>
                    </w:rPr>
                    <w:t>给排水</w:t>
                  </w:r>
                </w:p>
              </w:tc>
              <w:tc>
                <w:tcPr>
                  <w:tcW w:w="2223" w:type="pct"/>
                  <w:vAlign w:val="center"/>
                </w:tcPr>
                <w:p w14:paraId="5C0E7540">
                  <w:pPr>
                    <w:pStyle w:val="73"/>
                    <w:spacing w:before="50" w:after="50"/>
                    <w:jc w:val="both"/>
                    <w:rPr>
                      <w:color w:val="000000"/>
                      <w:szCs w:val="21"/>
                    </w:rPr>
                  </w:pPr>
                  <w:r>
                    <w:rPr>
                      <w:rFonts w:hint="eastAsia"/>
                      <w:color w:val="000000"/>
                      <w:szCs w:val="21"/>
                    </w:rPr>
                    <w:t>给水：</w:t>
                  </w:r>
                  <w:r>
                    <w:rPr>
                      <w:rFonts w:hint="eastAsia"/>
                      <w:color w:val="000000"/>
                      <w:szCs w:val="21"/>
                      <w:lang w:val="en-US" w:eastAsia="zh-CN"/>
                    </w:rPr>
                    <w:t>从</w:t>
                  </w:r>
                  <w:r>
                    <w:rPr>
                      <w:rFonts w:hint="eastAsia"/>
                      <w:snapToGrid w:val="0"/>
                      <w:color w:val="000000"/>
                      <w:szCs w:val="21"/>
                      <w:lang w:val="en-US" w:eastAsia="zh-CN"/>
                    </w:rPr>
                    <w:t>站址附近运水</w:t>
                  </w:r>
                  <w:r>
                    <w:rPr>
                      <w:rFonts w:hint="eastAsia"/>
                      <w:snapToGrid w:val="0"/>
                      <w:color w:val="000000"/>
                      <w:szCs w:val="21"/>
                    </w:rPr>
                    <w:t>。</w:t>
                  </w:r>
                  <w:r>
                    <w:rPr>
                      <w:snapToGrid w:val="0"/>
                      <w:color w:val="000000"/>
                      <w:szCs w:val="21"/>
                    </w:rPr>
                    <w:br w:type="textWrapping"/>
                  </w:r>
                  <w:r>
                    <w:rPr>
                      <w:rFonts w:hint="eastAsia"/>
                      <w:snapToGrid w:val="0"/>
                      <w:color w:val="000000"/>
                      <w:szCs w:val="21"/>
                    </w:rPr>
                    <w:t>排水：站区排水系统采用分流制。雨水采用渗排和场地排水相结合的方式排水，生活污水经站区</w:t>
                  </w:r>
                  <w:r>
                    <w:rPr>
                      <w:rFonts w:hint="eastAsia"/>
                      <w:szCs w:val="21"/>
                      <w:lang w:val="en-US" w:eastAsia="zh-CN"/>
                    </w:rPr>
                    <w:t>污水处理设施</w:t>
                  </w:r>
                  <w:r>
                    <w:rPr>
                      <w:rFonts w:hint="eastAsia"/>
                      <w:snapToGrid w:val="0"/>
                      <w:color w:val="000000"/>
                      <w:szCs w:val="21"/>
                    </w:rPr>
                    <w:t>处理后，不外排。</w:t>
                  </w:r>
                </w:p>
              </w:tc>
            </w:tr>
            <w:tr w14:paraId="77C94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0BB13401">
                  <w:pPr>
                    <w:pStyle w:val="73"/>
                    <w:spacing w:before="50" w:after="50"/>
                    <w:rPr>
                      <w:snapToGrid w:val="0"/>
                      <w:color w:val="000000"/>
                      <w:szCs w:val="21"/>
                      <w:highlight w:val="yellow"/>
                    </w:rPr>
                  </w:pPr>
                </w:p>
              </w:tc>
              <w:tc>
                <w:tcPr>
                  <w:tcW w:w="728" w:type="pct"/>
                  <w:tcMar>
                    <w:left w:w="57" w:type="dxa"/>
                    <w:right w:w="57" w:type="dxa"/>
                  </w:tcMar>
                  <w:vAlign w:val="center"/>
                </w:tcPr>
                <w:p w14:paraId="77EDA4D2">
                  <w:pPr>
                    <w:pStyle w:val="73"/>
                    <w:spacing w:before="50" w:after="50"/>
                    <w:rPr>
                      <w:color w:val="000000"/>
                      <w:szCs w:val="21"/>
                    </w:rPr>
                  </w:pPr>
                  <w:r>
                    <w:rPr>
                      <w:rFonts w:hint="eastAsia"/>
                      <w:color w:val="000000"/>
                      <w:szCs w:val="21"/>
                    </w:rPr>
                    <w:t>环保工程</w:t>
                  </w:r>
                </w:p>
              </w:tc>
              <w:tc>
                <w:tcPr>
                  <w:tcW w:w="839" w:type="pct"/>
                  <w:tcMar>
                    <w:left w:w="57" w:type="dxa"/>
                    <w:right w:w="57" w:type="dxa"/>
                  </w:tcMar>
                  <w:vAlign w:val="center"/>
                </w:tcPr>
                <w:p w14:paraId="69F593B0">
                  <w:pPr>
                    <w:pStyle w:val="73"/>
                    <w:spacing w:before="50" w:after="50"/>
                    <w:rPr>
                      <w:color w:val="000000"/>
                      <w:szCs w:val="21"/>
                    </w:rPr>
                  </w:pPr>
                  <w:r>
                    <w:rPr>
                      <w:rFonts w:hint="eastAsia"/>
                      <w:color w:val="000000"/>
                      <w:szCs w:val="21"/>
                    </w:rPr>
                    <w:t>事故油池</w:t>
                  </w:r>
                </w:p>
              </w:tc>
              <w:tc>
                <w:tcPr>
                  <w:tcW w:w="2223" w:type="pct"/>
                  <w:vAlign w:val="center"/>
                </w:tcPr>
                <w:p w14:paraId="1746A4B2">
                  <w:pPr>
                    <w:pStyle w:val="73"/>
                    <w:spacing w:before="50" w:after="50"/>
                    <w:jc w:val="both"/>
                    <w:rPr>
                      <w:color w:val="000000"/>
                      <w:szCs w:val="21"/>
                    </w:rPr>
                  </w:pPr>
                  <w:r>
                    <w:rPr>
                      <w:rFonts w:hint="eastAsia"/>
                      <w:color w:val="000000"/>
                      <w:szCs w:val="21"/>
                    </w:rPr>
                    <w:t>前期设置防渗事故油池，收集事故排放的变压器油并由具备相关资质的专业公司予以回收。</w:t>
                  </w:r>
                </w:p>
              </w:tc>
            </w:tr>
            <w:tr w14:paraId="62414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restart"/>
                  <w:tcMar>
                    <w:left w:w="57" w:type="dxa"/>
                    <w:right w:w="57" w:type="dxa"/>
                  </w:tcMar>
                  <w:vAlign w:val="center"/>
                </w:tcPr>
                <w:p w14:paraId="3F0E6C78">
                  <w:pPr>
                    <w:pStyle w:val="73"/>
                    <w:spacing w:before="50" w:after="50"/>
                    <w:rPr>
                      <w:rFonts w:hint="eastAsia" w:eastAsia="宋体"/>
                      <w:snapToGrid w:val="0"/>
                      <w:color w:val="000000"/>
                      <w:szCs w:val="21"/>
                      <w:highlight w:val="yellow"/>
                      <w:lang w:eastAsia="zh-CN"/>
                    </w:rPr>
                  </w:pPr>
                  <w:r>
                    <w:rPr>
                      <w:rFonts w:hint="eastAsia"/>
                      <w:color w:val="000000"/>
                      <w:szCs w:val="21"/>
                      <w:lang w:eastAsia="zh-CN"/>
                    </w:rPr>
                    <w:t>港城~新阳110千伏线路工程</w:t>
                  </w:r>
                </w:p>
              </w:tc>
              <w:tc>
                <w:tcPr>
                  <w:tcW w:w="728" w:type="pct"/>
                  <w:vMerge w:val="restart"/>
                  <w:tcMar>
                    <w:left w:w="57" w:type="dxa"/>
                    <w:right w:w="57" w:type="dxa"/>
                  </w:tcMar>
                  <w:vAlign w:val="center"/>
                </w:tcPr>
                <w:p w14:paraId="65DE8CAE">
                  <w:pPr>
                    <w:pStyle w:val="73"/>
                    <w:spacing w:before="50" w:after="50"/>
                    <w:rPr>
                      <w:color w:val="000000"/>
                      <w:szCs w:val="21"/>
                    </w:rPr>
                  </w:pPr>
                  <w:r>
                    <w:rPr>
                      <w:rFonts w:hint="eastAsia"/>
                      <w:color w:val="000000"/>
                      <w:szCs w:val="21"/>
                    </w:rPr>
                    <w:t>主体工程</w:t>
                  </w:r>
                </w:p>
              </w:tc>
              <w:tc>
                <w:tcPr>
                  <w:tcW w:w="839" w:type="pct"/>
                  <w:tcMar>
                    <w:left w:w="57" w:type="dxa"/>
                    <w:right w:w="57" w:type="dxa"/>
                  </w:tcMar>
                  <w:vAlign w:val="center"/>
                </w:tcPr>
                <w:p w14:paraId="462D6478">
                  <w:pPr>
                    <w:pStyle w:val="73"/>
                    <w:spacing w:before="50" w:after="50"/>
                    <w:rPr>
                      <w:color w:val="000000"/>
                      <w:szCs w:val="21"/>
                    </w:rPr>
                  </w:pPr>
                  <w:r>
                    <w:rPr>
                      <w:rFonts w:hint="eastAsia"/>
                      <w:szCs w:val="21"/>
                    </w:rPr>
                    <w:t>线路路径长度（km）</w:t>
                  </w:r>
                </w:p>
              </w:tc>
              <w:tc>
                <w:tcPr>
                  <w:tcW w:w="2223" w:type="pct"/>
                  <w:vAlign w:val="center"/>
                </w:tcPr>
                <w:p w14:paraId="0873E5AF">
                  <w:pPr>
                    <w:pStyle w:val="73"/>
                    <w:spacing w:before="50" w:after="50"/>
                    <w:rPr>
                      <w:color w:val="000000"/>
                      <w:szCs w:val="21"/>
                    </w:rPr>
                  </w:pPr>
                  <w:r>
                    <w:rPr>
                      <w:rFonts w:hint="eastAsia"/>
                      <w:color w:val="000000"/>
                      <w:szCs w:val="21"/>
                    </w:rPr>
                    <w:t>约</w:t>
                  </w:r>
                  <w:r>
                    <w:rPr>
                      <w:rFonts w:hint="eastAsia"/>
                      <w:color w:val="000000"/>
                      <w:szCs w:val="21"/>
                      <w:lang w:val="en-US" w:eastAsia="zh-CN"/>
                    </w:rPr>
                    <w:t>5.2</w:t>
                  </w:r>
                  <w:r>
                    <w:rPr>
                      <w:rFonts w:hint="eastAsia"/>
                      <w:color w:val="000000"/>
                      <w:szCs w:val="21"/>
                    </w:rPr>
                    <w:t>km</w:t>
                  </w:r>
                </w:p>
              </w:tc>
            </w:tr>
            <w:tr w14:paraId="18A3A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08CE86F4">
                  <w:pPr>
                    <w:pStyle w:val="73"/>
                    <w:spacing w:before="50" w:after="50"/>
                    <w:rPr>
                      <w:color w:val="000000"/>
                      <w:szCs w:val="21"/>
                    </w:rPr>
                  </w:pPr>
                </w:p>
              </w:tc>
              <w:tc>
                <w:tcPr>
                  <w:tcW w:w="728" w:type="pct"/>
                  <w:vMerge w:val="continue"/>
                  <w:tcMar>
                    <w:left w:w="57" w:type="dxa"/>
                    <w:right w:w="57" w:type="dxa"/>
                  </w:tcMar>
                  <w:vAlign w:val="center"/>
                </w:tcPr>
                <w:p w14:paraId="32950C96">
                  <w:pPr>
                    <w:pStyle w:val="73"/>
                    <w:spacing w:before="50" w:after="50"/>
                    <w:rPr>
                      <w:color w:val="000000"/>
                      <w:szCs w:val="21"/>
                    </w:rPr>
                  </w:pPr>
                </w:p>
              </w:tc>
              <w:tc>
                <w:tcPr>
                  <w:tcW w:w="839" w:type="pct"/>
                  <w:tcMar>
                    <w:left w:w="57" w:type="dxa"/>
                    <w:right w:w="57" w:type="dxa"/>
                  </w:tcMar>
                  <w:vAlign w:val="center"/>
                </w:tcPr>
                <w:p w14:paraId="45DA0006">
                  <w:pPr>
                    <w:pStyle w:val="73"/>
                    <w:spacing w:before="50" w:after="50"/>
                    <w:rPr>
                      <w:b/>
                      <w:bCs/>
                      <w:color w:val="000000"/>
                      <w:szCs w:val="21"/>
                    </w:rPr>
                  </w:pPr>
                  <w:r>
                    <w:rPr>
                      <w:rFonts w:hint="eastAsia"/>
                      <w:szCs w:val="21"/>
                    </w:rPr>
                    <w:t>新建铁塔数量（基）</w:t>
                  </w:r>
                </w:p>
              </w:tc>
              <w:tc>
                <w:tcPr>
                  <w:tcW w:w="2223" w:type="pct"/>
                  <w:vAlign w:val="center"/>
                </w:tcPr>
                <w:p w14:paraId="2150ED71">
                  <w:pPr>
                    <w:pStyle w:val="73"/>
                    <w:spacing w:before="50" w:after="50"/>
                    <w:rPr>
                      <w:rFonts w:hint="default" w:eastAsia="宋体"/>
                      <w:color w:val="000000"/>
                      <w:szCs w:val="21"/>
                      <w:lang w:val="en-US" w:eastAsia="zh-CN"/>
                    </w:rPr>
                  </w:pPr>
                  <w:r>
                    <w:rPr>
                      <w:rFonts w:hint="eastAsia"/>
                      <w:color w:val="000000"/>
                      <w:szCs w:val="21"/>
                      <w:lang w:val="en-US" w:eastAsia="zh-CN"/>
                    </w:rPr>
                    <w:t>19</w:t>
                  </w:r>
                </w:p>
              </w:tc>
            </w:tr>
            <w:tr w14:paraId="6D1CE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4A0A4DA2">
                  <w:pPr>
                    <w:pStyle w:val="73"/>
                    <w:spacing w:before="50" w:after="50"/>
                    <w:rPr>
                      <w:color w:val="000000"/>
                      <w:szCs w:val="21"/>
                    </w:rPr>
                  </w:pPr>
                </w:p>
              </w:tc>
              <w:tc>
                <w:tcPr>
                  <w:tcW w:w="728" w:type="pct"/>
                  <w:vMerge w:val="continue"/>
                  <w:tcMar>
                    <w:left w:w="57" w:type="dxa"/>
                    <w:right w:w="57" w:type="dxa"/>
                  </w:tcMar>
                  <w:vAlign w:val="center"/>
                </w:tcPr>
                <w:p w14:paraId="0ACBE037">
                  <w:pPr>
                    <w:pStyle w:val="73"/>
                    <w:spacing w:before="50" w:after="50"/>
                    <w:rPr>
                      <w:color w:val="000000"/>
                      <w:szCs w:val="21"/>
                    </w:rPr>
                  </w:pPr>
                </w:p>
              </w:tc>
              <w:tc>
                <w:tcPr>
                  <w:tcW w:w="839" w:type="pct"/>
                  <w:tcMar>
                    <w:left w:w="57" w:type="dxa"/>
                    <w:right w:w="57" w:type="dxa"/>
                  </w:tcMar>
                  <w:vAlign w:val="center"/>
                </w:tcPr>
                <w:p w14:paraId="011390AB">
                  <w:pPr>
                    <w:pStyle w:val="73"/>
                    <w:spacing w:before="50" w:after="50"/>
                    <w:rPr>
                      <w:color w:val="000000"/>
                      <w:szCs w:val="21"/>
                    </w:rPr>
                  </w:pPr>
                  <w:r>
                    <w:rPr>
                      <w:rFonts w:hint="eastAsia"/>
                      <w:szCs w:val="21"/>
                    </w:rPr>
                    <w:t>铁塔</w:t>
                  </w:r>
                  <w:r>
                    <w:rPr>
                      <w:rFonts w:hint="eastAsia"/>
                      <w:color w:val="000000"/>
                      <w:szCs w:val="21"/>
                    </w:rPr>
                    <w:t>型式</w:t>
                  </w:r>
                </w:p>
              </w:tc>
              <w:tc>
                <w:tcPr>
                  <w:tcW w:w="2223" w:type="pct"/>
                  <w:vAlign w:val="center"/>
                </w:tcPr>
                <w:p w14:paraId="3628ECE8">
                  <w:pPr>
                    <w:pStyle w:val="73"/>
                    <w:spacing w:before="50" w:after="50"/>
                    <w:rPr>
                      <w:b/>
                      <w:bCs/>
                      <w:color w:val="000000"/>
                      <w:szCs w:val="21"/>
                    </w:rPr>
                  </w:pPr>
                  <w:r>
                    <w:rPr>
                      <w:rFonts w:hint="eastAsia"/>
                      <w:color w:val="000000"/>
                      <w:szCs w:val="21"/>
                      <w:lang w:val="en-US" w:eastAsia="zh-CN"/>
                    </w:rPr>
                    <w:t>110</w:t>
                  </w:r>
                  <w:r>
                    <w:rPr>
                      <w:rFonts w:hint="eastAsia"/>
                      <w:color w:val="000000"/>
                      <w:szCs w:val="21"/>
                    </w:rPr>
                    <w:t>-</w:t>
                  </w:r>
                  <w:r>
                    <w:rPr>
                      <w:rFonts w:hint="eastAsia"/>
                      <w:color w:val="000000"/>
                      <w:szCs w:val="21"/>
                      <w:lang w:val="en-US" w:eastAsia="zh-CN"/>
                    </w:rPr>
                    <w:t>XY</w:t>
                  </w:r>
                  <w:r>
                    <w:rPr>
                      <w:rFonts w:hint="eastAsia"/>
                      <w:color w:val="000000"/>
                      <w:szCs w:val="21"/>
                    </w:rPr>
                    <w:t>模块塔</w:t>
                  </w:r>
                </w:p>
              </w:tc>
            </w:tr>
            <w:tr w14:paraId="323F0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4892B5F1">
                  <w:pPr>
                    <w:pStyle w:val="73"/>
                    <w:spacing w:before="50" w:after="50"/>
                    <w:rPr>
                      <w:color w:val="000000"/>
                      <w:szCs w:val="21"/>
                    </w:rPr>
                  </w:pPr>
                </w:p>
              </w:tc>
              <w:tc>
                <w:tcPr>
                  <w:tcW w:w="728" w:type="pct"/>
                  <w:vMerge w:val="continue"/>
                  <w:tcMar>
                    <w:left w:w="57" w:type="dxa"/>
                    <w:right w:w="57" w:type="dxa"/>
                  </w:tcMar>
                  <w:vAlign w:val="center"/>
                </w:tcPr>
                <w:p w14:paraId="2FEBC3D6">
                  <w:pPr>
                    <w:pStyle w:val="73"/>
                    <w:spacing w:before="50" w:after="50"/>
                    <w:rPr>
                      <w:szCs w:val="21"/>
                    </w:rPr>
                  </w:pPr>
                </w:p>
              </w:tc>
              <w:tc>
                <w:tcPr>
                  <w:tcW w:w="839" w:type="pct"/>
                  <w:tcMar>
                    <w:left w:w="57" w:type="dxa"/>
                    <w:right w:w="57" w:type="dxa"/>
                  </w:tcMar>
                  <w:vAlign w:val="center"/>
                </w:tcPr>
                <w:p w14:paraId="6441529B">
                  <w:pPr>
                    <w:pStyle w:val="73"/>
                    <w:spacing w:before="50" w:after="50"/>
                    <w:rPr>
                      <w:szCs w:val="21"/>
                    </w:rPr>
                  </w:pPr>
                  <w:r>
                    <w:rPr>
                      <w:rFonts w:hint="eastAsia"/>
                      <w:color w:val="000000"/>
                      <w:szCs w:val="21"/>
                    </w:rPr>
                    <w:t>基础型式</w:t>
                  </w:r>
                </w:p>
              </w:tc>
              <w:tc>
                <w:tcPr>
                  <w:tcW w:w="2223" w:type="pct"/>
                  <w:vAlign w:val="center"/>
                </w:tcPr>
                <w:p w14:paraId="1C1EAEDE">
                  <w:pPr>
                    <w:pStyle w:val="73"/>
                    <w:spacing w:before="50" w:after="50"/>
                    <w:rPr>
                      <w:szCs w:val="21"/>
                    </w:rPr>
                  </w:pPr>
                  <w:r>
                    <w:rPr>
                      <w:rFonts w:hint="eastAsia"/>
                      <w:color w:val="000000"/>
                      <w:szCs w:val="21"/>
                    </w:rPr>
                    <w:t>挖孔</w:t>
                  </w:r>
                  <w:r>
                    <w:rPr>
                      <w:rFonts w:hint="eastAsia"/>
                      <w:color w:val="000000"/>
                      <w:szCs w:val="21"/>
                      <w:lang w:val="en-US" w:eastAsia="zh-CN"/>
                    </w:rPr>
                    <w:t>桩</w:t>
                  </w:r>
                  <w:r>
                    <w:rPr>
                      <w:rFonts w:hint="eastAsia"/>
                      <w:color w:val="000000"/>
                      <w:szCs w:val="21"/>
                    </w:rPr>
                    <w:t>基础</w:t>
                  </w:r>
                </w:p>
              </w:tc>
            </w:tr>
            <w:tr w14:paraId="5A303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19FA971A">
                  <w:pPr>
                    <w:pStyle w:val="73"/>
                    <w:spacing w:before="50" w:after="50"/>
                    <w:rPr>
                      <w:color w:val="000000"/>
                      <w:szCs w:val="21"/>
                    </w:rPr>
                  </w:pPr>
                </w:p>
              </w:tc>
              <w:tc>
                <w:tcPr>
                  <w:tcW w:w="728" w:type="pct"/>
                  <w:vMerge w:val="continue"/>
                  <w:tcMar>
                    <w:left w:w="57" w:type="dxa"/>
                    <w:right w:w="57" w:type="dxa"/>
                  </w:tcMar>
                  <w:vAlign w:val="center"/>
                </w:tcPr>
                <w:p w14:paraId="4794BF75">
                  <w:pPr>
                    <w:pStyle w:val="73"/>
                    <w:spacing w:before="50" w:after="50"/>
                    <w:rPr>
                      <w:szCs w:val="21"/>
                    </w:rPr>
                  </w:pPr>
                </w:p>
              </w:tc>
              <w:tc>
                <w:tcPr>
                  <w:tcW w:w="839" w:type="pct"/>
                  <w:tcMar>
                    <w:left w:w="57" w:type="dxa"/>
                    <w:right w:w="57" w:type="dxa"/>
                  </w:tcMar>
                  <w:vAlign w:val="center"/>
                </w:tcPr>
                <w:p w14:paraId="305DAEC3">
                  <w:pPr>
                    <w:pStyle w:val="73"/>
                    <w:spacing w:before="50" w:after="50"/>
                    <w:rPr>
                      <w:szCs w:val="21"/>
                    </w:rPr>
                  </w:pPr>
                  <w:r>
                    <w:rPr>
                      <w:color w:val="000000"/>
                      <w:szCs w:val="21"/>
                    </w:rPr>
                    <w:t>导线型号</w:t>
                  </w:r>
                </w:p>
              </w:tc>
              <w:tc>
                <w:tcPr>
                  <w:tcW w:w="2223" w:type="pct"/>
                  <w:vAlign w:val="center"/>
                </w:tcPr>
                <w:p w14:paraId="38C43E1D">
                  <w:pPr>
                    <w:pStyle w:val="73"/>
                    <w:spacing w:before="50" w:after="50"/>
                    <w:rPr>
                      <w:szCs w:val="21"/>
                    </w:rPr>
                  </w:pPr>
                  <w:r>
                    <w:rPr>
                      <w:rFonts w:hint="eastAsia"/>
                      <w:color w:val="000000"/>
                      <w:szCs w:val="21"/>
                    </w:rPr>
                    <w:t>JL3/G1A-240/30型钢芯铝绞线</w:t>
                  </w:r>
                </w:p>
              </w:tc>
            </w:tr>
            <w:tr w14:paraId="75B81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63803E49">
                  <w:pPr>
                    <w:pStyle w:val="73"/>
                    <w:spacing w:before="50" w:after="50"/>
                    <w:rPr>
                      <w:color w:val="000000"/>
                      <w:szCs w:val="21"/>
                    </w:rPr>
                  </w:pPr>
                </w:p>
              </w:tc>
              <w:tc>
                <w:tcPr>
                  <w:tcW w:w="728" w:type="pct"/>
                  <w:vMerge w:val="continue"/>
                  <w:tcMar>
                    <w:left w:w="57" w:type="dxa"/>
                    <w:right w:w="57" w:type="dxa"/>
                  </w:tcMar>
                  <w:vAlign w:val="center"/>
                </w:tcPr>
                <w:p w14:paraId="6E787F5C">
                  <w:pPr>
                    <w:pStyle w:val="73"/>
                    <w:spacing w:before="50" w:after="50"/>
                    <w:rPr>
                      <w:color w:val="000000"/>
                      <w:szCs w:val="21"/>
                    </w:rPr>
                  </w:pPr>
                </w:p>
              </w:tc>
              <w:tc>
                <w:tcPr>
                  <w:tcW w:w="839" w:type="pct"/>
                  <w:tcMar>
                    <w:left w:w="57" w:type="dxa"/>
                    <w:right w:w="57" w:type="dxa"/>
                  </w:tcMar>
                  <w:vAlign w:val="center"/>
                </w:tcPr>
                <w:p w14:paraId="5EAF8CB6">
                  <w:pPr>
                    <w:pStyle w:val="73"/>
                    <w:spacing w:before="50" w:after="50"/>
                    <w:rPr>
                      <w:color w:val="000000"/>
                      <w:szCs w:val="21"/>
                    </w:rPr>
                  </w:pPr>
                  <w:r>
                    <w:rPr>
                      <w:rFonts w:hint="eastAsia"/>
                      <w:color w:val="000000"/>
                      <w:szCs w:val="21"/>
                    </w:rPr>
                    <w:t>地线</w:t>
                  </w:r>
                  <w:r>
                    <w:rPr>
                      <w:color w:val="000000"/>
                      <w:szCs w:val="21"/>
                    </w:rPr>
                    <w:t>型号</w:t>
                  </w:r>
                </w:p>
              </w:tc>
              <w:tc>
                <w:tcPr>
                  <w:tcW w:w="2223" w:type="pct"/>
                  <w:vAlign w:val="center"/>
                </w:tcPr>
                <w:p w14:paraId="276190F2">
                  <w:pPr>
                    <w:pStyle w:val="73"/>
                    <w:spacing w:before="50" w:after="50"/>
                    <w:rPr>
                      <w:rFonts w:hint="eastAsia"/>
                      <w:color w:val="000000"/>
                      <w:szCs w:val="21"/>
                    </w:rPr>
                  </w:pPr>
                  <w:r>
                    <w:rPr>
                      <w:rFonts w:hint="eastAsia"/>
                      <w:color w:val="000000"/>
                      <w:szCs w:val="21"/>
                    </w:rPr>
                    <w:t>单回路段采用2根24芯OPGW光缆</w:t>
                  </w:r>
                </w:p>
                <w:p w14:paraId="6FF66D4D">
                  <w:pPr>
                    <w:pStyle w:val="73"/>
                    <w:spacing w:before="50" w:after="50"/>
                    <w:rPr>
                      <w:color w:val="000000"/>
                      <w:szCs w:val="21"/>
                    </w:rPr>
                  </w:pPr>
                  <w:r>
                    <w:rPr>
                      <w:rFonts w:hint="eastAsia"/>
                      <w:color w:val="000000"/>
                      <w:szCs w:val="21"/>
                    </w:rPr>
                    <w:t>双回路段采用2根48芯OPGW光缆</w:t>
                  </w:r>
                </w:p>
              </w:tc>
            </w:tr>
            <w:tr w14:paraId="11F58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005FB2C8">
                  <w:pPr>
                    <w:pStyle w:val="73"/>
                    <w:spacing w:before="50" w:after="50"/>
                    <w:rPr>
                      <w:color w:val="000000"/>
                      <w:szCs w:val="21"/>
                    </w:rPr>
                  </w:pPr>
                </w:p>
              </w:tc>
              <w:tc>
                <w:tcPr>
                  <w:tcW w:w="728" w:type="pct"/>
                  <w:vMerge w:val="continue"/>
                  <w:tcMar>
                    <w:left w:w="57" w:type="dxa"/>
                    <w:right w:w="57" w:type="dxa"/>
                  </w:tcMar>
                  <w:vAlign w:val="center"/>
                </w:tcPr>
                <w:p w14:paraId="445CCDE7">
                  <w:pPr>
                    <w:pStyle w:val="73"/>
                    <w:spacing w:before="50" w:after="50"/>
                    <w:rPr>
                      <w:color w:val="000000"/>
                      <w:szCs w:val="21"/>
                    </w:rPr>
                  </w:pPr>
                </w:p>
              </w:tc>
              <w:tc>
                <w:tcPr>
                  <w:tcW w:w="839" w:type="pct"/>
                  <w:tcMar>
                    <w:left w:w="57" w:type="dxa"/>
                    <w:right w:w="57" w:type="dxa"/>
                  </w:tcMar>
                  <w:vAlign w:val="center"/>
                </w:tcPr>
                <w:p w14:paraId="33B1A2D8">
                  <w:pPr>
                    <w:pStyle w:val="73"/>
                    <w:spacing w:before="50" w:after="50"/>
                    <w:rPr>
                      <w:color w:val="000000"/>
                      <w:szCs w:val="21"/>
                    </w:rPr>
                  </w:pPr>
                  <w:r>
                    <w:rPr>
                      <w:rFonts w:hint="eastAsia"/>
                      <w:color w:val="000000"/>
                      <w:szCs w:val="21"/>
                    </w:rPr>
                    <w:t>架设方式</w:t>
                  </w:r>
                </w:p>
              </w:tc>
              <w:tc>
                <w:tcPr>
                  <w:tcW w:w="2223" w:type="pct"/>
                  <w:vAlign w:val="center"/>
                </w:tcPr>
                <w:p w14:paraId="45340ED1">
                  <w:pPr>
                    <w:pStyle w:val="73"/>
                    <w:spacing w:before="50" w:after="50"/>
                    <w:rPr>
                      <w:color w:val="000000"/>
                      <w:szCs w:val="21"/>
                    </w:rPr>
                  </w:pPr>
                  <w:r>
                    <w:rPr>
                      <w:rFonts w:hint="eastAsia"/>
                      <w:color w:val="000000"/>
                      <w:szCs w:val="21"/>
                      <w:lang w:val="en-US" w:eastAsia="zh-CN"/>
                    </w:rPr>
                    <w:t>单回路架设、</w:t>
                  </w:r>
                  <w:r>
                    <w:rPr>
                      <w:rFonts w:hint="eastAsia"/>
                      <w:color w:val="000000"/>
                      <w:szCs w:val="21"/>
                    </w:rPr>
                    <w:t>同塔双回路架设</w:t>
                  </w:r>
                </w:p>
              </w:tc>
            </w:tr>
            <w:tr w14:paraId="2DFC6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7913A84E">
                  <w:pPr>
                    <w:pStyle w:val="73"/>
                    <w:spacing w:before="50" w:after="50"/>
                    <w:rPr>
                      <w:color w:val="000000"/>
                      <w:szCs w:val="21"/>
                    </w:rPr>
                  </w:pPr>
                </w:p>
              </w:tc>
              <w:tc>
                <w:tcPr>
                  <w:tcW w:w="728" w:type="pct"/>
                  <w:vMerge w:val="restart"/>
                  <w:tcMar>
                    <w:left w:w="57" w:type="dxa"/>
                    <w:right w:w="57" w:type="dxa"/>
                  </w:tcMar>
                  <w:vAlign w:val="center"/>
                </w:tcPr>
                <w:p w14:paraId="68087F3F">
                  <w:pPr>
                    <w:pStyle w:val="73"/>
                    <w:spacing w:before="50" w:after="50"/>
                    <w:rPr>
                      <w:color w:val="000000"/>
                      <w:szCs w:val="21"/>
                    </w:rPr>
                  </w:pPr>
                  <w:r>
                    <w:rPr>
                      <w:rFonts w:hint="eastAsia"/>
                      <w:color w:val="000000"/>
                      <w:szCs w:val="21"/>
                    </w:rPr>
                    <w:t>辅助工程</w:t>
                  </w:r>
                </w:p>
              </w:tc>
              <w:tc>
                <w:tcPr>
                  <w:tcW w:w="839" w:type="pct"/>
                  <w:tcMar>
                    <w:left w:w="57" w:type="dxa"/>
                    <w:right w:w="57" w:type="dxa"/>
                  </w:tcMar>
                  <w:vAlign w:val="center"/>
                </w:tcPr>
                <w:p w14:paraId="2A5FE9A6">
                  <w:pPr>
                    <w:pStyle w:val="73"/>
                    <w:spacing w:before="50" w:after="50"/>
                    <w:rPr>
                      <w:color w:val="000000"/>
                      <w:szCs w:val="21"/>
                    </w:rPr>
                  </w:pPr>
                  <w:r>
                    <w:rPr>
                      <w:rFonts w:hint="eastAsia"/>
                      <w:color w:val="000000"/>
                      <w:szCs w:val="21"/>
                    </w:rPr>
                    <w:t>塔基施工场地</w:t>
                  </w:r>
                </w:p>
              </w:tc>
              <w:tc>
                <w:tcPr>
                  <w:tcW w:w="2223" w:type="pct"/>
                  <w:vAlign w:val="center"/>
                </w:tcPr>
                <w:p w14:paraId="3F4018DC">
                  <w:pPr>
                    <w:pStyle w:val="73"/>
                    <w:spacing w:before="50" w:after="50"/>
                    <w:rPr>
                      <w:color w:val="000000"/>
                      <w:szCs w:val="21"/>
                    </w:rPr>
                  </w:pPr>
                  <w:r>
                    <w:rPr>
                      <w:rFonts w:hint="eastAsia"/>
                      <w:color w:val="000000"/>
                      <w:szCs w:val="21"/>
                    </w:rPr>
                    <w:t>临时占地约0.</w:t>
                  </w:r>
                  <w:r>
                    <w:rPr>
                      <w:rFonts w:hint="eastAsia"/>
                      <w:color w:val="000000"/>
                      <w:szCs w:val="21"/>
                      <w:lang w:val="en-US" w:eastAsia="zh-CN"/>
                    </w:rPr>
                    <w:t>84</w:t>
                  </w:r>
                  <w:r>
                    <w:rPr>
                      <w:rFonts w:hint="eastAsia"/>
                      <w:color w:val="000000"/>
                      <w:szCs w:val="21"/>
                    </w:rPr>
                    <w:t>hm</w:t>
                  </w:r>
                  <w:r>
                    <w:rPr>
                      <w:rFonts w:hint="eastAsia"/>
                      <w:color w:val="000000"/>
                      <w:szCs w:val="21"/>
                      <w:vertAlign w:val="superscript"/>
                    </w:rPr>
                    <w:t>2</w:t>
                  </w:r>
                </w:p>
              </w:tc>
            </w:tr>
            <w:tr w14:paraId="7D00F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173B1AA1">
                  <w:pPr>
                    <w:pStyle w:val="73"/>
                    <w:spacing w:before="50" w:after="50"/>
                    <w:rPr>
                      <w:color w:val="000000"/>
                      <w:szCs w:val="21"/>
                    </w:rPr>
                  </w:pPr>
                </w:p>
              </w:tc>
              <w:tc>
                <w:tcPr>
                  <w:tcW w:w="728" w:type="pct"/>
                  <w:vMerge w:val="continue"/>
                  <w:tcMar>
                    <w:left w:w="57" w:type="dxa"/>
                    <w:right w:w="57" w:type="dxa"/>
                  </w:tcMar>
                  <w:vAlign w:val="center"/>
                </w:tcPr>
                <w:p w14:paraId="5BEB50A6">
                  <w:pPr>
                    <w:pStyle w:val="73"/>
                    <w:spacing w:before="50" w:after="50"/>
                    <w:rPr>
                      <w:color w:val="000000"/>
                      <w:szCs w:val="21"/>
                    </w:rPr>
                  </w:pPr>
                </w:p>
              </w:tc>
              <w:tc>
                <w:tcPr>
                  <w:tcW w:w="839" w:type="pct"/>
                  <w:tcMar>
                    <w:left w:w="57" w:type="dxa"/>
                    <w:right w:w="57" w:type="dxa"/>
                  </w:tcMar>
                  <w:vAlign w:val="center"/>
                </w:tcPr>
                <w:p w14:paraId="33CD5AB1">
                  <w:pPr>
                    <w:pStyle w:val="73"/>
                    <w:spacing w:before="50" w:after="50"/>
                    <w:rPr>
                      <w:color w:val="000000"/>
                      <w:szCs w:val="21"/>
                    </w:rPr>
                  </w:pPr>
                  <w:r>
                    <w:rPr>
                      <w:rFonts w:hint="eastAsia"/>
                      <w:color w:val="000000"/>
                      <w:szCs w:val="21"/>
                    </w:rPr>
                    <w:t>牵张场</w:t>
                  </w:r>
                </w:p>
              </w:tc>
              <w:tc>
                <w:tcPr>
                  <w:tcW w:w="2223" w:type="pct"/>
                  <w:vAlign w:val="center"/>
                </w:tcPr>
                <w:p w14:paraId="51A73FEC">
                  <w:pPr>
                    <w:pStyle w:val="73"/>
                    <w:spacing w:before="50" w:after="50"/>
                    <w:rPr>
                      <w:color w:val="000000"/>
                      <w:szCs w:val="21"/>
                    </w:rPr>
                  </w:pPr>
                  <w:r>
                    <w:rPr>
                      <w:rFonts w:hint="eastAsia"/>
                      <w:color w:val="000000"/>
                      <w:szCs w:val="21"/>
                      <w:lang w:val="en-US" w:eastAsia="zh-CN"/>
                    </w:rPr>
                    <w:t>4</w:t>
                  </w:r>
                  <w:r>
                    <w:rPr>
                      <w:rFonts w:hint="eastAsia"/>
                      <w:color w:val="000000"/>
                      <w:szCs w:val="21"/>
                    </w:rPr>
                    <w:t>处，临时占地约0.</w:t>
                  </w:r>
                  <w:r>
                    <w:rPr>
                      <w:rFonts w:hint="eastAsia"/>
                      <w:color w:val="000000"/>
                      <w:szCs w:val="21"/>
                      <w:lang w:val="en-US" w:eastAsia="zh-CN"/>
                    </w:rPr>
                    <w:t>72</w:t>
                  </w:r>
                  <w:r>
                    <w:rPr>
                      <w:rFonts w:hint="eastAsia"/>
                      <w:color w:val="000000"/>
                      <w:szCs w:val="21"/>
                    </w:rPr>
                    <w:t>hm</w:t>
                  </w:r>
                  <w:r>
                    <w:rPr>
                      <w:rFonts w:hint="eastAsia"/>
                      <w:color w:val="000000"/>
                      <w:szCs w:val="21"/>
                      <w:vertAlign w:val="superscript"/>
                    </w:rPr>
                    <w:t>2</w:t>
                  </w:r>
                </w:p>
              </w:tc>
            </w:tr>
            <w:tr w14:paraId="741B7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1CBB66F2">
                  <w:pPr>
                    <w:pStyle w:val="73"/>
                    <w:spacing w:before="50" w:after="50"/>
                    <w:rPr>
                      <w:color w:val="000000"/>
                      <w:szCs w:val="21"/>
                    </w:rPr>
                  </w:pPr>
                </w:p>
              </w:tc>
              <w:tc>
                <w:tcPr>
                  <w:tcW w:w="728" w:type="pct"/>
                  <w:vMerge w:val="continue"/>
                  <w:tcMar>
                    <w:left w:w="57" w:type="dxa"/>
                    <w:right w:w="57" w:type="dxa"/>
                  </w:tcMar>
                  <w:vAlign w:val="center"/>
                </w:tcPr>
                <w:p w14:paraId="50700DE6">
                  <w:pPr>
                    <w:pStyle w:val="73"/>
                    <w:spacing w:before="50" w:after="50"/>
                    <w:rPr>
                      <w:color w:val="000000"/>
                      <w:szCs w:val="21"/>
                    </w:rPr>
                  </w:pPr>
                </w:p>
              </w:tc>
              <w:tc>
                <w:tcPr>
                  <w:tcW w:w="839" w:type="pct"/>
                  <w:tcMar>
                    <w:left w:w="57" w:type="dxa"/>
                    <w:right w:w="57" w:type="dxa"/>
                  </w:tcMar>
                  <w:vAlign w:val="center"/>
                </w:tcPr>
                <w:p w14:paraId="7F6958FD">
                  <w:pPr>
                    <w:pStyle w:val="73"/>
                    <w:spacing w:before="50" w:after="50"/>
                    <w:rPr>
                      <w:color w:val="000000"/>
                      <w:szCs w:val="21"/>
                    </w:rPr>
                  </w:pPr>
                  <w:r>
                    <w:rPr>
                      <w:rFonts w:hint="eastAsia"/>
                      <w:color w:val="000000"/>
                      <w:szCs w:val="21"/>
                    </w:rPr>
                    <w:t>跨越施工场地</w:t>
                  </w:r>
                </w:p>
              </w:tc>
              <w:tc>
                <w:tcPr>
                  <w:tcW w:w="2223" w:type="pct"/>
                  <w:vAlign w:val="center"/>
                </w:tcPr>
                <w:p w14:paraId="58772224">
                  <w:pPr>
                    <w:pStyle w:val="73"/>
                    <w:spacing w:before="50" w:after="50"/>
                    <w:rPr>
                      <w:color w:val="000000"/>
                      <w:szCs w:val="21"/>
                    </w:rPr>
                  </w:pPr>
                  <w:r>
                    <w:rPr>
                      <w:rFonts w:hint="eastAsia"/>
                      <w:color w:val="000000"/>
                      <w:szCs w:val="21"/>
                      <w:lang w:val="en-US" w:eastAsia="zh-CN"/>
                    </w:rPr>
                    <w:t>8</w:t>
                  </w:r>
                  <w:r>
                    <w:rPr>
                      <w:rFonts w:hint="eastAsia"/>
                      <w:color w:val="000000"/>
                      <w:szCs w:val="21"/>
                    </w:rPr>
                    <w:t>处，临时占地约0.</w:t>
                  </w:r>
                  <w:r>
                    <w:rPr>
                      <w:rFonts w:hint="eastAsia"/>
                      <w:color w:val="000000"/>
                      <w:szCs w:val="21"/>
                      <w:lang w:val="en-US" w:eastAsia="zh-CN"/>
                    </w:rPr>
                    <w:t>16</w:t>
                  </w:r>
                  <w:r>
                    <w:rPr>
                      <w:rFonts w:hint="eastAsia"/>
                      <w:color w:val="000000"/>
                      <w:szCs w:val="21"/>
                    </w:rPr>
                    <w:t>hm</w:t>
                  </w:r>
                  <w:r>
                    <w:rPr>
                      <w:rFonts w:hint="eastAsia"/>
                      <w:color w:val="000000"/>
                      <w:szCs w:val="21"/>
                      <w:vertAlign w:val="superscript"/>
                    </w:rPr>
                    <w:t>2</w:t>
                  </w:r>
                </w:p>
              </w:tc>
            </w:tr>
            <w:tr w14:paraId="6BBBD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1A2CCF36">
                  <w:pPr>
                    <w:pStyle w:val="73"/>
                    <w:spacing w:before="50" w:after="50"/>
                    <w:rPr>
                      <w:color w:val="000000"/>
                      <w:szCs w:val="21"/>
                    </w:rPr>
                  </w:pPr>
                </w:p>
              </w:tc>
              <w:tc>
                <w:tcPr>
                  <w:tcW w:w="728" w:type="pct"/>
                  <w:vMerge w:val="continue"/>
                  <w:tcMar>
                    <w:left w:w="57" w:type="dxa"/>
                    <w:right w:w="57" w:type="dxa"/>
                  </w:tcMar>
                  <w:vAlign w:val="center"/>
                </w:tcPr>
                <w:p w14:paraId="450AD217">
                  <w:pPr>
                    <w:pStyle w:val="73"/>
                    <w:spacing w:before="50" w:after="50"/>
                    <w:rPr>
                      <w:color w:val="000000"/>
                      <w:szCs w:val="21"/>
                    </w:rPr>
                  </w:pPr>
                </w:p>
              </w:tc>
              <w:tc>
                <w:tcPr>
                  <w:tcW w:w="839" w:type="pct"/>
                  <w:tcMar>
                    <w:left w:w="57" w:type="dxa"/>
                    <w:right w:w="57" w:type="dxa"/>
                  </w:tcMar>
                  <w:vAlign w:val="center"/>
                </w:tcPr>
                <w:p w14:paraId="55C532C4">
                  <w:pPr>
                    <w:pStyle w:val="73"/>
                    <w:spacing w:before="50" w:after="50"/>
                    <w:rPr>
                      <w:rFonts w:hint="default" w:eastAsia="宋体"/>
                      <w:color w:val="000000"/>
                      <w:szCs w:val="21"/>
                      <w:lang w:val="en-US" w:eastAsia="zh-CN"/>
                    </w:rPr>
                  </w:pPr>
                  <w:r>
                    <w:rPr>
                      <w:rFonts w:hint="eastAsia"/>
                      <w:color w:val="000000"/>
                      <w:szCs w:val="21"/>
                      <w:lang w:val="en-US" w:eastAsia="zh-CN"/>
                    </w:rPr>
                    <w:t>电缆工程区</w:t>
                  </w:r>
                </w:p>
              </w:tc>
              <w:tc>
                <w:tcPr>
                  <w:tcW w:w="2223" w:type="pct"/>
                  <w:vAlign w:val="center"/>
                </w:tcPr>
                <w:p w14:paraId="5DB8E28D">
                  <w:pPr>
                    <w:pStyle w:val="73"/>
                    <w:spacing w:before="50" w:after="50"/>
                    <w:jc w:val="both"/>
                    <w:rPr>
                      <w:rFonts w:hint="default"/>
                      <w:color w:val="000000"/>
                      <w:szCs w:val="21"/>
                      <w:lang w:val="en-US" w:eastAsia="zh-CN"/>
                    </w:rPr>
                  </w:pPr>
                  <w:r>
                    <w:rPr>
                      <w:rFonts w:hint="eastAsia"/>
                      <w:color w:val="000000"/>
                      <w:szCs w:val="21"/>
                      <w:lang w:val="en-US" w:eastAsia="zh-CN"/>
                    </w:rPr>
                    <w:t>本工程拟建线路J5-J6段与10kV港能一二线重叠，将10kV港能一二线84#-87#杆约0.22km架空线路改为电缆敷设，电缆工程区占地约0.13hm</w:t>
                  </w:r>
                  <w:r>
                    <w:rPr>
                      <w:rFonts w:hint="eastAsia"/>
                      <w:color w:val="000000"/>
                      <w:szCs w:val="21"/>
                      <w:vertAlign w:val="superscript"/>
                      <w:lang w:val="en-US" w:eastAsia="zh-CN"/>
                    </w:rPr>
                    <w:t>2</w:t>
                  </w:r>
                  <w:r>
                    <w:rPr>
                      <w:rFonts w:hint="eastAsia"/>
                      <w:color w:val="000000"/>
                      <w:szCs w:val="21"/>
                      <w:lang w:val="en-US" w:eastAsia="zh-CN"/>
                    </w:rPr>
                    <w:t>。</w:t>
                  </w:r>
                </w:p>
              </w:tc>
            </w:tr>
            <w:tr w14:paraId="03959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09" w:type="pct"/>
                  <w:vMerge w:val="continue"/>
                  <w:tcMar>
                    <w:left w:w="57" w:type="dxa"/>
                    <w:right w:w="57" w:type="dxa"/>
                  </w:tcMar>
                  <w:vAlign w:val="center"/>
                </w:tcPr>
                <w:p w14:paraId="36104DF6">
                  <w:pPr>
                    <w:pStyle w:val="73"/>
                    <w:spacing w:before="50" w:after="50"/>
                    <w:rPr>
                      <w:color w:val="000000"/>
                      <w:szCs w:val="21"/>
                    </w:rPr>
                  </w:pPr>
                </w:p>
              </w:tc>
              <w:tc>
                <w:tcPr>
                  <w:tcW w:w="728" w:type="pct"/>
                  <w:tcMar>
                    <w:left w:w="57" w:type="dxa"/>
                    <w:right w:w="57" w:type="dxa"/>
                  </w:tcMar>
                  <w:vAlign w:val="center"/>
                </w:tcPr>
                <w:p w14:paraId="4696189C">
                  <w:pPr>
                    <w:pStyle w:val="73"/>
                    <w:spacing w:before="50" w:after="50"/>
                    <w:rPr>
                      <w:color w:val="000000"/>
                      <w:szCs w:val="21"/>
                    </w:rPr>
                  </w:pPr>
                  <w:r>
                    <w:rPr>
                      <w:rFonts w:hint="eastAsia"/>
                      <w:color w:val="000000"/>
                      <w:szCs w:val="21"/>
                    </w:rPr>
                    <w:t>环保工程</w:t>
                  </w:r>
                </w:p>
              </w:tc>
              <w:tc>
                <w:tcPr>
                  <w:tcW w:w="839" w:type="pct"/>
                  <w:tcMar>
                    <w:left w:w="57" w:type="dxa"/>
                    <w:right w:w="57" w:type="dxa"/>
                  </w:tcMar>
                  <w:vAlign w:val="center"/>
                </w:tcPr>
                <w:p w14:paraId="0396CF23">
                  <w:pPr>
                    <w:pStyle w:val="73"/>
                    <w:spacing w:before="50" w:after="50"/>
                    <w:rPr>
                      <w:color w:val="000000"/>
                      <w:szCs w:val="21"/>
                    </w:rPr>
                  </w:pPr>
                  <w:r>
                    <w:rPr>
                      <w:rFonts w:hint="eastAsia"/>
                      <w:color w:val="000000"/>
                      <w:szCs w:val="21"/>
                    </w:rPr>
                    <w:t>生态保护</w:t>
                  </w:r>
                </w:p>
              </w:tc>
              <w:tc>
                <w:tcPr>
                  <w:tcW w:w="2223" w:type="pct"/>
                  <w:vAlign w:val="center"/>
                </w:tcPr>
                <w:p w14:paraId="7C3B0F2C">
                  <w:pPr>
                    <w:pStyle w:val="73"/>
                    <w:spacing w:before="50" w:after="50"/>
                    <w:rPr>
                      <w:color w:val="000000"/>
                      <w:szCs w:val="21"/>
                    </w:rPr>
                  </w:pPr>
                  <w:r>
                    <w:rPr>
                      <w:rFonts w:hint="eastAsia"/>
                      <w:color w:val="000000"/>
                      <w:szCs w:val="21"/>
                    </w:rPr>
                    <w:t>优化塔基占地，减少施工临时占地，减少对植物的破坏，对临时占地及时恢复，施工结束后及时恢复土地原有功能</w:t>
                  </w:r>
                </w:p>
              </w:tc>
            </w:tr>
          </w:tbl>
          <w:p w14:paraId="7080D3DA">
            <w:pPr>
              <w:pStyle w:val="3"/>
              <w:numPr>
                <w:ilvl w:val="0"/>
                <w:numId w:val="5"/>
              </w:numPr>
              <w:spacing w:before="0" w:after="0" w:line="360" w:lineRule="auto"/>
              <w:rPr>
                <w:rFonts w:eastAsia="宋体"/>
                <w:sz w:val="24"/>
                <w:szCs w:val="24"/>
              </w:rPr>
            </w:pPr>
            <w:bookmarkStart w:id="33" w:name="_Toc97290401"/>
            <w:bookmarkStart w:id="34" w:name="_Toc109473390"/>
            <w:bookmarkStart w:id="35" w:name="_Toc96031245"/>
            <w:bookmarkStart w:id="36" w:name="_Toc97290535"/>
            <w:bookmarkStart w:id="37" w:name="_Toc109473838"/>
            <w:bookmarkStart w:id="38" w:name="_Toc91532125"/>
            <w:bookmarkStart w:id="39" w:name="_Toc109473759"/>
            <w:bookmarkStart w:id="40" w:name="_Toc88558480"/>
            <w:bookmarkStart w:id="41" w:name="_Toc91493218"/>
            <w:bookmarkStart w:id="42" w:name="_Toc96935365"/>
            <w:bookmarkStart w:id="43" w:name="_Toc95464619"/>
            <w:bookmarkStart w:id="44" w:name="_Toc96031328"/>
            <w:bookmarkStart w:id="45" w:name="_Toc109472532"/>
            <w:bookmarkStart w:id="46" w:name="_Toc110439051"/>
            <w:bookmarkStart w:id="47" w:name="_Toc111564272"/>
            <w:bookmarkStart w:id="48" w:name="_Toc16673"/>
            <w:bookmarkStart w:id="49" w:name="_Toc109473525"/>
            <w:r>
              <w:rPr>
                <w:rFonts w:hint="eastAsia" w:eastAsia="宋体"/>
                <w:sz w:val="24"/>
                <w:szCs w:val="24"/>
              </w:rPr>
              <w:t>项目</w:t>
            </w:r>
            <w:r>
              <w:rPr>
                <w:rFonts w:eastAsia="宋体"/>
                <w:sz w:val="24"/>
                <w:szCs w:val="24"/>
              </w:rPr>
              <w:t>规模</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7FC16D5">
            <w:pPr>
              <w:pStyle w:val="3"/>
              <w:numPr>
                <w:ilvl w:val="1"/>
                <w:numId w:val="5"/>
              </w:numPr>
              <w:spacing w:before="0" w:after="0" w:line="360" w:lineRule="auto"/>
              <w:rPr>
                <w:rFonts w:eastAsia="宋体"/>
                <w:sz w:val="24"/>
                <w:szCs w:val="24"/>
              </w:rPr>
            </w:pPr>
            <w:bookmarkStart w:id="50" w:name="_Toc17383"/>
            <w:r>
              <w:rPr>
                <w:rFonts w:hint="eastAsia" w:eastAsia="宋体"/>
                <w:sz w:val="24"/>
                <w:szCs w:val="24"/>
                <w:lang w:eastAsia="zh-CN"/>
              </w:rPr>
              <w:t>港城变110千伏间隔扩建工程</w:t>
            </w:r>
            <w:bookmarkEnd w:id="50"/>
          </w:p>
          <w:p w14:paraId="44CC4041">
            <w:pPr>
              <w:pStyle w:val="3"/>
              <w:numPr>
                <w:ilvl w:val="2"/>
                <w:numId w:val="5"/>
              </w:numPr>
              <w:spacing w:before="0" w:after="0" w:line="360" w:lineRule="auto"/>
              <w:rPr>
                <w:rFonts w:eastAsia="宋体"/>
                <w:sz w:val="24"/>
                <w:szCs w:val="24"/>
              </w:rPr>
            </w:pPr>
            <w:bookmarkStart w:id="51" w:name="_Toc5156"/>
            <w:r>
              <w:rPr>
                <w:rFonts w:hint="eastAsia" w:eastAsia="宋体"/>
                <w:sz w:val="24"/>
                <w:szCs w:val="24"/>
              </w:rPr>
              <w:t>前期工程概况</w:t>
            </w:r>
            <w:bookmarkEnd w:id="51"/>
          </w:p>
          <w:p w14:paraId="206B60BE">
            <w:pPr>
              <w:autoSpaceDE w:val="0"/>
              <w:autoSpaceDN w:val="0"/>
              <w:adjustRightInd w:val="0"/>
              <w:snapToGrid w:val="0"/>
              <w:spacing w:line="360" w:lineRule="auto"/>
              <w:ind w:firstLine="480" w:firstLineChars="200"/>
              <w:rPr>
                <w:rFonts w:hint="default" w:eastAsia="宋体"/>
                <w:snapToGrid w:val="0"/>
                <w:kern w:val="0"/>
                <w:sz w:val="24"/>
                <w:lang w:val="en-US" w:eastAsia="zh-CN"/>
              </w:rPr>
            </w:pPr>
            <w:r>
              <w:rPr>
                <w:rFonts w:hint="eastAsia"/>
                <w:color w:val="000000"/>
                <w:sz w:val="24"/>
                <w:lang w:eastAsia="zh-CN"/>
              </w:rPr>
              <w:t>港城110kV变电站</w:t>
            </w:r>
            <w:r>
              <w:rPr>
                <w:rFonts w:hint="eastAsia"/>
                <w:color w:val="000000"/>
                <w:sz w:val="24"/>
              </w:rPr>
              <w:t>前期属于“吐鲁番港城110千伏变电站二期扩建工程”建设内容，20</w:t>
            </w:r>
            <w:r>
              <w:rPr>
                <w:rFonts w:hint="eastAsia"/>
                <w:color w:val="000000"/>
                <w:sz w:val="24"/>
                <w:lang w:val="en-US" w:eastAsia="zh-CN"/>
              </w:rPr>
              <w:t>17</w:t>
            </w:r>
            <w:r>
              <w:rPr>
                <w:rFonts w:hint="eastAsia"/>
                <w:color w:val="000000"/>
                <w:sz w:val="24"/>
              </w:rPr>
              <w:t>年</w:t>
            </w:r>
            <w:r>
              <w:rPr>
                <w:rFonts w:hint="eastAsia"/>
                <w:color w:val="000000"/>
                <w:sz w:val="24"/>
                <w:lang w:val="en-US" w:eastAsia="zh-CN"/>
              </w:rPr>
              <w:t>4</w:t>
            </w:r>
            <w:r>
              <w:rPr>
                <w:rFonts w:hint="eastAsia"/>
                <w:color w:val="000000"/>
                <w:sz w:val="24"/>
              </w:rPr>
              <w:t>月，</w:t>
            </w:r>
            <w:r>
              <w:rPr>
                <w:rFonts w:hint="eastAsia"/>
                <w:color w:val="000000"/>
                <w:sz w:val="24"/>
                <w:lang w:val="en-US" w:eastAsia="zh-CN"/>
              </w:rPr>
              <w:t>原吐鲁番市高昌区环境保护局</w:t>
            </w:r>
            <w:r>
              <w:rPr>
                <w:rFonts w:hint="eastAsia"/>
                <w:color w:val="000000"/>
                <w:sz w:val="24"/>
              </w:rPr>
              <w:t>以《关于</w:t>
            </w:r>
            <w:r>
              <w:rPr>
                <w:rFonts w:hint="eastAsia" w:ascii="宋体" w:hAnsi="宋体" w:cs="宋体"/>
                <w:color w:val="000000"/>
                <w:sz w:val="24"/>
                <w:lang w:val="en-US" w:eastAsia="zh-CN"/>
              </w:rPr>
              <w:t>&lt;</w:t>
            </w:r>
            <w:r>
              <w:rPr>
                <w:rFonts w:hint="eastAsia"/>
                <w:color w:val="000000"/>
                <w:sz w:val="24"/>
              </w:rPr>
              <w:t>吐鲁番港城110千伏变电站二期扩建工程建设项目环境影响报告表</w:t>
            </w:r>
            <w:r>
              <w:rPr>
                <w:rFonts w:hint="eastAsia" w:ascii="宋体" w:hAnsi="宋体" w:cs="宋体"/>
                <w:color w:val="000000"/>
                <w:sz w:val="24"/>
                <w:lang w:val="en-US" w:eastAsia="zh-CN"/>
              </w:rPr>
              <w:t>&gt;</w:t>
            </w:r>
            <w:r>
              <w:rPr>
                <w:rFonts w:hint="eastAsia"/>
                <w:color w:val="000000"/>
                <w:sz w:val="24"/>
              </w:rPr>
              <w:t>批复》</w:t>
            </w:r>
            <w:r>
              <w:rPr>
                <w:rFonts w:hint="eastAsia"/>
                <w:color w:val="000000"/>
                <w:sz w:val="24"/>
                <w:lang w:eastAsia="zh-CN"/>
              </w:rPr>
              <w:t>（</w:t>
            </w:r>
            <w:r>
              <w:rPr>
                <w:rFonts w:hint="eastAsia"/>
                <w:color w:val="000000"/>
                <w:sz w:val="24"/>
                <w:lang w:val="en-US" w:eastAsia="zh-CN"/>
              </w:rPr>
              <w:t>高区环</w:t>
            </w:r>
            <w:r>
              <w:rPr>
                <w:rFonts w:hint="eastAsia"/>
                <w:snapToGrid w:val="0"/>
                <w:kern w:val="0"/>
                <w:sz w:val="24"/>
              </w:rPr>
              <w:t>〔20</w:t>
            </w:r>
            <w:r>
              <w:rPr>
                <w:rFonts w:hint="eastAsia"/>
                <w:snapToGrid w:val="0"/>
                <w:kern w:val="0"/>
                <w:sz w:val="24"/>
                <w:lang w:val="en-US" w:eastAsia="zh-CN"/>
              </w:rPr>
              <w:t>17</w:t>
            </w:r>
            <w:r>
              <w:rPr>
                <w:rFonts w:hint="eastAsia"/>
                <w:snapToGrid w:val="0"/>
                <w:kern w:val="0"/>
                <w:sz w:val="24"/>
              </w:rPr>
              <w:t>〕</w:t>
            </w:r>
            <w:r>
              <w:rPr>
                <w:rFonts w:hint="eastAsia"/>
                <w:snapToGrid w:val="0"/>
                <w:kern w:val="0"/>
                <w:sz w:val="24"/>
                <w:lang w:val="en-US" w:eastAsia="zh-CN"/>
              </w:rPr>
              <w:t>56</w:t>
            </w:r>
            <w:r>
              <w:rPr>
                <w:rFonts w:hint="eastAsia"/>
                <w:snapToGrid w:val="0"/>
                <w:kern w:val="0"/>
                <w:sz w:val="24"/>
              </w:rPr>
              <w:t>号</w:t>
            </w:r>
            <w:r>
              <w:rPr>
                <w:rFonts w:hint="eastAsia"/>
                <w:snapToGrid w:val="0"/>
                <w:kern w:val="0"/>
                <w:sz w:val="24"/>
                <w:lang w:eastAsia="zh-CN"/>
              </w:rPr>
              <w:t>）</w:t>
            </w:r>
            <w:r>
              <w:rPr>
                <w:rFonts w:hint="eastAsia"/>
                <w:snapToGrid w:val="0"/>
                <w:kern w:val="0"/>
                <w:sz w:val="24"/>
              </w:rPr>
              <w:t>对该工程</w:t>
            </w:r>
            <w:r>
              <w:rPr>
                <w:rFonts w:hint="eastAsia"/>
                <w:snapToGrid w:val="0"/>
                <w:kern w:val="0"/>
                <w:sz w:val="24"/>
                <w:lang w:val="en-US" w:eastAsia="zh-CN"/>
              </w:rPr>
              <w:t>予以</w:t>
            </w:r>
            <w:r>
              <w:rPr>
                <w:rFonts w:hint="eastAsia"/>
                <w:snapToGrid w:val="0"/>
                <w:kern w:val="0"/>
                <w:sz w:val="24"/>
              </w:rPr>
              <w:t>批复。</w:t>
            </w:r>
            <w:r>
              <w:rPr>
                <w:rFonts w:hint="eastAsia"/>
                <w:snapToGrid w:val="0"/>
                <w:kern w:val="0"/>
                <w:sz w:val="24"/>
                <w:lang w:val="en-US" w:eastAsia="zh-CN"/>
              </w:rPr>
              <w:t>2018年12月，国网新疆电力有限公司科技通信部组织了本工程竣工环境保护验收调查，并形成了《吐鲁番港城110千伏变电站二期扩建工程竣工环境保护验收意见》。</w:t>
            </w:r>
          </w:p>
          <w:p w14:paraId="2189ED1E">
            <w:pPr>
              <w:autoSpaceDE w:val="0"/>
              <w:autoSpaceDN w:val="0"/>
              <w:adjustRightInd w:val="0"/>
              <w:snapToGrid w:val="0"/>
              <w:spacing w:line="360" w:lineRule="auto"/>
              <w:ind w:firstLine="480" w:firstLineChars="200"/>
              <w:rPr>
                <w:rFonts w:hint="eastAsia"/>
                <w:color w:val="000000"/>
                <w:sz w:val="24"/>
              </w:rPr>
            </w:pPr>
            <w:r>
              <w:rPr>
                <w:rFonts w:hint="eastAsia"/>
                <w:color w:val="000000"/>
                <w:sz w:val="24"/>
                <w:lang w:eastAsia="zh-CN"/>
              </w:rPr>
              <w:t>港城110kV变电站</w:t>
            </w:r>
            <w:r>
              <w:rPr>
                <w:rFonts w:hint="eastAsia"/>
                <w:color w:val="000000"/>
                <w:sz w:val="24"/>
                <w:lang w:val="en-US" w:eastAsia="zh-CN"/>
              </w:rPr>
              <w:t>前期建有2</w:t>
            </w:r>
            <w:r>
              <w:rPr>
                <w:rFonts w:hint="default"/>
                <w:color w:val="000000"/>
                <w:sz w:val="24"/>
              </w:rPr>
              <w:t>×</w:t>
            </w:r>
            <w:r>
              <w:rPr>
                <w:rFonts w:hint="eastAsia"/>
                <w:color w:val="000000"/>
                <w:sz w:val="24"/>
                <w:lang w:val="en-US" w:eastAsia="zh-CN"/>
              </w:rPr>
              <w:t>50</w:t>
            </w:r>
            <w:r>
              <w:rPr>
                <w:rFonts w:hint="eastAsia"/>
                <w:color w:val="000000"/>
                <w:sz w:val="24"/>
              </w:rPr>
              <w:t>MVA主变，</w:t>
            </w:r>
            <w:r>
              <w:rPr>
                <w:rFonts w:hint="eastAsia"/>
                <w:color w:val="000000"/>
                <w:sz w:val="24"/>
                <w:lang w:val="en-US" w:eastAsia="zh-CN"/>
              </w:rPr>
              <w:t>11</w:t>
            </w:r>
            <w:r>
              <w:rPr>
                <w:rFonts w:hint="eastAsia"/>
                <w:color w:val="000000"/>
                <w:sz w:val="24"/>
              </w:rPr>
              <w:t>0</w:t>
            </w:r>
            <w:r>
              <w:rPr>
                <w:rFonts w:hint="eastAsia"/>
                <w:color w:val="000000"/>
                <w:sz w:val="24"/>
                <w:lang w:val="en-US" w:eastAsia="zh-CN"/>
              </w:rPr>
              <w:t>kV</w:t>
            </w:r>
            <w:r>
              <w:rPr>
                <w:rFonts w:hint="eastAsia"/>
                <w:color w:val="000000"/>
                <w:sz w:val="24"/>
              </w:rPr>
              <w:t>出线2回，分别至</w:t>
            </w:r>
            <w:r>
              <w:rPr>
                <w:rFonts w:hint="eastAsia"/>
                <w:color w:val="000000"/>
                <w:sz w:val="24"/>
                <w:lang w:val="en-US" w:eastAsia="zh-CN"/>
              </w:rPr>
              <w:t>新城</w:t>
            </w:r>
            <w:r>
              <w:rPr>
                <w:rFonts w:hint="eastAsia"/>
                <w:color w:val="000000"/>
                <w:sz w:val="24"/>
              </w:rPr>
              <w:t>变、</w:t>
            </w:r>
            <w:r>
              <w:rPr>
                <w:rFonts w:hint="eastAsia"/>
                <w:color w:val="000000"/>
                <w:sz w:val="24"/>
                <w:lang w:val="en-US" w:eastAsia="zh-CN"/>
              </w:rPr>
              <w:t>交河</w:t>
            </w:r>
            <w:r>
              <w:rPr>
                <w:rFonts w:hint="eastAsia"/>
                <w:color w:val="000000"/>
                <w:sz w:val="24"/>
              </w:rPr>
              <w:t>变。</w:t>
            </w:r>
          </w:p>
          <w:p w14:paraId="5305F18A">
            <w:pPr>
              <w:pStyle w:val="3"/>
              <w:numPr>
                <w:ilvl w:val="2"/>
                <w:numId w:val="5"/>
              </w:numPr>
              <w:spacing w:before="0" w:after="0" w:line="360" w:lineRule="auto"/>
              <w:rPr>
                <w:rFonts w:eastAsia="宋体"/>
                <w:sz w:val="24"/>
                <w:szCs w:val="24"/>
              </w:rPr>
            </w:pPr>
            <w:bookmarkStart w:id="52" w:name="_Toc26932"/>
            <w:r>
              <w:rPr>
                <w:rFonts w:hint="eastAsia" w:eastAsia="宋体"/>
                <w:sz w:val="24"/>
                <w:szCs w:val="24"/>
              </w:rPr>
              <w:t>公用及环保设施依托关系</w:t>
            </w:r>
            <w:bookmarkEnd w:id="52"/>
          </w:p>
          <w:p w14:paraId="1D50526E">
            <w:pPr>
              <w:autoSpaceDE w:val="0"/>
              <w:autoSpaceDN w:val="0"/>
              <w:adjustRightInd w:val="0"/>
              <w:snapToGrid w:val="0"/>
              <w:spacing w:line="360" w:lineRule="auto"/>
              <w:ind w:firstLine="480" w:firstLineChars="200"/>
              <w:rPr>
                <w:color w:val="000000"/>
                <w:sz w:val="24"/>
              </w:rPr>
            </w:pPr>
            <w:r>
              <w:rPr>
                <w:rFonts w:hint="eastAsia"/>
                <w:color w:val="000000"/>
                <w:sz w:val="24"/>
              </w:rPr>
              <w:t>（1）水处理</w:t>
            </w:r>
          </w:p>
          <w:p w14:paraId="5F6C90B7">
            <w:pPr>
              <w:autoSpaceDE w:val="0"/>
              <w:autoSpaceDN w:val="0"/>
              <w:adjustRightInd w:val="0"/>
              <w:snapToGrid w:val="0"/>
              <w:spacing w:line="360" w:lineRule="auto"/>
              <w:ind w:firstLine="480" w:firstLineChars="200"/>
              <w:rPr>
                <w:color w:val="000000"/>
                <w:sz w:val="24"/>
              </w:rPr>
            </w:pPr>
            <w:r>
              <w:rPr>
                <w:rFonts w:hint="eastAsia"/>
                <w:color w:val="000000"/>
                <w:sz w:val="24"/>
                <w:lang w:eastAsia="zh-CN"/>
              </w:rPr>
              <w:t>港城110kV变电站</w:t>
            </w:r>
            <w:r>
              <w:rPr>
                <w:rFonts w:hint="eastAsia"/>
                <w:color w:val="000000"/>
                <w:sz w:val="24"/>
              </w:rPr>
              <w:t>采用雨污分流制排水系统，站区雨水采用渗排和场地排水相结合的方式排水，生活污水经站区</w:t>
            </w:r>
            <w:r>
              <w:rPr>
                <w:rFonts w:hint="eastAsia"/>
                <w:color w:val="000000"/>
                <w:sz w:val="24"/>
                <w:lang w:val="en-US" w:eastAsia="zh-CN"/>
              </w:rPr>
              <w:t>已建污水处理设施处理</w:t>
            </w:r>
            <w:r>
              <w:rPr>
                <w:rFonts w:hint="eastAsia"/>
                <w:color w:val="000000"/>
                <w:sz w:val="24"/>
              </w:rPr>
              <w:t>，不外排。</w:t>
            </w:r>
          </w:p>
          <w:p w14:paraId="4789337B">
            <w:pPr>
              <w:autoSpaceDE w:val="0"/>
              <w:autoSpaceDN w:val="0"/>
              <w:adjustRightInd w:val="0"/>
              <w:snapToGrid w:val="0"/>
              <w:spacing w:line="360" w:lineRule="auto"/>
              <w:ind w:firstLine="480" w:firstLineChars="200"/>
              <w:rPr>
                <w:color w:val="000000"/>
                <w:sz w:val="24"/>
              </w:rPr>
            </w:pPr>
            <w:r>
              <w:rPr>
                <w:rFonts w:hint="eastAsia"/>
                <w:color w:val="000000"/>
                <w:sz w:val="24"/>
              </w:rPr>
              <w:t>变电站本期扩建不增加运行人员，不新增生活污水产生量，前期已建污水处理设施能够满足本期扩建后的处理需要，本期依托前期工程。</w:t>
            </w:r>
          </w:p>
          <w:p w14:paraId="4BCF1C00">
            <w:pPr>
              <w:autoSpaceDE w:val="0"/>
              <w:autoSpaceDN w:val="0"/>
              <w:adjustRightInd w:val="0"/>
              <w:snapToGrid w:val="0"/>
              <w:spacing w:line="360" w:lineRule="auto"/>
              <w:ind w:firstLine="480" w:firstLineChars="200"/>
              <w:rPr>
                <w:color w:val="000000"/>
                <w:sz w:val="24"/>
              </w:rPr>
            </w:pPr>
            <w:r>
              <w:rPr>
                <w:rFonts w:hint="eastAsia"/>
                <w:color w:val="000000"/>
                <w:sz w:val="24"/>
              </w:rPr>
              <w:t>（2）固体废物</w:t>
            </w:r>
          </w:p>
          <w:p w14:paraId="5AD6F348">
            <w:pPr>
              <w:pStyle w:val="11"/>
            </w:pPr>
            <w:r>
              <w:rPr>
                <w:rFonts w:hint="eastAsia"/>
                <w:color w:val="000000"/>
                <w:lang w:eastAsia="zh-CN"/>
              </w:rPr>
              <w:t>港城110kV变电站</w:t>
            </w:r>
            <w:r>
              <w:rPr>
                <w:rFonts w:hint="eastAsia"/>
              </w:rPr>
              <w:t>前期已设置有生活垃圾收集桶，生活垃圾收集后运至垃圾站处理。本期扩建不增加运行人员，不新增生活垃圾产生量，站内已有的生活垃圾收集装置能够满足本期扩建后的处理需要。</w:t>
            </w:r>
          </w:p>
          <w:p w14:paraId="25EBF2AD">
            <w:pPr>
              <w:autoSpaceDE w:val="0"/>
              <w:autoSpaceDN w:val="0"/>
              <w:adjustRightInd w:val="0"/>
              <w:snapToGrid w:val="0"/>
              <w:spacing w:line="360" w:lineRule="auto"/>
              <w:ind w:firstLine="480" w:firstLineChars="200"/>
              <w:rPr>
                <w:color w:val="000000"/>
                <w:sz w:val="32"/>
                <w:szCs w:val="32"/>
              </w:rPr>
            </w:pPr>
            <w:r>
              <w:rPr>
                <w:rFonts w:hint="eastAsia"/>
                <w:sz w:val="24"/>
                <w:szCs w:val="32"/>
              </w:rPr>
              <w:t>根据调查，</w:t>
            </w:r>
            <w:r>
              <w:rPr>
                <w:rFonts w:hint="eastAsia"/>
                <w:sz w:val="24"/>
                <w:szCs w:val="32"/>
                <w:lang w:val="en-US" w:eastAsia="zh-CN"/>
              </w:rPr>
              <w:t>变电站站内</w:t>
            </w:r>
            <w:r>
              <w:rPr>
                <w:rFonts w:hint="eastAsia"/>
                <w:sz w:val="24"/>
                <w:szCs w:val="32"/>
              </w:rPr>
              <w:t>产生</w:t>
            </w:r>
            <w:r>
              <w:rPr>
                <w:rFonts w:hint="eastAsia"/>
                <w:sz w:val="24"/>
                <w:szCs w:val="32"/>
                <w:lang w:val="en-US" w:eastAsia="zh-CN"/>
              </w:rPr>
              <w:t>的</w:t>
            </w:r>
            <w:r>
              <w:rPr>
                <w:rFonts w:hint="eastAsia"/>
                <w:sz w:val="24"/>
                <w:szCs w:val="32"/>
              </w:rPr>
              <w:t>废旧蓄电池由运检公司统一回收并交由有危废处置资质的单位进行处置。本工程仅为间隔扩建工程，不涉及蓄电池的更换。</w:t>
            </w:r>
          </w:p>
          <w:p w14:paraId="62C6F0FE">
            <w:pPr>
              <w:autoSpaceDE w:val="0"/>
              <w:autoSpaceDN w:val="0"/>
              <w:adjustRightInd w:val="0"/>
              <w:snapToGrid w:val="0"/>
              <w:spacing w:line="360" w:lineRule="auto"/>
              <w:ind w:firstLine="480" w:firstLineChars="200"/>
              <w:rPr>
                <w:color w:val="000000"/>
                <w:sz w:val="24"/>
              </w:rPr>
            </w:pPr>
            <w:r>
              <w:rPr>
                <w:rFonts w:hint="eastAsia"/>
                <w:color w:val="000000"/>
                <w:sz w:val="24"/>
              </w:rPr>
              <w:t>（3）事故油处理</w:t>
            </w:r>
          </w:p>
          <w:p w14:paraId="59E095CC">
            <w:pPr>
              <w:pStyle w:val="11"/>
              <w:rPr>
                <w:color w:val="000000"/>
              </w:rPr>
            </w:pPr>
            <w:r>
              <w:rPr>
                <w:rFonts w:hint="eastAsia"/>
                <w:color w:val="000000"/>
                <w:lang w:eastAsia="zh-CN"/>
              </w:rPr>
              <w:t>港城110kV变电站</w:t>
            </w:r>
            <w:r>
              <w:rPr>
                <w:rFonts w:hint="eastAsia"/>
                <w:color w:val="000000"/>
              </w:rPr>
              <w:t>前期已建有1座主变事故油池，事故油池能够满足《火力发电厂与变电站设计防火标准》（GB50229-2019）中“6.7.8总事故贮油池的容量应按其接入的油量最大的一台设备确定”的要求。本工程为间隔扩建工程，不涉及变压器油等风险物质。</w:t>
            </w:r>
          </w:p>
          <w:p w14:paraId="4983F5D3">
            <w:pPr>
              <w:autoSpaceDE w:val="0"/>
              <w:autoSpaceDN w:val="0"/>
              <w:adjustRightInd w:val="0"/>
              <w:snapToGrid w:val="0"/>
              <w:spacing w:line="360" w:lineRule="auto"/>
              <w:ind w:firstLine="480" w:firstLineChars="200"/>
              <w:rPr>
                <w:color w:val="000000"/>
                <w:sz w:val="24"/>
              </w:rPr>
            </w:pPr>
            <w:r>
              <w:rPr>
                <w:sz w:val="24"/>
                <w:szCs w:val="32"/>
              </w:rPr>
              <w:t>本期间隔扩建工程不改变站内现有布置，无新增工作人员，无新增用水及排水，不新建事故油池。因此，本期扩建依托变电站内现有设施合理可行</w:t>
            </w:r>
            <w:r>
              <w:rPr>
                <w:rFonts w:hint="eastAsia"/>
                <w:sz w:val="24"/>
                <w:szCs w:val="32"/>
              </w:rPr>
              <w:t>。</w:t>
            </w:r>
          </w:p>
          <w:p w14:paraId="1F6DC181">
            <w:pPr>
              <w:pStyle w:val="3"/>
              <w:numPr>
                <w:ilvl w:val="2"/>
                <w:numId w:val="5"/>
              </w:numPr>
              <w:spacing w:before="0" w:after="0" w:line="360" w:lineRule="auto"/>
              <w:rPr>
                <w:rFonts w:eastAsia="宋体"/>
                <w:sz w:val="24"/>
                <w:szCs w:val="24"/>
              </w:rPr>
            </w:pPr>
            <w:bookmarkStart w:id="53" w:name="_Toc27227"/>
            <w:r>
              <w:rPr>
                <w:rFonts w:hint="eastAsia" w:eastAsia="宋体"/>
                <w:sz w:val="24"/>
                <w:szCs w:val="24"/>
              </w:rPr>
              <w:t>本期工程概况</w:t>
            </w:r>
            <w:bookmarkEnd w:id="53"/>
          </w:p>
          <w:p w14:paraId="0AE094A4">
            <w:pPr>
              <w:autoSpaceDE w:val="0"/>
              <w:autoSpaceDN w:val="0"/>
              <w:adjustRightInd w:val="0"/>
              <w:snapToGrid w:val="0"/>
              <w:spacing w:line="360" w:lineRule="auto"/>
              <w:ind w:firstLine="480" w:firstLineChars="200"/>
              <w:rPr>
                <w:color w:val="000000"/>
                <w:sz w:val="24"/>
                <w:szCs w:val="32"/>
              </w:rPr>
            </w:pPr>
            <w:r>
              <w:rPr>
                <w:rFonts w:hint="eastAsia"/>
                <w:color w:val="000000"/>
                <w:sz w:val="24"/>
                <w:lang w:eastAsia="zh-CN"/>
              </w:rPr>
              <w:t>港城110kV变电站</w:t>
            </w:r>
            <w:r>
              <w:rPr>
                <w:rFonts w:hint="eastAsia"/>
                <w:color w:val="000000"/>
                <w:sz w:val="24"/>
                <w:szCs w:val="32"/>
              </w:rPr>
              <w:t>本期扩建</w:t>
            </w:r>
            <w:r>
              <w:rPr>
                <w:rFonts w:hint="eastAsia"/>
                <w:color w:val="000000"/>
                <w:sz w:val="24"/>
                <w:szCs w:val="32"/>
                <w:lang w:val="en-US" w:eastAsia="zh-CN"/>
              </w:rPr>
              <w:t>1</w:t>
            </w:r>
            <w:r>
              <w:rPr>
                <w:rFonts w:hint="eastAsia"/>
                <w:color w:val="000000"/>
                <w:sz w:val="24"/>
                <w:szCs w:val="32"/>
              </w:rPr>
              <w:t>回</w:t>
            </w:r>
            <w:r>
              <w:rPr>
                <w:rFonts w:hint="eastAsia"/>
                <w:color w:val="000000"/>
                <w:sz w:val="24"/>
                <w:szCs w:val="32"/>
                <w:lang w:val="en-US" w:eastAsia="zh-CN"/>
              </w:rPr>
              <w:t>11</w:t>
            </w:r>
            <w:r>
              <w:rPr>
                <w:rFonts w:hint="eastAsia"/>
                <w:color w:val="000000"/>
                <w:sz w:val="24"/>
                <w:szCs w:val="32"/>
              </w:rPr>
              <w:t>0kV间隔，至</w:t>
            </w:r>
            <w:r>
              <w:rPr>
                <w:rFonts w:hint="eastAsia"/>
                <w:color w:val="000000"/>
                <w:sz w:val="24"/>
                <w:szCs w:val="32"/>
                <w:lang w:val="en-US" w:eastAsia="zh-CN"/>
              </w:rPr>
              <w:t>新阳</w:t>
            </w:r>
            <w:r>
              <w:rPr>
                <w:rFonts w:hint="eastAsia"/>
                <w:color w:val="000000"/>
                <w:sz w:val="24"/>
                <w:szCs w:val="32"/>
              </w:rPr>
              <w:t>变电站，为西数第一间隔。间隔扩建工程在变电站围墙内进行，无新征地。</w:t>
            </w:r>
          </w:p>
          <w:p w14:paraId="5AA6282C">
            <w:pPr>
              <w:autoSpaceDE w:val="0"/>
              <w:autoSpaceDN w:val="0"/>
              <w:adjustRightInd w:val="0"/>
              <w:snapToGrid w:val="0"/>
              <w:spacing w:line="360" w:lineRule="auto"/>
              <w:jc w:val="center"/>
            </w:pPr>
            <w:r>
              <w:drawing>
                <wp:inline distT="0" distB="0" distL="114300" distR="114300">
                  <wp:extent cx="5084445" cy="3192780"/>
                  <wp:effectExtent l="0" t="0" r="1905" b="7620"/>
                  <wp:docPr id="27" name="图片 52" descr="E:\6455\Desktop\2.新疆\1.吐鲁番\1-5.吐鲁番市新阳新能源产业有限公司110千伏业扩配套工程\⭐插图\图2 出线间隔示意图.png图2 出线间隔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2" descr="E:\6455\Desktop\2.新疆\1.吐鲁番\1-5.吐鲁番市新阳新能源产业有限公司110千伏业扩配套工程\⭐插图\图2 出线间隔示意图.png图2 出线间隔示意图"/>
                          <pic:cNvPicPr>
                            <a:picLocks noChangeAspect="1"/>
                          </pic:cNvPicPr>
                        </pic:nvPicPr>
                        <pic:blipFill>
                          <a:blip r:embed="rId17"/>
                          <a:srcRect/>
                          <a:stretch>
                            <a:fillRect/>
                          </a:stretch>
                        </pic:blipFill>
                        <pic:spPr>
                          <a:xfrm>
                            <a:off x="0" y="0"/>
                            <a:ext cx="5084445" cy="3192780"/>
                          </a:xfrm>
                          <a:prstGeom prst="rect">
                            <a:avLst/>
                          </a:prstGeom>
                          <a:noFill/>
                          <a:ln>
                            <a:noFill/>
                          </a:ln>
                        </pic:spPr>
                      </pic:pic>
                    </a:graphicData>
                  </a:graphic>
                </wp:inline>
              </w:drawing>
            </w:r>
          </w:p>
          <w:p w14:paraId="35125812">
            <w:pPr>
              <w:autoSpaceDE w:val="0"/>
              <w:autoSpaceDN w:val="0"/>
              <w:adjustRightInd w:val="0"/>
              <w:snapToGrid w:val="0"/>
              <w:spacing w:line="360" w:lineRule="auto"/>
              <w:ind w:firstLine="0" w:firstLineChars="0"/>
              <w:jc w:val="center"/>
            </w:pPr>
            <w:r>
              <w:rPr>
                <w:rFonts w:hint="eastAsia" w:eastAsia="黑体"/>
                <w:b/>
                <w:color w:val="000000"/>
                <w:szCs w:val="21"/>
              </w:rPr>
              <w:t xml:space="preserve">图 </w:t>
            </w:r>
            <w:r>
              <w:rPr>
                <w:rFonts w:hint="eastAsia" w:eastAsia="黑体"/>
                <w:b/>
                <w:color w:val="000000"/>
                <w:szCs w:val="21"/>
              </w:rPr>
              <w:fldChar w:fldCharType="begin"/>
            </w:r>
            <w:r>
              <w:rPr>
                <w:rFonts w:hint="eastAsia" w:eastAsia="黑体"/>
                <w:b/>
                <w:color w:val="000000"/>
                <w:szCs w:val="21"/>
              </w:rPr>
              <w:instrText xml:space="preserve"> SEQ 图 \* ARABIC </w:instrText>
            </w:r>
            <w:r>
              <w:rPr>
                <w:rFonts w:hint="eastAsia" w:eastAsia="黑体"/>
                <w:b/>
                <w:color w:val="000000"/>
                <w:szCs w:val="21"/>
              </w:rPr>
              <w:fldChar w:fldCharType="separate"/>
            </w:r>
            <w:r>
              <w:rPr>
                <w:rFonts w:hint="eastAsia" w:eastAsia="黑体"/>
                <w:b/>
                <w:color w:val="000000"/>
                <w:szCs w:val="21"/>
              </w:rPr>
              <w:t>2</w:t>
            </w:r>
            <w:r>
              <w:rPr>
                <w:rFonts w:hint="eastAsia" w:eastAsia="黑体"/>
                <w:b/>
                <w:color w:val="000000"/>
                <w:szCs w:val="21"/>
              </w:rPr>
              <w:fldChar w:fldCharType="end"/>
            </w:r>
            <w:r>
              <w:rPr>
                <w:rFonts w:hint="eastAsia" w:eastAsia="黑体"/>
                <w:b/>
                <w:color w:val="000000"/>
                <w:szCs w:val="21"/>
              </w:rPr>
              <w:t xml:space="preserve">  </w:t>
            </w:r>
            <w:r>
              <w:rPr>
                <w:rFonts w:hint="eastAsia" w:eastAsia="黑体"/>
                <w:b/>
                <w:color w:val="000000"/>
                <w:szCs w:val="21"/>
                <w:lang w:eastAsia="zh-CN"/>
              </w:rPr>
              <w:t>港城110kV变电站</w:t>
            </w:r>
            <w:r>
              <w:rPr>
                <w:rFonts w:hint="eastAsia" w:eastAsia="黑体"/>
                <w:b/>
                <w:color w:val="000000"/>
                <w:szCs w:val="21"/>
                <w:lang w:val="en-US" w:eastAsia="zh-CN"/>
              </w:rPr>
              <w:t>11</w:t>
            </w:r>
            <w:r>
              <w:rPr>
                <w:rFonts w:hint="eastAsia" w:eastAsia="黑体"/>
                <w:b/>
                <w:color w:val="000000"/>
                <w:szCs w:val="21"/>
              </w:rPr>
              <w:t>0kV间隔排布示意图</w:t>
            </w:r>
          </w:p>
          <w:p w14:paraId="6802F8DA">
            <w:pPr>
              <w:pStyle w:val="3"/>
              <w:numPr>
                <w:ilvl w:val="1"/>
                <w:numId w:val="5"/>
              </w:numPr>
              <w:spacing w:before="0" w:after="0" w:line="360" w:lineRule="auto"/>
              <w:rPr>
                <w:rFonts w:eastAsia="宋体"/>
                <w:sz w:val="24"/>
                <w:szCs w:val="24"/>
              </w:rPr>
            </w:pPr>
            <w:bookmarkStart w:id="54" w:name="_Toc12501"/>
            <w:r>
              <w:rPr>
                <w:rFonts w:hint="eastAsia" w:eastAsia="宋体"/>
                <w:sz w:val="24"/>
                <w:szCs w:val="24"/>
                <w:lang w:eastAsia="zh-CN"/>
              </w:rPr>
              <w:t>港城~新阳110千伏线路工程</w:t>
            </w:r>
            <w:bookmarkEnd w:id="54"/>
          </w:p>
          <w:p w14:paraId="4B9C337F">
            <w:pPr>
              <w:pStyle w:val="3"/>
              <w:numPr>
                <w:ilvl w:val="2"/>
                <w:numId w:val="5"/>
              </w:numPr>
              <w:spacing w:before="0" w:after="0" w:line="360" w:lineRule="auto"/>
              <w:rPr>
                <w:rFonts w:eastAsia="宋体"/>
                <w:sz w:val="24"/>
                <w:szCs w:val="24"/>
              </w:rPr>
            </w:pPr>
            <w:bookmarkStart w:id="55" w:name="_Toc24268"/>
            <w:r>
              <w:rPr>
                <w:rFonts w:hint="eastAsia" w:eastAsia="宋体"/>
                <w:sz w:val="24"/>
                <w:szCs w:val="24"/>
              </w:rPr>
              <w:t>项目概况</w:t>
            </w:r>
            <w:bookmarkEnd w:id="55"/>
          </w:p>
          <w:p w14:paraId="2DAA0ED3">
            <w:pPr>
              <w:autoSpaceDE w:val="0"/>
              <w:autoSpaceDN w:val="0"/>
              <w:adjustRightInd w:val="0"/>
              <w:snapToGrid w:val="0"/>
              <w:spacing w:line="360" w:lineRule="auto"/>
              <w:ind w:firstLine="480" w:firstLineChars="200"/>
              <w:rPr>
                <w:rFonts w:hint="eastAsia"/>
                <w:color w:val="000000"/>
                <w:sz w:val="24"/>
              </w:rPr>
            </w:pPr>
            <w:r>
              <w:rPr>
                <w:rFonts w:hint="eastAsia"/>
                <w:color w:val="000000"/>
                <w:sz w:val="24"/>
              </w:rPr>
              <w:t>本工程新建港城~新阳110</w:t>
            </w:r>
            <w:r>
              <w:rPr>
                <w:rFonts w:hint="eastAsia"/>
                <w:color w:val="000000"/>
                <w:sz w:val="24"/>
                <w:lang w:val="en-US" w:eastAsia="zh-CN"/>
              </w:rPr>
              <w:t>kV</w:t>
            </w:r>
            <w:r>
              <w:rPr>
                <w:rFonts w:hint="eastAsia"/>
                <w:color w:val="000000"/>
                <w:sz w:val="24"/>
              </w:rPr>
              <w:t>线路起于</w:t>
            </w:r>
            <w:r>
              <w:rPr>
                <w:rFonts w:hint="eastAsia"/>
                <w:color w:val="000000"/>
                <w:sz w:val="24"/>
                <w:lang w:eastAsia="zh-CN"/>
              </w:rPr>
              <w:t>港城110kV变电站</w:t>
            </w:r>
            <w:r>
              <w:rPr>
                <w:rFonts w:hint="eastAsia"/>
                <w:color w:val="000000"/>
                <w:sz w:val="24"/>
              </w:rPr>
              <w:t>，止于</w:t>
            </w:r>
            <w:r>
              <w:rPr>
                <w:rFonts w:hint="eastAsia"/>
                <w:color w:val="000000"/>
                <w:sz w:val="24"/>
                <w:lang w:eastAsia="zh-CN"/>
              </w:rPr>
              <w:t>新阳110kV变电站</w:t>
            </w:r>
            <w:r>
              <w:rPr>
                <w:rFonts w:hint="eastAsia"/>
                <w:color w:val="000000"/>
                <w:sz w:val="24"/>
              </w:rPr>
              <w:t>，路径全长约</w:t>
            </w:r>
            <w:r>
              <w:rPr>
                <w:rFonts w:hint="eastAsia"/>
                <w:color w:val="000000"/>
                <w:sz w:val="24"/>
                <w:lang w:val="en-US" w:eastAsia="zh-CN"/>
              </w:rPr>
              <w:t>5.2</w:t>
            </w:r>
            <w:r>
              <w:rPr>
                <w:rFonts w:hint="eastAsia"/>
                <w:color w:val="000000"/>
                <w:sz w:val="24"/>
              </w:rPr>
              <w:t>km，其中单回路架设约1.0km，双回路架设约4.2km，</w:t>
            </w:r>
            <w:r>
              <w:rPr>
                <w:rFonts w:hint="eastAsia"/>
                <w:color w:val="000000"/>
                <w:sz w:val="24"/>
                <w:lang w:val="en-US" w:eastAsia="zh-CN"/>
              </w:rPr>
              <w:t>双回路段</w:t>
            </w:r>
            <w:r>
              <w:rPr>
                <w:rFonts w:hint="eastAsia"/>
                <w:color w:val="000000"/>
                <w:sz w:val="24"/>
              </w:rPr>
              <w:t>线路一回运行，一回备用。</w:t>
            </w:r>
          </w:p>
          <w:p w14:paraId="78F61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32"/>
                <w:lang w:val="en-US" w:eastAsia="zh-CN"/>
              </w:rPr>
            </w:pPr>
            <w:r>
              <w:rPr>
                <w:rFonts w:hint="eastAsia"/>
                <w:sz w:val="24"/>
                <w:szCs w:val="32"/>
                <w:lang w:val="en-US" w:eastAsia="zh-CN"/>
              </w:rPr>
              <w:t>新阳110kV变电站本期所利用间隔为新阳变前期工程建设内容，不计入本工程建设范畴。</w:t>
            </w:r>
          </w:p>
          <w:p w14:paraId="11D94384">
            <w:pPr>
              <w:pStyle w:val="3"/>
              <w:numPr>
                <w:ilvl w:val="2"/>
                <w:numId w:val="5"/>
              </w:numPr>
              <w:spacing w:before="0" w:after="0" w:line="360" w:lineRule="auto"/>
              <w:rPr>
                <w:rFonts w:eastAsia="宋体"/>
                <w:sz w:val="24"/>
                <w:szCs w:val="24"/>
              </w:rPr>
            </w:pPr>
            <w:bookmarkStart w:id="56" w:name="_Toc29475"/>
            <w:r>
              <w:rPr>
                <w:rFonts w:hint="eastAsia" w:eastAsia="宋体"/>
                <w:sz w:val="24"/>
                <w:szCs w:val="24"/>
              </w:rPr>
              <w:t>导线、地线、杆塔、基础</w:t>
            </w:r>
            <w:bookmarkEnd w:id="56"/>
          </w:p>
          <w:p w14:paraId="4F40E37F">
            <w:pPr>
              <w:autoSpaceDE w:val="0"/>
              <w:autoSpaceDN w:val="0"/>
              <w:adjustRightInd w:val="0"/>
              <w:snapToGrid w:val="0"/>
              <w:spacing w:line="360" w:lineRule="auto"/>
              <w:ind w:firstLine="480" w:firstLineChars="200"/>
              <w:rPr>
                <w:color w:val="000000"/>
                <w:sz w:val="24"/>
              </w:rPr>
            </w:pPr>
            <w:r>
              <w:rPr>
                <w:color w:val="000000"/>
                <w:sz w:val="24"/>
              </w:rPr>
              <w:t>（1）导线</w:t>
            </w:r>
          </w:p>
          <w:p w14:paraId="047F9108">
            <w:pPr>
              <w:autoSpaceDE w:val="0"/>
              <w:autoSpaceDN w:val="0"/>
              <w:adjustRightInd w:val="0"/>
              <w:snapToGrid w:val="0"/>
              <w:spacing w:line="360" w:lineRule="auto"/>
              <w:ind w:firstLine="480" w:firstLineChars="200"/>
              <w:rPr>
                <w:color w:val="000000"/>
                <w:sz w:val="24"/>
              </w:rPr>
            </w:pPr>
            <w:r>
              <w:rPr>
                <w:color w:val="000000"/>
                <w:sz w:val="24"/>
              </w:rPr>
              <w:t>本期拟建</w:t>
            </w:r>
            <w:r>
              <w:rPr>
                <w:rFonts w:hint="eastAsia"/>
                <w:color w:val="000000"/>
                <w:sz w:val="24"/>
                <w:lang w:val="en-US" w:eastAsia="zh-CN"/>
              </w:rPr>
              <w:t>11</w:t>
            </w:r>
            <w:r>
              <w:rPr>
                <w:color w:val="000000"/>
                <w:sz w:val="24"/>
              </w:rPr>
              <w:t>0kV线路导线选用</w:t>
            </w:r>
            <w:r>
              <w:rPr>
                <w:rFonts w:hint="eastAsia"/>
                <w:color w:val="000000"/>
                <w:sz w:val="24"/>
              </w:rPr>
              <w:t>JL3/G1A-240/30型钢芯铝绞线</w:t>
            </w:r>
            <w:r>
              <w:rPr>
                <w:color w:val="000000"/>
                <w:sz w:val="24"/>
              </w:rPr>
              <w:t>。架空线路导线基本参数见</w:t>
            </w:r>
            <w:r>
              <w:rPr>
                <w:color w:val="000000"/>
                <w:sz w:val="24"/>
              </w:rPr>
              <w:fldChar w:fldCharType="begin"/>
            </w:r>
            <w:r>
              <w:rPr>
                <w:color w:val="000000"/>
                <w:sz w:val="24"/>
              </w:rPr>
              <w:instrText xml:space="preserve"> REF _Ref157121687 \h  \* MERGEFORMAT </w:instrText>
            </w:r>
            <w:r>
              <w:rPr>
                <w:color w:val="000000"/>
                <w:sz w:val="24"/>
              </w:rPr>
              <w:fldChar w:fldCharType="separate"/>
            </w:r>
            <w:r>
              <w:rPr>
                <w:color w:val="000000"/>
                <w:sz w:val="24"/>
              </w:rPr>
              <w:t>表 6</w:t>
            </w:r>
            <w:r>
              <w:rPr>
                <w:color w:val="000000"/>
                <w:sz w:val="24"/>
              </w:rPr>
              <w:fldChar w:fldCharType="end"/>
            </w:r>
            <w:r>
              <w:rPr>
                <w:color w:val="000000"/>
                <w:sz w:val="24"/>
              </w:rPr>
              <w:t>。</w:t>
            </w:r>
          </w:p>
          <w:p w14:paraId="4FB150B7">
            <w:pPr>
              <w:pStyle w:val="9"/>
              <w:keepNext/>
              <w:rPr>
                <w:rFonts w:ascii="Times New Roman" w:hAnsi="Times New Roman"/>
                <w:bCs/>
              </w:rPr>
            </w:pPr>
            <w:bookmarkStart w:id="57" w:name="_Ref157121687"/>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6</w:t>
            </w:r>
            <w:r>
              <w:rPr>
                <w:rFonts w:ascii="Times New Roman" w:hAnsi="Times New Roman"/>
                <w:b/>
              </w:rPr>
              <w:fldChar w:fldCharType="end"/>
            </w:r>
            <w:bookmarkEnd w:id="57"/>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输电线路工程导线基本参数一览表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3842"/>
            </w:tblGrid>
            <w:tr w14:paraId="2D75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14:paraId="521A51E3">
                  <w:pPr>
                    <w:pStyle w:val="73"/>
                    <w:rPr>
                      <w:b/>
                      <w:bCs/>
                      <w:szCs w:val="21"/>
                    </w:rPr>
                  </w:pPr>
                  <w:r>
                    <w:rPr>
                      <w:b/>
                      <w:bCs/>
                      <w:szCs w:val="21"/>
                    </w:rPr>
                    <w:t>项</w:t>
                  </w:r>
                  <w:r>
                    <w:rPr>
                      <w:rFonts w:hint="eastAsia"/>
                      <w:b/>
                      <w:bCs/>
                      <w:szCs w:val="21"/>
                    </w:rPr>
                    <w:t xml:space="preserve">   </w:t>
                  </w:r>
                  <w:r>
                    <w:rPr>
                      <w:b/>
                      <w:bCs/>
                      <w:szCs w:val="21"/>
                    </w:rPr>
                    <w:t>目</w:t>
                  </w:r>
                </w:p>
              </w:tc>
              <w:tc>
                <w:tcPr>
                  <w:tcW w:w="2310" w:type="pct"/>
                  <w:vAlign w:val="center"/>
                </w:tcPr>
                <w:p w14:paraId="45367C14">
                  <w:pPr>
                    <w:pStyle w:val="73"/>
                    <w:rPr>
                      <w:b/>
                      <w:bCs/>
                      <w:szCs w:val="21"/>
                    </w:rPr>
                  </w:pPr>
                  <w:r>
                    <w:rPr>
                      <w:b/>
                      <w:bCs/>
                      <w:szCs w:val="21"/>
                    </w:rPr>
                    <w:t>架空线路</w:t>
                  </w:r>
                </w:p>
              </w:tc>
            </w:tr>
            <w:tr w14:paraId="0066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14:paraId="0AB8B1F2">
                  <w:pPr>
                    <w:pStyle w:val="73"/>
                    <w:rPr>
                      <w:szCs w:val="21"/>
                    </w:rPr>
                  </w:pPr>
                  <w:r>
                    <w:rPr>
                      <w:szCs w:val="21"/>
                    </w:rPr>
                    <w:t>导线型号</w:t>
                  </w:r>
                </w:p>
              </w:tc>
              <w:tc>
                <w:tcPr>
                  <w:tcW w:w="2310" w:type="pct"/>
                  <w:vAlign w:val="center"/>
                </w:tcPr>
                <w:p w14:paraId="2946A8F1">
                  <w:pPr>
                    <w:pStyle w:val="73"/>
                    <w:rPr>
                      <w:szCs w:val="21"/>
                    </w:rPr>
                  </w:pPr>
                  <w:bookmarkStart w:id="58" w:name="_Hlk183036095"/>
                  <w:r>
                    <w:rPr>
                      <w:rFonts w:hint="eastAsia"/>
                      <w:szCs w:val="21"/>
                    </w:rPr>
                    <w:t>JL3/G1A-240/30型钢芯铝绞线</w:t>
                  </w:r>
                  <w:bookmarkEnd w:id="58"/>
                </w:p>
              </w:tc>
            </w:tr>
            <w:tr w14:paraId="75E0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14:paraId="5EA2527F">
                  <w:pPr>
                    <w:pStyle w:val="73"/>
                    <w:rPr>
                      <w:szCs w:val="21"/>
                    </w:rPr>
                  </w:pPr>
                  <w:r>
                    <w:rPr>
                      <w:szCs w:val="21"/>
                    </w:rPr>
                    <w:t>计算截面（mm</w:t>
                  </w:r>
                  <w:r>
                    <w:rPr>
                      <w:szCs w:val="21"/>
                      <w:vertAlign w:val="superscript"/>
                    </w:rPr>
                    <w:t>2</w:t>
                  </w:r>
                  <w:r>
                    <w:rPr>
                      <w:szCs w:val="21"/>
                    </w:rPr>
                    <w:t>）</w:t>
                  </w:r>
                </w:p>
              </w:tc>
              <w:tc>
                <w:tcPr>
                  <w:tcW w:w="2310" w:type="pct"/>
                </w:tcPr>
                <w:p w14:paraId="0149BD8E">
                  <w:pPr>
                    <w:pStyle w:val="73"/>
                    <w:rPr>
                      <w:rFonts w:hint="default" w:eastAsia="宋体"/>
                      <w:szCs w:val="21"/>
                      <w:lang w:val="en-US" w:eastAsia="zh-CN"/>
                    </w:rPr>
                  </w:pPr>
                  <w:r>
                    <w:rPr>
                      <w:rFonts w:hint="eastAsia"/>
                      <w:szCs w:val="21"/>
                      <w:lang w:val="en-US" w:eastAsia="zh-CN"/>
                    </w:rPr>
                    <w:t>278</w:t>
                  </w:r>
                </w:p>
              </w:tc>
            </w:tr>
            <w:tr w14:paraId="0819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14:paraId="54FCE66F">
                  <w:pPr>
                    <w:pStyle w:val="73"/>
                    <w:rPr>
                      <w:szCs w:val="21"/>
                    </w:rPr>
                  </w:pPr>
                  <w:r>
                    <w:rPr>
                      <w:szCs w:val="21"/>
                    </w:rPr>
                    <w:t>外径（mm）</w:t>
                  </w:r>
                </w:p>
              </w:tc>
              <w:tc>
                <w:tcPr>
                  <w:tcW w:w="2310" w:type="pct"/>
                  <w:vAlign w:val="center"/>
                </w:tcPr>
                <w:p w14:paraId="08CDA22D">
                  <w:pPr>
                    <w:pStyle w:val="73"/>
                    <w:rPr>
                      <w:rFonts w:hint="default" w:eastAsia="宋体"/>
                      <w:szCs w:val="21"/>
                      <w:lang w:val="en-US" w:eastAsia="zh-CN"/>
                    </w:rPr>
                  </w:pPr>
                  <w:r>
                    <w:rPr>
                      <w:rFonts w:hint="eastAsia"/>
                      <w:szCs w:val="21"/>
                      <w:lang w:val="en-US" w:eastAsia="zh-CN"/>
                    </w:rPr>
                    <w:t>21.6</w:t>
                  </w:r>
                </w:p>
              </w:tc>
            </w:tr>
            <w:tr w14:paraId="272A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14:paraId="7D76CBF8">
                  <w:pPr>
                    <w:pStyle w:val="73"/>
                    <w:rPr>
                      <w:szCs w:val="21"/>
                    </w:rPr>
                  </w:pPr>
                  <w:r>
                    <w:rPr>
                      <w:szCs w:val="21"/>
                    </w:rPr>
                    <w:t>允许载流量（A）</w:t>
                  </w:r>
                </w:p>
              </w:tc>
              <w:tc>
                <w:tcPr>
                  <w:tcW w:w="2310" w:type="pct"/>
                  <w:vAlign w:val="center"/>
                </w:tcPr>
                <w:p w14:paraId="4935095F">
                  <w:pPr>
                    <w:pStyle w:val="73"/>
                    <w:rPr>
                      <w:rFonts w:hint="default" w:eastAsia="宋体"/>
                      <w:szCs w:val="21"/>
                      <w:lang w:val="en-US" w:eastAsia="zh-CN"/>
                    </w:rPr>
                  </w:pPr>
                  <w:r>
                    <w:rPr>
                      <w:rFonts w:hint="eastAsia"/>
                      <w:szCs w:val="21"/>
                      <w:lang w:val="en-US" w:eastAsia="zh-CN"/>
                    </w:rPr>
                    <w:t>597</w:t>
                  </w:r>
                </w:p>
              </w:tc>
            </w:tr>
          </w:tbl>
          <w:p w14:paraId="311F9E53">
            <w:pPr>
              <w:autoSpaceDE w:val="0"/>
              <w:autoSpaceDN w:val="0"/>
              <w:adjustRightInd w:val="0"/>
              <w:snapToGrid w:val="0"/>
              <w:spacing w:before="240" w:line="360" w:lineRule="auto"/>
              <w:ind w:firstLine="480" w:firstLineChars="200"/>
              <w:rPr>
                <w:color w:val="000000"/>
                <w:sz w:val="24"/>
              </w:rPr>
            </w:pPr>
            <w:r>
              <w:rPr>
                <w:color w:val="000000"/>
                <w:sz w:val="24"/>
              </w:rPr>
              <w:t>（2）</w:t>
            </w:r>
            <w:r>
              <w:rPr>
                <w:rFonts w:hint="eastAsia"/>
                <w:color w:val="000000"/>
                <w:sz w:val="24"/>
              </w:rPr>
              <w:t>地线</w:t>
            </w:r>
          </w:p>
          <w:p w14:paraId="150A1F71">
            <w:pPr>
              <w:spacing w:line="360" w:lineRule="auto"/>
              <w:ind w:firstLine="480" w:firstLineChars="200"/>
              <w:rPr>
                <w:color w:val="000000"/>
                <w:sz w:val="24"/>
              </w:rPr>
            </w:pPr>
            <w:r>
              <w:rPr>
                <w:rFonts w:hint="eastAsia"/>
                <w:color w:val="000000"/>
                <w:sz w:val="24"/>
              </w:rPr>
              <w:t>本工程</w:t>
            </w:r>
            <w:r>
              <w:rPr>
                <w:rFonts w:hint="eastAsia"/>
                <w:color w:val="000000"/>
                <w:sz w:val="24"/>
                <w:lang w:val="en-US" w:eastAsia="zh-CN"/>
              </w:rPr>
              <w:t>拟建输电线路</w:t>
            </w:r>
            <w:r>
              <w:rPr>
                <w:rFonts w:hint="eastAsia"/>
                <w:color w:val="000000"/>
                <w:sz w:val="24"/>
              </w:rPr>
              <w:t>单回路段采用2根24芯OPGW光缆；双回路段采用2根48芯OPGW光缆。</w:t>
            </w:r>
          </w:p>
          <w:p w14:paraId="3E236D91">
            <w:pPr>
              <w:autoSpaceDE w:val="0"/>
              <w:autoSpaceDN w:val="0"/>
              <w:adjustRightInd w:val="0"/>
              <w:snapToGrid w:val="0"/>
              <w:spacing w:line="360" w:lineRule="auto"/>
              <w:ind w:firstLine="480" w:firstLineChars="200"/>
              <w:rPr>
                <w:color w:val="000000"/>
                <w:sz w:val="24"/>
              </w:rPr>
            </w:pPr>
            <w:r>
              <w:rPr>
                <w:rFonts w:hint="eastAsia"/>
                <w:color w:val="000000"/>
                <w:sz w:val="24"/>
              </w:rPr>
              <w:t>（3）</w:t>
            </w:r>
            <w:r>
              <w:rPr>
                <w:color w:val="000000"/>
                <w:sz w:val="24"/>
              </w:rPr>
              <w:t>杆塔</w:t>
            </w:r>
          </w:p>
          <w:p w14:paraId="3B594D06">
            <w:pPr>
              <w:autoSpaceDE w:val="0"/>
              <w:autoSpaceDN w:val="0"/>
              <w:adjustRightInd w:val="0"/>
              <w:snapToGrid w:val="0"/>
              <w:spacing w:line="360" w:lineRule="auto"/>
              <w:ind w:firstLine="480" w:firstLineChars="200"/>
              <w:rPr>
                <w:rFonts w:hint="eastAsia"/>
                <w:sz w:val="24"/>
                <w:u w:val="single"/>
              </w:rPr>
            </w:pPr>
            <w:r>
              <w:rPr>
                <w:rFonts w:hint="eastAsia"/>
                <w:color w:val="000000"/>
                <w:sz w:val="24"/>
              </w:rPr>
              <w:t>按照《国家电网有限公司35～750千伏输变电工程通用设计、通用设备应用目录（2024年版）》，结合《110kV~750k</w:t>
            </w:r>
            <w:r>
              <w:rPr>
                <w:rFonts w:hint="eastAsia"/>
                <w:color w:val="000000"/>
                <w:sz w:val="24"/>
                <w:lang w:val="en-US" w:eastAsia="zh-CN"/>
              </w:rPr>
              <w:t>V</w:t>
            </w:r>
            <w:r>
              <w:rPr>
                <w:rFonts w:hint="eastAsia"/>
                <w:color w:val="000000"/>
                <w:sz w:val="24"/>
              </w:rPr>
              <w:t>架空输电线路设计规范》</w:t>
            </w:r>
            <w:r>
              <w:rPr>
                <w:rFonts w:hint="eastAsia"/>
                <w:color w:val="000000"/>
                <w:sz w:val="24"/>
                <w:lang w:eastAsia="zh-CN"/>
              </w:rPr>
              <w:t>（</w:t>
            </w:r>
            <w:r>
              <w:rPr>
                <w:rFonts w:hint="eastAsia"/>
                <w:color w:val="000000"/>
                <w:sz w:val="24"/>
              </w:rPr>
              <w:t>GB</w:t>
            </w:r>
            <w:r>
              <w:rPr>
                <w:rFonts w:hint="eastAsia"/>
                <w:color w:val="000000"/>
                <w:sz w:val="24"/>
                <w:lang w:val="en-US" w:eastAsia="zh-CN"/>
              </w:rPr>
              <w:t xml:space="preserve"> </w:t>
            </w:r>
            <w:r>
              <w:rPr>
                <w:rFonts w:hint="eastAsia"/>
                <w:color w:val="000000"/>
                <w:sz w:val="24"/>
              </w:rPr>
              <w:t>50545-2010</w:t>
            </w:r>
            <w:r>
              <w:rPr>
                <w:rFonts w:hint="eastAsia"/>
                <w:color w:val="000000"/>
                <w:sz w:val="24"/>
                <w:lang w:eastAsia="zh-CN"/>
              </w:rPr>
              <w:t>）</w:t>
            </w:r>
            <w:r>
              <w:rPr>
                <w:rFonts w:hint="eastAsia"/>
                <w:color w:val="000000"/>
                <w:sz w:val="24"/>
              </w:rPr>
              <w:t>，根据本工程导线规格、气象条件及沿线地形具体特点，杆塔选用</w:t>
            </w:r>
            <w:bookmarkStart w:id="59" w:name="_Hlk183036151"/>
            <w:r>
              <w:rPr>
                <w:rFonts w:hint="eastAsia"/>
                <w:color w:val="000000"/>
                <w:sz w:val="24"/>
                <w:lang w:val="en-US" w:eastAsia="zh-CN"/>
              </w:rPr>
              <w:t>自行</w:t>
            </w:r>
            <w:r>
              <w:rPr>
                <w:rFonts w:hint="eastAsia"/>
                <w:color w:val="000000"/>
                <w:sz w:val="24"/>
              </w:rPr>
              <w:t>设计</w:t>
            </w:r>
            <w:r>
              <w:rPr>
                <w:rFonts w:hint="eastAsia"/>
                <w:color w:val="000000"/>
                <w:sz w:val="24"/>
                <w:lang w:val="en-US" w:eastAsia="zh-CN"/>
              </w:rPr>
              <w:t>的110</w:t>
            </w:r>
            <w:r>
              <w:rPr>
                <w:rFonts w:hint="eastAsia"/>
                <w:color w:val="000000"/>
                <w:sz w:val="24"/>
              </w:rPr>
              <w:t>-</w:t>
            </w:r>
            <w:r>
              <w:rPr>
                <w:rFonts w:hint="eastAsia"/>
                <w:color w:val="000000"/>
                <w:sz w:val="24"/>
                <w:lang w:val="en-US" w:eastAsia="zh-CN"/>
              </w:rPr>
              <w:t>XY</w:t>
            </w:r>
            <w:r>
              <w:rPr>
                <w:rFonts w:hint="eastAsia"/>
                <w:color w:val="000000"/>
                <w:sz w:val="24"/>
              </w:rPr>
              <w:t>模块</w:t>
            </w:r>
            <w:bookmarkEnd w:id="59"/>
            <w:r>
              <w:rPr>
                <w:rFonts w:hint="eastAsia"/>
                <w:color w:val="000000"/>
                <w:sz w:val="24"/>
                <w:lang w:val="en-US" w:eastAsia="zh-CN"/>
              </w:rPr>
              <w:t>铁塔</w:t>
            </w:r>
            <w:r>
              <w:rPr>
                <w:rFonts w:hint="eastAsia"/>
                <w:color w:val="000000"/>
                <w:sz w:val="24"/>
                <w:lang w:eastAsia="zh-CN"/>
              </w:rPr>
              <w:t>，</w:t>
            </w:r>
            <w:r>
              <w:rPr>
                <w:rFonts w:hint="eastAsia"/>
                <w:sz w:val="24"/>
                <w:u w:val="none"/>
              </w:rPr>
              <w:t>共</w:t>
            </w:r>
            <w:r>
              <w:rPr>
                <w:sz w:val="24"/>
                <w:u w:val="none"/>
              </w:rPr>
              <w:t>使用</w:t>
            </w:r>
            <w:r>
              <w:rPr>
                <w:rFonts w:hint="eastAsia"/>
                <w:sz w:val="24"/>
                <w:u w:val="none"/>
              </w:rPr>
              <w:t>铁塔</w:t>
            </w:r>
            <w:r>
              <w:rPr>
                <w:rFonts w:hint="eastAsia"/>
                <w:sz w:val="24"/>
                <w:u w:val="none"/>
                <w:lang w:val="en-US" w:eastAsia="zh-CN"/>
              </w:rPr>
              <w:t>19</w:t>
            </w:r>
            <w:r>
              <w:rPr>
                <w:sz w:val="24"/>
                <w:u w:val="none"/>
              </w:rPr>
              <w:t>基</w:t>
            </w:r>
            <w:r>
              <w:rPr>
                <w:rFonts w:hint="eastAsia"/>
                <w:sz w:val="24"/>
                <w:u w:val="none"/>
              </w:rPr>
              <w:t>，工程杆塔参数一览表详见</w:t>
            </w:r>
            <w:r>
              <w:rPr>
                <w:sz w:val="24"/>
                <w:u w:val="none"/>
              </w:rPr>
              <w:fldChar w:fldCharType="begin"/>
            </w:r>
            <w:r>
              <w:rPr>
                <w:sz w:val="24"/>
                <w:u w:val="none"/>
              </w:rPr>
              <w:instrText xml:space="preserve"> </w:instrText>
            </w:r>
            <w:r>
              <w:rPr>
                <w:rFonts w:hint="eastAsia"/>
                <w:sz w:val="24"/>
                <w:u w:val="none"/>
              </w:rPr>
              <w:instrText xml:space="preserve">REF _Ref167890888 \h</w:instrText>
            </w:r>
            <w:r>
              <w:rPr>
                <w:sz w:val="24"/>
                <w:u w:val="none"/>
              </w:rPr>
              <w:instrText xml:space="preserve">  \* MERGEFORMAT </w:instrText>
            </w:r>
            <w:r>
              <w:rPr>
                <w:sz w:val="24"/>
                <w:u w:val="none"/>
              </w:rPr>
              <w:fldChar w:fldCharType="separate"/>
            </w:r>
            <w:r>
              <w:rPr>
                <w:sz w:val="24"/>
                <w:u w:val="none"/>
              </w:rPr>
              <w:t xml:space="preserve">表 </w:t>
            </w:r>
            <w:r>
              <w:rPr>
                <w:rFonts w:hint="default"/>
                <w:sz w:val="24"/>
                <w:u w:val="none"/>
              </w:rPr>
              <w:t>7</w:t>
            </w:r>
            <w:r>
              <w:rPr>
                <w:sz w:val="24"/>
                <w:u w:val="none"/>
              </w:rPr>
              <w:fldChar w:fldCharType="end"/>
            </w:r>
            <w:r>
              <w:rPr>
                <w:rFonts w:hint="eastAsia"/>
                <w:sz w:val="24"/>
                <w:u w:val="none"/>
              </w:rPr>
              <w:t>。</w:t>
            </w:r>
          </w:p>
          <w:p w14:paraId="208676C1">
            <w:pPr>
              <w:pStyle w:val="9"/>
              <w:jc w:val="both"/>
              <w:rPr>
                <w:u w:val="none"/>
              </w:rPr>
            </w:pPr>
            <w:bookmarkStart w:id="60" w:name="_Ref167890888"/>
            <w:r>
              <w:rPr>
                <w:b/>
                <w:bCs/>
                <w:u w:val="none"/>
              </w:rPr>
              <w:t xml:space="preserve">表 </w:t>
            </w:r>
            <w:r>
              <w:rPr>
                <w:rFonts w:hint="default" w:ascii="Times New Roman" w:hAnsi="Times New Roman" w:cs="Times New Roman"/>
                <w:b/>
                <w:bCs/>
                <w:u w:val="none"/>
              </w:rPr>
              <w:fldChar w:fldCharType="begin"/>
            </w:r>
            <w:r>
              <w:rPr>
                <w:rFonts w:hint="default" w:ascii="Times New Roman" w:hAnsi="Times New Roman" w:cs="Times New Roman"/>
                <w:b/>
                <w:bCs/>
                <w:u w:val="none"/>
              </w:rPr>
              <w:instrText xml:space="preserve"> SEQ 表 \* ARABIC </w:instrText>
            </w:r>
            <w:r>
              <w:rPr>
                <w:rFonts w:hint="default" w:ascii="Times New Roman" w:hAnsi="Times New Roman" w:cs="Times New Roman"/>
                <w:b/>
                <w:bCs/>
                <w:u w:val="none"/>
              </w:rPr>
              <w:fldChar w:fldCharType="separate"/>
            </w:r>
            <w:r>
              <w:rPr>
                <w:rFonts w:hint="default" w:ascii="Times New Roman" w:hAnsi="Times New Roman" w:cs="Times New Roman"/>
                <w:b/>
                <w:bCs/>
                <w:u w:val="none"/>
              </w:rPr>
              <w:t>7</w:t>
            </w:r>
            <w:r>
              <w:rPr>
                <w:rFonts w:hint="default" w:ascii="Times New Roman" w:hAnsi="Times New Roman" w:cs="Times New Roman"/>
                <w:b/>
                <w:bCs/>
                <w:u w:val="none"/>
              </w:rPr>
              <w:fldChar w:fldCharType="end"/>
            </w:r>
            <w:bookmarkEnd w:id="60"/>
            <w:r>
              <w:rPr>
                <w:rFonts w:hint="default" w:ascii="Times New Roman" w:hAnsi="Times New Roman" w:cs="Times New Roman"/>
                <w:b/>
                <w:bCs/>
                <w:u w:val="none"/>
              </w:rPr>
              <w:t xml:space="preserve"> </w:t>
            </w:r>
            <w:r>
              <w:rPr>
                <w:b/>
                <w:bCs/>
                <w:u w:val="none"/>
              </w:rPr>
              <w:t xml:space="preserve">                   </w:t>
            </w:r>
            <w:r>
              <w:rPr>
                <w:rFonts w:hint="eastAsia"/>
                <w:b/>
                <w:bCs/>
                <w:u w:val="none"/>
                <w:lang w:val="en-US" w:eastAsia="zh-CN"/>
              </w:rPr>
              <w:t xml:space="preserve">   </w:t>
            </w:r>
            <w:r>
              <w:rPr>
                <w:b/>
                <w:bCs/>
                <w:u w:val="none"/>
              </w:rPr>
              <w:t xml:space="preserve">    </w:t>
            </w:r>
            <w:r>
              <w:rPr>
                <w:rFonts w:hint="eastAsia"/>
                <w:b/>
                <w:bCs/>
                <w:u w:val="none"/>
              </w:rPr>
              <w:t>工程杆塔参数一览表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370"/>
              <w:gridCol w:w="901"/>
              <w:gridCol w:w="800"/>
              <w:gridCol w:w="733"/>
              <w:gridCol w:w="1194"/>
              <w:gridCol w:w="1003"/>
              <w:gridCol w:w="1691"/>
            </w:tblGrid>
            <w:tr w14:paraId="732E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30A13C5D">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序号</w:t>
                  </w:r>
                </w:p>
              </w:tc>
              <w:tc>
                <w:tcPr>
                  <w:tcW w:w="824" w:type="pct"/>
                  <w:noWrap w:val="0"/>
                  <w:vAlign w:val="center"/>
                </w:tcPr>
                <w:p w14:paraId="618D12CE">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塔型</w:t>
                  </w:r>
                </w:p>
              </w:tc>
              <w:tc>
                <w:tcPr>
                  <w:tcW w:w="542" w:type="pct"/>
                  <w:noWrap w:val="0"/>
                  <w:vAlign w:val="center"/>
                </w:tcPr>
                <w:p w14:paraId="4E3F38F7">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呼高</w:t>
                  </w:r>
                </w:p>
              </w:tc>
              <w:tc>
                <w:tcPr>
                  <w:tcW w:w="481" w:type="pct"/>
                  <w:noWrap w:val="0"/>
                  <w:vAlign w:val="center"/>
                </w:tcPr>
                <w:p w14:paraId="5D94FDE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水平</w:t>
                  </w:r>
                </w:p>
                <w:p w14:paraId="4CF5D34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档距</w:t>
                  </w:r>
                </w:p>
              </w:tc>
              <w:tc>
                <w:tcPr>
                  <w:tcW w:w="440" w:type="pct"/>
                  <w:noWrap w:val="0"/>
                  <w:vAlign w:val="center"/>
                </w:tcPr>
                <w:p w14:paraId="28E8021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垂直</w:t>
                  </w:r>
                </w:p>
                <w:p w14:paraId="2199D79E">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档距</w:t>
                  </w:r>
                </w:p>
              </w:tc>
              <w:tc>
                <w:tcPr>
                  <w:tcW w:w="718" w:type="pct"/>
                  <w:noWrap w:val="0"/>
                  <w:vAlign w:val="center"/>
                </w:tcPr>
                <w:p w14:paraId="19AB4694">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rPr>
                  </w:pPr>
                  <w:r>
                    <w:rPr>
                      <w:rFonts w:hint="eastAsia" w:ascii="Times New Roman" w:hAnsi="Times New Roman" w:eastAsia="宋体" w:cs="宋体"/>
                      <w:b/>
                      <w:bCs/>
                      <w:caps w:val="0"/>
                      <w:color w:val="auto"/>
                      <w:sz w:val="21"/>
                      <w:szCs w:val="21"/>
                      <w:highlight w:val="none"/>
                    </w:rPr>
                    <w:t>使用角度</w:t>
                  </w:r>
                </w:p>
              </w:tc>
              <w:tc>
                <w:tcPr>
                  <w:tcW w:w="603" w:type="pct"/>
                  <w:noWrap w:val="0"/>
                  <w:vAlign w:val="center"/>
                </w:tcPr>
                <w:p w14:paraId="0242FA1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lang w:val="en-US" w:eastAsia="zh-CN"/>
                    </w:rPr>
                  </w:pPr>
                  <w:r>
                    <w:rPr>
                      <w:rFonts w:hint="eastAsia" w:ascii="Times New Roman" w:hAnsi="Times New Roman" w:eastAsia="宋体" w:cs="宋体"/>
                      <w:b/>
                      <w:bCs/>
                      <w:caps w:val="0"/>
                      <w:color w:val="auto"/>
                      <w:sz w:val="21"/>
                      <w:szCs w:val="21"/>
                      <w:highlight w:val="none"/>
                      <w:lang w:val="en-US" w:eastAsia="zh-CN"/>
                    </w:rPr>
                    <w:t>数量/基</w:t>
                  </w:r>
                </w:p>
              </w:tc>
              <w:tc>
                <w:tcPr>
                  <w:tcW w:w="1017" w:type="pct"/>
                  <w:noWrap w:val="0"/>
                  <w:vAlign w:val="center"/>
                </w:tcPr>
                <w:p w14:paraId="2C4E926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lang w:eastAsia="zh-CN"/>
                    </w:rPr>
                  </w:pPr>
                  <w:r>
                    <w:rPr>
                      <w:rFonts w:hint="eastAsia" w:ascii="Times New Roman" w:hAnsi="Times New Roman" w:eastAsia="宋体" w:cs="宋体"/>
                      <w:b/>
                      <w:bCs/>
                      <w:caps w:val="0"/>
                      <w:color w:val="auto"/>
                      <w:sz w:val="21"/>
                      <w:szCs w:val="21"/>
                      <w:highlight w:val="none"/>
                    </w:rPr>
                    <w:t>备注</w:t>
                  </w:r>
                  <w:r>
                    <w:rPr>
                      <w:rFonts w:hint="eastAsia" w:ascii="Times New Roman" w:hAnsi="Times New Roman" w:eastAsia="宋体" w:cs="宋体"/>
                      <w:b/>
                      <w:bCs/>
                      <w:caps w:val="0"/>
                      <w:color w:val="auto"/>
                      <w:sz w:val="21"/>
                      <w:szCs w:val="21"/>
                      <w:highlight w:val="none"/>
                      <w:lang w:eastAsia="zh-CN"/>
                    </w:rPr>
                    <w:t>（</w:t>
                  </w:r>
                  <w:r>
                    <w:rPr>
                      <w:rFonts w:hint="eastAsia" w:ascii="Times New Roman" w:hAnsi="Times New Roman" w:eastAsia="宋体" w:cs="宋体"/>
                      <w:b/>
                      <w:bCs/>
                      <w:caps w:val="0"/>
                      <w:color w:val="auto"/>
                      <w:sz w:val="21"/>
                      <w:szCs w:val="21"/>
                      <w:highlight w:val="none"/>
                    </w:rPr>
                    <w:t>覆冰、风速、导线型号</w:t>
                  </w:r>
                  <w:r>
                    <w:rPr>
                      <w:rFonts w:hint="eastAsia" w:ascii="Times New Roman" w:hAnsi="Times New Roman" w:eastAsia="宋体" w:cs="宋体"/>
                      <w:b/>
                      <w:bCs/>
                      <w:caps w:val="0"/>
                      <w:color w:val="auto"/>
                      <w:sz w:val="21"/>
                      <w:szCs w:val="21"/>
                      <w:highlight w:val="none"/>
                      <w:lang w:eastAsia="zh-CN"/>
                    </w:rPr>
                    <w:t>）</w:t>
                  </w:r>
                </w:p>
              </w:tc>
            </w:tr>
            <w:tr w14:paraId="0415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noWrap w:val="0"/>
                  <w:vAlign w:val="center"/>
                </w:tcPr>
                <w:p w14:paraId="5857B6F5">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rPr>
                  </w:pPr>
                  <w:r>
                    <w:rPr>
                      <w:rFonts w:hint="eastAsia" w:ascii="Times New Roman" w:hAnsi="Times New Roman" w:eastAsia="宋体" w:cs="宋体"/>
                      <w:caps w:val="0"/>
                      <w:color w:val="auto"/>
                      <w:sz w:val="21"/>
                      <w:szCs w:val="21"/>
                      <w:highlight w:val="none"/>
                    </w:rPr>
                    <w:t>1</w:t>
                  </w:r>
                </w:p>
              </w:tc>
              <w:tc>
                <w:tcPr>
                  <w:tcW w:w="824" w:type="pct"/>
                  <w:noWrap w:val="0"/>
                  <w:vAlign w:val="center"/>
                </w:tcPr>
                <w:p w14:paraId="57360F0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110XY-</w:t>
                  </w:r>
                  <w:r>
                    <w:rPr>
                      <w:rFonts w:hint="eastAsia" w:ascii="Times New Roman" w:hAnsi="Times New Roman" w:eastAsia="宋体" w:cs="宋体"/>
                      <w:caps w:val="0"/>
                      <w:color w:val="auto"/>
                      <w:sz w:val="21"/>
                      <w:szCs w:val="21"/>
                      <w:highlight w:val="none"/>
                    </w:rPr>
                    <w:t>ZB</w:t>
                  </w:r>
                  <w:r>
                    <w:rPr>
                      <w:rFonts w:hint="eastAsia" w:ascii="Times New Roman" w:hAnsi="Times New Roman" w:eastAsia="宋体" w:cs="宋体"/>
                      <w:caps w:val="0"/>
                      <w:color w:val="auto"/>
                      <w:sz w:val="21"/>
                      <w:szCs w:val="21"/>
                      <w:highlight w:val="none"/>
                      <w:lang w:val="en-US" w:eastAsia="zh-CN"/>
                    </w:rPr>
                    <w:t>1</w:t>
                  </w:r>
                </w:p>
              </w:tc>
              <w:tc>
                <w:tcPr>
                  <w:tcW w:w="542" w:type="pct"/>
                  <w:noWrap w:val="0"/>
                  <w:vAlign w:val="center"/>
                </w:tcPr>
                <w:p w14:paraId="7E5A268E">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rPr>
                    <w:t>18-</w:t>
                  </w:r>
                  <w:r>
                    <w:rPr>
                      <w:rFonts w:hint="eastAsia" w:ascii="Times New Roman" w:hAnsi="Times New Roman" w:eastAsia="宋体" w:cs="宋体"/>
                      <w:caps w:val="0"/>
                      <w:color w:val="auto"/>
                      <w:sz w:val="21"/>
                      <w:szCs w:val="21"/>
                      <w:highlight w:val="none"/>
                      <w:lang w:val="en-US" w:eastAsia="zh-CN"/>
                    </w:rPr>
                    <w:t>24</w:t>
                  </w:r>
                </w:p>
              </w:tc>
              <w:tc>
                <w:tcPr>
                  <w:tcW w:w="481" w:type="pct"/>
                  <w:noWrap w:val="0"/>
                  <w:vAlign w:val="center"/>
                </w:tcPr>
                <w:p w14:paraId="3DBA90B9">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rPr>
                  </w:pPr>
                  <w:r>
                    <w:rPr>
                      <w:rFonts w:hint="eastAsia" w:ascii="Times New Roman" w:hAnsi="Times New Roman" w:eastAsia="宋体" w:cs="宋体"/>
                      <w:caps w:val="0"/>
                      <w:color w:val="auto"/>
                      <w:sz w:val="21"/>
                      <w:szCs w:val="21"/>
                      <w:highlight w:val="none"/>
                    </w:rPr>
                    <w:t>350</w:t>
                  </w:r>
                </w:p>
              </w:tc>
              <w:tc>
                <w:tcPr>
                  <w:tcW w:w="440" w:type="pct"/>
                  <w:noWrap w:val="0"/>
                  <w:vAlign w:val="center"/>
                </w:tcPr>
                <w:p w14:paraId="0E305B8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rPr>
                  </w:pPr>
                  <w:r>
                    <w:rPr>
                      <w:rFonts w:hint="eastAsia" w:ascii="Times New Roman" w:hAnsi="Times New Roman" w:eastAsia="宋体" w:cs="宋体"/>
                      <w:caps w:val="0"/>
                      <w:color w:val="auto"/>
                      <w:sz w:val="21"/>
                      <w:szCs w:val="21"/>
                      <w:highlight w:val="none"/>
                    </w:rPr>
                    <w:t>450</w:t>
                  </w:r>
                </w:p>
              </w:tc>
              <w:tc>
                <w:tcPr>
                  <w:tcW w:w="718" w:type="pct"/>
                  <w:noWrap w:val="0"/>
                  <w:vAlign w:val="center"/>
                </w:tcPr>
                <w:p w14:paraId="0C014158">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rPr>
                  </w:pPr>
                  <w:r>
                    <w:rPr>
                      <w:rFonts w:hint="eastAsia" w:ascii="Times New Roman" w:hAnsi="Times New Roman" w:eastAsia="宋体" w:cs="宋体"/>
                      <w:caps w:val="0"/>
                      <w:color w:val="auto"/>
                      <w:sz w:val="21"/>
                      <w:szCs w:val="21"/>
                      <w:highlight w:val="none"/>
                    </w:rPr>
                    <w:t>0</w:t>
                  </w:r>
                </w:p>
              </w:tc>
              <w:tc>
                <w:tcPr>
                  <w:tcW w:w="603" w:type="pct"/>
                  <w:noWrap w:val="0"/>
                  <w:vAlign w:val="center"/>
                </w:tcPr>
                <w:p w14:paraId="0C93897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w:t>
                  </w:r>
                </w:p>
              </w:tc>
              <w:tc>
                <w:tcPr>
                  <w:tcW w:w="1017" w:type="pct"/>
                  <w:vMerge w:val="restart"/>
                  <w:noWrap w:val="0"/>
                  <w:vAlign w:val="center"/>
                </w:tcPr>
                <w:p w14:paraId="35E1CB15">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rPr>
                    <w:t>5mm，3</w:t>
                  </w:r>
                  <w:r>
                    <w:rPr>
                      <w:rFonts w:hint="eastAsia" w:ascii="Times New Roman" w:hAnsi="Times New Roman" w:eastAsia="宋体" w:cs="宋体"/>
                      <w:caps w:val="0"/>
                      <w:color w:val="auto"/>
                      <w:sz w:val="21"/>
                      <w:szCs w:val="21"/>
                      <w:highlight w:val="none"/>
                      <w:lang w:val="en-US" w:eastAsia="zh-CN"/>
                    </w:rPr>
                    <w:t>5</w:t>
                  </w:r>
                  <w:r>
                    <w:rPr>
                      <w:rFonts w:hint="eastAsia" w:ascii="Times New Roman" w:hAnsi="Times New Roman" w:eastAsia="宋体" w:cs="宋体"/>
                      <w:caps w:val="0"/>
                      <w:color w:val="auto"/>
                      <w:sz w:val="21"/>
                      <w:szCs w:val="21"/>
                      <w:highlight w:val="none"/>
                    </w:rPr>
                    <w:t>m/s，JL</w:t>
                  </w:r>
                  <w:r>
                    <w:rPr>
                      <w:rFonts w:hint="eastAsia" w:ascii="Times New Roman" w:hAnsi="Times New Roman" w:eastAsia="宋体" w:cs="宋体"/>
                      <w:caps w:val="0"/>
                      <w:color w:val="auto"/>
                      <w:sz w:val="21"/>
                      <w:szCs w:val="21"/>
                      <w:highlight w:val="none"/>
                      <w:lang w:val="en-US" w:eastAsia="zh-CN"/>
                    </w:rPr>
                    <w:t>3</w:t>
                  </w:r>
                  <w:r>
                    <w:rPr>
                      <w:rFonts w:hint="eastAsia" w:ascii="Times New Roman" w:hAnsi="Times New Roman" w:eastAsia="宋体" w:cs="宋体"/>
                      <w:caps w:val="0"/>
                      <w:color w:val="auto"/>
                      <w:sz w:val="21"/>
                      <w:szCs w:val="21"/>
                      <w:highlight w:val="none"/>
                    </w:rPr>
                    <w:t>/G1A-</w:t>
                  </w:r>
                  <w:r>
                    <w:rPr>
                      <w:rFonts w:hint="eastAsia" w:ascii="Times New Roman" w:hAnsi="Times New Roman" w:eastAsia="宋体" w:cs="宋体"/>
                      <w:caps w:val="0"/>
                      <w:color w:val="auto"/>
                      <w:sz w:val="21"/>
                      <w:szCs w:val="21"/>
                      <w:highlight w:val="none"/>
                      <w:lang w:val="en-US" w:eastAsia="zh-CN"/>
                    </w:rPr>
                    <w:t>240/30</w:t>
                  </w:r>
                </w:p>
              </w:tc>
            </w:tr>
            <w:tr w14:paraId="6015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239B3CA8">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2</w:t>
                  </w:r>
                </w:p>
              </w:tc>
              <w:tc>
                <w:tcPr>
                  <w:tcW w:w="824" w:type="pct"/>
                  <w:noWrap w:val="0"/>
                  <w:vAlign w:val="center"/>
                </w:tcPr>
                <w:p w14:paraId="6F3796E4">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eastAsia="zh-CN"/>
                    </w:rPr>
                  </w:pPr>
                  <w:r>
                    <w:rPr>
                      <w:rFonts w:hint="eastAsia" w:ascii="Times New Roman" w:hAnsi="Times New Roman" w:eastAsia="宋体" w:cs="宋体"/>
                      <w:caps w:val="0"/>
                      <w:color w:val="auto"/>
                      <w:sz w:val="21"/>
                      <w:szCs w:val="21"/>
                      <w:highlight w:val="none"/>
                      <w:lang w:val="zh-CN"/>
                    </w:rPr>
                    <w:t>110</w:t>
                  </w:r>
                  <w:r>
                    <w:rPr>
                      <w:rFonts w:hint="eastAsia" w:ascii="Times New Roman" w:hAnsi="Times New Roman" w:eastAsia="宋体" w:cs="宋体"/>
                      <w:caps w:val="0"/>
                      <w:color w:val="auto"/>
                      <w:sz w:val="21"/>
                      <w:szCs w:val="21"/>
                      <w:highlight w:val="none"/>
                      <w:lang w:val="en-US" w:eastAsia="zh-CN"/>
                    </w:rPr>
                    <w:t>XY</w:t>
                  </w:r>
                  <w:r>
                    <w:rPr>
                      <w:rFonts w:hint="eastAsia" w:ascii="Times New Roman" w:hAnsi="Times New Roman" w:eastAsia="宋体" w:cs="宋体"/>
                      <w:caps w:val="0"/>
                      <w:color w:val="auto"/>
                      <w:sz w:val="21"/>
                      <w:szCs w:val="21"/>
                      <w:highlight w:val="none"/>
                      <w:lang w:val="zh-CN"/>
                    </w:rPr>
                    <w:t>-J</w:t>
                  </w:r>
                  <w:r>
                    <w:rPr>
                      <w:rFonts w:hint="eastAsia" w:ascii="Times New Roman" w:hAnsi="Times New Roman" w:eastAsia="宋体" w:cs="宋体"/>
                      <w:caps w:val="0"/>
                      <w:color w:val="auto"/>
                      <w:sz w:val="21"/>
                      <w:szCs w:val="21"/>
                      <w:highlight w:val="none"/>
                      <w:lang w:val="en-US" w:eastAsia="zh-CN"/>
                    </w:rPr>
                    <w:t>2</w:t>
                  </w:r>
                </w:p>
              </w:tc>
              <w:tc>
                <w:tcPr>
                  <w:tcW w:w="542" w:type="pct"/>
                  <w:noWrap w:val="0"/>
                  <w:vAlign w:val="center"/>
                </w:tcPr>
                <w:p w14:paraId="737C3FAD">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6F382B88">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292C7C2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19D79CF0">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w:t>
                  </w:r>
                  <w:r>
                    <w:rPr>
                      <w:rFonts w:hint="eastAsia" w:ascii="Times New Roman" w:hAnsi="Times New Roman" w:eastAsia="宋体" w:cs="宋体"/>
                      <w:caps w:val="0"/>
                      <w:color w:val="auto"/>
                      <w:sz w:val="21"/>
                      <w:szCs w:val="21"/>
                      <w:highlight w:val="none"/>
                    </w:rPr>
                    <w:t>-</w:t>
                  </w:r>
                  <w:r>
                    <w:rPr>
                      <w:rFonts w:hint="eastAsia" w:ascii="Times New Roman" w:hAnsi="Times New Roman" w:eastAsia="宋体" w:cs="宋体"/>
                      <w:caps w:val="0"/>
                      <w:color w:val="auto"/>
                      <w:sz w:val="21"/>
                      <w:szCs w:val="21"/>
                      <w:highlight w:val="none"/>
                      <w:lang w:val="en-US" w:eastAsia="zh-CN"/>
                    </w:rPr>
                    <w:t>20</w:t>
                  </w:r>
                </w:p>
              </w:tc>
              <w:tc>
                <w:tcPr>
                  <w:tcW w:w="603" w:type="pct"/>
                  <w:noWrap w:val="0"/>
                  <w:vAlign w:val="center"/>
                </w:tcPr>
                <w:p w14:paraId="145DB0E0">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w:t>
                  </w:r>
                </w:p>
              </w:tc>
              <w:tc>
                <w:tcPr>
                  <w:tcW w:w="1017" w:type="pct"/>
                  <w:vMerge w:val="continue"/>
                  <w:noWrap w:val="0"/>
                  <w:vAlign w:val="center"/>
                </w:tcPr>
                <w:p w14:paraId="04DED34B">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5B4A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3B40DBF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3</w:t>
                  </w:r>
                </w:p>
              </w:tc>
              <w:tc>
                <w:tcPr>
                  <w:tcW w:w="824" w:type="pct"/>
                  <w:noWrap w:val="0"/>
                  <w:vAlign w:val="center"/>
                </w:tcPr>
                <w:p w14:paraId="7A4FDDC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zh-CN"/>
                    </w:rPr>
                    <w:t>110</w:t>
                  </w:r>
                  <w:r>
                    <w:rPr>
                      <w:rFonts w:hint="eastAsia" w:ascii="Times New Roman" w:hAnsi="Times New Roman" w:eastAsia="宋体" w:cs="宋体"/>
                      <w:caps w:val="0"/>
                      <w:color w:val="auto"/>
                      <w:sz w:val="21"/>
                      <w:szCs w:val="21"/>
                      <w:highlight w:val="none"/>
                      <w:lang w:val="en-US" w:eastAsia="zh-CN"/>
                    </w:rPr>
                    <w:t>XY</w:t>
                  </w:r>
                  <w:r>
                    <w:rPr>
                      <w:rFonts w:hint="eastAsia" w:ascii="Times New Roman" w:hAnsi="Times New Roman" w:eastAsia="宋体" w:cs="宋体"/>
                      <w:caps w:val="0"/>
                      <w:color w:val="auto"/>
                      <w:sz w:val="21"/>
                      <w:szCs w:val="21"/>
                      <w:highlight w:val="none"/>
                      <w:lang w:val="zh-CN"/>
                    </w:rPr>
                    <w:t>-J</w:t>
                  </w:r>
                  <w:r>
                    <w:rPr>
                      <w:rFonts w:hint="eastAsia" w:ascii="Times New Roman" w:hAnsi="Times New Roman" w:eastAsia="宋体" w:cs="宋体"/>
                      <w:caps w:val="0"/>
                      <w:color w:val="auto"/>
                      <w:sz w:val="21"/>
                      <w:szCs w:val="21"/>
                      <w:highlight w:val="none"/>
                      <w:lang w:val="en-US" w:eastAsia="zh-CN"/>
                    </w:rPr>
                    <w:t>4</w:t>
                  </w:r>
                </w:p>
              </w:tc>
              <w:tc>
                <w:tcPr>
                  <w:tcW w:w="542" w:type="pct"/>
                  <w:noWrap w:val="0"/>
                  <w:vAlign w:val="center"/>
                </w:tcPr>
                <w:p w14:paraId="50FF3706">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28F78A25">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36BAF811">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7F59A99B">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60-90</w:t>
                  </w:r>
                </w:p>
              </w:tc>
              <w:tc>
                <w:tcPr>
                  <w:tcW w:w="603" w:type="pct"/>
                  <w:noWrap w:val="0"/>
                  <w:vAlign w:val="center"/>
                </w:tcPr>
                <w:p w14:paraId="73E6FC4D">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w:t>
                  </w:r>
                </w:p>
              </w:tc>
              <w:tc>
                <w:tcPr>
                  <w:tcW w:w="1017" w:type="pct"/>
                  <w:vMerge w:val="continue"/>
                  <w:noWrap w:val="0"/>
                  <w:vAlign w:val="center"/>
                </w:tcPr>
                <w:p w14:paraId="47165A2E">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2E65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4A771F5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4</w:t>
                  </w:r>
                </w:p>
              </w:tc>
              <w:tc>
                <w:tcPr>
                  <w:tcW w:w="824" w:type="pct"/>
                  <w:noWrap w:val="0"/>
                  <w:vAlign w:val="center"/>
                </w:tcPr>
                <w:p w14:paraId="0BF2EB38">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zh-CN"/>
                    </w:rPr>
                    <w:t>110</w:t>
                  </w:r>
                  <w:r>
                    <w:rPr>
                      <w:rFonts w:hint="eastAsia" w:ascii="Times New Roman" w:hAnsi="Times New Roman" w:eastAsia="宋体" w:cs="宋体"/>
                      <w:caps w:val="0"/>
                      <w:color w:val="auto"/>
                      <w:sz w:val="21"/>
                      <w:szCs w:val="21"/>
                      <w:highlight w:val="none"/>
                      <w:lang w:val="en-US" w:eastAsia="zh-CN"/>
                    </w:rPr>
                    <w:t>XY</w:t>
                  </w:r>
                  <w:r>
                    <w:rPr>
                      <w:rFonts w:hint="eastAsia" w:ascii="Times New Roman" w:hAnsi="Times New Roman" w:eastAsia="宋体" w:cs="宋体"/>
                      <w:caps w:val="0"/>
                      <w:color w:val="auto"/>
                      <w:sz w:val="21"/>
                      <w:szCs w:val="21"/>
                      <w:highlight w:val="none"/>
                      <w:lang w:val="zh-CN"/>
                    </w:rPr>
                    <w:t>-</w:t>
                  </w:r>
                  <w:r>
                    <w:rPr>
                      <w:rFonts w:hint="eastAsia" w:ascii="Times New Roman" w:hAnsi="Times New Roman" w:eastAsia="宋体" w:cs="宋体"/>
                      <w:caps w:val="0"/>
                      <w:color w:val="auto"/>
                      <w:sz w:val="21"/>
                      <w:szCs w:val="21"/>
                      <w:highlight w:val="none"/>
                      <w:lang w:val="en-US" w:eastAsia="zh-CN"/>
                    </w:rPr>
                    <w:t>DJ</w:t>
                  </w:r>
                </w:p>
              </w:tc>
              <w:tc>
                <w:tcPr>
                  <w:tcW w:w="542" w:type="pct"/>
                  <w:noWrap w:val="0"/>
                  <w:vAlign w:val="center"/>
                </w:tcPr>
                <w:p w14:paraId="157FCFCF">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525186F1">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1A8FCA7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178B6891">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0-90</w:t>
                  </w:r>
                </w:p>
                <w:p w14:paraId="6983CA41">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（终端）</w:t>
                  </w:r>
                </w:p>
              </w:tc>
              <w:tc>
                <w:tcPr>
                  <w:tcW w:w="603" w:type="pct"/>
                  <w:noWrap w:val="0"/>
                  <w:vAlign w:val="center"/>
                </w:tcPr>
                <w:p w14:paraId="20BE1410">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w:t>
                  </w:r>
                </w:p>
              </w:tc>
              <w:tc>
                <w:tcPr>
                  <w:tcW w:w="1017" w:type="pct"/>
                  <w:vMerge w:val="continue"/>
                  <w:noWrap w:val="0"/>
                  <w:vAlign w:val="center"/>
                </w:tcPr>
                <w:p w14:paraId="1C6FB231">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59AA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7F65571E">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5</w:t>
                  </w:r>
                </w:p>
              </w:tc>
              <w:tc>
                <w:tcPr>
                  <w:tcW w:w="824" w:type="pct"/>
                  <w:noWrap w:val="0"/>
                  <w:vAlign w:val="center"/>
                </w:tcPr>
                <w:p w14:paraId="680F56D7">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110XY-SZ1</w:t>
                  </w:r>
                </w:p>
              </w:tc>
              <w:tc>
                <w:tcPr>
                  <w:tcW w:w="542" w:type="pct"/>
                  <w:noWrap w:val="0"/>
                  <w:vAlign w:val="center"/>
                </w:tcPr>
                <w:p w14:paraId="38C4C6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714795D0">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kern w:val="2"/>
                      <w:sz w:val="21"/>
                      <w:szCs w:val="21"/>
                      <w:highlight w:val="none"/>
                      <w:lang w:val="en-US" w:eastAsia="zh-CN" w:bidi="ar-SA"/>
                    </w:rPr>
                    <w:t>380</w:t>
                  </w:r>
                </w:p>
              </w:tc>
              <w:tc>
                <w:tcPr>
                  <w:tcW w:w="440" w:type="pct"/>
                  <w:noWrap w:val="0"/>
                  <w:vAlign w:val="center"/>
                </w:tcPr>
                <w:p w14:paraId="7215852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kern w:val="2"/>
                      <w:sz w:val="21"/>
                      <w:szCs w:val="21"/>
                      <w:highlight w:val="none"/>
                      <w:lang w:val="en-US" w:eastAsia="zh-CN" w:bidi="ar-SA"/>
                    </w:rPr>
                    <w:t>580</w:t>
                  </w:r>
                </w:p>
              </w:tc>
              <w:tc>
                <w:tcPr>
                  <w:tcW w:w="718" w:type="pct"/>
                  <w:noWrap w:val="0"/>
                  <w:vAlign w:val="center"/>
                </w:tcPr>
                <w:p w14:paraId="39A9267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w:t>
                  </w:r>
                </w:p>
              </w:tc>
              <w:tc>
                <w:tcPr>
                  <w:tcW w:w="603" w:type="pct"/>
                  <w:noWrap w:val="0"/>
                  <w:vAlign w:val="center"/>
                </w:tcPr>
                <w:p w14:paraId="65C4B8F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10</w:t>
                  </w:r>
                </w:p>
              </w:tc>
              <w:tc>
                <w:tcPr>
                  <w:tcW w:w="1017" w:type="pct"/>
                  <w:vMerge w:val="continue"/>
                  <w:noWrap w:val="0"/>
                  <w:vAlign w:val="center"/>
                </w:tcPr>
                <w:p w14:paraId="446D8353">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1273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17FDD2F9">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6</w:t>
                  </w:r>
                </w:p>
              </w:tc>
              <w:tc>
                <w:tcPr>
                  <w:tcW w:w="824" w:type="pct"/>
                  <w:noWrap w:val="0"/>
                  <w:vAlign w:val="center"/>
                </w:tcPr>
                <w:p w14:paraId="7A4E14DD">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110XY-SJ1</w:t>
                  </w:r>
                </w:p>
              </w:tc>
              <w:tc>
                <w:tcPr>
                  <w:tcW w:w="542" w:type="pct"/>
                  <w:noWrap w:val="0"/>
                  <w:vAlign w:val="center"/>
                </w:tcPr>
                <w:p w14:paraId="67F287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40D03FB5">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6BB4D5D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1208363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w:t>
                  </w:r>
                  <w:r>
                    <w:rPr>
                      <w:rFonts w:hint="eastAsia" w:ascii="Times New Roman" w:hAnsi="Times New Roman" w:eastAsia="宋体" w:cs="宋体"/>
                      <w:caps w:val="0"/>
                      <w:color w:val="auto"/>
                      <w:sz w:val="21"/>
                      <w:szCs w:val="21"/>
                      <w:highlight w:val="none"/>
                    </w:rPr>
                    <w:t>-</w:t>
                  </w:r>
                  <w:r>
                    <w:rPr>
                      <w:rFonts w:hint="eastAsia" w:ascii="Times New Roman" w:hAnsi="Times New Roman" w:eastAsia="宋体" w:cs="宋体"/>
                      <w:caps w:val="0"/>
                      <w:color w:val="auto"/>
                      <w:sz w:val="21"/>
                      <w:szCs w:val="21"/>
                      <w:highlight w:val="none"/>
                      <w:lang w:val="en-US" w:eastAsia="zh-CN"/>
                    </w:rPr>
                    <w:t>20</w:t>
                  </w:r>
                </w:p>
              </w:tc>
              <w:tc>
                <w:tcPr>
                  <w:tcW w:w="603" w:type="pct"/>
                  <w:noWrap w:val="0"/>
                  <w:vAlign w:val="center"/>
                </w:tcPr>
                <w:p w14:paraId="190D5120">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2</w:t>
                  </w:r>
                </w:p>
              </w:tc>
              <w:tc>
                <w:tcPr>
                  <w:tcW w:w="1017" w:type="pct"/>
                  <w:vMerge w:val="continue"/>
                  <w:noWrap w:val="0"/>
                  <w:vAlign w:val="center"/>
                </w:tcPr>
                <w:p w14:paraId="353703B9">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7E21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3D4DE9CD">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7</w:t>
                  </w:r>
                </w:p>
              </w:tc>
              <w:tc>
                <w:tcPr>
                  <w:tcW w:w="824" w:type="pct"/>
                  <w:noWrap w:val="0"/>
                  <w:vAlign w:val="center"/>
                </w:tcPr>
                <w:p w14:paraId="35CB1321">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110XY-SJ4</w:t>
                  </w:r>
                </w:p>
              </w:tc>
              <w:tc>
                <w:tcPr>
                  <w:tcW w:w="542" w:type="pct"/>
                  <w:noWrap w:val="0"/>
                  <w:vAlign w:val="center"/>
                </w:tcPr>
                <w:p w14:paraId="4A04C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7789B23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4F4FE204">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6A45434E">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0-90</w:t>
                  </w:r>
                </w:p>
                <w:p w14:paraId="5BE1A803">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（终端）</w:t>
                  </w:r>
                </w:p>
              </w:tc>
              <w:tc>
                <w:tcPr>
                  <w:tcW w:w="603" w:type="pct"/>
                  <w:noWrap w:val="0"/>
                  <w:vAlign w:val="center"/>
                </w:tcPr>
                <w:p w14:paraId="74F80944">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1</w:t>
                  </w:r>
                </w:p>
              </w:tc>
              <w:tc>
                <w:tcPr>
                  <w:tcW w:w="1017" w:type="pct"/>
                  <w:vMerge w:val="continue"/>
                  <w:noWrap w:val="0"/>
                  <w:vAlign w:val="center"/>
                </w:tcPr>
                <w:p w14:paraId="4EC8FDAC">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059F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noWrap w:val="0"/>
                  <w:vAlign w:val="center"/>
                </w:tcPr>
                <w:p w14:paraId="488165B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7</w:t>
                  </w:r>
                </w:p>
              </w:tc>
              <w:tc>
                <w:tcPr>
                  <w:tcW w:w="824" w:type="pct"/>
                  <w:noWrap w:val="0"/>
                  <w:vAlign w:val="center"/>
                </w:tcPr>
                <w:p w14:paraId="5DFF1595">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110XY-SDJ</w:t>
                  </w:r>
                </w:p>
              </w:tc>
              <w:tc>
                <w:tcPr>
                  <w:tcW w:w="542" w:type="pct"/>
                  <w:noWrap w:val="0"/>
                  <w:vAlign w:val="center"/>
                </w:tcPr>
                <w:p w14:paraId="50A01F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bidi="ar-SA"/>
                    </w:rPr>
                  </w:pPr>
                  <w:r>
                    <w:rPr>
                      <w:rFonts w:hint="eastAsia" w:ascii="Times New Roman" w:hAnsi="Times New Roman" w:eastAsia="宋体" w:cs="宋体"/>
                      <w:caps w:val="0"/>
                      <w:color w:val="auto"/>
                      <w:sz w:val="21"/>
                      <w:szCs w:val="21"/>
                      <w:highlight w:val="none"/>
                    </w:rPr>
                    <w:t>15-</w:t>
                  </w:r>
                  <w:r>
                    <w:rPr>
                      <w:rFonts w:hint="eastAsia" w:ascii="Times New Roman" w:hAnsi="Times New Roman" w:eastAsia="宋体" w:cs="宋体"/>
                      <w:caps w:val="0"/>
                      <w:color w:val="auto"/>
                      <w:sz w:val="21"/>
                      <w:szCs w:val="21"/>
                      <w:highlight w:val="none"/>
                      <w:lang w:val="en-US" w:eastAsia="zh-CN"/>
                    </w:rPr>
                    <w:t>21</w:t>
                  </w:r>
                </w:p>
              </w:tc>
              <w:tc>
                <w:tcPr>
                  <w:tcW w:w="481" w:type="pct"/>
                  <w:noWrap w:val="0"/>
                  <w:vAlign w:val="center"/>
                </w:tcPr>
                <w:p w14:paraId="64451C5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rPr>
                    <w:t>450</w:t>
                  </w:r>
                </w:p>
              </w:tc>
              <w:tc>
                <w:tcPr>
                  <w:tcW w:w="440" w:type="pct"/>
                  <w:noWrap w:val="0"/>
                  <w:vAlign w:val="center"/>
                </w:tcPr>
                <w:p w14:paraId="223545CC">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kern w:val="2"/>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650</w:t>
                  </w:r>
                </w:p>
              </w:tc>
              <w:tc>
                <w:tcPr>
                  <w:tcW w:w="718" w:type="pct"/>
                  <w:noWrap w:val="0"/>
                  <w:vAlign w:val="center"/>
                </w:tcPr>
                <w:p w14:paraId="4E073C5E">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rPr>
                  </w:pPr>
                  <w:r>
                    <w:rPr>
                      <w:rFonts w:hint="eastAsia" w:ascii="Times New Roman" w:hAnsi="Times New Roman" w:eastAsia="宋体" w:cs="宋体"/>
                      <w:caps w:val="0"/>
                      <w:color w:val="auto"/>
                      <w:sz w:val="21"/>
                      <w:szCs w:val="21"/>
                      <w:highlight w:val="none"/>
                      <w:lang w:val="en-US" w:eastAsia="zh-CN"/>
                    </w:rPr>
                    <w:t>0-90</w:t>
                  </w:r>
                </w:p>
                <w:p w14:paraId="036111B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（终端）</w:t>
                  </w:r>
                </w:p>
              </w:tc>
              <w:tc>
                <w:tcPr>
                  <w:tcW w:w="603" w:type="pct"/>
                  <w:noWrap w:val="0"/>
                  <w:vAlign w:val="center"/>
                </w:tcPr>
                <w:p w14:paraId="72CFD7B2">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caps w:val="0"/>
                      <w:color w:val="auto"/>
                      <w:sz w:val="21"/>
                      <w:szCs w:val="21"/>
                      <w:highlight w:val="none"/>
                      <w:lang w:val="en-US" w:eastAsia="zh-CN" w:bidi="ar-SA"/>
                    </w:rPr>
                  </w:pPr>
                  <w:r>
                    <w:rPr>
                      <w:rFonts w:hint="eastAsia" w:ascii="Times New Roman" w:hAnsi="Times New Roman" w:eastAsia="宋体" w:cs="宋体"/>
                      <w:caps w:val="0"/>
                      <w:color w:val="auto"/>
                      <w:sz w:val="21"/>
                      <w:szCs w:val="21"/>
                      <w:highlight w:val="none"/>
                      <w:lang w:val="en-US" w:eastAsia="zh-CN"/>
                    </w:rPr>
                    <w:t>2</w:t>
                  </w:r>
                </w:p>
              </w:tc>
              <w:tc>
                <w:tcPr>
                  <w:tcW w:w="1017" w:type="pct"/>
                  <w:vMerge w:val="continue"/>
                  <w:noWrap w:val="0"/>
                  <w:vAlign w:val="center"/>
                </w:tcPr>
                <w:p w14:paraId="3319337E">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r w14:paraId="7541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79" w:type="pct"/>
                  <w:gridSpan w:val="6"/>
                  <w:noWrap w:val="0"/>
                  <w:vAlign w:val="center"/>
                </w:tcPr>
                <w:p w14:paraId="06892B1A">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宋体"/>
                      <w:b/>
                      <w:bCs/>
                      <w:caps w:val="0"/>
                      <w:color w:val="auto"/>
                      <w:sz w:val="21"/>
                      <w:szCs w:val="21"/>
                      <w:highlight w:val="none"/>
                      <w:lang w:val="en-US" w:eastAsia="zh-CN"/>
                    </w:rPr>
                  </w:pPr>
                  <w:r>
                    <w:rPr>
                      <w:rFonts w:hint="eastAsia" w:ascii="Times New Roman" w:hAnsi="Times New Roman" w:eastAsia="宋体" w:cs="宋体"/>
                      <w:b/>
                      <w:bCs/>
                      <w:caps w:val="0"/>
                      <w:color w:val="auto"/>
                      <w:sz w:val="21"/>
                      <w:szCs w:val="21"/>
                      <w:highlight w:val="none"/>
                      <w:lang w:val="en-US" w:eastAsia="zh-CN"/>
                    </w:rPr>
                    <w:t>共计</w:t>
                  </w:r>
                </w:p>
              </w:tc>
              <w:tc>
                <w:tcPr>
                  <w:tcW w:w="603" w:type="pct"/>
                  <w:noWrap w:val="0"/>
                  <w:vAlign w:val="center"/>
                </w:tcPr>
                <w:p w14:paraId="52F3C0E8">
                  <w:pPr>
                    <w:pStyle w:val="1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b/>
                      <w:bCs/>
                      <w:caps w:val="0"/>
                      <w:color w:val="auto"/>
                      <w:sz w:val="21"/>
                      <w:szCs w:val="21"/>
                      <w:highlight w:val="none"/>
                      <w:lang w:val="en-US" w:eastAsia="zh-CN"/>
                    </w:rPr>
                  </w:pPr>
                  <w:r>
                    <w:rPr>
                      <w:rFonts w:hint="eastAsia" w:ascii="Times New Roman" w:hAnsi="Times New Roman" w:eastAsia="宋体" w:cs="宋体"/>
                      <w:b/>
                      <w:bCs/>
                      <w:caps w:val="0"/>
                      <w:color w:val="auto"/>
                      <w:sz w:val="21"/>
                      <w:szCs w:val="21"/>
                      <w:highlight w:val="none"/>
                      <w:lang w:val="en-US" w:eastAsia="zh-CN"/>
                    </w:rPr>
                    <w:t>19</w:t>
                  </w:r>
                </w:p>
              </w:tc>
              <w:tc>
                <w:tcPr>
                  <w:tcW w:w="1017" w:type="pct"/>
                  <w:noWrap w:val="0"/>
                  <w:vAlign w:val="center"/>
                </w:tcPr>
                <w:p w14:paraId="0D8A9A8A">
                  <w:pPr>
                    <w:pStyle w:val="1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aps w:val="0"/>
                      <w:color w:val="auto"/>
                      <w:sz w:val="21"/>
                      <w:szCs w:val="21"/>
                      <w:highlight w:val="none"/>
                    </w:rPr>
                  </w:pPr>
                </w:p>
              </w:tc>
            </w:tr>
          </w:tbl>
          <w:p w14:paraId="37C07F5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000000"/>
                <w:sz w:val="24"/>
              </w:rPr>
            </w:pPr>
            <w:r>
              <w:rPr>
                <w:rFonts w:hint="eastAsia"/>
                <w:color w:val="000000"/>
                <w:sz w:val="24"/>
              </w:rPr>
              <w:t>（4）基础</w:t>
            </w:r>
          </w:p>
          <w:p w14:paraId="7C6D1E5C">
            <w:pPr>
              <w:autoSpaceDE w:val="0"/>
              <w:autoSpaceDN w:val="0"/>
              <w:adjustRightInd w:val="0"/>
              <w:snapToGrid w:val="0"/>
              <w:spacing w:line="360" w:lineRule="auto"/>
              <w:ind w:firstLine="480" w:firstLineChars="200"/>
              <w:rPr>
                <w:color w:val="000000"/>
                <w:sz w:val="24"/>
              </w:rPr>
            </w:pPr>
            <w:r>
              <w:rPr>
                <w:color w:val="000000"/>
                <w:sz w:val="24"/>
              </w:rPr>
              <w:t>根据本工程线路地形、地质特点、水文情况、施工条件和杆塔型式，经技术经济比较，</w:t>
            </w:r>
            <w:r>
              <w:rPr>
                <w:rFonts w:hint="eastAsia"/>
                <w:color w:val="000000"/>
                <w:sz w:val="24"/>
              </w:rPr>
              <w:t>本工程</w:t>
            </w:r>
            <w:r>
              <w:rPr>
                <w:color w:val="000000"/>
                <w:sz w:val="24"/>
              </w:rPr>
              <w:t>铁塔基础采用</w:t>
            </w:r>
            <w:r>
              <w:rPr>
                <w:rFonts w:hint="eastAsia"/>
                <w:color w:val="000000"/>
                <w:sz w:val="24"/>
              </w:rPr>
              <w:t>挖孔桩基础。</w:t>
            </w:r>
          </w:p>
          <w:p w14:paraId="73EA389B">
            <w:pPr>
              <w:pStyle w:val="3"/>
              <w:numPr>
                <w:ilvl w:val="2"/>
                <w:numId w:val="5"/>
              </w:numPr>
              <w:spacing w:before="0" w:after="0" w:line="360" w:lineRule="auto"/>
              <w:rPr>
                <w:rFonts w:eastAsia="宋体"/>
                <w:sz w:val="24"/>
                <w:szCs w:val="24"/>
              </w:rPr>
            </w:pPr>
            <w:bookmarkStart w:id="61" w:name="_Toc111564280"/>
            <w:bookmarkStart w:id="62" w:name="_Toc109473397"/>
            <w:bookmarkStart w:id="63" w:name="_Toc96031339"/>
            <w:bookmarkStart w:id="64" w:name="_Toc97290412"/>
            <w:bookmarkStart w:id="65" w:name="_Toc95464630"/>
            <w:bookmarkStart w:id="66" w:name="_Toc13331"/>
            <w:bookmarkStart w:id="67" w:name="_Toc88558488"/>
            <w:bookmarkStart w:id="68" w:name="_Toc109473766"/>
            <w:bookmarkStart w:id="69" w:name="_Toc110439059"/>
            <w:bookmarkStart w:id="70" w:name="_Toc91493229"/>
            <w:bookmarkStart w:id="71" w:name="_Toc109473532"/>
            <w:bookmarkStart w:id="72" w:name="_Toc109473845"/>
            <w:bookmarkStart w:id="73" w:name="_Toc85037181"/>
            <w:bookmarkStart w:id="74" w:name="_Toc96031256"/>
            <w:bookmarkStart w:id="75" w:name="_Toc91532136"/>
            <w:bookmarkStart w:id="76" w:name="_Toc109472539"/>
            <w:bookmarkStart w:id="77" w:name="_Toc97290546"/>
            <w:bookmarkStart w:id="78" w:name="_Toc85036847"/>
            <w:bookmarkStart w:id="79" w:name="_Toc96935376"/>
            <w:r>
              <w:rPr>
                <w:rFonts w:hint="eastAsia" w:eastAsia="宋体"/>
                <w:sz w:val="24"/>
                <w:szCs w:val="24"/>
              </w:rPr>
              <w:t>导线对地距离和交叉跨越</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BDDAAD2">
            <w:pPr>
              <w:autoSpaceDE w:val="0"/>
              <w:autoSpaceDN w:val="0"/>
              <w:adjustRightInd w:val="0"/>
              <w:snapToGrid w:val="0"/>
              <w:spacing w:line="360" w:lineRule="auto"/>
              <w:ind w:firstLine="480" w:firstLineChars="200"/>
              <w:rPr>
                <w:color w:val="000000"/>
                <w:sz w:val="24"/>
              </w:rPr>
            </w:pPr>
            <w:r>
              <w:rPr>
                <w:color w:val="000000"/>
                <w:sz w:val="24"/>
              </w:rPr>
              <w:t>本工程线路</w:t>
            </w:r>
            <w:r>
              <w:rPr>
                <w:rFonts w:hint="eastAsia"/>
                <w:color w:val="000000"/>
                <w:sz w:val="24"/>
              </w:rPr>
              <w:t>根据最低线高标准，</w:t>
            </w:r>
            <w:r>
              <w:rPr>
                <w:color w:val="000000"/>
                <w:sz w:val="24"/>
              </w:rPr>
              <w:t>居民区导线对地距离</w:t>
            </w:r>
            <w:r>
              <w:rPr>
                <w:rFonts w:hint="eastAsia"/>
                <w:color w:val="000000"/>
                <w:sz w:val="24"/>
              </w:rPr>
              <w:t>为</w:t>
            </w:r>
            <w:r>
              <w:rPr>
                <w:rFonts w:hint="eastAsia"/>
                <w:color w:val="000000"/>
                <w:sz w:val="24"/>
                <w:lang w:val="en-US" w:eastAsia="zh-CN"/>
              </w:rPr>
              <w:t>7.0</w:t>
            </w:r>
            <w:r>
              <w:rPr>
                <w:color w:val="000000"/>
                <w:sz w:val="24"/>
              </w:rPr>
              <w:t>m</w:t>
            </w:r>
            <w:r>
              <w:rPr>
                <w:rFonts w:hint="eastAsia"/>
                <w:color w:val="000000"/>
                <w:sz w:val="24"/>
              </w:rPr>
              <w:t>，</w:t>
            </w:r>
            <w:r>
              <w:rPr>
                <w:rFonts w:hint="eastAsia"/>
                <w:color w:val="000000"/>
                <w:sz w:val="24"/>
                <w:lang w:val="en-US" w:eastAsia="zh-CN"/>
              </w:rPr>
              <w:t>非</w:t>
            </w:r>
            <w:r>
              <w:rPr>
                <w:color w:val="000000"/>
                <w:sz w:val="24"/>
              </w:rPr>
              <w:t>居民区导线对地距离</w:t>
            </w:r>
            <w:r>
              <w:rPr>
                <w:rFonts w:hint="eastAsia"/>
                <w:color w:val="000000"/>
                <w:sz w:val="24"/>
              </w:rPr>
              <w:t>为</w:t>
            </w:r>
            <w:r>
              <w:rPr>
                <w:rFonts w:hint="eastAsia"/>
                <w:color w:val="000000"/>
                <w:sz w:val="24"/>
                <w:lang w:val="en-US" w:eastAsia="zh-CN"/>
              </w:rPr>
              <w:t>6.0</w:t>
            </w:r>
            <w:r>
              <w:rPr>
                <w:color w:val="000000"/>
                <w:sz w:val="24"/>
              </w:rPr>
              <w:t>m</w:t>
            </w:r>
            <w:r>
              <w:rPr>
                <w:rFonts w:hint="eastAsia"/>
                <w:color w:val="000000"/>
                <w:sz w:val="24"/>
                <w:lang w:eastAsia="zh-CN"/>
              </w:rPr>
              <w:t>，</w:t>
            </w:r>
            <w:r>
              <w:rPr>
                <w:color w:val="000000"/>
                <w:sz w:val="24"/>
              </w:rPr>
              <w:t>跨越公路等其它设施时按相应设计规范执行</w:t>
            </w:r>
            <w:r>
              <w:rPr>
                <w:rFonts w:hint="eastAsia"/>
                <w:color w:val="000000"/>
                <w:sz w:val="24"/>
              </w:rPr>
              <w:t>，导线对地最小距离一览表</w:t>
            </w:r>
            <w:r>
              <w:rPr>
                <w:color w:val="000000"/>
                <w:sz w:val="24"/>
              </w:rPr>
              <w:t>见</w:t>
            </w:r>
            <w:r>
              <w:rPr>
                <w:color w:val="000000"/>
                <w:sz w:val="24"/>
              </w:rPr>
              <w:fldChar w:fldCharType="begin"/>
            </w:r>
            <w:r>
              <w:rPr>
                <w:color w:val="000000"/>
                <w:sz w:val="24"/>
              </w:rPr>
              <w:instrText xml:space="preserve"> REF _Ref157121824 \h  \* MERGEFORMAT </w:instrText>
            </w:r>
            <w:r>
              <w:rPr>
                <w:color w:val="000000"/>
                <w:sz w:val="24"/>
              </w:rPr>
              <w:fldChar w:fldCharType="separate"/>
            </w:r>
            <w:r>
              <w:rPr>
                <w:color w:val="000000"/>
                <w:sz w:val="24"/>
              </w:rPr>
              <w:t>表 8</w:t>
            </w:r>
            <w:r>
              <w:rPr>
                <w:color w:val="000000"/>
                <w:sz w:val="24"/>
              </w:rPr>
              <w:fldChar w:fldCharType="end"/>
            </w:r>
            <w:r>
              <w:rPr>
                <w:rFonts w:hint="eastAsia"/>
                <w:color w:val="000000"/>
                <w:sz w:val="24"/>
              </w:rPr>
              <w:t>，交叉跨越情况一览表见</w:t>
            </w:r>
            <w:r>
              <w:rPr>
                <w:color w:val="000000"/>
                <w:sz w:val="24"/>
              </w:rPr>
              <w:fldChar w:fldCharType="begin"/>
            </w:r>
            <w:r>
              <w:rPr>
                <w:color w:val="000000"/>
                <w:sz w:val="24"/>
              </w:rPr>
              <w:instrText xml:space="preserve"> </w:instrText>
            </w:r>
            <w:r>
              <w:rPr>
                <w:rFonts w:hint="eastAsia"/>
                <w:color w:val="000000"/>
                <w:sz w:val="24"/>
              </w:rPr>
              <w:instrText xml:space="preserve">REF _Ref157121855 \h</w:instrText>
            </w:r>
            <w:r>
              <w:rPr>
                <w:color w:val="000000"/>
                <w:sz w:val="24"/>
              </w:rPr>
              <w:instrText xml:space="preserve">  \* MERGEFORMAT </w:instrText>
            </w:r>
            <w:r>
              <w:rPr>
                <w:color w:val="000000"/>
                <w:sz w:val="24"/>
              </w:rPr>
              <w:fldChar w:fldCharType="separate"/>
            </w:r>
            <w:r>
              <w:rPr>
                <w:color w:val="000000"/>
                <w:sz w:val="24"/>
              </w:rPr>
              <w:t>表 9</w:t>
            </w:r>
            <w:r>
              <w:rPr>
                <w:color w:val="000000"/>
                <w:sz w:val="24"/>
              </w:rPr>
              <w:fldChar w:fldCharType="end"/>
            </w:r>
            <w:r>
              <w:rPr>
                <w:rFonts w:hint="eastAsia"/>
                <w:color w:val="000000"/>
                <w:sz w:val="24"/>
              </w:rPr>
              <w:t>。</w:t>
            </w:r>
          </w:p>
          <w:p w14:paraId="6778FE43">
            <w:pPr>
              <w:pStyle w:val="9"/>
              <w:keepNext/>
              <w:rPr>
                <w:rFonts w:ascii="Times New Roman" w:hAnsi="Times New Roman"/>
                <w:bCs/>
              </w:rPr>
            </w:pPr>
            <w:bookmarkStart w:id="80" w:name="_Ref157121824"/>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8</w:t>
            </w:r>
            <w:r>
              <w:rPr>
                <w:rFonts w:ascii="Times New Roman" w:hAnsi="Times New Roman"/>
                <w:b/>
              </w:rPr>
              <w:fldChar w:fldCharType="end"/>
            </w:r>
            <w:bookmarkEnd w:id="80"/>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导线对地距离一览表</w:t>
            </w:r>
          </w:p>
          <w:tbl>
            <w:tblPr>
              <w:tblStyle w:val="34"/>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4441"/>
              <w:gridCol w:w="2718"/>
            </w:tblGrid>
            <w:tr w14:paraId="7755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22C22684">
                  <w:pPr>
                    <w:jc w:val="center"/>
                    <w:rPr>
                      <w:b/>
                      <w:bCs/>
                      <w:color w:val="000000"/>
                    </w:rPr>
                  </w:pPr>
                  <w:r>
                    <w:rPr>
                      <w:b/>
                      <w:bCs/>
                      <w:color w:val="000000"/>
                    </w:rPr>
                    <w:t>序号</w:t>
                  </w:r>
                </w:p>
              </w:tc>
              <w:tc>
                <w:tcPr>
                  <w:tcW w:w="4441" w:type="dxa"/>
                  <w:vAlign w:val="center"/>
                </w:tcPr>
                <w:p w14:paraId="71B4ADC1">
                  <w:pPr>
                    <w:jc w:val="center"/>
                    <w:rPr>
                      <w:b/>
                      <w:bCs/>
                      <w:color w:val="000000"/>
                    </w:rPr>
                  </w:pPr>
                  <w:r>
                    <w:rPr>
                      <w:b/>
                      <w:bCs/>
                      <w:color w:val="000000"/>
                    </w:rPr>
                    <w:t>被交叉跨越物</w:t>
                  </w:r>
                </w:p>
              </w:tc>
              <w:tc>
                <w:tcPr>
                  <w:tcW w:w="2718" w:type="dxa"/>
                  <w:vAlign w:val="center"/>
                </w:tcPr>
                <w:p w14:paraId="3C5F3F0C">
                  <w:pPr>
                    <w:jc w:val="center"/>
                    <w:rPr>
                      <w:b/>
                      <w:bCs/>
                      <w:color w:val="000000"/>
                    </w:rPr>
                  </w:pPr>
                  <w:r>
                    <w:rPr>
                      <w:b/>
                      <w:bCs/>
                      <w:color w:val="000000"/>
                    </w:rPr>
                    <w:t>最小允许垂直距离（m）</w:t>
                  </w:r>
                </w:p>
              </w:tc>
            </w:tr>
            <w:tr w14:paraId="3E3F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0E939DDD">
                  <w:pPr>
                    <w:jc w:val="center"/>
                    <w:rPr>
                      <w:color w:val="000000"/>
                    </w:rPr>
                  </w:pPr>
                  <w:r>
                    <w:rPr>
                      <w:color w:val="000000"/>
                    </w:rPr>
                    <w:t>1</w:t>
                  </w:r>
                </w:p>
              </w:tc>
              <w:tc>
                <w:tcPr>
                  <w:tcW w:w="4441" w:type="dxa"/>
                  <w:vAlign w:val="center"/>
                </w:tcPr>
                <w:p w14:paraId="45A628B1">
                  <w:pPr>
                    <w:jc w:val="center"/>
                    <w:rPr>
                      <w:color w:val="000000"/>
                    </w:rPr>
                  </w:pPr>
                  <w:r>
                    <w:rPr>
                      <w:color w:val="000000"/>
                    </w:rPr>
                    <w:t>居民区</w:t>
                  </w:r>
                </w:p>
              </w:tc>
              <w:tc>
                <w:tcPr>
                  <w:tcW w:w="2718" w:type="dxa"/>
                  <w:vAlign w:val="center"/>
                </w:tcPr>
                <w:p w14:paraId="5FCAAAE2">
                  <w:pPr>
                    <w:jc w:val="center"/>
                    <w:rPr>
                      <w:rFonts w:hint="eastAsia" w:eastAsia="宋体"/>
                      <w:color w:val="000000"/>
                      <w:lang w:eastAsia="zh-CN"/>
                    </w:rPr>
                  </w:pPr>
                  <w:r>
                    <w:rPr>
                      <w:color w:val="000000"/>
                    </w:rPr>
                    <w:t>7.</w:t>
                  </w:r>
                  <w:r>
                    <w:rPr>
                      <w:rFonts w:hint="eastAsia"/>
                      <w:color w:val="000000"/>
                      <w:lang w:val="en-US" w:eastAsia="zh-CN"/>
                    </w:rPr>
                    <w:t>0</w:t>
                  </w:r>
                </w:p>
              </w:tc>
            </w:tr>
            <w:tr w14:paraId="5895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17EEC12F">
                  <w:pPr>
                    <w:jc w:val="center"/>
                    <w:rPr>
                      <w:color w:val="000000"/>
                    </w:rPr>
                  </w:pPr>
                  <w:r>
                    <w:rPr>
                      <w:color w:val="000000"/>
                    </w:rPr>
                    <w:t>2</w:t>
                  </w:r>
                </w:p>
              </w:tc>
              <w:tc>
                <w:tcPr>
                  <w:tcW w:w="4441" w:type="dxa"/>
                  <w:vAlign w:val="center"/>
                </w:tcPr>
                <w:p w14:paraId="6D94460F">
                  <w:pPr>
                    <w:jc w:val="center"/>
                    <w:rPr>
                      <w:color w:val="000000"/>
                    </w:rPr>
                  </w:pPr>
                  <w:r>
                    <w:rPr>
                      <w:color w:val="000000"/>
                    </w:rPr>
                    <w:t>非居民区</w:t>
                  </w:r>
                </w:p>
              </w:tc>
              <w:tc>
                <w:tcPr>
                  <w:tcW w:w="2718" w:type="dxa"/>
                  <w:vAlign w:val="center"/>
                </w:tcPr>
                <w:p w14:paraId="19CE0EAC">
                  <w:pPr>
                    <w:jc w:val="center"/>
                    <w:rPr>
                      <w:rFonts w:hint="eastAsia" w:eastAsia="宋体"/>
                      <w:color w:val="000000"/>
                      <w:lang w:eastAsia="zh-CN"/>
                    </w:rPr>
                  </w:pPr>
                  <w:r>
                    <w:rPr>
                      <w:color w:val="000000"/>
                    </w:rPr>
                    <w:t>6.</w:t>
                  </w:r>
                  <w:r>
                    <w:rPr>
                      <w:rFonts w:hint="eastAsia"/>
                      <w:color w:val="000000"/>
                      <w:lang w:val="en-US" w:eastAsia="zh-CN"/>
                    </w:rPr>
                    <w:t>0</w:t>
                  </w:r>
                </w:p>
              </w:tc>
            </w:tr>
            <w:tr w14:paraId="1923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1BE09767">
                  <w:pPr>
                    <w:jc w:val="center"/>
                    <w:rPr>
                      <w:color w:val="000000"/>
                    </w:rPr>
                  </w:pPr>
                  <w:r>
                    <w:rPr>
                      <w:color w:val="000000"/>
                    </w:rPr>
                    <w:t>3</w:t>
                  </w:r>
                </w:p>
              </w:tc>
              <w:tc>
                <w:tcPr>
                  <w:tcW w:w="4441" w:type="dxa"/>
                  <w:vAlign w:val="center"/>
                </w:tcPr>
                <w:p w14:paraId="746C55F9">
                  <w:pPr>
                    <w:jc w:val="center"/>
                    <w:rPr>
                      <w:color w:val="000000"/>
                    </w:rPr>
                  </w:pPr>
                  <w:r>
                    <w:rPr>
                      <w:color w:val="000000"/>
                    </w:rPr>
                    <w:t>交通困难区</w:t>
                  </w:r>
                </w:p>
              </w:tc>
              <w:tc>
                <w:tcPr>
                  <w:tcW w:w="2718" w:type="dxa"/>
                  <w:vAlign w:val="center"/>
                </w:tcPr>
                <w:p w14:paraId="4AC171CE">
                  <w:pPr>
                    <w:jc w:val="center"/>
                    <w:rPr>
                      <w:rFonts w:hint="eastAsia" w:eastAsia="宋体"/>
                      <w:color w:val="000000"/>
                      <w:lang w:eastAsia="zh-CN"/>
                    </w:rPr>
                  </w:pPr>
                  <w:r>
                    <w:rPr>
                      <w:color w:val="000000"/>
                    </w:rPr>
                    <w:t>5.</w:t>
                  </w:r>
                  <w:r>
                    <w:rPr>
                      <w:rFonts w:hint="eastAsia"/>
                      <w:color w:val="000000"/>
                      <w:lang w:val="en-US" w:eastAsia="zh-CN"/>
                    </w:rPr>
                    <w:t>0</w:t>
                  </w:r>
                </w:p>
              </w:tc>
            </w:tr>
            <w:tr w14:paraId="72C7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7633B78D">
                  <w:pPr>
                    <w:jc w:val="center"/>
                    <w:rPr>
                      <w:color w:val="000000"/>
                    </w:rPr>
                  </w:pPr>
                  <w:r>
                    <w:rPr>
                      <w:color w:val="000000"/>
                    </w:rPr>
                    <w:t>4</w:t>
                  </w:r>
                </w:p>
              </w:tc>
              <w:tc>
                <w:tcPr>
                  <w:tcW w:w="4441" w:type="dxa"/>
                  <w:vAlign w:val="center"/>
                </w:tcPr>
                <w:p w14:paraId="5AA9BE41">
                  <w:pPr>
                    <w:jc w:val="center"/>
                    <w:rPr>
                      <w:color w:val="000000"/>
                    </w:rPr>
                  </w:pPr>
                  <w:r>
                    <w:rPr>
                      <w:color w:val="000000"/>
                    </w:rPr>
                    <w:t>公路</w:t>
                  </w:r>
                </w:p>
              </w:tc>
              <w:tc>
                <w:tcPr>
                  <w:tcW w:w="2718" w:type="dxa"/>
                  <w:vAlign w:val="center"/>
                </w:tcPr>
                <w:p w14:paraId="4F0F178E">
                  <w:pPr>
                    <w:jc w:val="center"/>
                    <w:rPr>
                      <w:color w:val="000000"/>
                    </w:rPr>
                  </w:pPr>
                  <w:r>
                    <w:rPr>
                      <w:rFonts w:hint="eastAsia"/>
                      <w:color w:val="000000"/>
                      <w:lang w:val="en-US" w:eastAsia="zh-CN"/>
                    </w:rPr>
                    <w:t>7</w:t>
                  </w:r>
                  <w:r>
                    <w:rPr>
                      <w:color w:val="000000"/>
                    </w:rPr>
                    <w:t>.0</w:t>
                  </w:r>
                </w:p>
              </w:tc>
            </w:tr>
            <w:tr w14:paraId="48E2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4B1E6007">
                  <w:pPr>
                    <w:jc w:val="center"/>
                    <w:rPr>
                      <w:color w:val="000000"/>
                    </w:rPr>
                  </w:pPr>
                  <w:r>
                    <w:rPr>
                      <w:color w:val="000000"/>
                    </w:rPr>
                    <w:t>5</w:t>
                  </w:r>
                </w:p>
              </w:tc>
              <w:tc>
                <w:tcPr>
                  <w:tcW w:w="4441" w:type="dxa"/>
                  <w:vAlign w:val="center"/>
                </w:tcPr>
                <w:p w14:paraId="7300F69E">
                  <w:pPr>
                    <w:jc w:val="center"/>
                    <w:rPr>
                      <w:color w:val="000000"/>
                    </w:rPr>
                  </w:pPr>
                  <w:r>
                    <w:rPr>
                      <w:color w:val="000000"/>
                    </w:rPr>
                    <w:t>电力线路</w:t>
                  </w:r>
                </w:p>
              </w:tc>
              <w:tc>
                <w:tcPr>
                  <w:tcW w:w="2718" w:type="dxa"/>
                  <w:vAlign w:val="center"/>
                </w:tcPr>
                <w:p w14:paraId="2099D403">
                  <w:pPr>
                    <w:jc w:val="center"/>
                    <w:rPr>
                      <w:color w:val="000000"/>
                    </w:rPr>
                  </w:pPr>
                  <w:r>
                    <w:rPr>
                      <w:rFonts w:hint="eastAsia"/>
                      <w:color w:val="000000"/>
                      <w:lang w:val="en-US" w:eastAsia="zh-CN"/>
                    </w:rPr>
                    <w:t>3</w:t>
                  </w:r>
                  <w:r>
                    <w:rPr>
                      <w:color w:val="000000"/>
                    </w:rPr>
                    <w:t>.0</w:t>
                  </w:r>
                </w:p>
              </w:tc>
            </w:tr>
          </w:tbl>
          <w:p w14:paraId="571A3D17">
            <w:pPr>
              <w:pStyle w:val="9"/>
              <w:keepNext/>
              <w:rPr>
                <w:rFonts w:ascii="Times New Roman" w:hAnsi="Times New Roman"/>
                <w:color w:val="000000"/>
                <w:szCs w:val="21"/>
                <w:highlight w:val="yellow"/>
              </w:rPr>
            </w:pPr>
          </w:p>
          <w:p w14:paraId="692B935E">
            <w:pPr>
              <w:pStyle w:val="9"/>
              <w:keepNext/>
              <w:rPr>
                <w:rFonts w:ascii="Times New Roman" w:hAnsi="Times New Roman"/>
                <w:bCs/>
              </w:rPr>
            </w:pPr>
            <w:bookmarkStart w:id="81" w:name="_Ref157121855"/>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9</w:t>
            </w:r>
            <w:r>
              <w:rPr>
                <w:rFonts w:ascii="Times New Roman" w:hAnsi="Times New Roman"/>
                <w:b/>
              </w:rPr>
              <w:fldChar w:fldCharType="end"/>
            </w:r>
            <w:bookmarkEnd w:id="81"/>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本工程输电线路交叉跨越情况一览表</w:t>
            </w:r>
          </w:p>
          <w:tbl>
            <w:tblPr>
              <w:tblStyle w:val="34"/>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2790"/>
              <w:gridCol w:w="2652"/>
            </w:tblGrid>
            <w:tr w14:paraId="4A82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Align w:val="center"/>
                </w:tcPr>
                <w:p w14:paraId="390955E6">
                  <w:pPr>
                    <w:jc w:val="center"/>
                    <w:rPr>
                      <w:b/>
                      <w:bCs/>
                      <w:color w:val="000000"/>
                    </w:rPr>
                  </w:pPr>
                  <w:r>
                    <w:rPr>
                      <w:b/>
                      <w:bCs/>
                      <w:color w:val="000000"/>
                    </w:rPr>
                    <w:t>交叉跨越项目</w:t>
                  </w:r>
                </w:p>
              </w:tc>
              <w:tc>
                <w:tcPr>
                  <w:tcW w:w="2790" w:type="dxa"/>
                  <w:vAlign w:val="center"/>
                </w:tcPr>
                <w:p w14:paraId="5B3D1F73">
                  <w:pPr>
                    <w:jc w:val="center"/>
                    <w:rPr>
                      <w:b/>
                      <w:bCs/>
                      <w:color w:val="000000"/>
                    </w:rPr>
                  </w:pPr>
                  <w:r>
                    <w:rPr>
                      <w:b/>
                      <w:bCs/>
                      <w:color w:val="000000"/>
                    </w:rPr>
                    <w:t>交叉跨越次数</w:t>
                  </w:r>
                </w:p>
              </w:tc>
              <w:tc>
                <w:tcPr>
                  <w:tcW w:w="2652" w:type="dxa"/>
                  <w:vAlign w:val="center"/>
                </w:tcPr>
                <w:p w14:paraId="6EE42B26">
                  <w:pPr>
                    <w:jc w:val="center"/>
                    <w:rPr>
                      <w:b/>
                      <w:bCs/>
                      <w:color w:val="000000"/>
                    </w:rPr>
                  </w:pPr>
                  <w:r>
                    <w:rPr>
                      <w:b/>
                      <w:bCs/>
                      <w:color w:val="000000"/>
                    </w:rPr>
                    <w:t>备注</w:t>
                  </w:r>
                </w:p>
              </w:tc>
            </w:tr>
            <w:tr w14:paraId="3F1E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Align w:val="center"/>
                </w:tcPr>
                <w:p w14:paraId="275FAF9A">
                  <w:pPr>
                    <w:jc w:val="center"/>
                    <w:rPr>
                      <w:color w:val="000000"/>
                    </w:rPr>
                  </w:pPr>
                  <w:r>
                    <w:rPr>
                      <w:color w:val="000000"/>
                    </w:rPr>
                    <w:t>1</w:t>
                  </w:r>
                  <w:r>
                    <w:rPr>
                      <w:rFonts w:hint="eastAsia"/>
                      <w:color w:val="000000"/>
                      <w:lang w:val="en-US" w:eastAsia="zh-CN"/>
                    </w:rPr>
                    <w:t>0</w:t>
                  </w:r>
                  <w:r>
                    <w:rPr>
                      <w:color w:val="000000"/>
                    </w:rPr>
                    <w:t>kV</w:t>
                  </w:r>
                  <w:r>
                    <w:rPr>
                      <w:rFonts w:hint="eastAsia"/>
                      <w:color w:val="000000"/>
                      <w:lang w:val="en-US" w:eastAsia="zh-CN"/>
                    </w:rPr>
                    <w:t>电力</w:t>
                  </w:r>
                  <w:r>
                    <w:rPr>
                      <w:color w:val="000000"/>
                    </w:rPr>
                    <w:t>线路</w:t>
                  </w:r>
                </w:p>
              </w:tc>
              <w:tc>
                <w:tcPr>
                  <w:tcW w:w="2790" w:type="dxa"/>
                  <w:vAlign w:val="center"/>
                </w:tcPr>
                <w:p w14:paraId="585E5E54">
                  <w:pPr>
                    <w:jc w:val="center"/>
                    <w:rPr>
                      <w:color w:val="000000"/>
                    </w:rPr>
                  </w:pPr>
                  <w:r>
                    <w:rPr>
                      <w:rFonts w:hint="eastAsia"/>
                      <w:color w:val="000000"/>
                      <w:lang w:val="en-US" w:eastAsia="zh-CN"/>
                    </w:rPr>
                    <w:t>4</w:t>
                  </w:r>
                  <w:r>
                    <w:rPr>
                      <w:color w:val="000000"/>
                    </w:rPr>
                    <w:t>次</w:t>
                  </w:r>
                </w:p>
              </w:tc>
              <w:tc>
                <w:tcPr>
                  <w:tcW w:w="2652" w:type="dxa"/>
                  <w:vAlign w:val="center"/>
                </w:tcPr>
                <w:p w14:paraId="47EF9449">
                  <w:pPr>
                    <w:jc w:val="center"/>
                    <w:rPr>
                      <w:rFonts w:hint="eastAsia"/>
                      <w:color w:val="000000"/>
                    </w:rPr>
                  </w:pPr>
                  <w:r>
                    <w:rPr>
                      <w:rFonts w:hint="eastAsia"/>
                      <w:color w:val="000000"/>
                    </w:rPr>
                    <w:t>10kV机场</w:t>
                  </w:r>
                  <w:r>
                    <w:rPr>
                      <w:rFonts w:hint="eastAsia"/>
                      <w:color w:val="000000"/>
                      <w:lang w:val="en-US" w:eastAsia="zh-CN"/>
                    </w:rPr>
                    <w:t>一</w:t>
                  </w:r>
                  <w:r>
                    <w:rPr>
                      <w:rFonts w:hint="eastAsia"/>
                      <w:color w:val="000000"/>
                    </w:rPr>
                    <w:t>二线</w:t>
                  </w:r>
                </w:p>
                <w:p w14:paraId="6C5B2BEE">
                  <w:pPr>
                    <w:jc w:val="center"/>
                    <w:rPr>
                      <w:rFonts w:hint="eastAsia"/>
                      <w:color w:val="000000"/>
                    </w:rPr>
                  </w:pPr>
                  <w:r>
                    <w:rPr>
                      <w:rFonts w:hint="eastAsia"/>
                      <w:color w:val="000000"/>
                    </w:rPr>
                    <w:t>10kV港东</w:t>
                  </w:r>
                  <w:r>
                    <w:rPr>
                      <w:rFonts w:hint="eastAsia"/>
                      <w:color w:val="000000"/>
                      <w:lang w:val="en-US" w:eastAsia="zh-CN"/>
                    </w:rPr>
                    <w:t>一</w:t>
                  </w:r>
                  <w:r>
                    <w:rPr>
                      <w:rFonts w:hint="eastAsia"/>
                      <w:color w:val="000000"/>
                    </w:rPr>
                    <w:t>二线</w:t>
                  </w:r>
                </w:p>
                <w:p w14:paraId="22B7275F">
                  <w:pPr>
                    <w:jc w:val="center"/>
                    <w:rPr>
                      <w:rFonts w:hint="eastAsia"/>
                      <w:color w:val="000000"/>
                    </w:rPr>
                  </w:pPr>
                  <w:r>
                    <w:rPr>
                      <w:rFonts w:hint="eastAsia"/>
                      <w:color w:val="000000"/>
                    </w:rPr>
                    <w:t>10kV新建线(未投运)</w:t>
                  </w:r>
                </w:p>
                <w:p w14:paraId="5B44A968">
                  <w:pPr>
                    <w:jc w:val="center"/>
                    <w:rPr>
                      <w:color w:val="000000"/>
                    </w:rPr>
                  </w:pPr>
                  <w:r>
                    <w:rPr>
                      <w:rFonts w:hint="eastAsia"/>
                      <w:color w:val="000000"/>
                    </w:rPr>
                    <w:t>10kV火洲一线绿化支线</w:t>
                  </w:r>
                </w:p>
              </w:tc>
            </w:tr>
            <w:tr w14:paraId="25FA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Align w:val="center"/>
                </w:tcPr>
                <w:p w14:paraId="3236ABE3">
                  <w:pPr>
                    <w:jc w:val="center"/>
                    <w:rPr>
                      <w:rFonts w:hint="eastAsia" w:eastAsia="宋体"/>
                      <w:color w:val="000000"/>
                      <w:lang w:val="en-US" w:eastAsia="zh-CN"/>
                    </w:rPr>
                  </w:pPr>
                  <w:bookmarkStart w:id="82" w:name="_Toc109472540"/>
                  <w:bookmarkStart w:id="83" w:name="_Toc95464631"/>
                  <w:bookmarkStart w:id="84" w:name="_Toc96031257"/>
                  <w:bookmarkStart w:id="85" w:name="_Toc109473533"/>
                  <w:bookmarkStart w:id="86" w:name="_Toc81415591"/>
                  <w:bookmarkStart w:id="87" w:name="_Toc91532137"/>
                  <w:bookmarkStart w:id="88" w:name="_Toc85036849"/>
                  <w:bookmarkStart w:id="89" w:name="_Toc110439060"/>
                  <w:bookmarkStart w:id="90" w:name="_Toc109473767"/>
                  <w:bookmarkStart w:id="91" w:name="_Toc96935377"/>
                  <w:bookmarkStart w:id="92" w:name="_Toc109473846"/>
                  <w:bookmarkStart w:id="93" w:name="_Toc97290413"/>
                  <w:bookmarkStart w:id="94" w:name="_Toc88558489"/>
                  <w:bookmarkStart w:id="95" w:name="_Toc96031340"/>
                  <w:bookmarkStart w:id="96" w:name="_Toc109473398"/>
                  <w:bookmarkStart w:id="97" w:name="_Toc91493230"/>
                  <w:bookmarkStart w:id="98" w:name="_Toc24956"/>
                  <w:bookmarkStart w:id="99" w:name="_Toc81308119"/>
                  <w:bookmarkStart w:id="100" w:name="_Toc97290547"/>
                  <w:bookmarkStart w:id="101" w:name="_Toc111564281"/>
                  <w:r>
                    <w:rPr>
                      <w:rFonts w:hint="eastAsia"/>
                      <w:color w:val="000000"/>
                      <w:lang w:val="en-US" w:eastAsia="zh-CN"/>
                    </w:rPr>
                    <w:t>公路</w:t>
                  </w:r>
                </w:p>
              </w:tc>
              <w:tc>
                <w:tcPr>
                  <w:tcW w:w="2790" w:type="dxa"/>
                  <w:vAlign w:val="center"/>
                </w:tcPr>
                <w:p w14:paraId="503A1F91">
                  <w:pPr>
                    <w:jc w:val="center"/>
                    <w:rPr>
                      <w:rFonts w:hint="default"/>
                      <w:color w:val="000000"/>
                      <w:lang w:val="en-US" w:eastAsia="zh-CN"/>
                    </w:rPr>
                  </w:pPr>
                  <w:r>
                    <w:rPr>
                      <w:rFonts w:hint="eastAsia"/>
                      <w:color w:val="000000"/>
                      <w:lang w:val="en-US" w:eastAsia="zh-CN"/>
                    </w:rPr>
                    <w:t>4次</w:t>
                  </w:r>
                </w:p>
              </w:tc>
              <w:tc>
                <w:tcPr>
                  <w:tcW w:w="2652" w:type="dxa"/>
                  <w:vAlign w:val="center"/>
                </w:tcPr>
                <w:p w14:paraId="5484AFB7">
                  <w:pPr>
                    <w:jc w:val="center"/>
                    <w:rPr>
                      <w:rFonts w:hint="eastAsia"/>
                      <w:color w:val="000000"/>
                    </w:rPr>
                  </w:pPr>
                </w:p>
              </w:tc>
            </w:t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tbl>
          <w:p w14:paraId="17946F5E">
            <w:pPr>
              <w:pStyle w:val="3"/>
              <w:keepNext/>
              <w:keepLines w:val="0"/>
              <w:pageBreakBefore w:val="0"/>
              <w:widowControl w:val="0"/>
              <w:numPr>
                <w:ilvl w:val="0"/>
                <w:numId w:val="5"/>
              </w:numPr>
              <w:kinsoku/>
              <w:wordWrap/>
              <w:overflowPunct w:val="0"/>
              <w:topLinePunct w:val="0"/>
              <w:autoSpaceDE/>
              <w:autoSpaceDN/>
              <w:bidi w:val="0"/>
              <w:adjustRightInd/>
              <w:snapToGrid w:val="0"/>
              <w:spacing w:before="157" w:beforeLines="50" w:after="0" w:line="360" w:lineRule="auto"/>
              <w:ind w:left="425" w:hanging="425"/>
              <w:textAlignment w:val="auto"/>
              <w:rPr>
                <w:rFonts w:eastAsia="宋体"/>
                <w:sz w:val="24"/>
                <w:szCs w:val="24"/>
              </w:rPr>
            </w:pPr>
            <w:bookmarkStart w:id="102" w:name="_Toc85036848"/>
            <w:bookmarkEnd w:id="102"/>
            <w:bookmarkStart w:id="103" w:name="_Toc85037094"/>
            <w:bookmarkEnd w:id="103"/>
            <w:bookmarkStart w:id="104" w:name="_Toc85037182"/>
            <w:bookmarkEnd w:id="104"/>
            <w:bookmarkStart w:id="105" w:name="_Toc11607"/>
            <w:r>
              <w:rPr>
                <w:rFonts w:eastAsia="宋体"/>
                <w:sz w:val="24"/>
                <w:szCs w:val="24"/>
              </w:rPr>
              <w:t>工程占地及土石方</w:t>
            </w:r>
            <w:bookmarkEnd w:id="105"/>
          </w:p>
          <w:p w14:paraId="74C4BF55">
            <w:pPr>
              <w:pStyle w:val="3"/>
              <w:numPr>
                <w:ilvl w:val="1"/>
                <w:numId w:val="5"/>
              </w:numPr>
              <w:spacing w:before="0" w:after="0" w:line="360" w:lineRule="auto"/>
              <w:rPr>
                <w:rFonts w:eastAsia="宋体"/>
                <w:color w:val="auto"/>
                <w:sz w:val="24"/>
                <w:szCs w:val="24"/>
              </w:rPr>
            </w:pPr>
            <w:bookmarkStart w:id="106" w:name="_Toc11142"/>
            <w:r>
              <w:rPr>
                <w:rFonts w:hint="eastAsia" w:eastAsia="宋体"/>
                <w:color w:val="auto"/>
                <w:sz w:val="24"/>
                <w:szCs w:val="24"/>
              </w:rPr>
              <w:t>土石方平衡</w:t>
            </w:r>
            <w:bookmarkEnd w:id="106"/>
          </w:p>
          <w:p w14:paraId="7922F98C">
            <w:pPr>
              <w:autoSpaceDE w:val="0"/>
              <w:autoSpaceDN w:val="0"/>
              <w:adjustRightInd w:val="0"/>
              <w:snapToGrid w:val="0"/>
              <w:spacing w:line="360" w:lineRule="auto"/>
              <w:ind w:firstLine="480" w:firstLineChars="200"/>
              <w:rPr>
                <w:kern w:val="0"/>
                <w:sz w:val="24"/>
                <w:shd w:val="clear" w:color="auto" w:fill="FFFFFF"/>
              </w:rPr>
            </w:pPr>
            <w:r>
              <w:rPr>
                <w:rFonts w:hint="eastAsia"/>
                <w:kern w:val="0"/>
                <w:sz w:val="24"/>
                <w:shd w:val="clear" w:color="auto" w:fill="FFFFFF"/>
              </w:rPr>
              <w:t>本工程总挖方0.12万m</w:t>
            </w:r>
            <w:r>
              <w:rPr>
                <w:rFonts w:hint="eastAsia"/>
                <w:kern w:val="0"/>
                <w:sz w:val="24"/>
                <w:shd w:val="clear" w:color="auto" w:fill="FFFFFF"/>
                <w:vertAlign w:val="superscript"/>
                <w:lang w:val="en-US" w:eastAsia="zh-CN"/>
              </w:rPr>
              <w:t>3</w:t>
            </w:r>
            <w:r>
              <w:rPr>
                <w:rFonts w:hint="eastAsia"/>
                <w:kern w:val="0"/>
                <w:sz w:val="24"/>
                <w:shd w:val="clear" w:color="auto" w:fill="FFFFFF"/>
              </w:rPr>
              <w:t>，包括土石方开挖0.10万m</w:t>
            </w:r>
            <w:r>
              <w:rPr>
                <w:rFonts w:hint="eastAsia"/>
                <w:kern w:val="0"/>
                <w:sz w:val="24"/>
                <w:shd w:val="clear" w:color="auto" w:fill="FFFFFF"/>
                <w:vertAlign w:val="superscript"/>
                <w:lang w:val="en-US" w:eastAsia="zh-CN"/>
              </w:rPr>
              <w:t>3</w:t>
            </w:r>
            <w:r>
              <w:rPr>
                <w:rFonts w:hint="eastAsia"/>
                <w:kern w:val="0"/>
                <w:sz w:val="24"/>
                <w:shd w:val="clear" w:color="auto" w:fill="FFFFFF"/>
              </w:rPr>
              <w:t>，剥离表土0.02万m</w:t>
            </w:r>
            <w:r>
              <w:rPr>
                <w:rFonts w:hint="eastAsia"/>
                <w:kern w:val="0"/>
                <w:sz w:val="24"/>
                <w:shd w:val="clear" w:color="auto" w:fill="FFFFFF"/>
                <w:vertAlign w:val="superscript"/>
                <w:lang w:val="en-US" w:eastAsia="zh-CN"/>
              </w:rPr>
              <w:t>3</w:t>
            </w:r>
            <w:r>
              <w:rPr>
                <w:rFonts w:hint="eastAsia"/>
                <w:kern w:val="0"/>
                <w:sz w:val="24"/>
                <w:shd w:val="clear" w:color="auto" w:fill="FFFFFF"/>
                <w:lang w:eastAsia="zh-CN"/>
              </w:rPr>
              <w:t>；</w:t>
            </w:r>
            <w:r>
              <w:rPr>
                <w:rFonts w:hint="eastAsia"/>
                <w:kern w:val="0"/>
                <w:sz w:val="24"/>
                <w:shd w:val="clear" w:color="auto" w:fill="FFFFFF"/>
              </w:rPr>
              <w:t>总填方0.12万m</w:t>
            </w:r>
            <w:r>
              <w:rPr>
                <w:rFonts w:hint="eastAsia"/>
                <w:kern w:val="0"/>
                <w:sz w:val="24"/>
                <w:shd w:val="clear" w:color="auto" w:fill="FFFFFF"/>
                <w:vertAlign w:val="superscript"/>
                <w:lang w:val="en-US" w:eastAsia="zh-CN"/>
              </w:rPr>
              <w:t>3</w:t>
            </w:r>
            <w:r>
              <w:rPr>
                <w:rFonts w:hint="eastAsia"/>
                <w:kern w:val="0"/>
                <w:sz w:val="24"/>
                <w:shd w:val="clear" w:color="auto" w:fill="FFFFFF"/>
                <w:lang w:eastAsia="zh-CN"/>
              </w:rPr>
              <w:t>，</w:t>
            </w:r>
            <w:r>
              <w:rPr>
                <w:rFonts w:hint="eastAsia"/>
                <w:kern w:val="0"/>
                <w:sz w:val="24"/>
                <w:shd w:val="clear" w:color="auto" w:fill="FFFFFF"/>
              </w:rPr>
              <w:t>包括基坑回填0.05万m</w:t>
            </w:r>
            <w:r>
              <w:rPr>
                <w:rFonts w:hint="eastAsia"/>
                <w:kern w:val="0"/>
                <w:sz w:val="24"/>
                <w:shd w:val="clear" w:color="auto" w:fill="FFFFFF"/>
                <w:vertAlign w:val="superscript"/>
                <w:lang w:val="en-US" w:eastAsia="zh-CN"/>
              </w:rPr>
              <w:t>3</w:t>
            </w:r>
            <w:r>
              <w:rPr>
                <w:rFonts w:hint="eastAsia"/>
                <w:kern w:val="0"/>
                <w:sz w:val="24"/>
                <w:shd w:val="clear" w:color="auto" w:fill="FFFFFF"/>
              </w:rPr>
              <w:t>，基坑余方回填垫高0.05万m</w:t>
            </w:r>
            <w:r>
              <w:rPr>
                <w:rFonts w:hint="eastAsia"/>
                <w:kern w:val="0"/>
                <w:sz w:val="24"/>
                <w:shd w:val="clear" w:color="auto" w:fill="FFFFFF"/>
                <w:vertAlign w:val="superscript"/>
                <w:lang w:val="en-US" w:eastAsia="zh-CN"/>
              </w:rPr>
              <w:t>3</w:t>
            </w:r>
            <w:r>
              <w:rPr>
                <w:rFonts w:hint="eastAsia"/>
                <w:kern w:val="0"/>
                <w:sz w:val="24"/>
                <w:shd w:val="clear" w:color="auto" w:fill="FFFFFF"/>
              </w:rPr>
              <w:t>，回覆表土0.02万m</w:t>
            </w:r>
            <w:r>
              <w:rPr>
                <w:rFonts w:hint="eastAsia"/>
                <w:kern w:val="0"/>
                <w:sz w:val="24"/>
                <w:shd w:val="clear" w:color="auto" w:fill="FFFFFF"/>
                <w:vertAlign w:val="superscript"/>
                <w:lang w:val="en-US" w:eastAsia="zh-CN"/>
              </w:rPr>
              <w:t>3</w:t>
            </w:r>
            <w:r>
              <w:rPr>
                <w:rFonts w:hint="eastAsia"/>
                <w:kern w:val="0"/>
                <w:sz w:val="24"/>
                <w:shd w:val="clear" w:color="auto" w:fill="FFFFFF"/>
                <w:lang w:eastAsia="zh-CN"/>
              </w:rPr>
              <w:t>；</w:t>
            </w:r>
            <w:r>
              <w:rPr>
                <w:rFonts w:hint="eastAsia"/>
                <w:kern w:val="0"/>
                <w:sz w:val="24"/>
                <w:shd w:val="clear" w:color="auto" w:fill="FFFFFF"/>
              </w:rPr>
              <w:t>土石方挖填平衡，无弃方及外购土方。</w:t>
            </w:r>
          </w:p>
          <w:p w14:paraId="2DA6EB76">
            <w:pPr>
              <w:pStyle w:val="3"/>
              <w:numPr>
                <w:ilvl w:val="1"/>
                <w:numId w:val="5"/>
              </w:numPr>
              <w:spacing w:before="0" w:after="0" w:line="360" w:lineRule="auto"/>
              <w:rPr>
                <w:rFonts w:eastAsia="宋体"/>
                <w:color w:val="auto"/>
                <w:sz w:val="24"/>
                <w:szCs w:val="24"/>
              </w:rPr>
            </w:pPr>
            <w:bookmarkStart w:id="107" w:name="_Toc22647"/>
            <w:r>
              <w:rPr>
                <w:rFonts w:eastAsia="宋体"/>
                <w:color w:val="auto"/>
                <w:sz w:val="24"/>
                <w:szCs w:val="24"/>
              </w:rPr>
              <w:t>工程占地</w:t>
            </w:r>
            <w:bookmarkEnd w:id="107"/>
          </w:p>
          <w:p w14:paraId="6CFC65C4">
            <w:pPr>
              <w:autoSpaceDE w:val="0"/>
              <w:autoSpaceDN w:val="0"/>
              <w:adjustRightInd w:val="0"/>
              <w:snapToGrid w:val="0"/>
              <w:spacing w:line="360" w:lineRule="auto"/>
              <w:ind w:firstLine="480" w:firstLineChars="200"/>
              <w:rPr>
                <w:color w:val="000000"/>
                <w:sz w:val="24"/>
              </w:rPr>
            </w:pPr>
            <w:r>
              <w:rPr>
                <w:rFonts w:hint="eastAsia"/>
                <w:color w:val="000000"/>
                <w:sz w:val="24"/>
                <w:u w:val="none"/>
              </w:rPr>
              <w:t>本工程项目建设区占地包括永久占地和临时占地，永久占地为输电线路工程塔基区；临时占地包括塔基施工场地区、牵张场地区、跨越施工场地区和</w:t>
            </w:r>
            <w:r>
              <w:rPr>
                <w:rFonts w:hint="eastAsia"/>
                <w:color w:val="000000"/>
                <w:sz w:val="24"/>
                <w:u w:val="none"/>
                <w:lang w:val="en-US" w:eastAsia="zh-CN"/>
              </w:rPr>
              <w:t>电缆工程区</w:t>
            </w:r>
            <w:r>
              <w:rPr>
                <w:rFonts w:hint="eastAsia"/>
                <w:color w:val="000000"/>
                <w:sz w:val="24"/>
                <w:u w:val="none"/>
              </w:rPr>
              <w:t>等。</w:t>
            </w:r>
          </w:p>
          <w:p w14:paraId="511F38C2">
            <w:pPr>
              <w:autoSpaceDE w:val="0"/>
              <w:autoSpaceDN w:val="0"/>
              <w:adjustRightInd w:val="0"/>
              <w:snapToGrid w:val="0"/>
              <w:spacing w:line="360" w:lineRule="auto"/>
              <w:ind w:firstLine="480" w:firstLineChars="200"/>
              <w:rPr>
                <w:color w:val="000000"/>
                <w:sz w:val="24"/>
              </w:rPr>
            </w:pPr>
            <w:r>
              <w:rPr>
                <w:rFonts w:hint="eastAsia"/>
                <w:color w:val="000000"/>
                <w:sz w:val="24"/>
              </w:rPr>
              <w:t>本工程总占地面积1.</w:t>
            </w:r>
            <w:r>
              <w:rPr>
                <w:rFonts w:hint="eastAsia"/>
                <w:color w:val="000000"/>
                <w:sz w:val="24"/>
                <w:lang w:val="en-US" w:eastAsia="zh-CN"/>
              </w:rPr>
              <w:t>96</w:t>
            </w:r>
            <w:r>
              <w:rPr>
                <w:rFonts w:hint="eastAsia"/>
                <w:color w:val="000000"/>
                <w:sz w:val="24"/>
              </w:rPr>
              <w:t>hm²，其中永久占</w:t>
            </w:r>
            <w:r>
              <w:rPr>
                <w:rFonts w:hint="eastAsia"/>
                <w:color w:val="000000"/>
                <w:sz w:val="24"/>
                <w:lang w:val="en-US" w:eastAsia="zh-CN"/>
              </w:rPr>
              <w:t>地</w:t>
            </w:r>
            <w:r>
              <w:rPr>
                <w:rFonts w:hint="eastAsia"/>
                <w:color w:val="000000"/>
                <w:sz w:val="24"/>
              </w:rPr>
              <w:t>0.</w:t>
            </w:r>
            <w:r>
              <w:rPr>
                <w:rFonts w:hint="eastAsia"/>
                <w:color w:val="000000"/>
                <w:sz w:val="24"/>
                <w:lang w:val="en-US" w:eastAsia="zh-CN"/>
              </w:rPr>
              <w:t>11</w:t>
            </w:r>
            <w:r>
              <w:rPr>
                <w:rFonts w:hint="eastAsia"/>
                <w:color w:val="000000"/>
                <w:sz w:val="24"/>
              </w:rPr>
              <w:t>hm²，临时占地1.</w:t>
            </w:r>
            <w:r>
              <w:rPr>
                <w:rFonts w:hint="eastAsia"/>
                <w:color w:val="000000"/>
                <w:sz w:val="24"/>
                <w:lang w:val="en-US" w:eastAsia="zh-CN"/>
              </w:rPr>
              <w:t>85</w:t>
            </w:r>
            <w:r>
              <w:rPr>
                <w:rFonts w:hint="eastAsia"/>
                <w:color w:val="000000"/>
                <w:sz w:val="24"/>
              </w:rPr>
              <w:t>hm²，地貌类型为冲洪积平原，占地类型为</w:t>
            </w:r>
            <w:r>
              <w:rPr>
                <w:rFonts w:hint="eastAsia"/>
                <w:color w:val="000000"/>
                <w:sz w:val="24"/>
                <w:lang w:val="en-US" w:eastAsia="zh-CN"/>
              </w:rPr>
              <w:t>林地和其他土地</w:t>
            </w:r>
            <w:r>
              <w:rPr>
                <w:rFonts w:hint="eastAsia"/>
                <w:color w:val="000000"/>
                <w:sz w:val="24"/>
              </w:rPr>
              <w:t>，详见</w:t>
            </w:r>
            <w:r>
              <w:rPr>
                <w:rFonts w:hint="eastAsia"/>
                <w:b w:val="0"/>
                <w:bCs w:val="0"/>
                <w:color w:val="000000"/>
                <w:sz w:val="24"/>
                <w:szCs w:val="24"/>
              </w:rPr>
              <w:fldChar w:fldCharType="begin"/>
            </w:r>
            <w:r>
              <w:rPr>
                <w:b w:val="0"/>
                <w:bCs w:val="0"/>
                <w:color w:val="000000"/>
                <w:sz w:val="24"/>
                <w:szCs w:val="24"/>
              </w:rPr>
              <w:instrText xml:space="preserve"> REF _Ref11913 \h </w:instrText>
            </w:r>
            <w:r>
              <w:rPr>
                <w:rFonts w:hint="eastAsia"/>
                <w:b w:val="0"/>
                <w:bCs w:val="0"/>
                <w:color w:val="000000"/>
                <w:sz w:val="24"/>
                <w:szCs w:val="24"/>
              </w:rPr>
              <w:fldChar w:fldCharType="separate"/>
            </w:r>
            <w:r>
              <w:rPr>
                <w:rFonts w:hint="eastAsia" w:ascii="宋体" w:hAnsi="宋体" w:eastAsia="宋体" w:cs="宋体"/>
                <w:b w:val="0"/>
                <w:bCs w:val="0"/>
                <w:sz w:val="24"/>
                <w:szCs w:val="24"/>
              </w:rPr>
              <w:t>表</w:t>
            </w:r>
            <w:r>
              <w:rPr>
                <w:rFonts w:hint="eastAsia" w:eastAsia="黑体"/>
                <w:b w:val="0"/>
                <w:bCs w:val="0"/>
                <w:sz w:val="24"/>
                <w:szCs w:val="24"/>
              </w:rPr>
              <w:t xml:space="preserve"> 10</w:t>
            </w:r>
            <w:r>
              <w:rPr>
                <w:rFonts w:hint="eastAsia"/>
                <w:b w:val="0"/>
                <w:bCs w:val="0"/>
                <w:color w:val="000000"/>
                <w:sz w:val="24"/>
                <w:szCs w:val="24"/>
              </w:rPr>
              <w:fldChar w:fldCharType="end"/>
            </w:r>
            <w:r>
              <w:rPr>
                <w:rFonts w:hint="eastAsia"/>
                <w:color w:val="000000"/>
                <w:sz w:val="24"/>
              </w:rPr>
              <w:t>。</w:t>
            </w:r>
          </w:p>
          <w:p w14:paraId="76A3E253">
            <w:pPr>
              <w:rPr>
                <w:rFonts w:eastAsia="黑体"/>
                <w:b/>
                <w:bCs/>
                <w:szCs w:val="21"/>
                <w:vertAlign w:val="superscript"/>
              </w:rPr>
            </w:pPr>
            <w:bookmarkStart w:id="108" w:name="_Ref11913"/>
            <w:r>
              <w:rPr>
                <w:rFonts w:hint="eastAsia" w:eastAsia="黑体"/>
                <w:b/>
                <w:bCs/>
                <w:szCs w:val="21"/>
              </w:rPr>
              <w:t xml:space="preserve">表 </w:t>
            </w:r>
            <w:r>
              <w:rPr>
                <w:rFonts w:eastAsia="黑体"/>
                <w:b/>
                <w:bCs/>
                <w:szCs w:val="21"/>
              </w:rPr>
              <w:fldChar w:fldCharType="begin"/>
            </w:r>
            <w:r>
              <w:rPr>
                <w:rFonts w:eastAsia="黑体"/>
                <w:b/>
                <w:bCs/>
                <w:szCs w:val="21"/>
              </w:rPr>
              <w:instrText xml:space="preserve"> </w:instrText>
            </w:r>
            <w:r>
              <w:rPr>
                <w:rFonts w:hint="eastAsia" w:eastAsia="黑体"/>
                <w:b/>
                <w:bCs/>
                <w:szCs w:val="21"/>
              </w:rPr>
              <w:instrText xml:space="preserve">SEQ 表 \* ARABIC</w:instrText>
            </w:r>
            <w:r>
              <w:rPr>
                <w:rFonts w:eastAsia="黑体"/>
                <w:b/>
                <w:bCs/>
                <w:szCs w:val="21"/>
              </w:rPr>
              <w:instrText xml:space="preserve"> </w:instrText>
            </w:r>
            <w:r>
              <w:rPr>
                <w:rFonts w:eastAsia="黑体"/>
                <w:b/>
                <w:bCs/>
                <w:szCs w:val="21"/>
              </w:rPr>
              <w:fldChar w:fldCharType="separate"/>
            </w:r>
            <w:r>
              <w:rPr>
                <w:rFonts w:hint="eastAsia" w:eastAsia="黑体"/>
                <w:b/>
                <w:bCs/>
                <w:szCs w:val="21"/>
              </w:rPr>
              <w:t>10</w:t>
            </w:r>
            <w:r>
              <w:rPr>
                <w:rFonts w:eastAsia="黑体"/>
                <w:b/>
                <w:bCs/>
                <w:szCs w:val="21"/>
              </w:rPr>
              <w:fldChar w:fldCharType="end"/>
            </w:r>
            <w:bookmarkEnd w:id="108"/>
            <w:r>
              <w:rPr>
                <w:rFonts w:eastAsia="黑体"/>
                <w:b/>
                <w:bCs/>
                <w:szCs w:val="21"/>
              </w:rPr>
              <w:t xml:space="preserve">            </w:t>
            </w:r>
            <w:r>
              <w:rPr>
                <w:rFonts w:hint="eastAsia" w:eastAsia="黑体"/>
                <w:b/>
                <w:bCs/>
                <w:szCs w:val="21"/>
              </w:rPr>
              <w:t xml:space="preserve">          </w:t>
            </w:r>
            <w:r>
              <w:rPr>
                <w:rFonts w:eastAsia="黑体"/>
                <w:b/>
                <w:bCs/>
                <w:szCs w:val="21"/>
              </w:rPr>
              <w:t>本工程</w:t>
            </w:r>
            <w:r>
              <w:rPr>
                <w:rFonts w:hint="eastAsia" w:eastAsia="黑体"/>
                <w:b/>
                <w:bCs/>
                <w:szCs w:val="21"/>
              </w:rPr>
              <w:t>占用</w:t>
            </w:r>
            <w:r>
              <w:rPr>
                <w:rFonts w:eastAsia="黑体"/>
                <w:b/>
                <w:bCs/>
                <w:szCs w:val="21"/>
              </w:rPr>
              <w:t xml:space="preserve">土地类型一览表           </w:t>
            </w:r>
            <w:r>
              <w:rPr>
                <w:rFonts w:hint="eastAsia" w:eastAsia="黑体"/>
                <w:b/>
                <w:bCs/>
                <w:szCs w:val="21"/>
              </w:rPr>
              <w:t xml:space="preserve">      </w:t>
            </w:r>
            <w:r>
              <w:rPr>
                <w:rFonts w:eastAsia="黑体"/>
                <w:b/>
                <w:bCs/>
                <w:szCs w:val="21"/>
              </w:rPr>
              <w:t xml:space="preserve">  单位：</w:t>
            </w:r>
            <w:r>
              <w:rPr>
                <w:rFonts w:hint="eastAsia" w:eastAsia="黑体"/>
                <w:b/>
                <w:bCs/>
                <w:szCs w:val="21"/>
              </w:rPr>
              <w:t>h</w:t>
            </w:r>
            <w:r>
              <w:rPr>
                <w:rFonts w:eastAsia="黑体"/>
                <w:b/>
                <w:bCs/>
                <w:szCs w:val="21"/>
              </w:rPr>
              <w:t>m</w:t>
            </w:r>
            <w:r>
              <w:rPr>
                <w:rFonts w:eastAsia="黑体"/>
                <w:b/>
                <w:bCs/>
                <w:szCs w:val="21"/>
                <w:vertAlign w:val="superscript"/>
              </w:rPr>
              <w:t>2</w:t>
            </w:r>
          </w:p>
          <w:tbl>
            <w:tblPr>
              <w:tblStyle w:val="3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25"/>
              <w:gridCol w:w="800"/>
              <w:gridCol w:w="1421"/>
              <w:gridCol w:w="1421"/>
              <w:gridCol w:w="1421"/>
              <w:gridCol w:w="1424"/>
            </w:tblGrid>
            <w:tr w14:paraId="46E5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934B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分区</w:t>
                  </w:r>
                </w:p>
              </w:tc>
              <w:tc>
                <w:tcPr>
                  <w:tcW w:w="64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5D561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占地面积</w:t>
                  </w:r>
                </w:p>
              </w:tc>
            </w:tr>
            <w:tr w14:paraId="14CFA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ED864">
                  <w:pPr>
                    <w:jc w:val="center"/>
                    <w:rPr>
                      <w:rFonts w:hint="default" w:ascii="Times New Roman" w:hAnsi="Times New Roman" w:eastAsia="宋体" w:cs="Times New Roman"/>
                      <w:b/>
                      <w:bCs/>
                      <w:i w:val="0"/>
                      <w:iCs w:val="0"/>
                      <w:color w:val="000000"/>
                      <w:sz w:val="21"/>
                      <w:szCs w:val="21"/>
                      <w:u w:val="none"/>
                    </w:rPr>
                  </w:pPr>
                </w:p>
              </w:tc>
              <w:tc>
                <w:tcPr>
                  <w:tcW w:w="800" w:type="dxa"/>
                  <w:vMerge w:val="restart"/>
                  <w:tcBorders>
                    <w:top w:val="nil"/>
                    <w:left w:val="single" w:color="000000" w:sz="4" w:space="0"/>
                    <w:bottom w:val="single" w:color="000000" w:sz="4" w:space="0"/>
                    <w:right w:val="single" w:color="000000" w:sz="4" w:space="0"/>
                  </w:tcBorders>
                  <w:shd w:val="clear" w:color="auto" w:fill="auto"/>
                  <w:vAlign w:val="center"/>
                </w:tcPr>
                <w:p w14:paraId="30A4EDB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小计</w:t>
                  </w:r>
                </w:p>
              </w:tc>
              <w:tc>
                <w:tcPr>
                  <w:tcW w:w="2842" w:type="dxa"/>
                  <w:gridSpan w:val="2"/>
                  <w:tcBorders>
                    <w:top w:val="nil"/>
                    <w:left w:val="single" w:color="000000" w:sz="4" w:space="0"/>
                    <w:bottom w:val="single" w:color="000000" w:sz="4" w:space="0"/>
                    <w:right w:val="nil"/>
                  </w:tcBorders>
                  <w:shd w:val="clear" w:color="auto" w:fill="auto"/>
                  <w:vAlign w:val="center"/>
                </w:tcPr>
                <w:p w14:paraId="2E34A7B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占地性质</w:t>
                  </w:r>
                </w:p>
              </w:tc>
              <w:tc>
                <w:tcPr>
                  <w:tcW w:w="2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9EBC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占地类型</w:t>
                  </w:r>
                </w:p>
              </w:tc>
            </w:tr>
            <w:tr w14:paraId="7FEDC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4EAEA">
                  <w:pPr>
                    <w:jc w:val="center"/>
                    <w:rPr>
                      <w:rFonts w:hint="default" w:ascii="Times New Roman" w:hAnsi="Times New Roman" w:eastAsia="宋体" w:cs="Times New Roman"/>
                      <w:b/>
                      <w:bCs/>
                      <w:i w:val="0"/>
                      <w:iCs w:val="0"/>
                      <w:color w:val="000000"/>
                      <w:sz w:val="21"/>
                      <w:szCs w:val="21"/>
                      <w:u w:val="none"/>
                    </w:rPr>
                  </w:pPr>
                </w:p>
              </w:tc>
              <w:tc>
                <w:tcPr>
                  <w:tcW w:w="800" w:type="dxa"/>
                  <w:vMerge w:val="continue"/>
                  <w:tcBorders>
                    <w:top w:val="nil"/>
                    <w:left w:val="single" w:color="000000" w:sz="4" w:space="0"/>
                    <w:bottom w:val="single" w:color="000000" w:sz="4" w:space="0"/>
                    <w:right w:val="single" w:color="000000" w:sz="4" w:space="0"/>
                  </w:tcBorders>
                  <w:shd w:val="clear" w:color="auto" w:fill="auto"/>
                  <w:vAlign w:val="center"/>
                </w:tcPr>
                <w:p w14:paraId="292AF0AB">
                  <w:pPr>
                    <w:jc w:val="center"/>
                    <w:rPr>
                      <w:rFonts w:hint="default" w:ascii="Times New Roman" w:hAnsi="Times New Roman" w:eastAsia="宋体" w:cs="Times New Roman"/>
                      <w:b/>
                      <w:bCs/>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B0BE">
                  <w:pPr>
                    <w:keepNext w:val="0"/>
                    <w:keepLines w:val="0"/>
                    <w:widowControl/>
                    <w:suppressLineNumbers w:val="0"/>
                    <w:jc w:val="center"/>
                    <w:textAlignment w:val="center"/>
                    <w:rPr>
                      <w:rFonts w:hint="eastAsia" w:ascii="Times New Roman" w:hAnsi="Times New Roman" w:eastAsia="宋体" w:cs="Microsoft JhengHei"/>
                      <w:b/>
                      <w:bCs/>
                      <w:i w:val="0"/>
                      <w:iCs w:val="0"/>
                      <w:color w:val="000000"/>
                      <w:sz w:val="21"/>
                      <w:szCs w:val="21"/>
                      <w:u w:val="none"/>
                    </w:rPr>
                  </w:pPr>
                  <w:r>
                    <w:rPr>
                      <w:rFonts w:hint="eastAsia" w:ascii="Times New Roman" w:hAnsi="Times New Roman" w:eastAsia="宋体" w:cs="Microsoft JhengHei"/>
                      <w:b/>
                      <w:bCs/>
                      <w:i w:val="0"/>
                      <w:iCs w:val="0"/>
                      <w:color w:val="000000"/>
                      <w:kern w:val="0"/>
                      <w:sz w:val="21"/>
                      <w:szCs w:val="21"/>
                      <w:u w:val="none"/>
                      <w:lang w:val="en-US" w:eastAsia="zh-CN" w:bidi="ar"/>
                    </w:rPr>
                    <w:t>永久占地</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FE7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临时占地</w:t>
                  </w:r>
                </w:p>
              </w:tc>
              <w:tc>
                <w:tcPr>
                  <w:tcW w:w="1421" w:type="dxa"/>
                  <w:tcBorders>
                    <w:top w:val="nil"/>
                    <w:left w:val="single" w:color="000000" w:sz="4" w:space="0"/>
                    <w:bottom w:val="single" w:color="000000" w:sz="4" w:space="0"/>
                    <w:right w:val="single" w:color="000000" w:sz="4" w:space="0"/>
                  </w:tcBorders>
                  <w:shd w:val="clear" w:color="auto" w:fill="auto"/>
                  <w:vAlign w:val="center"/>
                </w:tcPr>
                <w:p w14:paraId="2AF7817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林地</w:t>
                  </w:r>
                </w:p>
              </w:tc>
              <w:tc>
                <w:tcPr>
                  <w:tcW w:w="1424" w:type="dxa"/>
                  <w:tcBorders>
                    <w:top w:val="nil"/>
                    <w:left w:val="single" w:color="000000" w:sz="4" w:space="0"/>
                    <w:bottom w:val="single" w:color="000000" w:sz="4" w:space="0"/>
                    <w:right w:val="single" w:color="000000" w:sz="4" w:space="0"/>
                  </w:tcBorders>
                  <w:shd w:val="clear" w:color="auto" w:fill="auto"/>
                  <w:vAlign w:val="center"/>
                </w:tcPr>
                <w:p w14:paraId="594F460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28"/>
                      <w:rFonts w:ascii="Times New Roman" w:hAnsi="Times New Roman" w:eastAsia="宋体"/>
                      <w:lang w:val="en-US" w:eastAsia="zh-CN" w:bidi="ar"/>
                    </w:rPr>
                    <w:t>其他土地</w:t>
                  </w:r>
                </w:p>
              </w:tc>
            </w:tr>
            <w:tr w14:paraId="0232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06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29"/>
                      <w:rFonts w:ascii="Times New Roman" w:hAnsi="Times New Roman"/>
                      <w:lang w:val="en-US" w:eastAsia="zh-CN" w:bidi="ar"/>
                    </w:rPr>
                    <w:t>塔基区</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86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F9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97DF">
                  <w:pPr>
                    <w:jc w:val="center"/>
                    <w:rPr>
                      <w:rFonts w:hint="default" w:ascii="Times New Roman" w:hAnsi="Times New Roman" w:eastAsia="宋体" w:cs="Times New Roman"/>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B6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03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26F08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A4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29"/>
                      <w:rFonts w:ascii="Times New Roman" w:hAnsi="Times New Roman"/>
                      <w:lang w:val="en-US" w:eastAsia="zh-CN" w:bidi="ar"/>
                    </w:rPr>
                    <w:t>塔基施工场地</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DE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D0B7">
                  <w:pPr>
                    <w:jc w:val="center"/>
                    <w:rPr>
                      <w:rFonts w:hint="default" w:ascii="Times New Roman" w:hAnsi="Times New Roman" w:eastAsia="宋体" w:cs="Times New Roman"/>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30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98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0.58</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CB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r>
            <w:tr w14:paraId="5504C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85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29"/>
                      <w:rFonts w:ascii="Times New Roman" w:hAnsi="Times New Roman"/>
                      <w:lang w:val="en-US" w:eastAsia="zh-CN" w:bidi="ar"/>
                    </w:rPr>
                    <w:t>牵张场</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F1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2B86">
                  <w:pPr>
                    <w:jc w:val="center"/>
                    <w:rPr>
                      <w:rFonts w:hint="default" w:ascii="Times New Roman" w:hAnsi="Times New Roman" w:eastAsia="宋体" w:cs="Times New Roman"/>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39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C3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0.54</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E9F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w:t>
                  </w:r>
                </w:p>
              </w:tc>
            </w:tr>
            <w:tr w14:paraId="3A82E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BC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29"/>
                      <w:rFonts w:ascii="Times New Roman" w:hAnsi="Times New Roman"/>
                      <w:lang w:val="en-US" w:eastAsia="zh-CN" w:bidi="ar"/>
                    </w:rPr>
                    <w:t>跨越施工场地</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F1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F6EF">
                  <w:pPr>
                    <w:jc w:val="center"/>
                    <w:rPr>
                      <w:rFonts w:hint="default" w:ascii="Times New Roman" w:hAnsi="Times New Roman" w:eastAsia="宋体" w:cs="Times New Roman"/>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D6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CB0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21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1A35E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6F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29"/>
                      <w:rFonts w:ascii="Times New Roman" w:hAnsi="Times New Roman"/>
                      <w:lang w:val="en-US" w:eastAsia="zh-CN" w:bidi="ar"/>
                    </w:rPr>
                    <w:t>电缆工程区</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59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0AD6">
                  <w:pPr>
                    <w:jc w:val="center"/>
                    <w:rPr>
                      <w:rFonts w:hint="default" w:ascii="Times New Roman" w:hAnsi="Times New Roman" w:eastAsia="宋体" w:cs="Times New Roman"/>
                      <w:i w:val="0"/>
                      <w:iCs w:val="0"/>
                      <w:color w:val="000000"/>
                      <w:sz w:val="21"/>
                      <w:szCs w:val="21"/>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EE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79D6">
                  <w:pPr>
                    <w:jc w:val="center"/>
                    <w:rPr>
                      <w:rFonts w:hint="default" w:ascii="Times New Roman" w:hAnsi="Times New Roman" w:eastAsia="宋体" w:cs="Times New Roman"/>
                      <w:i w:val="0"/>
                      <w:iCs w:val="0"/>
                      <w:color w:val="000000"/>
                      <w:sz w:val="21"/>
                      <w:szCs w:val="21"/>
                      <w:u w:val="none"/>
                    </w:rPr>
                  </w:pP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2D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00729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510E">
                  <w:pPr>
                    <w:keepNext w:val="0"/>
                    <w:keepLines w:val="0"/>
                    <w:widowControl/>
                    <w:suppressLineNumbers w:val="0"/>
                    <w:jc w:val="center"/>
                    <w:textAlignment w:val="center"/>
                    <w:rPr>
                      <w:rFonts w:hint="eastAsia" w:ascii="Times New Roman" w:hAnsi="Times New Roman" w:eastAsia="宋体" w:cs="Microsoft JhengHei"/>
                      <w:b/>
                      <w:bCs/>
                      <w:i w:val="0"/>
                      <w:iCs w:val="0"/>
                      <w:color w:val="000000"/>
                      <w:sz w:val="21"/>
                      <w:szCs w:val="21"/>
                      <w:u w:val="none"/>
                    </w:rPr>
                  </w:pPr>
                  <w:r>
                    <w:rPr>
                      <w:rFonts w:hint="eastAsia" w:ascii="Times New Roman" w:hAnsi="Times New Roman" w:eastAsia="宋体" w:cs="Microsoft JhengHei"/>
                      <w:b/>
                      <w:bCs/>
                      <w:i w:val="0"/>
                      <w:iCs w:val="0"/>
                      <w:color w:val="000000"/>
                      <w:kern w:val="0"/>
                      <w:sz w:val="21"/>
                      <w:szCs w:val="21"/>
                      <w:u w:val="none"/>
                      <w:lang w:val="en-US" w:eastAsia="zh-CN" w:bidi="ar"/>
                    </w:rPr>
                    <w:t>合计</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BFE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1.96</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6117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0.11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8CC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1.85</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2AF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1.30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E48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0.66</w:t>
                  </w:r>
                </w:p>
              </w:tc>
            </w:tr>
          </w:tbl>
          <w:p w14:paraId="1D5E2889">
            <w:pPr>
              <w:autoSpaceDE w:val="0"/>
              <w:autoSpaceDN w:val="0"/>
              <w:adjustRightInd w:val="0"/>
              <w:snapToGrid w:val="0"/>
              <w:rPr>
                <w:color w:val="000000"/>
                <w:highlight w:val="yellow"/>
              </w:rPr>
            </w:pPr>
          </w:p>
        </w:tc>
      </w:tr>
      <w:tr w14:paraId="0AAD4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single" w:color="auto" w:sz="8" w:space="0"/>
              <w:bottom w:val="single" w:color="auto" w:sz="4" w:space="0"/>
              <w:right w:val="single" w:color="auto" w:sz="4" w:space="0"/>
            </w:tcBorders>
            <w:vAlign w:val="center"/>
          </w:tcPr>
          <w:p w14:paraId="13302C2E">
            <w:pPr>
              <w:adjustRightInd w:val="0"/>
              <w:snapToGrid w:val="0"/>
              <w:jc w:val="center"/>
              <w:rPr>
                <w:b/>
                <w:color w:val="000000"/>
                <w:kern w:val="0"/>
                <w:sz w:val="24"/>
              </w:rPr>
            </w:pPr>
            <w:r>
              <w:rPr>
                <w:b/>
                <w:color w:val="000000"/>
                <w:kern w:val="0"/>
                <w:sz w:val="24"/>
              </w:rPr>
              <w:t>总平面及现场布置</w:t>
            </w:r>
          </w:p>
        </w:tc>
        <w:tc>
          <w:tcPr>
            <w:tcW w:w="8542" w:type="dxa"/>
            <w:tcBorders>
              <w:top w:val="single" w:color="auto" w:sz="4" w:space="0"/>
              <w:left w:val="single" w:color="auto" w:sz="4" w:space="0"/>
              <w:bottom w:val="single" w:color="auto" w:sz="4" w:space="0"/>
              <w:right w:val="single" w:color="auto" w:sz="8" w:space="0"/>
            </w:tcBorders>
            <w:vAlign w:val="center"/>
          </w:tcPr>
          <w:p w14:paraId="3D29A1A2">
            <w:pPr>
              <w:pStyle w:val="3"/>
              <w:numPr>
                <w:ilvl w:val="0"/>
                <w:numId w:val="6"/>
              </w:numPr>
              <w:spacing w:before="0" w:after="0" w:line="360" w:lineRule="auto"/>
              <w:rPr>
                <w:rFonts w:eastAsia="宋体"/>
                <w:sz w:val="24"/>
                <w:szCs w:val="24"/>
              </w:rPr>
            </w:pPr>
            <w:bookmarkStart w:id="109" w:name="_Toc27347"/>
            <w:r>
              <w:rPr>
                <w:rFonts w:hint="eastAsia" w:eastAsia="宋体"/>
                <w:sz w:val="24"/>
                <w:szCs w:val="24"/>
                <w:lang w:eastAsia="zh-CN"/>
              </w:rPr>
              <w:t>港城110kV变电站</w:t>
            </w:r>
            <w:r>
              <w:rPr>
                <w:rFonts w:hint="eastAsia" w:eastAsia="宋体"/>
                <w:sz w:val="24"/>
                <w:szCs w:val="24"/>
              </w:rPr>
              <w:t>总平面布置图</w:t>
            </w:r>
            <w:bookmarkEnd w:id="109"/>
          </w:p>
          <w:p w14:paraId="13FE0551">
            <w:pPr>
              <w:widowControl/>
              <w:spacing w:line="360" w:lineRule="auto"/>
              <w:ind w:firstLine="480" w:firstLineChars="200"/>
              <w:jc w:val="left"/>
              <w:rPr>
                <w:color w:val="000000"/>
                <w:sz w:val="24"/>
              </w:rPr>
            </w:pPr>
            <w:r>
              <w:rPr>
                <w:rFonts w:hint="eastAsia"/>
                <w:color w:val="000000"/>
                <w:sz w:val="24"/>
                <w:lang w:eastAsia="zh-CN"/>
              </w:rPr>
              <w:t>港城110kV变电站</w:t>
            </w:r>
            <w:r>
              <w:rPr>
                <w:rFonts w:hint="eastAsia"/>
                <w:color w:val="000000"/>
                <w:sz w:val="24"/>
              </w:rPr>
              <w:t>站内由北向南布置，</w:t>
            </w:r>
            <w:r>
              <w:rPr>
                <w:rFonts w:hint="eastAsia"/>
                <w:color w:val="000000"/>
                <w:sz w:val="24"/>
                <w:lang w:val="en-US" w:eastAsia="zh-CN"/>
              </w:rPr>
              <w:t>继电器室布置</w:t>
            </w:r>
            <w:r>
              <w:rPr>
                <w:rFonts w:hint="eastAsia"/>
                <w:color w:val="000000"/>
                <w:sz w:val="24"/>
              </w:rPr>
              <w:t>在站区北侧，</w:t>
            </w:r>
            <w:r>
              <w:rPr>
                <w:rFonts w:hint="eastAsia"/>
                <w:color w:val="000000"/>
                <w:sz w:val="24"/>
                <w:lang w:val="en-US" w:eastAsia="zh-CN"/>
              </w:rPr>
              <w:t>10kV向北出线</w:t>
            </w:r>
            <w:r>
              <w:rPr>
                <w:rFonts w:hint="eastAsia"/>
                <w:color w:val="000000"/>
                <w:sz w:val="24"/>
              </w:rPr>
              <w:t>，主变布置在站区中部，</w:t>
            </w:r>
            <w:r>
              <w:rPr>
                <w:rFonts w:hint="eastAsia"/>
                <w:color w:val="000000"/>
                <w:sz w:val="24"/>
                <w:lang w:val="en-US" w:eastAsia="zh-CN"/>
              </w:rPr>
              <w:t>11</w:t>
            </w:r>
            <w:r>
              <w:rPr>
                <w:rFonts w:hint="eastAsia"/>
                <w:color w:val="000000"/>
                <w:sz w:val="24"/>
              </w:rPr>
              <w:t>0kV配电装置区布置在站区南侧，无功补偿装置布置在站区</w:t>
            </w:r>
            <w:r>
              <w:rPr>
                <w:rFonts w:hint="eastAsia"/>
                <w:color w:val="000000"/>
                <w:sz w:val="24"/>
                <w:lang w:val="en-US" w:eastAsia="zh-CN"/>
              </w:rPr>
              <w:t>西北角</w:t>
            </w:r>
            <w:r>
              <w:rPr>
                <w:rFonts w:hint="eastAsia"/>
                <w:color w:val="000000"/>
                <w:sz w:val="24"/>
              </w:rPr>
              <w:t>，大门位于变电站东侧，进站道路从东侧道路引接。</w:t>
            </w:r>
          </w:p>
          <w:p w14:paraId="137465C1">
            <w:pPr>
              <w:pStyle w:val="3"/>
              <w:numPr>
                <w:ilvl w:val="0"/>
                <w:numId w:val="6"/>
              </w:numPr>
              <w:spacing w:beforeLines="50" w:after="0" w:line="360" w:lineRule="auto"/>
              <w:rPr>
                <w:rFonts w:eastAsia="宋体"/>
                <w:sz w:val="24"/>
                <w:szCs w:val="24"/>
              </w:rPr>
            </w:pPr>
            <w:bookmarkStart w:id="110" w:name="_Toc31009"/>
            <w:r>
              <w:rPr>
                <w:rFonts w:hint="eastAsia" w:eastAsia="宋体"/>
                <w:sz w:val="24"/>
                <w:szCs w:val="24"/>
                <w:lang w:eastAsia="zh-CN"/>
              </w:rPr>
              <w:t>港城~新阳110千伏线路工程</w:t>
            </w:r>
            <w:r>
              <w:rPr>
                <w:rFonts w:hint="eastAsia" w:eastAsia="宋体"/>
                <w:sz w:val="24"/>
                <w:szCs w:val="24"/>
              </w:rPr>
              <w:t>路径走向</w:t>
            </w:r>
            <w:bookmarkEnd w:id="110"/>
          </w:p>
          <w:p w14:paraId="3DD82562">
            <w:pPr>
              <w:autoSpaceDE w:val="0"/>
              <w:autoSpaceDN w:val="0"/>
              <w:adjustRightInd w:val="0"/>
              <w:snapToGrid w:val="0"/>
              <w:spacing w:line="360" w:lineRule="auto"/>
              <w:ind w:firstLine="480" w:firstLineChars="200"/>
              <w:rPr>
                <w:color w:val="000000"/>
                <w:sz w:val="24"/>
              </w:rPr>
            </w:pPr>
            <w:r>
              <w:rPr>
                <w:rFonts w:hint="eastAsia"/>
                <w:color w:val="000000"/>
                <w:sz w:val="24"/>
              </w:rPr>
              <w:t>新建线路自港城变西起第一间隔向南架空出线至变电站南侧约40m处双回路终端塔J1，跨越10kV线路、跨越厂房后，通过J2右转走线，向西占用林带架设约3.8km至双回路终端塔J5，线路在此转为单回路架设，后右转</w:t>
            </w:r>
            <w:r>
              <w:rPr>
                <w:rFonts w:hint="eastAsia"/>
                <w:color w:val="000000"/>
                <w:sz w:val="24"/>
                <w:lang w:val="en-US" w:eastAsia="zh-CN"/>
              </w:rPr>
              <w:t>跨越公路</w:t>
            </w:r>
            <w:r>
              <w:rPr>
                <w:rFonts w:hint="eastAsia"/>
                <w:color w:val="000000"/>
                <w:sz w:val="24"/>
              </w:rPr>
              <w:t>至J7，向北跨越10kV火洲一线、沿公路向北架设至J8，右转跨越公路至拟建新阳变西侧双回路终端塔J9，通过J9进入新阳变南起第一间隔。</w:t>
            </w:r>
          </w:p>
          <w:p w14:paraId="511032C3">
            <w:pPr>
              <w:pStyle w:val="3"/>
              <w:numPr>
                <w:ilvl w:val="0"/>
                <w:numId w:val="6"/>
              </w:numPr>
              <w:spacing w:before="0" w:after="0" w:line="360" w:lineRule="auto"/>
              <w:rPr>
                <w:rFonts w:eastAsia="宋体"/>
                <w:sz w:val="24"/>
                <w:szCs w:val="24"/>
              </w:rPr>
            </w:pPr>
            <w:bookmarkStart w:id="111" w:name="_Toc110439065"/>
            <w:bookmarkEnd w:id="111"/>
            <w:bookmarkStart w:id="112" w:name="_Toc111564287"/>
            <w:bookmarkStart w:id="113" w:name="_Toc109473403"/>
            <w:bookmarkStart w:id="114" w:name="_Toc109473851"/>
            <w:bookmarkStart w:id="115" w:name="_Toc2883"/>
            <w:bookmarkStart w:id="116" w:name="_Toc110439067"/>
            <w:bookmarkStart w:id="117" w:name="_Toc109472550"/>
            <w:bookmarkStart w:id="118" w:name="_Toc109473538"/>
            <w:bookmarkStart w:id="119" w:name="_Toc109473772"/>
            <w:r>
              <w:rPr>
                <w:rFonts w:hint="eastAsia" w:eastAsia="宋体"/>
                <w:sz w:val="24"/>
                <w:szCs w:val="24"/>
              </w:rPr>
              <w:t>现场布置</w:t>
            </w:r>
            <w:bookmarkEnd w:id="112"/>
            <w:bookmarkEnd w:id="113"/>
            <w:bookmarkEnd w:id="114"/>
            <w:bookmarkEnd w:id="115"/>
            <w:bookmarkEnd w:id="116"/>
            <w:bookmarkEnd w:id="117"/>
            <w:bookmarkEnd w:id="118"/>
            <w:bookmarkEnd w:id="119"/>
          </w:p>
          <w:p w14:paraId="04960A29">
            <w:pPr>
              <w:autoSpaceDE w:val="0"/>
              <w:autoSpaceDN w:val="0"/>
              <w:adjustRightInd w:val="0"/>
              <w:snapToGrid w:val="0"/>
              <w:spacing w:line="360" w:lineRule="auto"/>
              <w:ind w:firstLine="480" w:firstLineChars="200"/>
              <w:rPr>
                <w:rFonts w:hint="eastAsia" w:eastAsia="宋体"/>
                <w:color w:val="000000"/>
                <w:lang w:eastAsia="zh-CN"/>
              </w:rPr>
            </w:pPr>
            <w:bookmarkStart w:id="120" w:name="_Toc109472566"/>
            <w:r>
              <w:rPr>
                <w:rFonts w:hint="eastAsia"/>
                <w:color w:val="000000"/>
                <w:sz w:val="24"/>
              </w:rPr>
              <w:t>（1）</w:t>
            </w:r>
            <w:bookmarkEnd w:id="120"/>
            <w:bookmarkStart w:id="121" w:name="_Toc109472570"/>
            <w:r>
              <w:rPr>
                <w:rFonts w:hint="eastAsia"/>
                <w:color w:val="000000"/>
                <w:sz w:val="24"/>
                <w:szCs w:val="32"/>
                <w:lang w:eastAsia="zh-CN"/>
              </w:rPr>
              <w:t>港城变110千伏间隔扩建工程</w:t>
            </w:r>
          </w:p>
          <w:p w14:paraId="33E0DA8F">
            <w:pPr>
              <w:pStyle w:val="121"/>
              <w:spacing w:after="0" w:line="360" w:lineRule="auto"/>
              <w:ind w:left="0" w:leftChars="0" w:firstLine="480" w:firstLineChars="200"/>
            </w:pPr>
            <w:r>
              <w:rPr>
                <w:rFonts w:hint="eastAsia"/>
              </w:rPr>
              <w:t>本工程在</w:t>
            </w:r>
            <w:r>
              <w:rPr>
                <w:rFonts w:hint="eastAsia"/>
                <w:lang w:eastAsia="zh-CN"/>
              </w:rPr>
              <w:t>港城110kV变电站</w:t>
            </w:r>
            <w:r>
              <w:rPr>
                <w:rFonts w:hint="eastAsia"/>
              </w:rPr>
              <w:t>内扩建</w:t>
            </w:r>
            <w:r>
              <w:rPr>
                <w:rFonts w:hint="eastAsia"/>
                <w:lang w:val="en-US" w:eastAsia="zh-CN"/>
              </w:rPr>
              <w:t>1</w:t>
            </w:r>
            <w:r>
              <w:rPr>
                <w:rFonts w:hint="eastAsia"/>
              </w:rPr>
              <w:t>回</w:t>
            </w:r>
            <w:r>
              <w:rPr>
                <w:rFonts w:hint="eastAsia"/>
                <w:lang w:val="en-US" w:eastAsia="zh-CN"/>
              </w:rPr>
              <w:t>11</w:t>
            </w:r>
            <w:r>
              <w:rPr>
                <w:rFonts w:hint="eastAsia"/>
              </w:rPr>
              <w:t>0kV出线间隔，扩建区域为变电站站内预留用地，本期无新增征地。</w:t>
            </w:r>
          </w:p>
          <w:bookmarkEnd w:id="121"/>
          <w:p w14:paraId="538A8FD2">
            <w:pPr>
              <w:autoSpaceDE w:val="0"/>
              <w:autoSpaceDN w:val="0"/>
              <w:adjustRightInd w:val="0"/>
              <w:snapToGrid w:val="0"/>
              <w:spacing w:line="360" w:lineRule="auto"/>
              <w:ind w:firstLine="480" w:firstLineChars="200"/>
              <w:rPr>
                <w:rFonts w:hint="eastAsia" w:eastAsia="宋体"/>
                <w:color w:val="000000"/>
                <w:sz w:val="24"/>
                <w:lang w:eastAsia="zh-CN"/>
              </w:rPr>
            </w:pPr>
            <w:bookmarkStart w:id="122" w:name="_Toc109472571"/>
            <w:r>
              <w:rPr>
                <w:rFonts w:hint="eastAsia"/>
                <w:color w:val="000000"/>
                <w:sz w:val="24"/>
              </w:rPr>
              <w:t>（2）</w:t>
            </w:r>
            <w:r>
              <w:rPr>
                <w:rFonts w:hint="eastAsia"/>
                <w:color w:val="000000"/>
                <w:sz w:val="24"/>
                <w:lang w:eastAsia="zh-CN"/>
              </w:rPr>
              <w:t>港城~新阳110千伏线路工程</w:t>
            </w:r>
          </w:p>
          <w:p w14:paraId="6C8A2882">
            <w:pPr>
              <w:autoSpaceDE w:val="0"/>
              <w:autoSpaceDN w:val="0"/>
              <w:adjustRightInd w:val="0"/>
              <w:snapToGrid w:val="0"/>
              <w:spacing w:line="360" w:lineRule="auto"/>
              <w:ind w:firstLine="480" w:firstLineChars="200"/>
              <w:rPr>
                <w:rFonts w:hint="eastAsia" w:eastAsia="宋体"/>
                <w:color w:val="000000"/>
                <w:sz w:val="24"/>
                <w:lang w:val="en-US" w:eastAsia="zh-CN"/>
              </w:rPr>
            </w:pPr>
            <w:r>
              <w:rPr>
                <w:rFonts w:hint="eastAsia"/>
                <w:color w:val="000000"/>
                <w:sz w:val="24"/>
              </w:rPr>
              <w:t>1）</w:t>
            </w:r>
            <w:r>
              <w:rPr>
                <w:rFonts w:hint="eastAsia"/>
                <w:color w:val="000000"/>
                <w:sz w:val="24"/>
                <w:lang w:val="en-US" w:eastAsia="zh-CN"/>
              </w:rPr>
              <w:t>塔基区</w:t>
            </w:r>
          </w:p>
          <w:p w14:paraId="22B4DB1C">
            <w:pPr>
              <w:autoSpaceDE w:val="0"/>
              <w:autoSpaceDN w:val="0"/>
              <w:adjustRightInd w:val="0"/>
              <w:snapToGrid w:val="0"/>
              <w:spacing w:line="360" w:lineRule="auto"/>
              <w:ind w:firstLine="480" w:firstLineChars="200"/>
              <w:rPr>
                <w:color w:val="000000"/>
                <w:sz w:val="24"/>
              </w:rPr>
            </w:pPr>
            <w:r>
              <w:rPr>
                <w:rFonts w:hint="eastAsia"/>
                <w:color w:val="000000"/>
                <w:sz w:val="24"/>
                <w:u w:val="none"/>
                <w:lang w:val="en-US" w:eastAsia="zh-CN"/>
              </w:rPr>
              <w:t>线路工程全线共新建杆塔19基，塔基区占地面积约0.11</w:t>
            </w:r>
            <w:r>
              <w:rPr>
                <w:rFonts w:hint="eastAsia"/>
                <w:color w:val="000000"/>
                <w:sz w:val="24"/>
                <w:highlight w:val="none"/>
                <w:u w:val="none"/>
              </w:rPr>
              <w:t>h</w:t>
            </w:r>
            <w:r>
              <w:rPr>
                <w:color w:val="000000"/>
                <w:sz w:val="24"/>
                <w:highlight w:val="none"/>
                <w:u w:val="none"/>
              </w:rPr>
              <w:t>m</w:t>
            </w:r>
            <w:r>
              <w:rPr>
                <w:color w:val="000000"/>
                <w:sz w:val="24"/>
                <w:highlight w:val="none"/>
                <w:u w:val="none"/>
                <w:vertAlign w:val="superscript"/>
              </w:rPr>
              <w:t>2</w:t>
            </w:r>
            <w:r>
              <w:rPr>
                <w:rFonts w:hint="eastAsia"/>
                <w:color w:val="000000"/>
                <w:sz w:val="24"/>
                <w:u w:val="none"/>
                <w:lang w:val="en-US" w:eastAsia="zh-CN"/>
              </w:rPr>
              <w:t>，占地类型为林地及其他土地。</w:t>
            </w:r>
          </w:p>
          <w:p w14:paraId="33F45DA3">
            <w:pPr>
              <w:autoSpaceDE w:val="0"/>
              <w:autoSpaceDN w:val="0"/>
              <w:adjustRightInd w:val="0"/>
              <w:snapToGrid w:val="0"/>
              <w:spacing w:line="360" w:lineRule="auto"/>
              <w:ind w:firstLine="480" w:firstLineChars="200"/>
              <w:rPr>
                <w:color w:val="000000"/>
                <w:sz w:val="24"/>
              </w:rPr>
            </w:pPr>
            <w:r>
              <w:rPr>
                <w:rFonts w:hint="eastAsia"/>
                <w:color w:val="000000"/>
                <w:sz w:val="24"/>
                <w:lang w:val="en-US" w:eastAsia="zh-CN"/>
              </w:rPr>
              <w:t>2）</w:t>
            </w:r>
            <w:r>
              <w:rPr>
                <w:color w:val="000000"/>
                <w:sz w:val="24"/>
              </w:rPr>
              <w:t>塔基施工场地</w:t>
            </w:r>
            <w:bookmarkEnd w:id="122"/>
          </w:p>
          <w:p w14:paraId="05EC158C">
            <w:pPr>
              <w:autoSpaceDE w:val="0"/>
              <w:autoSpaceDN w:val="0"/>
              <w:adjustRightInd w:val="0"/>
              <w:snapToGrid w:val="0"/>
              <w:spacing w:line="360" w:lineRule="auto"/>
              <w:ind w:firstLine="480" w:firstLineChars="200"/>
              <w:rPr>
                <w:color w:val="000000"/>
                <w:sz w:val="24"/>
              </w:rPr>
            </w:pPr>
            <w:bookmarkStart w:id="123" w:name="_Toc109472568"/>
            <w:r>
              <w:rPr>
                <w:color w:val="000000"/>
                <w:sz w:val="24"/>
              </w:rPr>
              <w:t>在塔基施工过程中需在杆塔外围设置施工场地，用于临时堆置土方、砂石料、水、材料和工具等。</w:t>
            </w:r>
            <w:r>
              <w:rPr>
                <w:rFonts w:hint="eastAsia"/>
                <w:color w:val="000000"/>
                <w:sz w:val="24"/>
                <w:lang w:eastAsia="zh-CN"/>
              </w:rPr>
              <w:t>本工程</w:t>
            </w:r>
            <w:r>
              <w:rPr>
                <w:rFonts w:hint="eastAsia"/>
                <w:color w:val="000000"/>
                <w:sz w:val="24"/>
              </w:rPr>
              <w:t>塔基施工场地区</w:t>
            </w:r>
            <w:r>
              <w:rPr>
                <w:color w:val="000000"/>
                <w:sz w:val="24"/>
              </w:rPr>
              <w:t>占地面积为</w:t>
            </w:r>
            <w:r>
              <w:rPr>
                <w:rFonts w:hint="eastAsia"/>
                <w:color w:val="000000"/>
                <w:sz w:val="24"/>
              </w:rPr>
              <w:t>约0.</w:t>
            </w:r>
            <w:r>
              <w:rPr>
                <w:rFonts w:hint="eastAsia"/>
                <w:color w:val="000000"/>
                <w:sz w:val="24"/>
                <w:lang w:val="en-US" w:eastAsia="zh-CN"/>
              </w:rPr>
              <w:t>84</w:t>
            </w:r>
            <w:r>
              <w:rPr>
                <w:rFonts w:hint="eastAsia"/>
                <w:color w:val="000000"/>
                <w:sz w:val="24"/>
              </w:rPr>
              <w:t>h</w:t>
            </w:r>
            <w:r>
              <w:rPr>
                <w:color w:val="000000"/>
                <w:sz w:val="24"/>
              </w:rPr>
              <w:t>m</w:t>
            </w:r>
            <w:r>
              <w:rPr>
                <w:rFonts w:hint="eastAsia"/>
                <w:color w:val="000000"/>
                <w:sz w:val="24"/>
              </w:rPr>
              <w:t>²</w:t>
            </w:r>
            <w:r>
              <w:rPr>
                <w:color w:val="000000"/>
                <w:sz w:val="24"/>
              </w:rPr>
              <w:t>。</w:t>
            </w:r>
            <w:bookmarkEnd w:id="123"/>
          </w:p>
          <w:p w14:paraId="285F4874">
            <w:pPr>
              <w:autoSpaceDE w:val="0"/>
              <w:autoSpaceDN w:val="0"/>
              <w:adjustRightInd w:val="0"/>
              <w:snapToGrid w:val="0"/>
              <w:spacing w:line="360" w:lineRule="auto"/>
              <w:ind w:firstLine="480" w:firstLineChars="200"/>
              <w:rPr>
                <w:color w:val="000000"/>
                <w:sz w:val="24"/>
              </w:rPr>
            </w:pPr>
            <w:r>
              <w:rPr>
                <w:rFonts w:hint="eastAsia"/>
                <w:color w:val="000000"/>
                <w:sz w:val="24"/>
                <w:lang w:val="en-US" w:eastAsia="zh-CN"/>
              </w:rPr>
              <w:t>3</w:t>
            </w:r>
            <w:r>
              <w:rPr>
                <w:rFonts w:hint="eastAsia"/>
                <w:color w:val="000000"/>
                <w:sz w:val="24"/>
              </w:rPr>
              <w:t>）牵张场地</w:t>
            </w:r>
          </w:p>
          <w:p w14:paraId="5760877D">
            <w:pPr>
              <w:autoSpaceDE w:val="0"/>
              <w:autoSpaceDN w:val="0"/>
              <w:adjustRightInd w:val="0"/>
              <w:snapToGrid w:val="0"/>
              <w:spacing w:line="360" w:lineRule="auto"/>
              <w:ind w:firstLine="480" w:firstLineChars="200"/>
              <w:rPr>
                <w:color w:val="000000"/>
                <w:sz w:val="24"/>
              </w:rPr>
            </w:pPr>
            <w:r>
              <w:rPr>
                <w:color w:val="000000"/>
                <w:sz w:val="24"/>
              </w:rPr>
              <w:t>本工程输电线路在线路架设时，设置牵张场地用于布置牵引设备及线缆，</w:t>
            </w:r>
            <w:r>
              <w:rPr>
                <w:rFonts w:hint="eastAsia"/>
                <w:color w:val="000000"/>
                <w:sz w:val="24"/>
              </w:rPr>
              <w:t>本工程新建线路路径较短，</w:t>
            </w:r>
            <w:r>
              <w:rPr>
                <w:color w:val="000000"/>
                <w:sz w:val="24"/>
              </w:rPr>
              <w:t>布置</w:t>
            </w:r>
            <w:r>
              <w:rPr>
                <w:rFonts w:hint="eastAsia"/>
                <w:color w:val="000000"/>
                <w:sz w:val="24"/>
                <w:lang w:val="en-US" w:eastAsia="zh-CN"/>
              </w:rPr>
              <w:t>4</w:t>
            </w:r>
            <w:r>
              <w:rPr>
                <w:color w:val="000000"/>
                <w:sz w:val="24"/>
              </w:rPr>
              <w:t>处牵张场地，占地面积约为</w:t>
            </w:r>
            <w:r>
              <w:rPr>
                <w:rFonts w:hint="eastAsia"/>
                <w:color w:val="000000"/>
                <w:sz w:val="24"/>
              </w:rPr>
              <w:t>0.</w:t>
            </w:r>
            <w:r>
              <w:rPr>
                <w:rFonts w:hint="eastAsia"/>
                <w:color w:val="000000"/>
                <w:sz w:val="24"/>
                <w:lang w:val="en-US" w:eastAsia="zh-CN"/>
              </w:rPr>
              <w:t>72</w:t>
            </w:r>
            <w:r>
              <w:rPr>
                <w:rFonts w:hint="eastAsia"/>
                <w:color w:val="000000"/>
                <w:sz w:val="24"/>
              </w:rPr>
              <w:t>h</w:t>
            </w:r>
            <w:r>
              <w:rPr>
                <w:color w:val="000000"/>
                <w:sz w:val="24"/>
              </w:rPr>
              <w:t>m</w:t>
            </w:r>
            <w:r>
              <w:rPr>
                <w:color w:val="000000"/>
                <w:sz w:val="24"/>
                <w:vertAlign w:val="superscript"/>
              </w:rPr>
              <w:t>2</w:t>
            </w:r>
            <w:r>
              <w:rPr>
                <w:color w:val="000000"/>
                <w:sz w:val="24"/>
              </w:rPr>
              <w:t>，牵张场地选址于地形平缓的场地。</w:t>
            </w:r>
          </w:p>
          <w:p w14:paraId="1F8F2F06">
            <w:pPr>
              <w:autoSpaceDE w:val="0"/>
              <w:autoSpaceDN w:val="0"/>
              <w:adjustRightInd w:val="0"/>
              <w:snapToGrid w:val="0"/>
              <w:spacing w:line="360" w:lineRule="auto"/>
              <w:ind w:firstLine="480" w:firstLineChars="200"/>
              <w:rPr>
                <w:color w:val="000000"/>
                <w:sz w:val="24"/>
              </w:rPr>
            </w:pPr>
            <w:r>
              <w:rPr>
                <w:rFonts w:hint="eastAsia"/>
                <w:color w:val="000000"/>
                <w:sz w:val="24"/>
                <w:lang w:val="en-US" w:eastAsia="zh-CN"/>
              </w:rPr>
              <w:t>4</w:t>
            </w:r>
            <w:r>
              <w:rPr>
                <w:rFonts w:hint="eastAsia"/>
                <w:color w:val="000000"/>
                <w:sz w:val="24"/>
              </w:rPr>
              <w:t>）跨越施工场地</w:t>
            </w:r>
          </w:p>
          <w:p w14:paraId="18DE52C6">
            <w:pPr>
              <w:adjustRightInd w:val="0"/>
              <w:snapToGrid w:val="0"/>
              <w:spacing w:line="360" w:lineRule="auto"/>
              <w:ind w:firstLine="480" w:firstLineChars="200"/>
              <w:rPr>
                <w:rFonts w:hint="eastAsia"/>
                <w:color w:val="000000"/>
                <w:sz w:val="24"/>
              </w:rPr>
            </w:pPr>
            <w:r>
              <w:rPr>
                <w:rFonts w:hint="eastAsia"/>
                <w:color w:val="000000"/>
                <w:sz w:val="24"/>
                <w:lang w:val="en-US" w:eastAsia="zh-CN"/>
              </w:rPr>
              <w:t>本工程跨越输电线路、公路等共计8处，跨越施工场地占地面积约0.16</w:t>
            </w:r>
            <w:r>
              <w:rPr>
                <w:rFonts w:hint="eastAsia"/>
                <w:color w:val="000000"/>
                <w:sz w:val="24"/>
                <w:highlight w:val="none"/>
              </w:rPr>
              <w:t>h</w:t>
            </w:r>
            <w:r>
              <w:rPr>
                <w:color w:val="000000"/>
                <w:sz w:val="24"/>
                <w:highlight w:val="none"/>
              </w:rPr>
              <w:t>m</w:t>
            </w:r>
            <w:r>
              <w:rPr>
                <w:color w:val="000000"/>
                <w:sz w:val="24"/>
                <w:highlight w:val="none"/>
                <w:vertAlign w:val="superscript"/>
              </w:rPr>
              <w:t>2</w:t>
            </w:r>
            <w:r>
              <w:rPr>
                <w:rFonts w:hint="eastAsia"/>
                <w:color w:val="000000"/>
                <w:sz w:val="24"/>
                <w:lang w:val="en-US" w:eastAsia="zh-CN"/>
              </w:rPr>
              <w:t>。</w:t>
            </w:r>
          </w:p>
          <w:p w14:paraId="4EAC0E0F">
            <w:pPr>
              <w:adjustRightInd w:val="0"/>
              <w:snapToGrid w:val="0"/>
              <w:spacing w:line="360" w:lineRule="auto"/>
              <w:ind w:firstLine="480" w:firstLineChars="200"/>
              <w:rPr>
                <w:rFonts w:hint="default" w:eastAsia="宋体"/>
                <w:color w:val="000000"/>
                <w:sz w:val="24"/>
                <w:lang w:val="en-US" w:eastAsia="zh-CN"/>
              </w:rPr>
            </w:pPr>
            <w:r>
              <w:rPr>
                <w:rFonts w:hint="eastAsia"/>
                <w:color w:val="000000"/>
                <w:sz w:val="24"/>
                <w:lang w:val="en-US" w:eastAsia="zh-CN"/>
              </w:rPr>
              <w:t>5）电缆工程区</w:t>
            </w:r>
          </w:p>
          <w:p w14:paraId="1500E576">
            <w:pPr>
              <w:adjustRightInd w:val="0"/>
              <w:snapToGrid w:val="0"/>
              <w:spacing w:line="360" w:lineRule="auto"/>
              <w:ind w:firstLine="480" w:firstLineChars="200"/>
              <w:rPr>
                <w:color w:val="000000"/>
                <w:sz w:val="24"/>
              </w:rPr>
            </w:pPr>
            <w:r>
              <w:rPr>
                <w:rFonts w:hint="eastAsia"/>
                <w:color w:val="000000"/>
                <w:sz w:val="24"/>
              </w:rPr>
              <w:t>本工程拟建</w:t>
            </w:r>
            <w:r>
              <w:rPr>
                <w:rFonts w:hint="eastAsia"/>
                <w:color w:val="000000"/>
                <w:sz w:val="24"/>
                <w:lang w:val="en-US" w:eastAsia="zh-CN"/>
              </w:rPr>
              <w:t>架空</w:t>
            </w:r>
            <w:r>
              <w:rPr>
                <w:rFonts w:hint="eastAsia"/>
                <w:color w:val="000000"/>
                <w:sz w:val="24"/>
              </w:rPr>
              <w:t>线路J5-J6段与10kV港能一二线重叠，将10kV港能一二线84#-87#杆约0.22km架空线路改为电缆敷设，电缆工程区占地约0.13hm</w:t>
            </w:r>
            <w:r>
              <w:rPr>
                <w:rFonts w:hint="eastAsia"/>
                <w:color w:val="000000"/>
                <w:sz w:val="24"/>
                <w:vertAlign w:val="superscript"/>
              </w:rPr>
              <w:t>2</w:t>
            </w:r>
            <w:r>
              <w:rPr>
                <w:rFonts w:hint="eastAsia"/>
                <w:color w:val="000000"/>
                <w:sz w:val="24"/>
              </w:rPr>
              <w:t>。</w:t>
            </w:r>
          </w:p>
        </w:tc>
      </w:tr>
      <w:tr w14:paraId="09885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single" w:color="auto" w:sz="8" w:space="0"/>
              <w:bottom w:val="single" w:color="auto" w:sz="4" w:space="0"/>
              <w:right w:val="single" w:color="auto" w:sz="4" w:space="0"/>
            </w:tcBorders>
            <w:vAlign w:val="center"/>
          </w:tcPr>
          <w:p w14:paraId="2A3CAF39">
            <w:pPr>
              <w:adjustRightInd w:val="0"/>
              <w:snapToGrid w:val="0"/>
              <w:jc w:val="center"/>
              <w:rPr>
                <w:b/>
                <w:color w:val="000000"/>
                <w:kern w:val="0"/>
                <w:sz w:val="24"/>
              </w:rPr>
            </w:pPr>
            <w:r>
              <w:rPr>
                <w:b/>
                <w:color w:val="000000"/>
                <w:kern w:val="0"/>
                <w:sz w:val="24"/>
              </w:rPr>
              <w:t>施工方案</w:t>
            </w:r>
          </w:p>
        </w:tc>
        <w:tc>
          <w:tcPr>
            <w:tcW w:w="8542" w:type="dxa"/>
            <w:tcBorders>
              <w:top w:val="single" w:color="auto" w:sz="4" w:space="0"/>
              <w:left w:val="single" w:color="auto" w:sz="4" w:space="0"/>
              <w:bottom w:val="single" w:color="auto" w:sz="4" w:space="0"/>
              <w:right w:val="single" w:color="auto" w:sz="8" w:space="0"/>
            </w:tcBorders>
            <w:vAlign w:val="center"/>
          </w:tcPr>
          <w:p w14:paraId="0C6EF057">
            <w:pPr>
              <w:pStyle w:val="3"/>
              <w:numPr>
                <w:ilvl w:val="0"/>
                <w:numId w:val="7"/>
              </w:numPr>
              <w:spacing w:before="0" w:after="0" w:line="360" w:lineRule="auto"/>
              <w:rPr>
                <w:rFonts w:eastAsia="宋体"/>
                <w:color w:val="auto"/>
                <w:sz w:val="24"/>
                <w:szCs w:val="24"/>
              </w:rPr>
            </w:pPr>
            <w:bookmarkStart w:id="124" w:name="_Toc109473773"/>
            <w:bookmarkStart w:id="125" w:name="_Toc111564288"/>
            <w:bookmarkStart w:id="126" w:name="_Toc109473539"/>
            <w:bookmarkStart w:id="127" w:name="_Toc88558496"/>
            <w:bookmarkStart w:id="128" w:name="_Toc97290557"/>
            <w:bookmarkStart w:id="129" w:name="_Toc109473852"/>
            <w:bookmarkStart w:id="130" w:name="_Toc91493240"/>
            <w:bookmarkStart w:id="131" w:name="_Toc110439068"/>
            <w:bookmarkStart w:id="132" w:name="_Toc85037190"/>
            <w:bookmarkStart w:id="133" w:name="_Toc81415598"/>
            <w:bookmarkStart w:id="134" w:name="_Toc85036856"/>
            <w:bookmarkStart w:id="135" w:name="_Toc109473404"/>
            <w:bookmarkStart w:id="136" w:name="_Toc97290423"/>
            <w:bookmarkStart w:id="137" w:name="_Toc96031350"/>
            <w:bookmarkStart w:id="138" w:name="_Toc95464642"/>
            <w:bookmarkStart w:id="139" w:name="_Toc109472573"/>
            <w:bookmarkStart w:id="140" w:name="_Toc91532147"/>
            <w:bookmarkStart w:id="141" w:name="_Toc96031267"/>
            <w:bookmarkStart w:id="142" w:name="_Toc96935387"/>
            <w:bookmarkStart w:id="143" w:name="_Toc81308126"/>
            <w:bookmarkStart w:id="144" w:name="_Toc13866"/>
            <w:r>
              <w:rPr>
                <w:rFonts w:hint="eastAsia" w:eastAsia="宋体"/>
                <w:color w:val="auto"/>
                <w:sz w:val="24"/>
                <w:szCs w:val="24"/>
              </w:rPr>
              <w:t>变电站</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eastAsia="宋体"/>
                <w:color w:val="auto"/>
                <w:sz w:val="24"/>
                <w:szCs w:val="24"/>
              </w:rPr>
              <w:t>工程施工工艺流程及方法</w:t>
            </w:r>
            <w:bookmarkEnd w:id="144"/>
          </w:p>
          <w:p w14:paraId="083A8291">
            <w:pPr>
              <w:pStyle w:val="11"/>
              <w:jc w:val="left"/>
              <w:rPr>
                <w:szCs w:val="24"/>
              </w:rPr>
            </w:pPr>
            <w:bookmarkStart w:id="145" w:name="_Toc109473856"/>
            <w:bookmarkStart w:id="146" w:name="_Toc109472581"/>
            <w:bookmarkStart w:id="147" w:name="_Toc110439075"/>
            <w:bookmarkStart w:id="148" w:name="_Toc95464646"/>
            <w:bookmarkStart w:id="149" w:name="_Toc96031354"/>
            <w:bookmarkStart w:id="150" w:name="_Toc85037194"/>
            <w:bookmarkStart w:id="151" w:name="_Toc97290427"/>
            <w:bookmarkStart w:id="152" w:name="_Toc81308130"/>
            <w:bookmarkStart w:id="153" w:name="_Toc109473543"/>
            <w:bookmarkStart w:id="154" w:name="_Toc97290561"/>
            <w:bookmarkStart w:id="155" w:name="_Toc109473408"/>
            <w:bookmarkStart w:id="156" w:name="_Toc81415602"/>
            <w:bookmarkStart w:id="157" w:name="_Toc111564293"/>
            <w:bookmarkStart w:id="158" w:name="_Toc88558500"/>
            <w:bookmarkStart w:id="159" w:name="_Toc109473777"/>
            <w:bookmarkStart w:id="160" w:name="_Toc96031271"/>
            <w:bookmarkStart w:id="161" w:name="_Toc85036860"/>
            <w:bookmarkStart w:id="162" w:name="_Toc91493244"/>
            <w:bookmarkStart w:id="163" w:name="_Toc96935391"/>
            <w:bookmarkStart w:id="164" w:name="_Toc91532151"/>
            <w:bookmarkStart w:id="165" w:name="_Toc13614387"/>
            <w:bookmarkStart w:id="166" w:name="_Toc494369232"/>
            <w:bookmarkStart w:id="167" w:name="_Toc429425304"/>
            <w:bookmarkStart w:id="168" w:name="_Toc391830280"/>
            <w:bookmarkStart w:id="169" w:name="_Toc490213557"/>
            <w:bookmarkStart w:id="170" w:name="_Toc498414147"/>
            <w:r>
              <w:rPr>
                <w:rFonts w:hint="eastAsia"/>
                <w:szCs w:val="24"/>
              </w:rPr>
              <w:t>变电站间隔扩建工程施工工艺及流程主要分为以下五个阶段。</w:t>
            </w:r>
          </w:p>
          <w:p w14:paraId="2814ACF4">
            <w:pPr>
              <w:pStyle w:val="11"/>
              <w:rPr>
                <w:szCs w:val="24"/>
              </w:rPr>
            </w:pPr>
            <w:r>
              <w:rPr>
                <w:rFonts w:hint="eastAsia"/>
                <w:szCs w:val="24"/>
              </w:rPr>
              <w:t>（1）</w:t>
            </w:r>
            <w:r>
              <w:rPr>
                <w:szCs w:val="24"/>
              </w:rPr>
              <w:t>地基处理；</w:t>
            </w:r>
          </w:p>
          <w:p w14:paraId="470E2FDE">
            <w:pPr>
              <w:pStyle w:val="11"/>
              <w:rPr>
                <w:szCs w:val="24"/>
              </w:rPr>
            </w:pPr>
            <w:r>
              <w:rPr>
                <w:rFonts w:hint="eastAsia"/>
                <w:szCs w:val="24"/>
              </w:rPr>
              <w:t>（2）</w:t>
            </w:r>
            <w:r>
              <w:rPr>
                <w:szCs w:val="24"/>
              </w:rPr>
              <w:t>建构筑物土石方开挖；</w:t>
            </w:r>
          </w:p>
          <w:p w14:paraId="7916AA25">
            <w:pPr>
              <w:pStyle w:val="11"/>
              <w:rPr>
                <w:szCs w:val="24"/>
              </w:rPr>
            </w:pPr>
            <w:r>
              <w:rPr>
                <w:rFonts w:hint="eastAsia"/>
                <w:szCs w:val="24"/>
              </w:rPr>
              <w:t>（3）</w:t>
            </w:r>
            <w:r>
              <w:rPr>
                <w:szCs w:val="24"/>
              </w:rPr>
              <w:t>土建施工；</w:t>
            </w:r>
          </w:p>
          <w:p w14:paraId="55F19933">
            <w:pPr>
              <w:pStyle w:val="11"/>
              <w:rPr>
                <w:szCs w:val="24"/>
              </w:rPr>
            </w:pPr>
            <w:r>
              <w:rPr>
                <w:rFonts w:hint="eastAsia"/>
                <w:szCs w:val="24"/>
              </w:rPr>
              <w:t>（4）</w:t>
            </w:r>
            <w:r>
              <w:rPr>
                <w:szCs w:val="24"/>
              </w:rPr>
              <w:t>设备进场运输；</w:t>
            </w:r>
          </w:p>
          <w:p w14:paraId="66415639">
            <w:pPr>
              <w:pStyle w:val="11"/>
              <w:rPr>
                <w:szCs w:val="24"/>
              </w:rPr>
            </w:pPr>
            <w:r>
              <w:rPr>
                <w:rFonts w:hint="eastAsia"/>
                <w:szCs w:val="24"/>
              </w:rPr>
              <w:t>（5）</w:t>
            </w:r>
            <w:r>
              <w:rPr>
                <w:szCs w:val="24"/>
              </w:rPr>
              <w:t>设备及网架安装。</w:t>
            </w:r>
          </w:p>
          <w:p w14:paraId="5690E77D">
            <w:pPr>
              <w:pStyle w:val="11"/>
              <w:rPr>
                <w:szCs w:val="24"/>
              </w:rPr>
            </w:pPr>
            <w:r>
              <w:rPr>
                <w:szCs w:val="24"/>
              </w:rPr>
              <w:t>变电站</w:t>
            </w:r>
            <w:r>
              <w:rPr>
                <w:rFonts w:hint="eastAsia"/>
                <w:szCs w:val="24"/>
              </w:rPr>
              <w:t>间隔</w:t>
            </w:r>
            <w:r>
              <w:rPr>
                <w:szCs w:val="24"/>
              </w:rPr>
              <w:t>扩建工程主要施工工艺</w:t>
            </w:r>
            <w:r>
              <w:rPr>
                <w:rFonts w:hint="eastAsia"/>
                <w:szCs w:val="24"/>
              </w:rPr>
              <w:t>及</w:t>
            </w:r>
            <w:r>
              <w:rPr>
                <w:szCs w:val="24"/>
              </w:rPr>
              <w:t>流程见</w:t>
            </w:r>
            <w:r>
              <w:rPr>
                <w:b w:val="0"/>
                <w:bCs w:val="0"/>
                <w:szCs w:val="24"/>
              </w:rPr>
              <w:fldChar w:fldCharType="begin"/>
            </w:r>
            <w:r>
              <w:rPr>
                <w:b w:val="0"/>
                <w:bCs w:val="0"/>
                <w:szCs w:val="24"/>
              </w:rPr>
              <w:instrText xml:space="preserve"> REF _Ref182933399 \h </w:instrText>
            </w:r>
            <w:r>
              <w:rPr>
                <w:b w:val="0"/>
                <w:bCs w:val="0"/>
                <w:szCs w:val="24"/>
              </w:rPr>
              <w:fldChar w:fldCharType="separate"/>
            </w:r>
            <w:r>
              <w:rPr>
                <w:rFonts w:hint="eastAsia" w:ascii="Times New Roman" w:hAnsi="Times New Roman"/>
                <w:b w:val="0"/>
                <w:bCs w:val="0"/>
                <w:color w:val="000000"/>
                <w:szCs w:val="21"/>
              </w:rPr>
              <w:t>图 4</w:t>
            </w:r>
            <w:r>
              <w:rPr>
                <w:b w:val="0"/>
                <w:bCs w:val="0"/>
                <w:szCs w:val="24"/>
              </w:rPr>
              <w:fldChar w:fldCharType="end"/>
            </w:r>
            <w:r>
              <w:rPr>
                <w:szCs w:val="24"/>
              </w:rPr>
              <w:t>。在施工过程中采用机械施工和人工施工相结合的方法。</w:t>
            </w:r>
          </w:p>
          <w:p w14:paraId="510DEC16">
            <w:pPr>
              <w:pStyle w:val="11"/>
              <w:ind w:firstLine="0" w:firstLineChars="0"/>
              <w:jc w:val="center"/>
            </w:pPr>
            <w:r>
              <w:rPr>
                <w:szCs w:val="24"/>
              </w:rPr>
              <w:drawing>
                <wp:inline distT="0" distB="0" distL="0" distR="0">
                  <wp:extent cx="3912870" cy="1715770"/>
                  <wp:effectExtent l="0" t="0" r="11430" b="17780"/>
                  <wp:docPr id="21422447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44701" name="图片 13"/>
                          <pic:cNvPicPr>
                            <a:picLocks noChangeAspect="1" noChangeArrowheads="1"/>
                          </pic:cNvPicPr>
                        </pic:nvPicPr>
                        <pic:blipFill>
                          <a:blip r:embed="rId18">
                            <a:extLst>
                              <a:ext uri="{28A0092B-C50C-407E-A947-70E740481C1C}">
                                <a14:useLocalDpi xmlns:a14="http://schemas.microsoft.com/office/drawing/2010/main" val="0"/>
                              </a:ext>
                            </a:extLst>
                          </a:blip>
                          <a:srcRect l="19757"/>
                          <a:stretch>
                            <a:fillRect/>
                          </a:stretch>
                        </pic:blipFill>
                        <pic:spPr>
                          <a:xfrm>
                            <a:off x="0" y="0"/>
                            <a:ext cx="3912870" cy="1715770"/>
                          </a:xfrm>
                          <a:prstGeom prst="rect">
                            <a:avLst/>
                          </a:prstGeom>
                          <a:noFill/>
                          <a:ln>
                            <a:noFill/>
                          </a:ln>
                        </pic:spPr>
                      </pic:pic>
                    </a:graphicData>
                  </a:graphic>
                </wp:inline>
              </w:drawing>
            </w:r>
          </w:p>
          <w:p w14:paraId="78DDEE80">
            <w:pPr>
              <w:pStyle w:val="9"/>
              <w:jc w:val="center"/>
              <w:rPr>
                <w:rFonts w:ascii="黑体" w:hAnsi="黑体"/>
                <w:color w:val="000000"/>
                <w:szCs w:val="21"/>
              </w:rPr>
            </w:pPr>
            <w:bookmarkStart w:id="171" w:name="_Ref182933399"/>
            <w:r>
              <w:rPr>
                <w:rFonts w:hint="eastAsia" w:ascii="Times New Roman" w:hAnsi="Times New Roman"/>
                <w:b/>
                <w:color w:val="000000"/>
                <w:szCs w:val="21"/>
              </w:rPr>
              <w:t xml:space="preserve">图 </w:t>
            </w:r>
            <w:r>
              <w:rPr>
                <w:rFonts w:ascii="Times New Roman" w:hAnsi="Times New Roman"/>
                <w:b/>
                <w:color w:val="000000"/>
                <w:szCs w:val="21"/>
              </w:rPr>
              <w:fldChar w:fldCharType="begin"/>
            </w:r>
            <w:r>
              <w:rPr>
                <w:rFonts w:ascii="Times New Roman" w:hAnsi="Times New Roman"/>
                <w:b/>
                <w:color w:val="000000"/>
                <w:szCs w:val="21"/>
              </w:rPr>
              <w:instrText xml:space="preserve"> </w:instrText>
            </w:r>
            <w:r>
              <w:rPr>
                <w:rFonts w:hint="eastAsia" w:ascii="Times New Roman" w:hAnsi="Times New Roman"/>
                <w:b/>
                <w:color w:val="000000"/>
                <w:szCs w:val="21"/>
              </w:rPr>
              <w:instrText xml:space="preserve">SEQ 图 \* ARABIC</w:instrText>
            </w:r>
            <w:r>
              <w:rPr>
                <w:rFonts w:ascii="Times New Roman" w:hAnsi="Times New Roman"/>
                <w:b/>
                <w:color w:val="000000"/>
                <w:szCs w:val="21"/>
              </w:rPr>
              <w:instrText xml:space="preserve"> </w:instrText>
            </w:r>
            <w:r>
              <w:rPr>
                <w:rFonts w:ascii="Times New Roman" w:hAnsi="Times New Roman"/>
                <w:b/>
                <w:color w:val="000000"/>
                <w:szCs w:val="21"/>
              </w:rPr>
              <w:fldChar w:fldCharType="separate"/>
            </w:r>
            <w:r>
              <w:rPr>
                <w:rFonts w:hint="eastAsia" w:ascii="Times New Roman" w:hAnsi="Times New Roman"/>
                <w:b/>
                <w:color w:val="000000"/>
                <w:szCs w:val="21"/>
              </w:rPr>
              <w:t>4</w:t>
            </w:r>
            <w:r>
              <w:rPr>
                <w:rFonts w:ascii="Times New Roman" w:hAnsi="Times New Roman"/>
                <w:b/>
                <w:color w:val="000000"/>
                <w:szCs w:val="21"/>
              </w:rPr>
              <w:fldChar w:fldCharType="end"/>
            </w:r>
            <w:bookmarkEnd w:id="171"/>
            <w:r>
              <w:rPr>
                <w:rFonts w:hint="eastAsia" w:ascii="Times New Roman" w:hAnsi="Times New Roman"/>
                <w:b/>
                <w:color w:val="000000"/>
                <w:szCs w:val="21"/>
              </w:rPr>
              <w:t xml:space="preserve"> </w:t>
            </w:r>
            <w:r>
              <w:rPr>
                <w:rFonts w:ascii="Times New Roman" w:hAnsi="Times New Roman"/>
                <w:b/>
                <w:color w:val="000000"/>
                <w:szCs w:val="21"/>
              </w:rPr>
              <w:t>变电站扩建工程主要施工工艺和</w:t>
            </w:r>
            <w:r>
              <w:rPr>
                <w:rFonts w:hint="eastAsia" w:ascii="Times New Roman" w:hAnsi="Times New Roman"/>
                <w:b/>
                <w:color w:val="000000"/>
                <w:szCs w:val="21"/>
              </w:rPr>
              <w:t>流程</w:t>
            </w:r>
          </w:p>
          <w:p w14:paraId="1784F556">
            <w:pPr>
              <w:pStyle w:val="3"/>
              <w:spacing w:beforeLines="50" w:after="0" w:line="360" w:lineRule="auto"/>
              <w:ind w:left="431" w:hanging="431"/>
              <w:rPr>
                <w:rFonts w:eastAsia="宋体"/>
                <w:sz w:val="24"/>
                <w:szCs w:val="24"/>
              </w:rPr>
            </w:pPr>
            <w:bookmarkStart w:id="172" w:name="_Toc2107"/>
            <w:r>
              <w:rPr>
                <w:rFonts w:hint="eastAsia" w:eastAsia="宋体"/>
                <w:sz w:val="28"/>
                <w:szCs w:val="28"/>
              </w:rPr>
              <w:t>2</w:t>
            </w:r>
            <w:r>
              <w:rPr>
                <w:rFonts w:hint="eastAsia" w:eastAsia="宋体"/>
                <w:sz w:val="24"/>
                <w:szCs w:val="24"/>
              </w:rPr>
              <w:t xml:space="preserve">   输电线路</w:t>
            </w:r>
            <w:r>
              <w:rPr>
                <w:rFonts w:eastAsia="宋体"/>
                <w:color w:val="auto"/>
                <w:sz w:val="24"/>
                <w:szCs w:val="24"/>
              </w:rPr>
              <w:t>施工工艺流程及方法</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72"/>
          </w:p>
          <w:p w14:paraId="1472DD8A">
            <w:pPr>
              <w:autoSpaceDE w:val="0"/>
              <w:autoSpaceDN w:val="0"/>
              <w:adjustRightInd w:val="0"/>
              <w:snapToGrid w:val="0"/>
              <w:spacing w:line="360" w:lineRule="auto"/>
              <w:ind w:firstLine="480" w:firstLineChars="200"/>
              <w:rPr>
                <w:color w:val="000000"/>
                <w:sz w:val="24"/>
              </w:rPr>
            </w:pPr>
            <w:bookmarkStart w:id="173" w:name="_Toc109472582"/>
            <w:r>
              <w:rPr>
                <w:color w:val="000000"/>
                <w:sz w:val="24"/>
              </w:rPr>
              <w:t>架空输电线路施工的工艺流程主要包括</w:t>
            </w:r>
            <w:r>
              <w:rPr>
                <w:rFonts w:hint="eastAsia"/>
                <w:color w:val="000000"/>
                <w:sz w:val="24"/>
              </w:rPr>
              <w:t>两</w:t>
            </w:r>
            <w:r>
              <w:rPr>
                <w:color w:val="000000"/>
                <w:sz w:val="24"/>
              </w:rPr>
              <w:t>个阶段，即准备工作</w:t>
            </w:r>
            <w:r>
              <w:rPr>
                <w:rFonts w:hint="eastAsia"/>
                <w:color w:val="000000"/>
                <w:sz w:val="24"/>
              </w:rPr>
              <w:t>和</w:t>
            </w:r>
            <w:r>
              <w:rPr>
                <w:color w:val="000000"/>
                <w:sz w:val="24"/>
              </w:rPr>
              <w:t>施工安装。其中，</w:t>
            </w:r>
            <w:r>
              <w:rPr>
                <w:rFonts w:hint="eastAsia"/>
                <w:color w:val="000000"/>
                <w:sz w:val="24"/>
              </w:rPr>
              <w:t>准备阶段包括勘测阶段，及备料加工和分坑；</w:t>
            </w:r>
            <w:r>
              <w:rPr>
                <w:color w:val="000000"/>
                <w:sz w:val="24"/>
              </w:rPr>
              <w:t>施工安装通常又划分为</w:t>
            </w:r>
            <w:r>
              <w:rPr>
                <w:rFonts w:hint="eastAsia"/>
                <w:color w:val="000000"/>
                <w:sz w:val="24"/>
              </w:rPr>
              <w:t>基础施工、材料运输、杆塔施工、架线施工和接地安装</w:t>
            </w:r>
            <w:r>
              <w:rPr>
                <w:color w:val="000000"/>
                <w:sz w:val="24"/>
              </w:rPr>
              <w:t>五个工序。架空输电线路施工工艺流程详见</w:t>
            </w:r>
            <w:r>
              <w:rPr>
                <w:color w:val="000000"/>
                <w:sz w:val="24"/>
              </w:rPr>
              <w:fldChar w:fldCharType="begin"/>
            </w:r>
            <w:r>
              <w:rPr>
                <w:color w:val="000000"/>
                <w:sz w:val="24"/>
              </w:rPr>
              <w:instrText xml:space="preserve"> REF _Ref157186402 \h  \* MERGEFORMAT </w:instrText>
            </w:r>
            <w:r>
              <w:rPr>
                <w:color w:val="000000"/>
                <w:sz w:val="24"/>
              </w:rPr>
              <w:fldChar w:fldCharType="separate"/>
            </w:r>
            <w:r>
              <w:rPr>
                <w:rFonts w:hint="eastAsia"/>
                <w:color w:val="000000"/>
                <w:sz w:val="24"/>
              </w:rPr>
              <w:t>图 5</w:t>
            </w:r>
            <w:r>
              <w:rPr>
                <w:color w:val="000000"/>
                <w:sz w:val="24"/>
              </w:rPr>
              <w:fldChar w:fldCharType="end"/>
            </w:r>
            <w:r>
              <w:rPr>
                <w:color w:val="000000"/>
                <w:sz w:val="24"/>
              </w:rPr>
              <w:t>。</w:t>
            </w:r>
            <w:bookmarkEnd w:id="173"/>
          </w:p>
          <w:p w14:paraId="41FA30EB">
            <w:pPr>
              <w:keepNext/>
              <w:autoSpaceDE w:val="0"/>
              <w:autoSpaceDN w:val="0"/>
              <w:adjustRightInd w:val="0"/>
              <w:snapToGrid w:val="0"/>
              <w:spacing w:line="360" w:lineRule="auto"/>
              <w:jc w:val="center"/>
            </w:pPr>
            <w:r>
              <w:drawing>
                <wp:inline distT="0" distB="0" distL="0" distR="0">
                  <wp:extent cx="5274310" cy="2409190"/>
                  <wp:effectExtent l="0" t="0" r="2540" b="0"/>
                  <wp:docPr id="726186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86919" name="图片 1"/>
                          <pic:cNvPicPr>
                            <a:picLocks noChangeAspect="1"/>
                          </pic:cNvPicPr>
                        </pic:nvPicPr>
                        <pic:blipFill>
                          <a:blip r:embed="rId19"/>
                          <a:stretch>
                            <a:fillRect/>
                          </a:stretch>
                        </pic:blipFill>
                        <pic:spPr>
                          <a:xfrm>
                            <a:off x="0" y="0"/>
                            <a:ext cx="5274310" cy="2409190"/>
                          </a:xfrm>
                          <a:prstGeom prst="rect">
                            <a:avLst/>
                          </a:prstGeom>
                        </pic:spPr>
                      </pic:pic>
                    </a:graphicData>
                  </a:graphic>
                </wp:inline>
              </w:drawing>
            </w:r>
          </w:p>
          <w:p w14:paraId="0150EE95">
            <w:pPr>
              <w:pStyle w:val="9"/>
              <w:jc w:val="center"/>
              <w:rPr>
                <w:rFonts w:ascii="Times New Roman" w:hAnsi="Times New Roman"/>
                <w:bCs/>
                <w:color w:val="000000"/>
                <w:sz w:val="24"/>
                <w:highlight w:val="yellow"/>
              </w:rPr>
            </w:pPr>
            <w:bookmarkStart w:id="174" w:name="_Ref157186402"/>
            <w:r>
              <w:rPr>
                <w:rFonts w:hint="eastAsia" w:ascii="Times New Roman" w:hAnsi="Times New Roman"/>
                <w:b/>
                <w:color w:val="000000"/>
                <w:szCs w:val="21"/>
              </w:rPr>
              <w:t xml:space="preserve">图 </w:t>
            </w:r>
            <w:r>
              <w:rPr>
                <w:rFonts w:hint="eastAsia" w:ascii="Times New Roman" w:hAnsi="Times New Roman"/>
                <w:b/>
                <w:color w:val="000000"/>
                <w:szCs w:val="21"/>
              </w:rPr>
              <w:fldChar w:fldCharType="begin"/>
            </w:r>
            <w:r>
              <w:rPr>
                <w:rFonts w:hint="eastAsia" w:ascii="Times New Roman" w:hAnsi="Times New Roman"/>
                <w:b/>
                <w:color w:val="000000"/>
                <w:szCs w:val="21"/>
              </w:rPr>
              <w:instrText xml:space="preserve"> SEQ 图 \* ARABIC </w:instrText>
            </w:r>
            <w:r>
              <w:rPr>
                <w:rFonts w:hint="eastAsia" w:ascii="Times New Roman" w:hAnsi="Times New Roman"/>
                <w:b/>
                <w:color w:val="000000"/>
                <w:szCs w:val="21"/>
              </w:rPr>
              <w:fldChar w:fldCharType="separate"/>
            </w:r>
            <w:r>
              <w:rPr>
                <w:rFonts w:hint="eastAsia" w:ascii="Times New Roman" w:hAnsi="Times New Roman"/>
                <w:b/>
                <w:color w:val="000000"/>
                <w:szCs w:val="21"/>
              </w:rPr>
              <w:t>5</w:t>
            </w:r>
            <w:r>
              <w:rPr>
                <w:rFonts w:hint="eastAsia" w:ascii="Times New Roman" w:hAnsi="Times New Roman"/>
                <w:b/>
                <w:color w:val="000000"/>
                <w:szCs w:val="21"/>
              </w:rPr>
              <w:fldChar w:fldCharType="end"/>
            </w:r>
            <w:bookmarkEnd w:id="174"/>
            <w:r>
              <w:rPr>
                <w:rFonts w:hint="eastAsia" w:ascii="Times New Roman" w:hAnsi="Times New Roman"/>
                <w:b/>
                <w:color w:val="000000"/>
                <w:szCs w:val="21"/>
              </w:rPr>
              <w:t xml:space="preserve"> 输电线路工程施工工艺流程</w:t>
            </w:r>
          </w:p>
          <w:p w14:paraId="61D3422B">
            <w:pPr>
              <w:autoSpaceDE w:val="0"/>
              <w:autoSpaceDN w:val="0"/>
              <w:adjustRightInd w:val="0"/>
              <w:snapToGrid w:val="0"/>
              <w:spacing w:line="360" w:lineRule="auto"/>
              <w:ind w:firstLine="480" w:firstLineChars="200"/>
              <w:rPr>
                <w:color w:val="000000"/>
                <w:sz w:val="24"/>
              </w:rPr>
            </w:pPr>
            <w:bookmarkStart w:id="175" w:name="_Toc109472585"/>
            <w:r>
              <w:rPr>
                <w:rFonts w:hint="eastAsia"/>
                <w:color w:val="000000"/>
                <w:sz w:val="24"/>
              </w:rPr>
              <w:t>（1）</w:t>
            </w:r>
            <w:r>
              <w:rPr>
                <w:color w:val="000000"/>
                <w:sz w:val="24"/>
              </w:rPr>
              <w:t>基础施工。在完成复测分坑准备后，可按地质条件及杆塔明细表确定基础开挖方式和拟定基础施工方法，如人力开挖、爆扩成坑、现浇杆塔基础、预制基础等。</w:t>
            </w:r>
            <w:bookmarkEnd w:id="175"/>
          </w:p>
          <w:p w14:paraId="4E6BC612">
            <w:pPr>
              <w:autoSpaceDE w:val="0"/>
              <w:autoSpaceDN w:val="0"/>
              <w:adjustRightInd w:val="0"/>
              <w:snapToGrid w:val="0"/>
              <w:spacing w:line="360" w:lineRule="auto"/>
              <w:ind w:firstLine="480" w:firstLineChars="200"/>
              <w:rPr>
                <w:color w:val="000000"/>
                <w:sz w:val="24"/>
              </w:rPr>
            </w:pPr>
            <w:bookmarkStart w:id="176" w:name="_Toc109472586"/>
            <w:r>
              <w:rPr>
                <w:rFonts w:hint="eastAsia"/>
                <w:color w:val="000000"/>
                <w:sz w:val="24"/>
              </w:rPr>
              <w:t>（2）</w:t>
            </w:r>
            <w:r>
              <w:rPr>
                <w:color w:val="000000"/>
                <w:sz w:val="24"/>
              </w:rPr>
              <w:t>物料运输。线路施工运输主要包括砂、石、水泥、钢筋、地螺等基础材料、塔料和绝缘子、金具等架线材料，以及抱杆、绞磨、钢丝绳等基础、立塔、架线工器具。</w:t>
            </w:r>
            <w:r>
              <w:rPr>
                <w:rFonts w:hint="eastAsia"/>
                <w:color w:val="000000"/>
                <w:sz w:val="24"/>
                <w:lang w:val="en-US" w:eastAsia="zh-CN"/>
              </w:rPr>
              <w:t>本工程所在区域交通较便利，可利用已有道路运输</w:t>
            </w:r>
            <w:r>
              <w:rPr>
                <w:rFonts w:hint="eastAsia"/>
                <w:color w:val="000000"/>
                <w:sz w:val="24"/>
              </w:rPr>
              <w:t>。</w:t>
            </w:r>
            <w:bookmarkEnd w:id="176"/>
          </w:p>
          <w:p w14:paraId="0DD817A1">
            <w:pPr>
              <w:autoSpaceDE w:val="0"/>
              <w:autoSpaceDN w:val="0"/>
              <w:adjustRightInd w:val="0"/>
              <w:snapToGrid w:val="0"/>
              <w:spacing w:line="360" w:lineRule="auto"/>
              <w:ind w:firstLine="480" w:firstLineChars="200"/>
              <w:rPr>
                <w:color w:val="000000"/>
                <w:sz w:val="24"/>
              </w:rPr>
            </w:pPr>
            <w:bookmarkStart w:id="177" w:name="_Toc109472587"/>
            <w:r>
              <w:rPr>
                <w:rFonts w:hint="eastAsia"/>
                <w:color w:val="000000"/>
                <w:sz w:val="24"/>
              </w:rPr>
              <w:t>（3）</w:t>
            </w:r>
            <w:r>
              <w:rPr>
                <w:color w:val="000000"/>
                <w:sz w:val="24"/>
              </w:rPr>
              <w:t>杆塔施工。杆塔施工时输电线路中的一道重要工序，其任务是将杆塔组立于基础之上，并牢固地用基础连接，用来支承架空导（地）线。对于地形条件及道路条件较好的塔位，拟采用轮式起重机分段组立。组塔时，预先将塔身组装成塔片，按吊装的顺序按秩序叠放，横担部分组装成整体，以提高吊装的使用效率。对于施工场地不能满足吊车施工要求的塔位采用内悬浮抱杆进行组立。悬浮抱杆吊装时，根据抱杆的自身结构和拉线的设置位置，确定安全的起吊重量和起吊方式，分主材或塔片或塔段进行吊装。</w:t>
            </w:r>
            <w:bookmarkEnd w:id="177"/>
          </w:p>
          <w:p w14:paraId="2E57E8EE">
            <w:pPr>
              <w:autoSpaceDE w:val="0"/>
              <w:autoSpaceDN w:val="0"/>
              <w:adjustRightInd w:val="0"/>
              <w:snapToGrid w:val="0"/>
              <w:spacing w:line="360" w:lineRule="auto"/>
              <w:ind w:firstLine="480" w:firstLineChars="200"/>
              <w:rPr>
                <w:color w:val="000000"/>
                <w:sz w:val="24"/>
              </w:rPr>
            </w:pPr>
            <w:bookmarkStart w:id="178" w:name="_Toc109472588"/>
            <w:r>
              <w:rPr>
                <w:rFonts w:hint="eastAsia"/>
                <w:color w:val="000000"/>
                <w:sz w:val="24"/>
              </w:rPr>
              <w:t>（4）</w:t>
            </w:r>
            <w:r>
              <w:rPr>
                <w:color w:val="000000"/>
                <w:sz w:val="24"/>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bookmarkEnd w:id="178"/>
          </w:p>
          <w:p w14:paraId="2E2A954B">
            <w:pPr>
              <w:autoSpaceDE w:val="0"/>
              <w:autoSpaceDN w:val="0"/>
              <w:adjustRightInd w:val="0"/>
              <w:snapToGrid w:val="0"/>
              <w:spacing w:line="360" w:lineRule="auto"/>
              <w:ind w:firstLine="480" w:firstLineChars="200"/>
              <w:rPr>
                <w:color w:val="000000"/>
                <w:sz w:val="24"/>
              </w:rPr>
            </w:pPr>
            <w:bookmarkStart w:id="179" w:name="_Toc109472589"/>
            <w:r>
              <w:rPr>
                <w:rFonts w:hint="eastAsia"/>
                <w:color w:val="000000"/>
                <w:sz w:val="24"/>
              </w:rPr>
              <w:t>（5）</w:t>
            </w:r>
            <w:r>
              <w:rPr>
                <w:color w:val="000000"/>
                <w:sz w:val="24"/>
              </w:rPr>
              <w:t>接地安装。接地装置（包括接地体和接地引下线）大部分为地下隐蔽工程，故在施工中应严格按照规定操作安装，并需测量接地电阻值，使其符合要求后，才能投入运行。</w:t>
            </w:r>
            <w:bookmarkEnd w:id="179"/>
          </w:p>
          <w:bookmarkEnd w:id="165"/>
          <w:bookmarkEnd w:id="166"/>
          <w:bookmarkEnd w:id="167"/>
          <w:bookmarkEnd w:id="168"/>
          <w:bookmarkEnd w:id="169"/>
          <w:bookmarkEnd w:id="170"/>
          <w:p w14:paraId="3CBF1C42">
            <w:pPr>
              <w:pStyle w:val="3"/>
              <w:spacing w:before="0" w:after="0" w:line="360" w:lineRule="auto"/>
              <w:rPr>
                <w:rFonts w:eastAsia="宋体"/>
                <w:sz w:val="24"/>
                <w:szCs w:val="24"/>
              </w:rPr>
            </w:pPr>
            <w:bookmarkStart w:id="180" w:name="_Toc110439076"/>
            <w:bookmarkEnd w:id="180"/>
            <w:bookmarkStart w:id="181" w:name="_Toc97290562"/>
            <w:bookmarkStart w:id="182" w:name="_Toc109472590"/>
            <w:bookmarkStart w:id="183" w:name="_Toc85036861"/>
            <w:bookmarkStart w:id="184" w:name="_Toc81308131"/>
            <w:bookmarkStart w:id="185" w:name="_Toc111564294"/>
            <w:bookmarkStart w:id="186" w:name="_Toc110439077"/>
            <w:bookmarkStart w:id="187" w:name="_Toc85037195"/>
            <w:bookmarkStart w:id="188" w:name="_Toc88558501"/>
            <w:bookmarkStart w:id="189" w:name="_Toc96031272"/>
            <w:bookmarkStart w:id="190" w:name="_Toc97290428"/>
            <w:bookmarkStart w:id="191" w:name="_Toc30118"/>
            <w:bookmarkStart w:id="192" w:name="_Toc109473857"/>
            <w:bookmarkStart w:id="193" w:name="_Toc96031355"/>
            <w:bookmarkStart w:id="194" w:name="_Toc91493245"/>
            <w:bookmarkStart w:id="195" w:name="_Toc91532152"/>
            <w:bookmarkStart w:id="196" w:name="_Toc109473544"/>
            <w:bookmarkStart w:id="197" w:name="_Toc81415603"/>
            <w:bookmarkStart w:id="198" w:name="_Toc109473409"/>
            <w:bookmarkStart w:id="199" w:name="_Toc109473778"/>
            <w:bookmarkStart w:id="200" w:name="_Toc95464647"/>
            <w:bookmarkStart w:id="201" w:name="_Toc96935392"/>
            <w:r>
              <w:rPr>
                <w:rFonts w:hint="eastAsia" w:eastAsia="宋体"/>
                <w:sz w:val="28"/>
                <w:szCs w:val="28"/>
              </w:rPr>
              <w:t xml:space="preserve">3  </w:t>
            </w:r>
            <w:r>
              <w:rPr>
                <w:rFonts w:eastAsia="宋体"/>
                <w:sz w:val="24"/>
                <w:szCs w:val="24"/>
              </w:rPr>
              <w:t>施工组织</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6B19CB6">
            <w:pPr>
              <w:autoSpaceDE w:val="0"/>
              <w:autoSpaceDN w:val="0"/>
              <w:adjustRightInd w:val="0"/>
              <w:snapToGrid w:val="0"/>
              <w:spacing w:line="360" w:lineRule="auto"/>
              <w:ind w:firstLine="480" w:firstLineChars="200"/>
              <w:rPr>
                <w:rFonts w:hint="eastAsia" w:eastAsia="宋体"/>
                <w:color w:val="000000"/>
                <w:sz w:val="24"/>
                <w:lang w:eastAsia="zh-CN"/>
              </w:rPr>
            </w:pPr>
            <w:bookmarkStart w:id="202" w:name="_Toc109472591"/>
            <w:r>
              <w:rPr>
                <w:rFonts w:hint="eastAsia"/>
                <w:color w:val="000000"/>
                <w:sz w:val="24"/>
              </w:rPr>
              <w:t>（1）</w:t>
            </w:r>
            <w:r>
              <w:rPr>
                <w:rFonts w:hint="eastAsia"/>
                <w:color w:val="000000"/>
                <w:sz w:val="24"/>
                <w:lang w:eastAsia="zh-CN"/>
              </w:rPr>
              <w:t>港城变110千伏间隔扩建工程</w:t>
            </w:r>
          </w:p>
          <w:p w14:paraId="444D8AB4">
            <w:pPr>
              <w:autoSpaceDE w:val="0"/>
              <w:autoSpaceDN w:val="0"/>
              <w:adjustRightInd w:val="0"/>
              <w:snapToGrid w:val="0"/>
              <w:spacing w:line="360" w:lineRule="auto"/>
              <w:ind w:firstLine="480" w:firstLineChars="200"/>
              <w:rPr>
                <w:color w:val="000000"/>
                <w:sz w:val="24"/>
              </w:rPr>
            </w:pPr>
            <w:r>
              <w:rPr>
                <w:rFonts w:hint="eastAsia"/>
                <w:color w:val="000000"/>
                <w:sz w:val="24"/>
              </w:rPr>
              <w:t>施工区内的规划布置由施工单位自行决定，一般应按先地下、后地上，先深后浅，先干线、后支线的原则安排施工。</w:t>
            </w:r>
          </w:p>
          <w:p w14:paraId="320EEF68">
            <w:pPr>
              <w:autoSpaceDE w:val="0"/>
              <w:autoSpaceDN w:val="0"/>
              <w:adjustRightInd w:val="0"/>
              <w:snapToGrid w:val="0"/>
              <w:spacing w:line="360" w:lineRule="auto"/>
              <w:ind w:firstLine="480" w:firstLineChars="200"/>
              <w:rPr>
                <w:rFonts w:hint="eastAsia" w:eastAsia="宋体"/>
                <w:color w:val="000000"/>
                <w:sz w:val="24"/>
                <w:lang w:eastAsia="zh-CN"/>
              </w:rPr>
            </w:pPr>
            <w:r>
              <w:rPr>
                <w:rFonts w:hint="eastAsia"/>
                <w:color w:val="000000"/>
                <w:sz w:val="24"/>
              </w:rPr>
              <w:t>（2）</w:t>
            </w:r>
            <w:r>
              <w:rPr>
                <w:rFonts w:hint="eastAsia"/>
                <w:color w:val="000000"/>
                <w:sz w:val="24"/>
                <w:lang w:eastAsia="zh-CN"/>
              </w:rPr>
              <w:t>港城~新阳110千伏线路工程</w:t>
            </w:r>
          </w:p>
          <w:p w14:paraId="6C772ECA">
            <w:pPr>
              <w:autoSpaceDE w:val="0"/>
              <w:autoSpaceDN w:val="0"/>
              <w:adjustRightInd w:val="0"/>
              <w:snapToGrid w:val="0"/>
              <w:spacing w:line="360" w:lineRule="auto"/>
              <w:ind w:firstLine="480" w:firstLineChars="200"/>
              <w:rPr>
                <w:color w:val="000000"/>
                <w:sz w:val="24"/>
              </w:rPr>
            </w:pPr>
            <w:r>
              <w:rPr>
                <w:color w:val="000000"/>
                <w:sz w:val="24"/>
              </w:rPr>
              <w:t>施工区内的规划布置由施工单位自行决定，施工单位需结合本工程施工特点，按施工流程划分施工区域，合理安排施工场地，减少各专业和工种的相互施工干扰，为文明施工和安装创造有利条件。本工程交通运输条件较</w:t>
            </w:r>
            <w:r>
              <w:rPr>
                <w:rFonts w:hint="eastAsia"/>
                <w:color w:val="000000"/>
                <w:sz w:val="24"/>
              </w:rPr>
              <w:t>好</w:t>
            </w:r>
            <w:r>
              <w:rPr>
                <w:color w:val="000000"/>
                <w:sz w:val="24"/>
              </w:rPr>
              <w:t>，应充分利用</w:t>
            </w:r>
            <w:r>
              <w:rPr>
                <w:rFonts w:hint="eastAsia"/>
                <w:color w:val="000000"/>
                <w:sz w:val="24"/>
              </w:rPr>
              <w:t>已建道路</w:t>
            </w:r>
            <w:r>
              <w:rPr>
                <w:color w:val="000000"/>
                <w:sz w:val="24"/>
              </w:rPr>
              <w:t>，使施工</w:t>
            </w:r>
            <w:r>
              <w:rPr>
                <w:rFonts w:hint="eastAsia"/>
                <w:color w:val="000000"/>
                <w:sz w:val="24"/>
                <w:lang w:eastAsia="zh-CN"/>
              </w:rPr>
              <w:t>运输</w:t>
            </w:r>
            <w:r>
              <w:rPr>
                <w:color w:val="000000"/>
                <w:sz w:val="24"/>
              </w:rPr>
              <w:t>顺利进行</w:t>
            </w:r>
            <w:r>
              <w:rPr>
                <w:rFonts w:hint="eastAsia"/>
                <w:color w:val="000000"/>
                <w:sz w:val="24"/>
              </w:rPr>
              <w:t>。</w:t>
            </w:r>
          </w:p>
          <w:bookmarkEnd w:id="202"/>
          <w:p w14:paraId="074A3ACD">
            <w:pPr>
              <w:pStyle w:val="3"/>
              <w:spacing w:before="0" w:after="0" w:line="360" w:lineRule="auto"/>
              <w:rPr>
                <w:rFonts w:eastAsia="宋体"/>
                <w:sz w:val="24"/>
                <w:szCs w:val="24"/>
              </w:rPr>
            </w:pPr>
            <w:bookmarkStart w:id="203" w:name="_Toc11966"/>
            <w:bookmarkStart w:id="204" w:name="_Toc111564295"/>
            <w:bookmarkStart w:id="205" w:name="_Toc110439078"/>
            <w:r>
              <w:rPr>
                <w:rFonts w:hint="eastAsia" w:eastAsia="宋体"/>
                <w:sz w:val="24"/>
                <w:szCs w:val="24"/>
              </w:rPr>
              <w:t>4   施工</w:t>
            </w:r>
            <w:r>
              <w:rPr>
                <w:rFonts w:eastAsia="宋体"/>
                <w:sz w:val="24"/>
                <w:szCs w:val="24"/>
              </w:rPr>
              <w:t>时序</w:t>
            </w:r>
            <w:bookmarkEnd w:id="203"/>
            <w:bookmarkEnd w:id="204"/>
            <w:bookmarkEnd w:id="205"/>
          </w:p>
          <w:p w14:paraId="75F986AA">
            <w:pPr>
              <w:autoSpaceDE w:val="0"/>
              <w:autoSpaceDN w:val="0"/>
              <w:adjustRightInd w:val="0"/>
              <w:snapToGrid w:val="0"/>
              <w:spacing w:line="360" w:lineRule="auto"/>
              <w:ind w:firstLine="480" w:firstLineChars="200"/>
              <w:rPr>
                <w:color w:val="000000"/>
                <w:sz w:val="24"/>
                <w:highlight w:val="yellow"/>
              </w:rPr>
            </w:pPr>
            <w:r>
              <w:rPr>
                <w:rFonts w:hint="eastAsia"/>
                <w:color w:val="000000"/>
                <w:sz w:val="24"/>
              </w:rPr>
              <w:t>本工程施工时序包括施工准备、基础施工、主体施工和设备安装调试。</w:t>
            </w:r>
          </w:p>
        </w:tc>
      </w:tr>
      <w:tr w14:paraId="01390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single" w:color="auto" w:sz="8" w:space="0"/>
              <w:bottom w:val="single" w:color="auto" w:sz="8" w:space="0"/>
              <w:right w:val="single" w:color="auto" w:sz="4" w:space="0"/>
            </w:tcBorders>
            <w:vAlign w:val="center"/>
          </w:tcPr>
          <w:p w14:paraId="18111EA4">
            <w:pPr>
              <w:adjustRightInd w:val="0"/>
              <w:snapToGrid w:val="0"/>
              <w:jc w:val="center"/>
              <w:rPr>
                <w:b/>
                <w:color w:val="000000"/>
                <w:kern w:val="0"/>
                <w:sz w:val="24"/>
                <w:highlight w:val="yellow"/>
              </w:rPr>
            </w:pPr>
            <w:r>
              <w:rPr>
                <w:b/>
                <w:color w:val="000000"/>
                <w:kern w:val="0"/>
                <w:sz w:val="24"/>
              </w:rPr>
              <w:t>其他</w:t>
            </w:r>
          </w:p>
        </w:tc>
        <w:tc>
          <w:tcPr>
            <w:tcW w:w="8542" w:type="dxa"/>
            <w:tcBorders>
              <w:top w:val="single" w:color="auto" w:sz="4" w:space="0"/>
              <w:left w:val="single" w:color="auto" w:sz="4" w:space="0"/>
              <w:bottom w:val="single" w:color="auto" w:sz="8" w:space="0"/>
              <w:right w:val="single" w:color="auto" w:sz="8" w:space="0"/>
            </w:tcBorders>
            <w:vAlign w:val="center"/>
          </w:tcPr>
          <w:p w14:paraId="21B3A410">
            <w:pPr>
              <w:pStyle w:val="3"/>
              <w:numPr>
                <w:ilvl w:val="0"/>
                <w:numId w:val="8"/>
              </w:numPr>
              <w:spacing w:before="0" w:after="0" w:line="360" w:lineRule="auto"/>
              <w:rPr>
                <w:rFonts w:eastAsia="宋体"/>
                <w:sz w:val="24"/>
                <w:szCs w:val="24"/>
              </w:rPr>
            </w:pPr>
            <w:bookmarkStart w:id="206" w:name="_Toc32244"/>
            <w:bookmarkStart w:id="207" w:name="_Toc81415604"/>
            <w:bookmarkStart w:id="208" w:name="_Toc91493246"/>
            <w:bookmarkStart w:id="209" w:name="_Toc109473780"/>
            <w:bookmarkStart w:id="210" w:name="_Toc85037196"/>
            <w:bookmarkStart w:id="211" w:name="_Toc97290564"/>
            <w:bookmarkStart w:id="212" w:name="_Toc97290430"/>
            <w:bookmarkStart w:id="213" w:name="_Toc109473859"/>
            <w:bookmarkStart w:id="214" w:name="_Toc109473411"/>
            <w:bookmarkStart w:id="215" w:name="_Toc88558502"/>
            <w:bookmarkStart w:id="216" w:name="_Toc109472594"/>
            <w:bookmarkStart w:id="217" w:name="_Toc91532153"/>
            <w:bookmarkStart w:id="218" w:name="_Toc96031274"/>
            <w:bookmarkStart w:id="219" w:name="_Toc96935394"/>
            <w:bookmarkStart w:id="220" w:name="_Toc96031357"/>
            <w:bookmarkStart w:id="221" w:name="_Toc85036862"/>
            <w:bookmarkStart w:id="222" w:name="_Toc109473546"/>
            <w:bookmarkStart w:id="223" w:name="_Toc95464648"/>
            <w:bookmarkStart w:id="224" w:name="_Toc81308132"/>
            <w:bookmarkStart w:id="225" w:name="_Toc110439081"/>
            <w:bookmarkStart w:id="226" w:name="_Toc111564297"/>
            <w:r>
              <w:rPr>
                <w:rFonts w:eastAsia="宋体"/>
                <w:sz w:val="24"/>
                <w:szCs w:val="24"/>
              </w:rPr>
              <w:t>方案比选</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98C5ACF">
            <w:pPr>
              <w:autoSpaceDE w:val="0"/>
              <w:autoSpaceDN w:val="0"/>
              <w:adjustRightInd w:val="0"/>
              <w:snapToGrid w:val="0"/>
              <w:spacing w:line="360" w:lineRule="auto"/>
              <w:ind w:firstLine="480" w:firstLineChars="200"/>
              <w:rPr>
                <w:color w:val="000000"/>
              </w:rPr>
            </w:pPr>
            <w:r>
              <w:rPr>
                <w:rFonts w:hint="eastAsia"/>
                <w:color w:val="000000"/>
                <w:sz w:val="24"/>
              </w:rPr>
              <w:t>本工程不涉及《建设项目环境影响评价分类管理名录》中规定的环境敏感区，因此本环评不增加选址、选线方案比选的内容。</w:t>
            </w:r>
          </w:p>
          <w:p w14:paraId="5E7F5ACE">
            <w:pPr>
              <w:pStyle w:val="3"/>
              <w:numPr>
                <w:ilvl w:val="0"/>
                <w:numId w:val="8"/>
              </w:numPr>
              <w:spacing w:before="0" w:after="0" w:line="360" w:lineRule="auto"/>
              <w:rPr>
                <w:rFonts w:eastAsia="宋体"/>
                <w:sz w:val="24"/>
                <w:szCs w:val="24"/>
              </w:rPr>
            </w:pPr>
            <w:bookmarkStart w:id="227" w:name="_Toc110439110"/>
            <w:bookmarkEnd w:id="227"/>
            <w:bookmarkStart w:id="228" w:name="_Toc110439111"/>
            <w:bookmarkEnd w:id="228"/>
            <w:bookmarkStart w:id="229" w:name="_Toc110439109"/>
            <w:bookmarkEnd w:id="229"/>
            <w:bookmarkStart w:id="230" w:name="_Toc96935397"/>
            <w:bookmarkStart w:id="231" w:name="_Toc85036863"/>
            <w:bookmarkStart w:id="232" w:name="_Toc97290567"/>
            <w:bookmarkStart w:id="233" w:name="_Toc91532156"/>
            <w:bookmarkStart w:id="234" w:name="_Toc111564301"/>
            <w:bookmarkStart w:id="235" w:name="_Toc85037197"/>
            <w:bookmarkStart w:id="236" w:name="_Toc96031277"/>
            <w:bookmarkStart w:id="237" w:name="_Toc97290433"/>
            <w:bookmarkStart w:id="238" w:name="_Toc109473862"/>
            <w:bookmarkStart w:id="239" w:name="_Toc81308133"/>
            <w:bookmarkStart w:id="240" w:name="_Toc81415605"/>
            <w:bookmarkStart w:id="241" w:name="_Toc109473549"/>
            <w:bookmarkStart w:id="242" w:name="_Toc95464651"/>
            <w:bookmarkStart w:id="243" w:name="_Toc91493249"/>
            <w:bookmarkStart w:id="244" w:name="_Toc96031360"/>
            <w:bookmarkStart w:id="245" w:name="_Toc109472608"/>
            <w:bookmarkStart w:id="246" w:name="_Toc5433"/>
            <w:bookmarkStart w:id="247" w:name="_Toc88558503"/>
            <w:bookmarkStart w:id="248" w:name="_Toc109473783"/>
            <w:bookmarkStart w:id="249" w:name="_Toc110439134"/>
            <w:r>
              <w:rPr>
                <w:rFonts w:eastAsia="宋体"/>
                <w:sz w:val="24"/>
                <w:szCs w:val="24"/>
              </w:rPr>
              <w:t>项目进展情况及环评工作过程</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CE574F2">
            <w:pPr>
              <w:keepNext/>
              <w:autoSpaceDE w:val="0"/>
              <w:autoSpaceDN w:val="0"/>
              <w:adjustRightInd w:val="0"/>
              <w:spacing w:line="360" w:lineRule="auto"/>
              <w:ind w:firstLine="480" w:firstLineChars="200"/>
              <w:rPr>
                <w:kern w:val="0"/>
                <w:sz w:val="24"/>
              </w:rPr>
            </w:pPr>
            <w:r>
              <w:rPr>
                <w:rFonts w:hint="eastAsia"/>
                <w:kern w:val="0"/>
                <w:sz w:val="24"/>
              </w:rPr>
              <w:t>吐鲁番明嘉电力实业有限公司于202</w:t>
            </w:r>
            <w:r>
              <w:rPr>
                <w:rFonts w:hint="eastAsia"/>
                <w:kern w:val="0"/>
                <w:sz w:val="24"/>
                <w:lang w:val="en-US" w:eastAsia="zh-CN"/>
              </w:rPr>
              <w:t>5</w:t>
            </w:r>
            <w:r>
              <w:rPr>
                <w:rFonts w:hint="eastAsia"/>
                <w:kern w:val="0"/>
                <w:sz w:val="24"/>
              </w:rPr>
              <w:t>年</w:t>
            </w:r>
            <w:r>
              <w:rPr>
                <w:rFonts w:hint="eastAsia"/>
                <w:kern w:val="0"/>
                <w:sz w:val="24"/>
                <w:lang w:val="en-US" w:eastAsia="zh-CN"/>
              </w:rPr>
              <w:t>6</w:t>
            </w:r>
            <w:r>
              <w:rPr>
                <w:rFonts w:hint="eastAsia"/>
                <w:kern w:val="0"/>
                <w:sz w:val="24"/>
              </w:rPr>
              <w:t>月完成了《</w:t>
            </w:r>
            <w:r>
              <w:rPr>
                <w:rFonts w:hint="eastAsia"/>
                <w:kern w:val="0"/>
                <w:sz w:val="24"/>
                <w:lang w:eastAsia="zh-CN"/>
              </w:rPr>
              <w:t>吐鲁番市新阳新能源产业有限公司110千伏业扩配套工程</w:t>
            </w:r>
            <w:r>
              <w:rPr>
                <w:rFonts w:hint="eastAsia"/>
                <w:kern w:val="0"/>
                <w:sz w:val="24"/>
              </w:rPr>
              <w:t>可行性研究报告》（收口版）。</w:t>
            </w:r>
            <w:r>
              <w:rPr>
                <w:rFonts w:hint="eastAsia"/>
                <w:color w:val="000000"/>
                <w:sz w:val="24"/>
                <w:highlight w:val="none"/>
              </w:rPr>
              <w:t>202</w:t>
            </w:r>
            <w:r>
              <w:rPr>
                <w:rFonts w:hint="eastAsia"/>
                <w:color w:val="000000"/>
                <w:sz w:val="24"/>
                <w:highlight w:val="none"/>
                <w:lang w:val="en-US" w:eastAsia="zh-CN"/>
              </w:rPr>
              <w:t>5</w:t>
            </w:r>
            <w:r>
              <w:rPr>
                <w:rFonts w:hint="eastAsia"/>
                <w:color w:val="000000"/>
                <w:sz w:val="24"/>
                <w:highlight w:val="none"/>
              </w:rPr>
              <w:t>年</w:t>
            </w:r>
            <w:r>
              <w:rPr>
                <w:rFonts w:hint="eastAsia"/>
                <w:color w:val="000000"/>
                <w:sz w:val="24"/>
                <w:highlight w:val="none"/>
                <w:lang w:eastAsia="zh-CN"/>
              </w:rPr>
              <w:t>6</w:t>
            </w:r>
            <w:r>
              <w:rPr>
                <w:rFonts w:hint="eastAsia"/>
                <w:color w:val="000000"/>
                <w:sz w:val="24"/>
                <w:highlight w:val="none"/>
              </w:rPr>
              <w:t>月，国网</w:t>
            </w:r>
            <w:r>
              <w:rPr>
                <w:rFonts w:hint="eastAsia"/>
                <w:color w:val="000000"/>
                <w:sz w:val="24"/>
                <w:highlight w:val="none"/>
                <w:lang w:val="en-US" w:eastAsia="zh-CN"/>
              </w:rPr>
              <w:t>吐鲁番供电公司</w:t>
            </w:r>
            <w:r>
              <w:rPr>
                <w:rFonts w:hint="eastAsia"/>
                <w:color w:val="000000"/>
                <w:sz w:val="24"/>
                <w:highlight w:val="none"/>
              </w:rPr>
              <w:t>以《国网吐鲁番供电公司关于吐鲁番市中钻服装饰品有限公司110千伏业扩配套等2项工程可行性研究的批复》（新</w:t>
            </w:r>
            <w:r>
              <w:rPr>
                <w:rFonts w:hint="eastAsia"/>
                <w:color w:val="000000"/>
                <w:sz w:val="24"/>
                <w:highlight w:val="none"/>
                <w:lang w:val="en-US" w:eastAsia="zh-CN"/>
              </w:rPr>
              <w:t>吐</w:t>
            </w:r>
            <w:r>
              <w:rPr>
                <w:rFonts w:hint="eastAsia"/>
                <w:color w:val="000000"/>
                <w:sz w:val="24"/>
                <w:highlight w:val="none"/>
              </w:rPr>
              <w:t>电发〔202</w:t>
            </w:r>
            <w:r>
              <w:rPr>
                <w:rFonts w:hint="eastAsia"/>
                <w:color w:val="000000"/>
                <w:sz w:val="24"/>
                <w:highlight w:val="none"/>
                <w:lang w:eastAsia="zh-CN"/>
              </w:rPr>
              <w:t>5</w:t>
            </w:r>
            <w:r>
              <w:rPr>
                <w:rFonts w:hint="eastAsia"/>
                <w:color w:val="000000"/>
                <w:sz w:val="24"/>
                <w:highlight w:val="none"/>
              </w:rPr>
              <w:t>〕</w:t>
            </w:r>
            <w:r>
              <w:rPr>
                <w:rFonts w:hint="eastAsia"/>
                <w:color w:val="000000"/>
                <w:sz w:val="24"/>
                <w:highlight w:val="none"/>
                <w:lang w:eastAsia="zh-CN"/>
              </w:rPr>
              <w:t>8</w:t>
            </w:r>
            <w:r>
              <w:rPr>
                <w:rFonts w:hint="eastAsia"/>
                <w:color w:val="000000"/>
                <w:sz w:val="24"/>
                <w:highlight w:val="none"/>
              </w:rPr>
              <w:t>2号</w:t>
            </w:r>
            <w:r>
              <w:rPr>
                <w:color w:val="000000"/>
                <w:sz w:val="24"/>
                <w:highlight w:val="none"/>
              </w:rPr>
              <w:t>）</w:t>
            </w:r>
            <w:r>
              <w:rPr>
                <w:rFonts w:hint="eastAsia"/>
                <w:color w:val="000000"/>
                <w:sz w:val="24"/>
              </w:rPr>
              <w:t>对本工程可行性研究报告予以批复。</w:t>
            </w:r>
            <w:r>
              <w:rPr>
                <w:rFonts w:hint="eastAsia"/>
                <w:kern w:val="0"/>
                <w:sz w:val="24"/>
              </w:rPr>
              <w:t>本次环境影响评价依据该可行性研究报告开展工作。</w:t>
            </w:r>
          </w:p>
          <w:p w14:paraId="5522A7E5">
            <w:pPr>
              <w:autoSpaceDE w:val="0"/>
              <w:autoSpaceDN w:val="0"/>
              <w:adjustRightInd w:val="0"/>
              <w:snapToGrid w:val="0"/>
              <w:spacing w:line="360" w:lineRule="auto"/>
              <w:ind w:firstLine="480" w:firstLineChars="200"/>
              <w:rPr>
                <w:color w:val="000000"/>
                <w:sz w:val="24"/>
              </w:rPr>
            </w:pPr>
            <w:r>
              <w:rPr>
                <w:color w:val="000000"/>
                <w:sz w:val="24"/>
              </w:rPr>
              <w:t>受</w:t>
            </w:r>
            <w:r>
              <w:rPr>
                <w:rFonts w:hint="eastAsia"/>
                <w:color w:val="000000"/>
                <w:sz w:val="24"/>
              </w:rPr>
              <w:t>国网新疆电力有限公司吐鲁番供电公司</w:t>
            </w:r>
            <w:r>
              <w:rPr>
                <w:color w:val="000000"/>
                <w:sz w:val="24"/>
              </w:rPr>
              <w:t>委托，中国电力工程顾问集团中南电力设计院有限公司（以下称</w:t>
            </w:r>
            <w:r>
              <w:rPr>
                <w:rFonts w:hint="eastAsia"/>
                <w:color w:val="000000"/>
                <w:sz w:val="24"/>
              </w:rPr>
              <w:t>“</w:t>
            </w:r>
            <w:r>
              <w:rPr>
                <w:color w:val="000000"/>
                <w:sz w:val="24"/>
              </w:rPr>
              <w:t>我公司</w:t>
            </w:r>
            <w:r>
              <w:rPr>
                <w:rFonts w:hint="eastAsia"/>
                <w:color w:val="000000"/>
                <w:sz w:val="24"/>
              </w:rPr>
              <w:t>”</w:t>
            </w:r>
            <w:r>
              <w:rPr>
                <w:color w:val="000000"/>
                <w:sz w:val="24"/>
              </w:rPr>
              <w:t>）承担本工程的环境影响评价工作。接受委托后，我公司对工程所在区域进行了实地踏勘、调查，收集了自然环境有关资料，并委托武汉中电工程检测有限公司进行了电磁环境及声环境的现状监测。在现场踏勘、调查和现状监测的基础上，结合本工程特点及实际情况，根据相关的技术导则要求，进行了环境影响预测及评价，制定了环境保护措施。在上述工作的基础上，</w:t>
            </w:r>
            <w:r>
              <w:rPr>
                <w:rFonts w:hint="eastAsia"/>
                <w:color w:val="000000"/>
                <w:sz w:val="24"/>
                <w:lang w:val="en-US" w:eastAsia="zh-CN"/>
              </w:rPr>
              <w:t>我公司</w:t>
            </w:r>
            <w:r>
              <w:rPr>
                <w:color w:val="000000"/>
                <w:sz w:val="24"/>
              </w:rPr>
              <w:t>编制了《</w:t>
            </w:r>
            <w:r>
              <w:rPr>
                <w:rFonts w:hint="eastAsia"/>
                <w:kern w:val="0"/>
                <w:sz w:val="24"/>
                <w:lang w:eastAsia="zh-CN"/>
              </w:rPr>
              <w:t>吐鲁番市新阳新能源产业有限公司110千伏业扩配套工程</w:t>
            </w:r>
            <w:r>
              <w:rPr>
                <w:color w:val="000000"/>
                <w:sz w:val="24"/>
              </w:rPr>
              <w:t>环境影响报告表》。</w:t>
            </w:r>
          </w:p>
        </w:tc>
      </w:tr>
    </w:tbl>
    <w:p w14:paraId="65C8F596">
      <w:pPr>
        <w:pStyle w:val="31"/>
        <w:jc w:val="center"/>
        <w:outlineLvl w:val="0"/>
        <w:rPr>
          <w:rFonts w:ascii="Times New Roman" w:hAnsi="Times New Roman"/>
          <w:b/>
          <w:bCs/>
          <w:snapToGrid w:val="0"/>
          <w:color w:val="000000"/>
          <w:sz w:val="32"/>
          <w:szCs w:val="32"/>
          <w:highlight w:val="yellow"/>
        </w:rPr>
      </w:pPr>
      <w:r>
        <w:rPr>
          <w:rFonts w:ascii="Times New Roman" w:hAnsi="Times New Roman"/>
          <w:b/>
          <w:bCs/>
          <w:color w:val="000000"/>
          <w:highlight w:val="yellow"/>
        </w:rPr>
        <w:br w:type="page"/>
      </w:r>
      <w:bookmarkStart w:id="250" w:name="_Toc111564302"/>
      <w:bookmarkStart w:id="251" w:name="_Toc97290434"/>
      <w:bookmarkStart w:id="252" w:name="_Toc10507"/>
      <w:r>
        <w:rPr>
          <w:rFonts w:ascii="Times New Roman" w:hAnsi="Times New Roman"/>
          <w:b/>
          <w:bCs/>
          <w:snapToGrid w:val="0"/>
          <w:color w:val="000000"/>
          <w:sz w:val="32"/>
          <w:szCs w:val="32"/>
        </w:rPr>
        <w:t>三、生态环境现状、保护目标及评价标准</w:t>
      </w:r>
      <w:bookmarkEnd w:id="250"/>
      <w:bookmarkEnd w:id="251"/>
      <w:bookmarkEnd w:id="252"/>
    </w:p>
    <w:tbl>
      <w:tblPr>
        <w:tblStyle w:val="34"/>
        <w:tblW w:w="87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316"/>
      </w:tblGrid>
      <w:tr w14:paraId="177EA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57" w:type="dxa"/>
            <w:vAlign w:val="center"/>
          </w:tcPr>
          <w:p w14:paraId="5B807E22">
            <w:pPr>
              <w:adjustRightInd w:val="0"/>
              <w:snapToGrid w:val="0"/>
              <w:jc w:val="center"/>
              <w:rPr>
                <w:b/>
                <w:color w:val="000000"/>
                <w:kern w:val="0"/>
                <w:szCs w:val="21"/>
                <w:highlight w:val="yellow"/>
              </w:rPr>
            </w:pPr>
            <w:r>
              <w:rPr>
                <w:b/>
                <w:color w:val="000000"/>
                <w:kern w:val="0"/>
                <w:sz w:val="24"/>
              </w:rPr>
              <w:t>生态环境现状</w:t>
            </w:r>
          </w:p>
        </w:tc>
        <w:tc>
          <w:tcPr>
            <w:tcW w:w="8316" w:type="dxa"/>
            <w:vAlign w:val="center"/>
          </w:tcPr>
          <w:p w14:paraId="63309095">
            <w:pPr>
              <w:pStyle w:val="3"/>
              <w:numPr>
                <w:ilvl w:val="0"/>
                <w:numId w:val="9"/>
              </w:numPr>
              <w:spacing w:before="0" w:after="0" w:line="360" w:lineRule="auto"/>
              <w:rPr>
                <w:rFonts w:eastAsia="宋体"/>
                <w:sz w:val="24"/>
                <w:szCs w:val="24"/>
              </w:rPr>
            </w:pPr>
            <w:bookmarkStart w:id="253" w:name="_Toc96935399"/>
            <w:bookmarkStart w:id="254" w:name="_Toc97290435"/>
            <w:bookmarkStart w:id="255" w:name="_Toc110439136"/>
            <w:bookmarkStart w:id="256" w:name="_Toc88558505"/>
            <w:bookmarkStart w:id="257" w:name="_Toc91532158"/>
            <w:bookmarkStart w:id="258" w:name="_Toc26743"/>
            <w:bookmarkStart w:id="259" w:name="_Toc85037199"/>
            <w:bookmarkStart w:id="260" w:name="_Toc109473864"/>
            <w:bookmarkStart w:id="261" w:name="_Toc111564303"/>
            <w:bookmarkStart w:id="262" w:name="_Toc81415607"/>
            <w:bookmarkStart w:id="263" w:name="_Toc12066"/>
            <w:bookmarkStart w:id="264" w:name="_Toc97290569"/>
            <w:bookmarkStart w:id="265" w:name="_Toc109473785"/>
            <w:bookmarkStart w:id="266" w:name="_Toc85036865"/>
            <w:bookmarkStart w:id="267" w:name="_Toc109472612"/>
            <w:bookmarkStart w:id="268" w:name="_Toc96031279"/>
            <w:bookmarkStart w:id="269" w:name="_Toc91493251"/>
            <w:bookmarkStart w:id="270" w:name="_Toc81308135"/>
            <w:bookmarkStart w:id="271" w:name="_Toc95464653"/>
            <w:bookmarkStart w:id="272" w:name="_Toc109473551"/>
            <w:bookmarkStart w:id="273" w:name="_Toc96031362"/>
            <w:r>
              <w:rPr>
                <w:rFonts w:eastAsia="宋体"/>
                <w:sz w:val="24"/>
                <w:szCs w:val="24"/>
              </w:rPr>
              <w:t>主体功能区规划和生态功能区划情况</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4A3EE85">
            <w:pPr>
              <w:pStyle w:val="11"/>
              <w:numPr>
                <w:ilvl w:val="0"/>
                <w:numId w:val="10"/>
              </w:numPr>
              <w:spacing w:before="50" w:after="50"/>
              <w:ind w:firstLineChars="0"/>
              <w:rPr>
                <w:b/>
                <w:color w:val="000000"/>
                <w:szCs w:val="24"/>
              </w:rPr>
            </w:pPr>
            <w:r>
              <w:rPr>
                <w:b/>
                <w:color w:val="000000"/>
                <w:szCs w:val="24"/>
              </w:rPr>
              <w:t>主体功能区规划</w:t>
            </w:r>
          </w:p>
          <w:p w14:paraId="60B67A6E">
            <w:pPr>
              <w:autoSpaceDE w:val="0"/>
              <w:autoSpaceDN w:val="0"/>
              <w:adjustRightInd w:val="0"/>
              <w:snapToGrid w:val="0"/>
              <w:spacing w:line="360" w:lineRule="auto"/>
              <w:ind w:firstLine="480" w:firstLineChars="200"/>
              <w:rPr>
                <w:color w:val="000000"/>
                <w:sz w:val="24"/>
              </w:rPr>
            </w:pPr>
            <w:r>
              <w:rPr>
                <w:rFonts w:hint="eastAsia"/>
                <w:color w:val="000000"/>
                <w:sz w:val="24"/>
              </w:rPr>
              <w:t>根据《新疆维吾尔自治区主体功能区规划》，新疆国土空间划分为重点开发、限制开发和禁止开发区域；按开发内容，分为城市化地区、农产品主产区和重点生态功能区；按层级，分为国家级和自治区两个层面。本工程</w:t>
            </w:r>
            <w:r>
              <w:rPr>
                <w:rFonts w:hint="eastAsia"/>
                <w:color w:val="000000"/>
                <w:sz w:val="24"/>
                <w:lang w:val="en-US" w:eastAsia="zh-CN"/>
              </w:rPr>
              <w:t>位于吐鲁番市高昌区</w:t>
            </w:r>
            <w:r>
              <w:rPr>
                <w:rFonts w:hint="eastAsia"/>
                <w:color w:val="000000"/>
                <w:sz w:val="24"/>
              </w:rPr>
              <w:t>，所在区域不属于国家级、自治区级禁止开发区域，属于《新疆维吾尔自治区主体功能区规划》中划定的国家级农产品主产区，为限制开发区域。</w:t>
            </w:r>
            <w:r>
              <w:rPr>
                <w:color w:val="000000"/>
                <w:sz w:val="24"/>
              </w:rPr>
              <w:t>本工程与主体功能区规划相符性分析见</w:t>
            </w:r>
            <w:r>
              <w:rPr>
                <w:color w:val="000000"/>
                <w:sz w:val="24"/>
              </w:rPr>
              <w:fldChar w:fldCharType="begin"/>
            </w:r>
            <w:r>
              <w:rPr>
                <w:color w:val="000000"/>
                <w:sz w:val="24"/>
              </w:rPr>
              <w:instrText xml:space="preserve"> REF _Ref183092076 \h  \* MERGEFORMAT </w:instrText>
            </w:r>
            <w:r>
              <w:rPr>
                <w:color w:val="000000"/>
                <w:sz w:val="24"/>
              </w:rPr>
              <w:fldChar w:fldCharType="separate"/>
            </w:r>
            <w:r>
              <w:rPr>
                <w:rFonts w:hint="eastAsia"/>
                <w:color w:val="000000"/>
                <w:sz w:val="24"/>
              </w:rPr>
              <w:t xml:space="preserve">表 </w:t>
            </w:r>
            <w:r>
              <w:rPr>
                <w:rFonts w:hint="default"/>
                <w:color w:val="000000"/>
                <w:sz w:val="24"/>
              </w:rPr>
              <w:t>11</w:t>
            </w:r>
            <w:r>
              <w:rPr>
                <w:color w:val="000000"/>
                <w:sz w:val="24"/>
              </w:rPr>
              <w:fldChar w:fldCharType="end"/>
            </w:r>
            <w:r>
              <w:rPr>
                <w:color w:val="000000"/>
                <w:sz w:val="24"/>
              </w:rPr>
              <w:t>。</w:t>
            </w:r>
          </w:p>
          <w:p w14:paraId="548DF859">
            <w:pPr>
              <w:pStyle w:val="9"/>
              <w:rPr>
                <w:color w:val="000000"/>
                <w:sz w:val="24"/>
              </w:rPr>
            </w:pPr>
            <w:bookmarkStart w:id="274" w:name="_Ref183092076"/>
            <w:r>
              <w:rPr>
                <w:rFonts w:hint="eastAsia"/>
                <w:b/>
                <w:bCs/>
                <w:color w:val="000000"/>
                <w:szCs w:val="16"/>
              </w:rPr>
              <w:t xml:space="preserve">表 </w:t>
            </w:r>
            <w:r>
              <w:rPr>
                <w:rFonts w:hint="default" w:ascii="Times New Roman" w:hAnsi="Times New Roman" w:cs="Times New Roman"/>
                <w:b/>
                <w:bCs/>
                <w:color w:val="000000"/>
                <w:szCs w:val="16"/>
              </w:rPr>
              <w:fldChar w:fldCharType="begin"/>
            </w:r>
            <w:r>
              <w:rPr>
                <w:rFonts w:hint="default" w:ascii="Times New Roman" w:hAnsi="Times New Roman" w:cs="Times New Roman"/>
                <w:b/>
                <w:bCs/>
                <w:color w:val="000000"/>
                <w:szCs w:val="16"/>
              </w:rPr>
              <w:instrText xml:space="preserve"> SEQ 表 \* ARABIC </w:instrText>
            </w:r>
            <w:r>
              <w:rPr>
                <w:rFonts w:hint="default" w:ascii="Times New Roman" w:hAnsi="Times New Roman" w:cs="Times New Roman"/>
                <w:b/>
                <w:bCs/>
                <w:color w:val="000000"/>
                <w:szCs w:val="16"/>
              </w:rPr>
              <w:fldChar w:fldCharType="separate"/>
            </w:r>
            <w:r>
              <w:rPr>
                <w:rFonts w:hint="default" w:ascii="Times New Roman" w:hAnsi="Times New Roman" w:cs="Times New Roman"/>
                <w:b/>
                <w:bCs/>
                <w:color w:val="000000"/>
                <w:szCs w:val="16"/>
              </w:rPr>
              <w:t>11</w:t>
            </w:r>
            <w:r>
              <w:rPr>
                <w:rFonts w:hint="default" w:ascii="Times New Roman" w:hAnsi="Times New Roman" w:cs="Times New Roman"/>
                <w:b/>
                <w:bCs/>
                <w:color w:val="000000"/>
                <w:szCs w:val="16"/>
              </w:rPr>
              <w:fldChar w:fldCharType="end"/>
            </w:r>
            <w:bookmarkEnd w:id="274"/>
            <w:r>
              <w:rPr>
                <w:rFonts w:hint="eastAsia"/>
                <w:b/>
                <w:bCs/>
                <w:color w:val="000000"/>
                <w:szCs w:val="16"/>
              </w:rPr>
              <w:t xml:space="preserve">                   </w:t>
            </w:r>
            <w:r>
              <w:rPr>
                <w:b/>
                <w:bCs/>
                <w:color w:val="000000"/>
                <w:szCs w:val="16"/>
              </w:rPr>
              <w:t>本工程与主体功能区规划相符性分析</w:t>
            </w:r>
          </w:p>
          <w:tbl>
            <w:tblPr>
              <w:tblStyle w:val="34"/>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2208"/>
              <w:gridCol w:w="1312"/>
            </w:tblGrid>
            <w:tr w14:paraId="0297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834" w:type="pct"/>
                  <w:vAlign w:val="center"/>
                </w:tcPr>
                <w:p w14:paraId="0A614D6B">
                  <w:pPr>
                    <w:pStyle w:val="11"/>
                    <w:spacing w:line="240" w:lineRule="auto"/>
                    <w:ind w:firstLine="0" w:firstLineChars="0"/>
                    <w:jc w:val="center"/>
                    <w:rPr>
                      <w:b/>
                      <w:color w:val="000000"/>
                      <w:sz w:val="21"/>
                      <w:szCs w:val="21"/>
                    </w:rPr>
                  </w:pPr>
                  <w:r>
                    <w:rPr>
                      <w:b/>
                      <w:color w:val="000000"/>
                      <w:sz w:val="21"/>
                      <w:szCs w:val="21"/>
                    </w:rPr>
                    <w:t>限制开发区域（</w:t>
                  </w:r>
                  <w:r>
                    <w:rPr>
                      <w:rFonts w:hint="eastAsia"/>
                      <w:b/>
                      <w:color w:val="000000"/>
                      <w:sz w:val="21"/>
                      <w:szCs w:val="21"/>
                    </w:rPr>
                    <w:t>农产品主产区</w:t>
                  </w:r>
                  <w:r>
                    <w:rPr>
                      <w:b/>
                      <w:color w:val="000000"/>
                      <w:sz w:val="21"/>
                      <w:szCs w:val="21"/>
                    </w:rPr>
                    <w:t>）开发原则</w:t>
                  </w:r>
                </w:p>
              </w:tc>
              <w:tc>
                <w:tcPr>
                  <w:tcW w:w="1358" w:type="pct"/>
                  <w:vAlign w:val="center"/>
                </w:tcPr>
                <w:p w14:paraId="0D5C0536">
                  <w:pPr>
                    <w:pStyle w:val="11"/>
                    <w:spacing w:line="240" w:lineRule="auto"/>
                    <w:ind w:firstLine="0" w:firstLineChars="0"/>
                    <w:jc w:val="center"/>
                    <w:rPr>
                      <w:b/>
                      <w:color w:val="000000"/>
                      <w:sz w:val="21"/>
                      <w:szCs w:val="21"/>
                    </w:rPr>
                  </w:pPr>
                  <w:r>
                    <w:rPr>
                      <w:b/>
                      <w:color w:val="000000"/>
                      <w:sz w:val="21"/>
                      <w:szCs w:val="21"/>
                    </w:rPr>
                    <w:t>本工程建设情况</w:t>
                  </w:r>
                </w:p>
              </w:tc>
              <w:tc>
                <w:tcPr>
                  <w:tcW w:w="807" w:type="pct"/>
                  <w:vAlign w:val="center"/>
                </w:tcPr>
                <w:p w14:paraId="1FBD696D">
                  <w:pPr>
                    <w:pStyle w:val="11"/>
                    <w:spacing w:line="240" w:lineRule="auto"/>
                    <w:ind w:firstLine="0" w:firstLineChars="0"/>
                    <w:jc w:val="center"/>
                    <w:rPr>
                      <w:b/>
                      <w:color w:val="000000"/>
                      <w:sz w:val="21"/>
                      <w:szCs w:val="21"/>
                    </w:rPr>
                  </w:pPr>
                  <w:r>
                    <w:rPr>
                      <w:b/>
                      <w:color w:val="000000"/>
                      <w:sz w:val="21"/>
                      <w:szCs w:val="21"/>
                    </w:rPr>
                    <w:t>相符性分析</w:t>
                  </w:r>
                </w:p>
              </w:tc>
            </w:tr>
            <w:tr w14:paraId="6307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0D66B178">
                  <w:pPr>
                    <w:pStyle w:val="11"/>
                    <w:spacing w:line="240" w:lineRule="auto"/>
                    <w:ind w:firstLine="0" w:firstLineChars="0"/>
                    <w:jc w:val="both"/>
                    <w:rPr>
                      <w:color w:val="000000"/>
                      <w:sz w:val="21"/>
                      <w:szCs w:val="21"/>
                    </w:rPr>
                  </w:pPr>
                  <w:r>
                    <w:rPr>
                      <w:rFonts w:hint="eastAsia"/>
                      <w:color w:val="000000"/>
                      <w:sz w:val="21"/>
                      <w:szCs w:val="21"/>
                    </w:rPr>
                    <w:t>加强土地整治，搞好规划，统筹安排、连片推进，加快中低产田改造，鼓励农民开展土壤改良。</w:t>
                  </w:r>
                </w:p>
              </w:tc>
              <w:tc>
                <w:tcPr>
                  <w:tcW w:w="1358" w:type="pct"/>
                  <w:vAlign w:val="center"/>
                </w:tcPr>
                <w:p w14:paraId="3BA87FDE">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1B36E951">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36B4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79FED503">
                  <w:pPr>
                    <w:pStyle w:val="11"/>
                    <w:spacing w:line="240" w:lineRule="auto"/>
                    <w:ind w:firstLine="0" w:firstLineChars="0"/>
                    <w:jc w:val="both"/>
                    <w:rPr>
                      <w:color w:val="000000"/>
                      <w:sz w:val="21"/>
                      <w:szCs w:val="21"/>
                    </w:rPr>
                  </w:pPr>
                  <w:r>
                    <w:rPr>
                      <w:rFonts w:hint="eastAsia"/>
                      <w:color w:val="000000"/>
                      <w:sz w:val="21"/>
                      <w:szCs w:val="21"/>
                    </w:rPr>
                    <w:t>加强水利设施建设，加快水源工程、大中型灌区配套和节水改造工程建设。</w:t>
                  </w:r>
                </w:p>
              </w:tc>
              <w:tc>
                <w:tcPr>
                  <w:tcW w:w="1358" w:type="pct"/>
                  <w:vAlign w:val="center"/>
                </w:tcPr>
                <w:p w14:paraId="302D8A46">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340E53A4">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085E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3D4F972A">
                  <w:pPr>
                    <w:pStyle w:val="11"/>
                    <w:spacing w:line="240" w:lineRule="auto"/>
                    <w:ind w:firstLine="0" w:firstLineChars="0"/>
                    <w:jc w:val="center"/>
                    <w:rPr>
                      <w:color w:val="000000"/>
                      <w:sz w:val="21"/>
                      <w:szCs w:val="21"/>
                    </w:rPr>
                  </w:pPr>
                  <w:r>
                    <w:rPr>
                      <w:rFonts w:hint="eastAsia"/>
                      <w:color w:val="000000"/>
                      <w:sz w:val="21"/>
                      <w:szCs w:val="21"/>
                    </w:rPr>
                    <w:t>加强人工影响天气能力建设。</w:t>
                  </w:r>
                </w:p>
              </w:tc>
              <w:tc>
                <w:tcPr>
                  <w:tcW w:w="1358" w:type="pct"/>
                  <w:vAlign w:val="center"/>
                </w:tcPr>
                <w:p w14:paraId="4953E7A2">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5AAD2322">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6403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0C231C18">
                  <w:pPr>
                    <w:pStyle w:val="11"/>
                    <w:spacing w:line="240" w:lineRule="auto"/>
                    <w:ind w:firstLine="0" w:firstLineChars="0"/>
                    <w:jc w:val="both"/>
                    <w:rPr>
                      <w:color w:val="000000"/>
                      <w:sz w:val="21"/>
                      <w:szCs w:val="21"/>
                    </w:rPr>
                  </w:pPr>
                  <w:r>
                    <w:rPr>
                      <w:rFonts w:hint="eastAsia"/>
                      <w:color w:val="000000"/>
                      <w:sz w:val="21"/>
                      <w:szCs w:val="21"/>
                    </w:rPr>
                    <w:t>优化农牧业生产布局和品种结构，搞好农牧业布局规划，科学确定各区域农牧业发展重点，形成优势突出和特色鲜明的农牧业产业带和生产区。</w:t>
                  </w:r>
                </w:p>
              </w:tc>
              <w:tc>
                <w:tcPr>
                  <w:tcW w:w="1358" w:type="pct"/>
                  <w:vAlign w:val="center"/>
                </w:tcPr>
                <w:p w14:paraId="55A89134">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0A9A508F">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428E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1917A6EB">
                  <w:pPr>
                    <w:pStyle w:val="11"/>
                    <w:spacing w:line="240" w:lineRule="auto"/>
                    <w:ind w:firstLine="0" w:firstLineChars="0"/>
                    <w:jc w:val="both"/>
                    <w:rPr>
                      <w:color w:val="000000"/>
                      <w:sz w:val="21"/>
                      <w:szCs w:val="21"/>
                    </w:rPr>
                  </w:pPr>
                  <w:r>
                    <w:rPr>
                      <w:rFonts w:hint="eastAsia"/>
                      <w:color w:val="000000"/>
                      <w:sz w:val="21"/>
                      <w:szCs w:val="21"/>
                    </w:rPr>
                    <w:t>支持优势农产品主产区农产品加工、流通、储运设施的建设，引导农牧产品加工、流通、储运企业向优势产区聚集。</w:t>
                  </w:r>
                </w:p>
              </w:tc>
              <w:tc>
                <w:tcPr>
                  <w:tcW w:w="1358" w:type="pct"/>
                  <w:vAlign w:val="center"/>
                </w:tcPr>
                <w:p w14:paraId="2891DA90">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3B773E3E">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63AC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0947E799">
                  <w:pPr>
                    <w:pStyle w:val="11"/>
                    <w:spacing w:line="240" w:lineRule="auto"/>
                    <w:ind w:firstLine="0" w:firstLineChars="0"/>
                    <w:jc w:val="both"/>
                    <w:rPr>
                      <w:color w:val="000000"/>
                      <w:sz w:val="21"/>
                      <w:szCs w:val="21"/>
                    </w:rPr>
                  </w:pPr>
                  <w:r>
                    <w:rPr>
                      <w:rFonts w:hint="eastAsia"/>
                      <w:color w:val="000000"/>
                      <w:sz w:val="21"/>
                      <w:szCs w:val="21"/>
                    </w:rPr>
                    <w:t>粮食主产区要进一步提高粮食生产能力，在保护生态前提下，集中力量在基础条件好的地区加大标准化粮田建设力度，形成稳定的粮食生产供应能力，建设国家粮食安全后备基地。</w:t>
                  </w:r>
                </w:p>
              </w:tc>
              <w:tc>
                <w:tcPr>
                  <w:tcW w:w="1358" w:type="pct"/>
                  <w:vAlign w:val="center"/>
                </w:tcPr>
                <w:p w14:paraId="02A7CC9E">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79F6D3C8">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5C8C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343CCFF7">
                  <w:pPr>
                    <w:pStyle w:val="11"/>
                    <w:spacing w:line="240" w:lineRule="auto"/>
                    <w:ind w:firstLine="0" w:firstLineChars="0"/>
                    <w:jc w:val="both"/>
                    <w:rPr>
                      <w:color w:val="000000"/>
                      <w:sz w:val="21"/>
                      <w:szCs w:val="21"/>
                    </w:rPr>
                  </w:pPr>
                  <w:r>
                    <w:rPr>
                      <w:rFonts w:hint="eastAsia"/>
                      <w:color w:val="000000"/>
                      <w:sz w:val="21"/>
                      <w:szCs w:val="21"/>
                    </w:rPr>
                    <w:t>大力发展棉花、油料和糖类生产，鼓励发挥优势，着力提高品质和单产，积极开展高标准节水灌溉、全机械化等工程建设。</w:t>
                  </w:r>
                </w:p>
              </w:tc>
              <w:tc>
                <w:tcPr>
                  <w:tcW w:w="1358" w:type="pct"/>
                  <w:vAlign w:val="center"/>
                </w:tcPr>
                <w:p w14:paraId="440923DC">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3D5749E2">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4471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1E63B581">
                  <w:pPr>
                    <w:pStyle w:val="11"/>
                    <w:spacing w:line="240" w:lineRule="auto"/>
                    <w:ind w:firstLine="0" w:firstLineChars="0"/>
                    <w:jc w:val="both"/>
                    <w:rPr>
                      <w:color w:val="000000"/>
                      <w:sz w:val="21"/>
                      <w:szCs w:val="21"/>
                    </w:rPr>
                  </w:pPr>
                  <w:r>
                    <w:rPr>
                      <w:rFonts w:hint="eastAsia"/>
                      <w:color w:val="000000"/>
                      <w:sz w:val="21"/>
                      <w:szCs w:val="21"/>
                    </w:rPr>
                    <w:t>加强草原保护与建设，建立和完善草原保护制度，提高草原生产能力，转变草原畜牧业经营方式，强化草原监督管理和监测预警工作。</w:t>
                  </w:r>
                </w:p>
              </w:tc>
              <w:tc>
                <w:tcPr>
                  <w:tcW w:w="1358" w:type="pct"/>
                  <w:vAlign w:val="center"/>
                </w:tcPr>
                <w:p w14:paraId="6FBB0BB1">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599D48E7">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582C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41548EC1">
                  <w:pPr>
                    <w:pStyle w:val="11"/>
                    <w:spacing w:line="240" w:lineRule="auto"/>
                    <w:ind w:firstLine="0" w:firstLineChars="0"/>
                    <w:jc w:val="both"/>
                    <w:rPr>
                      <w:color w:val="000000"/>
                      <w:sz w:val="21"/>
                      <w:szCs w:val="21"/>
                    </w:rPr>
                  </w:pPr>
                  <w:r>
                    <w:rPr>
                      <w:rFonts w:hint="eastAsia"/>
                      <w:color w:val="000000"/>
                      <w:sz w:val="21"/>
                      <w:szCs w:val="21"/>
                    </w:rPr>
                    <w:t>优化开发方式，发展循环农业，促进农业资源的永续利用，鼓励和支持农牧产品加工副产物的综合利用，加强农业面源污染防治。</w:t>
                  </w:r>
                </w:p>
              </w:tc>
              <w:tc>
                <w:tcPr>
                  <w:tcW w:w="1358" w:type="pct"/>
                  <w:vAlign w:val="center"/>
                </w:tcPr>
                <w:p w14:paraId="57472DE6">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49D9454D">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38E7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3CD47CF7">
                  <w:pPr>
                    <w:pStyle w:val="11"/>
                    <w:spacing w:line="240" w:lineRule="auto"/>
                    <w:ind w:firstLine="0" w:firstLineChars="0"/>
                    <w:jc w:val="center"/>
                    <w:rPr>
                      <w:color w:val="000000"/>
                      <w:sz w:val="21"/>
                      <w:szCs w:val="21"/>
                    </w:rPr>
                  </w:pPr>
                  <w:r>
                    <w:rPr>
                      <w:rFonts w:hint="eastAsia"/>
                      <w:color w:val="000000"/>
                      <w:sz w:val="21"/>
                      <w:szCs w:val="21"/>
                    </w:rPr>
                    <w:t>加强农业基础设施建设，改善农业生产条件。</w:t>
                  </w:r>
                </w:p>
              </w:tc>
              <w:tc>
                <w:tcPr>
                  <w:tcW w:w="1358" w:type="pct"/>
                  <w:vAlign w:val="center"/>
                </w:tcPr>
                <w:p w14:paraId="749C39C9">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16890D48">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2CCB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1E3BD3F4">
                  <w:pPr>
                    <w:pStyle w:val="11"/>
                    <w:spacing w:line="240" w:lineRule="auto"/>
                    <w:ind w:firstLine="0" w:firstLineChars="0"/>
                    <w:jc w:val="both"/>
                    <w:rPr>
                      <w:color w:val="000000"/>
                      <w:sz w:val="21"/>
                      <w:szCs w:val="21"/>
                    </w:rPr>
                  </w:pPr>
                  <w:r>
                    <w:rPr>
                      <w:rFonts w:hint="eastAsia"/>
                      <w:color w:val="000000"/>
                      <w:sz w:val="21"/>
                      <w:szCs w:val="21"/>
                    </w:rPr>
                    <w:t>积极推进农业的规模化、产业化经营，发展农产品深加工，拓展农村就业和增收领域。</w:t>
                  </w:r>
                </w:p>
              </w:tc>
              <w:tc>
                <w:tcPr>
                  <w:tcW w:w="1358" w:type="pct"/>
                  <w:vAlign w:val="center"/>
                </w:tcPr>
                <w:p w14:paraId="634C03B0">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14:paraId="6EAE3B2D">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2C39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0DA447B0">
                  <w:pPr>
                    <w:pStyle w:val="11"/>
                    <w:spacing w:line="240" w:lineRule="auto"/>
                    <w:ind w:firstLine="0" w:firstLineChars="0"/>
                    <w:jc w:val="both"/>
                    <w:rPr>
                      <w:color w:val="000000"/>
                      <w:sz w:val="21"/>
                      <w:szCs w:val="21"/>
                    </w:rPr>
                  </w:pPr>
                  <w:r>
                    <w:rPr>
                      <w:rFonts w:hint="eastAsia"/>
                      <w:color w:val="000000"/>
                      <w:sz w:val="21"/>
                      <w:szCs w:val="21"/>
                    </w:rPr>
                    <w:t>以县域为重点推进城镇建设和非农产业发展，加强县城和乡镇公共服务设施建设，完善小城镇公共服务和居住功能。</w:t>
                  </w:r>
                </w:p>
              </w:tc>
              <w:tc>
                <w:tcPr>
                  <w:tcW w:w="1358" w:type="pct"/>
                  <w:vAlign w:val="center"/>
                </w:tcPr>
                <w:p w14:paraId="290C44F5">
                  <w:pPr>
                    <w:pStyle w:val="11"/>
                    <w:spacing w:line="240" w:lineRule="auto"/>
                    <w:ind w:firstLine="0" w:firstLineChars="0"/>
                    <w:jc w:val="both"/>
                    <w:rPr>
                      <w:color w:val="000000"/>
                      <w:sz w:val="21"/>
                      <w:szCs w:val="21"/>
                    </w:rPr>
                  </w:pPr>
                  <w:r>
                    <w:rPr>
                      <w:rFonts w:hint="eastAsia"/>
                      <w:color w:val="000000"/>
                      <w:sz w:val="21"/>
                      <w:szCs w:val="21"/>
                    </w:rPr>
                    <w:t>本工程为输变电工程，为基础设施项目，</w:t>
                  </w:r>
                  <w:r>
                    <w:rPr>
                      <w:color w:val="000000"/>
                      <w:sz w:val="21"/>
                      <w:szCs w:val="21"/>
                    </w:rPr>
                    <w:t>项目实施后可以提高区域电网供应能力</w:t>
                  </w:r>
                  <w:r>
                    <w:rPr>
                      <w:rFonts w:hint="eastAsia"/>
                      <w:color w:val="000000"/>
                      <w:sz w:val="21"/>
                      <w:szCs w:val="21"/>
                    </w:rPr>
                    <w:t>，</w:t>
                  </w:r>
                  <w:r>
                    <w:rPr>
                      <w:color w:val="000000"/>
                      <w:sz w:val="21"/>
                      <w:szCs w:val="21"/>
                    </w:rPr>
                    <w:t>保障供电可靠性和稳定性</w:t>
                  </w:r>
                  <w:r>
                    <w:rPr>
                      <w:rFonts w:hint="eastAsia"/>
                      <w:color w:val="000000"/>
                      <w:sz w:val="21"/>
                      <w:szCs w:val="21"/>
                    </w:rPr>
                    <w:t>，</w:t>
                  </w:r>
                  <w:r>
                    <w:rPr>
                      <w:color w:val="000000"/>
                      <w:sz w:val="21"/>
                      <w:szCs w:val="21"/>
                    </w:rPr>
                    <w:t>提高公共服务供给能力。</w:t>
                  </w:r>
                </w:p>
              </w:tc>
              <w:tc>
                <w:tcPr>
                  <w:tcW w:w="807" w:type="pct"/>
                  <w:vAlign w:val="center"/>
                </w:tcPr>
                <w:p w14:paraId="158FCF56">
                  <w:pPr>
                    <w:pStyle w:val="11"/>
                    <w:spacing w:line="240" w:lineRule="auto"/>
                    <w:ind w:firstLine="0" w:firstLineChars="0"/>
                    <w:jc w:val="center"/>
                    <w:rPr>
                      <w:color w:val="000000"/>
                      <w:sz w:val="21"/>
                      <w:szCs w:val="21"/>
                    </w:rPr>
                  </w:pPr>
                  <w:r>
                    <w:rPr>
                      <w:color w:val="000000"/>
                      <w:sz w:val="21"/>
                      <w:szCs w:val="21"/>
                    </w:rPr>
                    <w:t>相符</w:t>
                  </w:r>
                </w:p>
              </w:tc>
            </w:tr>
            <w:tr w14:paraId="0AF3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3B7B3276">
                  <w:pPr>
                    <w:pStyle w:val="11"/>
                    <w:spacing w:line="240" w:lineRule="auto"/>
                    <w:ind w:firstLine="0" w:firstLineChars="0"/>
                    <w:jc w:val="both"/>
                    <w:rPr>
                      <w:color w:val="000000"/>
                      <w:sz w:val="21"/>
                      <w:szCs w:val="21"/>
                    </w:rPr>
                  </w:pPr>
                  <w:r>
                    <w:rPr>
                      <w:rFonts w:hint="eastAsia"/>
                      <w:color w:val="000000"/>
                      <w:sz w:val="21"/>
                      <w:szCs w:val="21"/>
                    </w:rPr>
                    <w:t>农村居民点以及农村基础设施和公共服务设施的建设，要统筹考虑人口迁移等因素，适度集中、集约布局。</w:t>
                  </w:r>
                </w:p>
              </w:tc>
              <w:tc>
                <w:tcPr>
                  <w:tcW w:w="1358" w:type="pct"/>
                  <w:vAlign w:val="center"/>
                </w:tcPr>
                <w:p w14:paraId="5CE54DAE">
                  <w:pPr>
                    <w:pStyle w:val="11"/>
                    <w:spacing w:line="240" w:lineRule="auto"/>
                    <w:ind w:firstLine="0" w:firstLineChars="0"/>
                    <w:jc w:val="center"/>
                    <w:rPr>
                      <w:color w:val="000000"/>
                      <w:sz w:val="21"/>
                      <w:szCs w:val="21"/>
                    </w:rPr>
                  </w:pPr>
                  <w:r>
                    <w:rPr>
                      <w:rFonts w:hint="eastAsia"/>
                      <w:color w:val="000000"/>
                      <w:sz w:val="21"/>
                      <w:szCs w:val="21"/>
                    </w:rPr>
                    <w:t>不涉及。</w:t>
                  </w:r>
                </w:p>
              </w:tc>
              <w:tc>
                <w:tcPr>
                  <w:tcW w:w="807" w:type="pct"/>
                  <w:vAlign w:val="center"/>
                </w:tcPr>
                <w:p w14:paraId="2CD951D4">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5B37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70FDF5A6">
                  <w:pPr>
                    <w:pStyle w:val="11"/>
                    <w:spacing w:line="240" w:lineRule="auto"/>
                    <w:ind w:firstLine="0" w:firstLineChars="0"/>
                    <w:jc w:val="both"/>
                    <w:rPr>
                      <w:color w:val="000000"/>
                      <w:sz w:val="21"/>
                      <w:szCs w:val="21"/>
                    </w:rPr>
                  </w:pPr>
                  <w:r>
                    <w:rPr>
                      <w:rFonts w:hint="eastAsia"/>
                      <w:color w:val="000000"/>
                      <w:sz w:val="21"/>
                      <w:szCs w:val="21"/>
                    </w:rPr>
                    <w:t>重视农产品主产区土壤环境的保护，避免在农产品主产区内以及周边布局易造成农产品污染的产业。</w:t>
                  </w:r>
                </w:p>
              </w:tc>
              <w:tc>
                <w:tcPr>
                  <w:tcW w:w="1358" w:type="pct"/>
                  <w:vAlign w:val="center"/>
                </w:tcPr>
                <w:p w14:paraId="6DD3B0E2">
                  <w:pPr>
                    <w:pStyle w:val="11"/>
                    <w:spacing w:line="240" w:lineRule="auto"/>
                    <w:ind w:firstLine="0" w:firstLineChars="0"/>
                    <w:jc w:val="center"/>
                    <w:rPr>
                      <w:color w:val="000000"/>
                      <w:sz w:val="21"/>
                      <w:szCs w:val="21"/>
                    </w:rPr>
                  </w:pPr>
                  <w:r>
                    <w:rPr>
                      <w:rFonts w:hint="eastAsia"/>
                      <w:color w:val="000000"/>
                      <w:sz w:val="21"/>
                      <w:szCs w:val="21"/>
                    </w:rPr>
                    <w:t>不涉及。</w:t>
                  </w:r>
                </w:p>
              </w:tc>
              <w:tc>
                <w:tcPr>
                  <w:tcW w:w="807" w:type="pct"/>
                  <w:vAlign w:val="center"/>
                </w:tcPr>
                <w:p w14:paraId="5F6BAE4A">
                  <w:pPr>
                    <w:pStyle w:val="11"/>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14:paraId="0146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pct"/>
                  <w:vAlign w:val="center"/>
                </w:tcPr>
                <w:p w14:paraId="36F85B92">
                  <w:pPr>
                    <w:pStyle w:val="11"/>
                    <w:spacing w:line="240" w:lineRule="auto"/>
                    <w:ind w:firstLine="0" w:firstLineChars="0"/>
                    <w:jc w:val="both"/>
                    <w:rPr>
                      <w:color w:val="000000"/>
                      <w:sz w:val="21"/>
                      <w:szCs w:val="21"/>
                    </w:rPr>
                  </w:pPr>
                  <w:r>
                    <w:rPr>
                      <w:rFonts w:hint="eastAsia"/>
                      <w:color w:val="000000"/>
                      <w:sz w:val="21"/>
                      <w:szCs w:val="21"/>
                    </w:rPr>
                    <w:t>位于农产品主产区的点状能源和矿产资源基地建设，必须进行生态环境影响评估，并尽可能减少对生态空间与农业空间的占用，同步修复生态环境。</w:t>
                  </w:r>
                </w:p>
              </w:tc>
              <w:tc>
                <w:tcPr>
                  <w:tcW w:w="1358" w:type="pct"/>
                  <w:vAlign w:val="center"/>
                </w:tcPr>
                <w:p w14:paraId="5D530FAD">
                  <w:pPr>
                    <w:pStyle w:val="11"/>
                    <w:spacing w:line="240" w:lineRule="auto"/>
                    <w:ind w:firstLine="0" w:firstLineChars="0"/>
                    <w:jc w:val="both"/>
                    <w:rPr>
                      <w:color w:val="000000"/>
                      <w:sz w:val="21"/>
                      <w:szCs w:val="21"/>
                    </w:rPr>
                  </w:pPr>
                  <w:r>
                    <w:rPr>
                      <w:color w:val="000000"/>
                      <w:sz w:val="21"/>
                      <w:szCs w:val="21"/>
                    </w:rPr>
                    <w:t>本工程</w:t>
                  </w:r>
                  <w:r>
                    <w:rPr>
                      <w:rFonts w:hint="eastAsia"/>
                      <w:color w:val="000000"/>
                      <w:sz w:val="21"/>
                      <w:szCs w:val="21"/>
                    </w:rPr>
                    <w:t>将按照法律法规要求开展环境影响评价工作。</w:t>
                  </w:r>
                </w:p>
              </w:tc>
              <w:tc>
                <w:tcPr>
                  <w:tcW w:w="807" w:type="pct"/>
                  <w:vAlign w:val="center"/>
                </w:tcPr>
                <w:p w14:paraId="281B82B8">
                  <w:pPr>
                    <w:pStyle w:val="11"/>
                    <w:spacing w:line="240" w:lineRule="auto"/>
                    <w:ind w:firstLine="0" w:firstLineChars="0"/>
                    <w:jc w:val="center"/>
                    <w:rPr>
                      <w:color w:val="000000"/>
                      <w:sz w:val="21"/>
                      <w:szCs w:val="21"/>
                    </w:rPr>
                  </w:pPr>
                  <w:r>
                    <w:rPr>
                      <w:color w:val="000000"/>
                      <w:sz w:val="21"/>
                      <w:szCs w:val="21"/>
                    </w:rPr>
                    <w:t>相符</w:t>
                  </w:r>
                </w:p>
              </w:tc>
            </w:tr>
          </w:tbl>
          <w:p w14:paraId="56EA454E">
            <w:pPr>
              <w:pStyle w:val="11"/>
              <w:keepNext w:val="0"/>
              <w:keepLines w:val="0"/>
              <w:pageBreakBefore w:val="0"/>
              <w:widowControl w:val="0"/>
              <w:kinsoku/>
              <w:wordWrap/>
              <w:overflowPunct/>
              <w:topLinePunct w:val="0"/>
              <w:autoSpaceDE/>
              <w:autoSpaceDN/>
              <w:bidi w:val="0"/>
              <w:adjustRightInd/>
              <w:snapToGrid/>
              <w:spacing w:before="157" w:beforeLines="50"/>
              <w:textAlignment w:val="auto"/>
              <w:rPr>
                <w:color w:val="000000"/>
              </w:rPr>
            </w:pPr>
            <w:r>
              <w:rPr>
                <w:rFonts w:hint="eastAsia"/>
                <w:color w:val="000000"/>
              </w:rPr>
              <w:t>综上所述，本工程建设与新疆维吾尔自治区主体功能区规划相符。</w:t>
            </w:r>
          </w:p>
          <w:p w14:paraId="2634D903">
            <w:pPr>
              <w:pStyle w:val="11"/>
              <w:numPr>
                <w:ilvl w:val="0"/>
                <w:numId w:val="10"/>
              </w:numPr>
              <w:spacing w:before="50" w:after="50"/>
              <w:ind w:firstLineChars="0"/>
              <w:rPr>
                <w:b/>
                <w:color w:val="000000"/>
                <w:szCs w:val="24"/>
              </w:rPr>
            </w:pPr>
            <w:r>
              <w:rPr>
                <w:b/>
                <w:color w:val="000000"/>
                <w:szCs w:val="24"/>
              </w:rPr>
              <w:t>生态功能区划</w:t>
            </w:r>
          </w:p>
          <w:p w14:paraId="11E82DB5">
            <w:pPr>
              <w:pStyle w:val="11"/>
              <w:ind w:firstLineChars="0"/>
              <w:rPr>
                <w:color w:val="000000"/>
                <w:szCs w:val="24"/>
              </w:rPr>
            </w:pPr>
            <w:r>
              <w:rPr>
                <w:rFonts w:hint="eastAsia"/>
                <w:color w:val="000000"/>
                <w:szCs w:val="24"/>
              </w:rPr>
              <w:t>根据《新疆生态功能区划》，全</w:t>
            </w:r>
            <w:r>
              <w:rPr>
                <w:rFonts w:hint="eastAsia"/>
                <w:color w:val="000000"/>
                <w:szCs w:val="24"/>
                <w:lang w:val="en-US" w:eastAsia="zh-CN"/>
              </w:rPr>
              <w:t>区</w:t>
            </w:r>
            <w:r>
              <w:rPr>
                <w:rFonts w:hint="eastAsia"/>
                <w:color w:val="000000"/>
                <w:szCs w:val="24"/>
              </w:rPr>
              <w:t>生态功能分区共分为一级区划（5个生态区）、二级区划（18个生态亚区）、三级区划（76个生态功能区）。</w:t>
            </w:r>
          </w:p>
          <w:p w14:paraId="556BE488">
            <w:pPr>
              <w:pStyle w:val="11"/>
              <w:rPr>
                <w:color w:val="000000"/>
                <w:szCs w:val="24"/>
              </w:rPr>
            </w:pPr>
            <w:r>
              <w:rPr>
                <w:rFonts w:hint="eastAsia"/>
                <w:szCs w:val="24"/>
              </w:rPr>
              <w:t>项目</w:t>
            </w:r>
            <w:r>
              <w:rPr>
                <w:rFonts w:hint="eastAsia"/>
                <w:color w:val="000000"/>
                <w:szCs w:val="24"/>
              </w:rPr>
              <w:t>区域属于</w:t>
            </w:r>
            <w:r>
              <w:rPr>
                <w:rFonts w:hint="eastAsia"/>
                <w:szCs w:val="24"/>
              </w:rPr>
              <w:t>Ⅲ天山山地温性草原、森林生态区—Ⅲ</w:t>
            </w:r>
            <w:r>
              <w:rPr>
                <w:rFonts w:hint="eastAsia"/>
                <w:szCs w:val="24"/>
                <w:lang w:val="en-US" w:eastAsia="zh-CN"/>
              </w:rPr>
              <w:t>4</w:t>
            </w:r>
            <w:r>
              <w:rPr>
                <w:rFonts w:hint="eastAsia"/>
                <w:szCs w:val="24"/>
              </w:rPr>
              <w:t>天山南坡吐鲁番</w:t>
            </w:r>
            <w:r>
              <w:rPr>
                <w:rFonts w:hint="eastAsia"/>
                <w:szCs w:val="24"/>
                <w:lang w:eastAsia="zh-CN"/>
              </w:rPr>
              <w:t>—</w:t>
            </w:r>
            <w:r>
              <w:rPr>
                <w:rFonts w:hint="eastAsia"/>
                <w:szCs w:val="24"/>
              </w:rPr>
              <w:t>哈密盆地戈壁荒漠、绿洲农业生态亚区—51.吐鲁番盆地绿洲外围防风固沙、油气开发生态功能区。</w:t>
            </w:r>
          </w:p>
          <w:p w14:paraId="0A5A0E54">
            <w:pPr>
              <w:pStyle w:val="11"/>
              <w:rPr>
                <w:color w:val="000000"/>
                <w:szCs w:val="24"/>
              </w:rPr>
            </w:pPr>
            <w:r>
              <w:rPr>
                <w:rFonts w:hint="eastAsia"/>
                <w:color w:val="000000"/>
                <w:szCs w:val="24"/>
              </w:rPr>
              <w:t>该生态功能区</w:t>
            </w:r>
            <w:r>
              <w:rPr>
                <w:rFonts w:hint="eastAsia"/>
                <w:color w:val="000000"/>
                <w:szCs w:val="24"/>
                <w:lang w:val="en-US" w:eastAsia="zh-CN"/>
              </w:rPr>
              <w:t>主要生态服务功能为油气资源、荒漠化控制；</w:t>
            </w:r>
            <w:r>
              <w:rPr>
                <w:rFonts w:hint="eastAsia"/>
                <w:color w:val="000000"/>
                <w:szCs w:val="24"/>
              </w:rPr>
              <w:t>主要生态环境问题为油气污染、风沙危害、土壤风蚀；主要生态敏感因子、敏感程度为</w:t>
            </w:r>
            <w:r>
              <w:rPr>
                <w:rFonts w:hint="eastAsia"/>
                <w:color w:val="000000"/>
                <w:szCs w:val="24"/>
                <w:lang w:val="en-US" w:eastAsia="zh-CN"/>
              </w:rPr>
              <w:t>土壤侵蚀极度敏感，土地沙漠化轻度敏感</w:t>
            </w:r>
            <w:r>
              <w:rPr>
                <w:rFonts w:hint="eastAsia"/>
                <w:color w:val="000000"/>
                <w:szCs w:val="24"/>
              </w:rPr>
              <w:t>；主要保护目标为</w:t>
            </w:r>
            <w:r>
              <w:rPr>
                <w:rFonts w:hint="eastAsia"/>
                <w:color w:val="000000"/>
                <w:szCs w:val="24"/>
                <w:lang w:val="en-US" w:eastAsia="zh-CN"/>
              </w:rPr>
              <w:t>保护地下水、保护荒漠植被和砾幕</w:t>
            </w:r>
            <w:r>
              <w:rPr>
                <w:rFonts w:hint="eastAsia"/>
                <w:color w:val="000000"/>
                <w:szCs w:val="24"/>
              </w:rPr>
              <w:t>；针对这些问题，应实行规范油气勘探开采作业、废弃物无害化处理铁路公路沿线采用机械和生物措施防风防洪、节约用水等保护措施</w:t>
            </w:r>
            <w:r>
              <w:rPr>
                <w:rFonts w:hint="eastAsia"/>
                <w:color w:val="000000"/>
                <w:szCs w:val="24"/>
                <w:lang w:eastAsia="zh-CN"/>
              </w:rPr>
              <w:t>；</w:t>
            </w:r>
            <w:r>
              <w:rPr>
                <w:rFonts w:hint="eastAsia"/>
                <w:color w:val="000000"/>
                <w:szCs w:val="24"/>
                <w:lang w:val="en-US" w:eastAsia="zh-CN"/>
              </w:rPr>
              <w:t>适宜发展方向为发展特色种植业，建设农业生态示范区，合理发展煤炭产业</w:t>
            </w:r>
            <w:r>
              <w:rPr>
                <w:rFonts w:hint="eastAsia"/>
                <w:color w:val="000000"/>
                <w:szCs w:val="24"/>
              </w:rPr>
              <w:t>。</w:t>
            </w:r>
          </w:p>
          <w:p w14:paraId="3CFE8973">
            <w:pPr>
              <w:pStyle w:val="11"/>
              <w:rPr>
                <w:rFonts w:hint="eastAsia"/>
                <w:color w:val="000000"/>
                <w:szCs w:val="24"/>
              </w:rPr>
            </w:pPr>
            <w:r>
              <w:rPr>
                <w:rFonts w:hint="eastAsia"/>
                <w:color w:val="000000"/>
                <w:szCs w:val="24"/>
              </w:rPr>
              <w:t>本工程为输变电工程，施工期工程建设对周围生态环境造成的影响较小，在采取相关环境保护措施后，不利影响可以得到有效减缓，且施工结束后，影响即消失。运行期主要污染因子为工频电场、工频磁场、噪声，不会造成工程所在区域生态功能区中主要的人为干扰范围扩大，符合《新疆维吾尔自治区生态功能区划》。</w:t>
            </w:r>
          </w:p>
          <w:p w14:paraId="55F1601A">
            <w:pPr>
              <w:pStyle w:val="3"/>
              <w:numPr>
                <w:ilvl w:val="0"/>
                <w:numId w:val="9"/>
              </w:numPr>
              <w:spacing w:before="0" w:after="0" w:line="360" w:lineRule="auto"/>
              <w:rPr>
                <w:rFonts w:eastAsia="宋体"/>
                <w:sz w:val="24"/>
                <w:szCs w:val="24"/>
              </w:rPr>
            </w:pPr>
            <w:bookmarkStart w:id="275" w:name="_Toc91493252"/>
            <w:bookmarkStart w:id="276" w:name="_Toc81308136"/>
            <w:bookmarkStart w:id="277" w:name="_Toc11494"/>
            <w:bookmarkStart w:id="278" w:name="_Toc96031280"/>
            <w:bookmarkStart w:id="279" w:name="_Toc109473786"/>
            <w:bookmarkStart w:id="280" w:name="_Toc96935400"/>
            <w:bookmarkStart w:id="281" w:name="_Toc110439137"/>
            <w:bookmarkStart w:id="282" w:name="_Toc85036866"/>
            <w:bookmarkStart w:id="283" w:name="_Toc81415608"/>
            <w:bookmarkStart w:id="284" w:name="_Toc88558506"/>
            <w:bookmarkStart w:id="285" w:name="_Toc95464654"/>
            <w:bookmarkStart w:id="286" w:name="_Toc109472613"/>
            <w:bookmarkStart w:id="287" w:name="_Toc28592"/>
            <w:bookmarkStart w:id="288" w:name="_Toc97290436"/>
            <w:bookmarkStart w:id="289" w:name="_Toc97290570"/>
            <w:bookmarkStart w:id="290" w:name="_Toc109473552"/>
            <w:bookmarkStart w:id="291" w:name="_Toc96031363"/>
            <w:bookmarkStart w:id="292" w:name="_Toc91532159"/>
            <w:bookmarkStart w:id="293" w:name="_Toc85037200"/>
            <w:bookmarkStart w:id="294" w:name="_Toc111564304"/>
            <w:bookmarkStart w:id="295" w:name="_Toc109473865"/>
            <w:r>
              <w:rPr>
                <w:rFonts w:eastAsia="宋体"/>
                <w:sz w:val="24"/>
                <w:szCs w:val="24"/>
              </w:rPr>
              <w:t>自然环境概况</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BEE0E64">
            <w:pPr>
              <w:pStyle w:val="3"/>
              <w:numPr>
                <w:ilvl w:val="1"/>
                <w:numId w:val="9"/>
              </w:numPr>
              <w:spacing w:before="0" w:after="0" w:line="360" w:lineRule="auto"/>
              <w:rPr>
                <w:rFonts w:eastAsia="宋体"/>
                <w:sz w:val="24"/>
                <w:szCs w:val="24"/>
              </w:rPr>
            </w:pPr>
            <w:bookmarkStart w:id="296" w:name="_Toc109473866"/>
            <w:bookmarkStart w:id="297" w:name="_Toc17778"/>
            <w:bookmarkStart w:id="298" w:name="_Toc91493253"/>
            <w:bookmarkStart w:id="299" w:name="_Toc88558507"/>
            <w:bookmarkStart w:id="300" w:name="_Toc95464655"/>
            <w:bookmarkStart w:id="301" w:name="_Toc111564305"/>
            <w:bookmarkStart w:id="302" w:name="_Toc96031281"/>
            <w:bookmarkStart w:id="303" w:name="_Toc109473787"/>
            <w:bookmarkStart w:id="304" w:name="_Toc96031364"/>
            <w:bookmarkStart w:id="305" w:name="_Toc97290571"/>
            <w:bookmarkStart w:id="306" w:name="_Toc85036867"/>
            <w:bookmarkStart w:id="307" w:name="_Toc81308137"/>
            <w:bookmarkStart w:id="308" w:name="_Toc109473553"/>
            <w:bookmarkStart w:id="309" w:name="_Toc85037201"/>
            <w:bookmarkStart w:id="310" w:name="_Toc81415609"/>
            <w:bookmarkStart w:id="311" w:name="_Toc12021"/>
            <w:bookmarkStart w:id="312" w:name="_Toc109472614"/>
            <w:bookmarkStart w:id="313" w:name="_Toc96935401"/>
            <w:bookmarkStart w:id="314" w:name="_Toc110439138"/>
            <w:bookmarkStart w:id="315" w:name="_Toc97290437"/>
            <w:bookmarkStart w:id="316" w:name="_Toc91532160"/>
            <w:r>
              <w:rPr>
                <w:rFonts w:eastAsia="宋体"/>
                <w:sz w:val="24"/>
                <w:szCs w:val="24"/>
              </w:rPr>
              <w:t>地形、地貌</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4CB94630">
            <w:pPr>
              <w:pStyle w:val="11"/>
              <w:rPr>
                <w:color w:val="000000"/>
                <w:szCs w:val="24"/>
              </w:rPr>
            </w:pPr>
            <w:r>
              <w:rPr>
                <w:rFonts w:hint="eastAsia"/>
                <w:color w:val="000000"/>
                <w:szCs w:val="24"/>
              </w:rPr>
              <w:t>本工程所在区域地貌为</w:t>
            </w:r>
            <w:r>
              <w:rPr>
                <w:rFonts w:hint="eastAsia"/>
                <w:color w:val="000000"/>
                <w:szCs w:val="24"/>
                <w:lang w:val="en-US" w:eastAsia="zh-CN"/>
              </w:rPr>
              <w:t>山前</w:t>
            </w:r>
            <w:r>
              <w:rPr>
                <w:rFonts w:hint="eastAsia"/>
                <w:color w:val="000000"/>
                <w:szCs w:val="24"/>
              </w:rPr>
              <w:t>冲洪积平原，目前呈</w:t>
            </w:r>
            <w:r>
              <w:rPr>
                <w:rFonts w:hint="eastAsia"/>
                <w:color w:val="000000"/>
                <w:szCs w:val="24"/>
                <w:lang w:val="en-US" w:eastAsia="zh-CN"/>
              </w:rPr>
              <w:t>林地和</w:t>
            </w:r>
            <w:r>
              <w:rPr>
                <w:rFonts w:hint="eastAsia"/>
                <w:color w:val="000000"/>
                <w:szCs w:val="24"/>
              </w:rPr>
              <w:t>戈壁荒滩景观，场地地形</w:t>
            </w:r>
            <w:r>
              <w:rPr>
                <w:rFonts w:hint="eastAsia"/>
                <w:color w:val="000000"/>
                <w:szCs w:val="24"/>
                <w:lang w:val="en-US" w:eastAsia="zh-CN"/>
              </w:rPr>
              <w:t>平坦</w:t>
            </w:r>
            <w:r>
              <w:rPr>
                <w:rFonts w:hint="eastAsia"/>
                <w:color w:val="000000"/>
                <w:szCs w:val="24"/>
              </w:rPr>
              <w:t>开阔，地面高程约在</w:t>
            </w:r>
            <w:r>
              <w:rPr>
                <w:rFonts w:hint="eastAsia"/>
                <w:color w:val="000000"/>
                <w:szCs w:val="24"/>
                <w:lang w:val="en-US" w:eastAsia="zh-CN"/>
              </w:rPr>
              <w:t>190</w:t>
            </w:r>
            <w:r>
              <w:rPr>
                <w:rFonts w:hint="eastAsia"/>
                <w:color w:val="000000"/>
                <w:szCs w:val="24"/>
              </w:rPr>
              <w:t>m~</w:t>
            </w:r>
            <w:r>
              <w:rPr>
                <w:rFonts w:hint="eastAsia"/>
                <w:color w:val="000000"/>
                <w:szCs w:val="24"/>
                <w:lang w:val="en-US" w:eastAsia="zh-CN"/>
              </w:rPr>
              <w:t>220</w:t>
            </w:r>
            <w:r>
              <w:rPr>
                <w:rFonts w:hint="eastAsia"/>
                <w:color w:val="000000"/>
                <w:szCs w:val="24"/>
              </w:rPr>
              <w:t>m。</w:t>
            </w:r>
          </w:p>
          <w:p w14:paraId="420B800E">
            <w:pPr>
              <w:pStyle w:val="3"/>
              <w:numPr>
                <w:ilvl w:val="1"/>
                <w:numId w:val="9"/>
              </w:numPr>
              <w:spacing w:before="0" w:after="0" w:line="360" w:lineRule="auto"/>
              <w:rPr>
                <w:rFonts w:eastAsia="宋体"/>
                <w:color w:val="auto"/>
                <w:sz w:val="24"/>
                <w:szCs w:val="24"/>
              </w:rPr>
            </w:pPr>
            <w:bookmarkStart w:id="317" w:name="_Toc96941964"/>
            <w:bookmarkStart w:id="318" w:name="_Toc91532161"/>
            <w:bookmarkStart w:id="319" w:name="_Toc88558508"/>
            <w:bookmarkStart w:id="320" w:name="_Toc81415610"/>
            <w:bookmarkStart w:id="321" w:name="_Toc85036868"/>
            <w:bookmarkStart w:id="322" w:name="_Toc16499"/>
            <w:bookmarkStart w:id="323" w:name="_Toc97714327"/>
            <w:bookmarkStart w:id="324" w:name="_Toc97128331"/>
            <w:bookmarkStart w:id="325" w:name="_Toc85037202"/>
            <w:bookmarkStart w:id="326" w:name="_Toc96942089"/>
            <w:bookmarkStart w:id="327" w:name="_Toc91493254"/>
            <w:bookmarkStart w:id="328" w:name="_Toc81308138"/>
            <w:r>
              <w:rPr>
                <w:rFonts w:eastAsia="宋体"/>
                <w:color w:val="auto"/>
                <w:sz w:val="24"/>
                <w:szCs w:val="24"/>
              </w:rPr>
              <w:t>地质、地震</w:t>
            </w:r>
            <w:bookmarkEnd w:id="317"/>
            <w:bookmarkEnd w:id="318"/>
            <w:bookmarkEnd w:id="319"/>
            <w:bookmarkEnd w:id="320"/>
            <w:bookmarkEnd w:id="321"/>
            <w:bookmarkEnd w:id="322"/>
            <w:bookmarkEnd w:id="323"/>
            <w:bookmarkEnd w:id="324"/>
            <w:bookmarkEnd w:id="325"/>
            <w:bookmarkEnd w:id="326"/>
            <w:bookmarkEnd w:id="327"/>
            <w:bookmarkEnd w:id="328"/>
          </w:p>
          <w:p w14:paraId="26D9DD51">
            <w:pPr>
              <w:spacing w:line="360" w:lineRule="auto"/>
              <w:ind w:firstLine="480" w:firstLineChars="200"/>
              <w:rPr>
                <w:rFonts w:cs="宋体"/>
                <w:sz w:val="24"/>
              </w:rPr>
            </w:pPr>
            <w:r>
              <w:rPr>
                <w:rFonts w:hint="eastAsia" w:cs="宋体"/>
                <w:sz w:val="24"/>
              </w:rPr>
              <w:t>变电站站址及线路路径所经地段未发现有影响场地稳定性的活动断裂、滑坡、沉陷等不良地质现象；地质环境相对稳定。</w:t>
            </w:r>
          </w:p>
          <w:p w14:paraId="46C7C1DA">
            <w:pPr>
              <w:spacing w:line="360" w:lineRule="auto"/>
              <w:ind w:firstLine="480" w:firstLineChars="200"/>
              <w:rPr>
                <w:rFonts w:cs="宋体"/>
                <w:sz w:val="24"/>
              </w:rPr>
            </w:pPr>
            <w:r>
              <w:rPr>
                <w:rFonts w:hint="eastAsia" w:cs="宋体"/>
                <w:sz w:val="24"/>
              </w:rPr>
              <w:t>根据《建筑抗震设计规范》（GB50011-2010）及《中国地震动参数区划图》（GB18306-2015），本工程所在区域设计地震基本烈度为</w:t>
            </w:r>
            <w:r>
              <w:rPr>
                <w:rFonts w:hint="default"/>
                <w:sz w:val="24"/>
                <w:lang w:val="en-US" w:eastAsia="zh-CN"/>
              </w:rPr>
              <w:t>Ⅶ</w:t>
            </w:r>
            <w:r>
              <w:rPr>
                <w:rFonts w:hint="eastAsia" w:cs="宋体"/>
                <w:sz w:val="24"/>
              </w:rPr>
              <w:t>度，基本地震加速度值为0.</w:t>
            </w:r>
            <w:r>
              <w:rPr>
                <w:rFonts w:hint="eastAsia" w:cs="宋体"/>
                <w:sz w:val="24"/>
                <w:lang w:val="en-US" w:eastAsia="zh-CN"/>
              </w:rPr>
              <w:t>15</w:t>
            </w:r>
            <w:r>
              <w:rPr>
                <w:rFonts w:hint="eastAsia" w:cs="宋体"/>
                <w:sz w:val="24"/>
              </w:rPr>
              <w:t>g，抗震设防分组为第三组，设计特征周期值0.4</w:t>
            </w:r>
            <w:r>
              <w:rPr>
                <w:rFonts w:hint="eastAsia" w:cs="宋体"/>
                <w:sz w:val="24"/>
                <w:lang w:val="en-US" w:eastAsia="zh-CN"/>
              </w:rPr>
              <w:t>0</w:t>
            </w:r>
            <w:r>
              <w:rPr>
                <w:rFonts w:hint="eastAsia" w:cs="宋体"/>
                <w:sz w:val="24"/>
              </w:rPr>
              <w:t>s。</w:t>
            </w:r>
          </w:p>
          <w:p w14:paraId="361B9D5A">
            <w:pPr>
              <w:pStyle w:val="3"/>
              <w:numPr>
                <w:ilvl w:val="1"/>
                <w:numId w:val="9"/>
              </w:numPr>
              <w:spacing w:before="0" w:after="0" w:line="360" w:lineRule="auto"/>
              <w:rPr>
                <w:rFonts w:eastAsia="宋体"/>
                <w:color w:val="auto"/>
                <w:sz w:val="24"/>
                <w:szCs w:val="24"/>
              </w:rPr>
            </w:pPr>
            <w:bookmarkStart w:id="329" w:name="_Toc21232"/>
            <w:r>
              <w:rPr>
                <w:rFonts w:hint="eastAsia" w:eastAsia="宋体"/>
                <w:color w:val="auto"/>
                <w:sz w:val="24"/>
                <w:szCs w:val="24"/>
              </w:rPr>
              <w:t>水文</w:t>
            </w:r>
            <w:bookmarkEnd w:id="329"/>
          </w:p>
          <w:p w14:paraId="25A33EF3">
            <w:pPr>
              <w:spacing w:line="360" w:lineRule="auto"/>
              <w:ind w:firstLine="480" w:firstLineChars="200"/>
              <w:rPr>
                <w:rFonts w:cs="宋体"/>
                <w:sz w:val="24"/>
              </w:rPr>
            </w:pPr>
            <w:r>
              <w:rPr>
                <w:rFonts w:hint="eastAsia" w:cs="宋体"/>
                <w:sz w:val="24"/>
              </w:rPr>
              <w:t>经现场踏勘，本工程新建线路未跨越河流，可不考虑河流影响，且沿线无水利规划。沿线地势平坦排水较为通畅，无大范围内涝积水区。线路不受河流洪水的影响，水文条件良好。</w:t>
            </w:r>
          </w:p>
          <w:p w14:paraId="3590AAC1">
            <w:pPr>
              <w:pStyle w:val="3"/>
              <w:numPr>
                <w:ilvl w:val="1"/>
                <w:numId w:val="9"/>
              </w:numPr>
              <w:spacing w:before="0" w:after="0" w:line="360" w:lineRule="auto"/>
              <w:rPr>
                <w:rFonts w:eastAsia="宋体"/>
                <w:sz w:val="24"/>
                <w:szCs w:val="24"/>
              </w:rPr>
            </w:pPr>
            <w:bookmarkStart w:id="330" w:name="_Toc110439141"/>
            <w:bookmarkEnd w:id="330"/>
            <w:bookmarkStart w:id="331" w:name="_Toc110439140"/>
            <w:bookmarkEnd w:id="331"/>
            <w:bookmarkStart w:id="332" w:name="_Toc81415612"/>
            <w:bookmarkStart w:id="333" w:name="_Toc23723"/>
            <w:bookmarkStart w:id="334" w:name="_Toc95464658"/>
            <w:bookmarkStart w:id="335" w:name="_Toc96935404"/>
            <w:bookmarkStart w:id="336" w:name="_Toc96031284"/>
            <w:bookmarkStart w:id="337" w:name="_Toc23311"/>
            <w:bookmarkStart w:id="338" w:name="_Toc91532163"/>
            <w:bookmarkStart w:id="339" w:name="_Toc91493256"/>
            <w:bookmarkStart w:id="340" w:name="_Toc109472617"/>
            <w:bookmarkStart w:id="341" w:name="_Toc81308140"/>
            <w:bookmarkStart w:id="342" w:name="_Toc109473556"/>
            <w:bookmarkStart w:id="343" w:name="_Toc109473869"/>
            <w:bookmarkStart w:id="344" w:name="_Toc85036870"/>
            <w:bookmarkStart w:id="345" w:name="_Toc97290440"/>
            <w:bookmarkStart w:id="346" w:name="_Toc96031367"/>
            <w:bookmarkStart w:id="347" w:name="_Toc85037204"/>
            <w:bookmarkStart w:id="348" w:name="_Toc109473790"/>
            <w:bookmarkStart w:id="349" w:name="_Toc88558510"/>
            <w:bookmarkStart w:id="350" w:name="_Toc110439143"/>
            <w:bookmarkStart w:id="351" w:name="_Toc97290574"/>
            <w:bookmarkStart w:id="352" w:name="_Toc111564308"/>
            <w:r>
              <w:rPr>
                <w:rFonts w:eastAsia="宋体"/>
                <w:sz w:val="24"/>
                <w:szCs w:val="24"/>
              </w:rPr>
              <w:t>气候特征</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02C1E0F">
            <w:pPr>
              <w:pStyle w:val="11"/>
              <w:rPr>
                <w:rFonts w:hint="eastAsia" w:eastAsia="宋体" w:cs="宋体"/>
                <w:szCs w:val="24"/>
                <w:lang w:eastAsia="zh-CN"/>
              </w:rPr>
            </w:pPr>
            <w:r>
              <w:rPr>
                <w:rFonts w:hint="eastAsia" w:cs="宋体"/>
                <w:szCs w:val="24"/>
              </w:rPr>
              <w:t>本工程所在区域属于大陆性暖温带荒漠气候，其主要特点是：日照充足，热量丰富但又极端干燥，降雨稀少且大风频繁。气候特征详见</w:t>
            </w:r>
            <w:bookmarkStart w:id="353" w:name="_Ref169981085"/>
            <w:r>
              <w:rPr>
                <w:rFonts w:hint="default" w:cs="宋体"/>
                <w:b w:val="0"/>
                <w:bCs w:val="0"/>
                <w:szCs w:val="24"/>
                <w:lang w:val="en-US"/>
              </w:rPr>
              <w:fldChar w:fldCharType="begin"/>
            </w:r>
            <w:r>
              <w:rPr>
                <w:rFonts w:hint="default" w:cs="宋体"/>
                <w:b w:val="0"/>
                <w:bCs w:val="0"/>
                <w:szCs w:val="24"/>
                <w:lang w:val="en-US"/>
              </w:rPr>
              <w:instrText xml:space="preserve"> REF _Ref3196 \h </w:instrText>
            </w:r>
            <w:r>
              <w:rPr>
                <w:rFonts w:hint="default" w:cs="宋体"/>
                <w:b w:val="0"/>
                <w:bCs w:val="0"/>
                <w:szCs w:val="24"/>
                <w:lang w:val="en-US"/>
              </w:rPr>
              <w:fldChar w:fldCharType="separate"/>
            </w:r>
            <w:r>
              <w:rPr>
                <w:rFonts w:hint="eastAsia" w:ascii="宋体" w:hAnsi="宋体" w:eastAsia="宋体" w:cs="宋体"/>
                <w:b w:val="0"/>
                <w:bCs w:val="0"/>
                <w:sz w:val="24"/>
                <w:szCs w:val="24"/>
              </w:rPr>
              <w:t>表</w:t>
            </w:r>
            <w:r>
              <w:rPr>
                <w:rFonts w:hint="eastAsia" w:eastAsia="黑体"/>
                <w:b w:val="0"/>
                <w:bCs w:val="0"/>
                <w:sz w:val="24"/>
                <w:szCs w:val="24"/>
              </w:rPr>
              <w:t xml:space="preserve"> 12</w:t>
            </w:r>
            <w:r>
              <w:rPr>
                <w:rFonts w:hint="default" w:cs="宋体"/>
                <w:b w:val="0"/>
                <w:bCs w:val="0"/>
                <w:szCs w:val="24"/>
                <w:lang w:val="en-US"/>
              </w:rPr>
              <w:fldChar w:fldCharType="end"/>
            </w:r>
            <w:r>
              <w:rPr>
                <w:rFonts w:hint="eastAsia" w:cs="宋体"/>
                <w:b w:val="0"/>
                <w:bCs w:val="0"/>
                <w:szCs w:val="24"/>
                <w:lang w:val="en-US" w:eastAsia="zh-CN"/>
              </w:rPr>
              <w:t>。</w:t>
            </w:r>
          </w:p>
          <w:p w14:paraId="7AEBBDE3">
            <w:pPr>
              <w:pStyle w:val="11"/>
              <w:spacing w:line="240" w:lineRule="auto"/>
              <w:ind w:firstLine="0" w:firstLineChars="0"/>
              <w:rPr>
                <w:rFonts w:ascii="黑体" w:hAnsi="黑体" w:eastAsia="黑体"/>
                <w:color w:val="000000"/>
                <w:sz w:val="21"/>
                <w:szCs w:val="21"/>
              </w:rPr>
            </w:pPr>
            <w:bookmarkStart w:id="354" w:name="_Ref3196"/>
            <w:r>
              <w:rPr>
                <w:rFonts w:hint="eastAsia" w:eastAsia="黑体"/>
                <w:b/>
                <w:sz w:val="21"/>
                <w:szCs w:val="21"/>
              </w:rPr>
              <w:t xml:space="preserve">表 </w:t>
            </w:r>
            <w:r>
              <w:rPr>
                <w:rFonts w:eastAsia="黑体"/>
                <w:b/>
                <w:sz w:val="21"/>
                <w:szCs w:val="21"/>
              </w:rPr>
              <w:fldChar w:fldCharType="begin"/>
            </w:r>
            <w:r>
              <w:rPr>
                <w:rFonts w:eastAsia="黑体"/>
                <w:b/>
                <w:sz w:val="21"/>
                <w:szCs w:val="21"/>
              </w:rPr>
              <w:instrText xml:space="preserve"> </w:instrText>
            </w:r>
            <w:r>
              <w:rPr>
                <w:rFonts w:hint="eastAsia" w:eastAsia="黑体"/>
                <w:b/>
                <w:sz w:val="21"/>
                <w:szCs w:val="21"/>
              </w:rPr>
              <w:instrText xml:space="preserve">SEQ 表 \* ARABIC</w:instrText>
            </w:r>
            <w:r>
              <w:rPr>
                <w:rFonts w:eastAsia="黑体"/>
                <w:b/>
                <w:sz w:val="21"/>
                <w:szCs w:val="21"/>
              </w:rPr>
              <w:instrText xml:space="preserve"> </w:instrText>
            </w:r>
            <w:r>
              <w:rPr>
                <w:rFonts w:eastAsia="黑体"/>
                <w:b/>
                <w:sz w:val="21"/>
                <w:szCs w:val="21"/>
              </w:rPr>
              <w:fldChar w:fldCharType="separate"/>
            </w:r>
            <w:r>
              <w:rPr>
                <w:rFonts w:hint="eastAsia" w:eastAsia="黑体"/>
                <w:b/>
                <w:sz w:val="21"/>
                <w:szCs w:val="21"/>
              </w:rPr>
              <w:t>12</w:t>
            </w:r>
            <w:r>
              <w:rPr>
                <w:rFonts w:eastAsia="黑体"/>
                <w:b/>
                <w:sz w:val="21"/>
                <w:szCs w:val="21"/>
              </w:rPr>
              <w:fldChar w:fldCharType="end"/>
            </w:r>
            <w:bookmarkEnd w:id="353"/>
            <w:bookmarkEnd w:id="354"/>
            <w:r>
              <w:rPr>
                <w:rFonts w:hint="eastAsia" w:eastAsia="黑体"/>
                <w:b/>
                <w:sz w:val="21"/>
                <w:szCs w:val="21"/>
              </w:rPr>
              <w:t xml:space="preserve">                           气候特征一览表</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1060"/>
              <w:gridCol w:w="3486"/>
            </w:tblGrid>
            <w:tr w14:paraId="186FB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blHeader/>
                <w:jc w:val="center"/>
              </w:trPr>
              <w:tc>
                <w:tcPr>
                  <w:tcW w:w="2190" w:type="pct"/>
                  <w:tcBorders>
                    <w:tl2br w:val="single" w:color="000000" w:sz="4" w:space="0"/>
                  </w:tcBorders>
                  <w:vAlign w:val="center"/>
                </w:tcPr>
                <w:p w14:paraId="02131694">
                  <w:pPr>
                    <w:pStyle w:val="31"/>
                    <w:widowControl w:val="0"/>
                    <w:autoSpaceDE w:val="0"/>
                    <w:autoSpaceDN w:val="0"/>
                    <w:spacing w:before="0" w:beforeAutospacing="0" w:after="0" w:afterAutospacing="0"/>
                    <w:ind w:firstLine="2319" w:firstLineChars="1100"/>
                    <w:jc w:val="both"/>
                    <w:rPr>
                      <w:rFonts w:ascii="Times New Roman" w:hAnsi="Times New Roman"/>
                      <w:b/>
                      <w:bCs/>
                      <w:color w:val="000000"/>
                      <w:kern w:val="2"/>
                      <w:sz w:val="21"/>
                      <w:szCs w:val="21"/>
                    </w:rPr>
                  </w:pPr>
                  <w:r>
                    <w:rPr>
                      <w:rFonts w:ascii="Times New Roman" w:hAnsi="Times New Roman"/>
                      <w:b/>
                      <w:bCs/>
                      <w:color w:val="000000"/>
                      <w:kern w:val="2"/>
                      <w:sz w:val="21"/>
                      <w:szCs w:val="21"/>
                    </w:rPr>
                    <w:t>站名</w:t>
                  </w:r>
                </w:p>
                <w:p w14:paraId="7F57DBE2">
                  <w:pPr>
                    <w:pStyle w:val="31"/>
                    <w:widowControl w:val="0"/>
                    <w:autoSpaceDE w:val="0"/>
                    <w:autoSpaceDN w:val="0"/>
                    <w:spacing w:before="0" w:beforeAutospacing="0" w:after="0" w:afterAutospacing="0"/>
                    <w:jc w:val="both"/>
                    <w:rPr>
                      <w:rFonts w:ascii="Times New Roman" w:hAnsi="Times New Roman"/>
                      <w:b/>
                      <w:bCs/>
                      <w:color w:val="000000"/>
                      <w:kern w:val="2"/>
                      <w:sz w:val="21"/>
                      <w:szCs w:val="21"/>
                    </w:rPr>
                  </w:pPr>
                  <w:r>
                    <w:rPr>
                      <w:rFonts w:ascii="Times New Roman" w:hAnsi="Times New Roman"/>
                      <w:b/>
                      <w:bCs/>
                      <w:color w:val="000000"/>
                      <w:kern w:val="2"/>
                      <w:sz w:val="21"/>
                      <w:szCs w:val="21"/>
                    </w:rPr>
                    <w:t>项目</w:t>
                  </w:r>
                </w:p>
              </w:tc>
              <w:tc>
                <w:tcPr>
                  <w:tcW w:w="655" w:type="pct"/>
                  <w:vAlign w:val="center"/>
                </w:tcPr>
                <w:p w14:paraId="5D7A6D70">
                  <w:pPr>
                    <w:pStyle w:val="31"/>
                    <w:widowControl w:val="0"/>
                    <w:autoSpaceDE w:val="0"/>
                    <w:autoSpaceDN w:val="0"/>
                    <w:spacing w:before="0" w:beforeAutospacing="0" w:after="0" w:afterAutospacing="0"/>
                    <w:jc w:val="center"/>
                    <w:rPr>
                      <w:rFonts w:ascii="Times New Roman" w:hAnsi="Times New Roman"/>
                      <w:b/>
                      <w:bCs/>
                      <w:color w:val="000000"/>
                      <w:kern w:val="2"/>
                      <w:sz w:val="21"/>
                      <w:szCs w:val="21"/>
                    </w:rPr>
                  </w:pPr>
                  <w:r>
                    <w:rPr>
                      <w:rFonts w:ascii="Times New Roman" w:hAnsi="Times New Roman"/>
                      <w:b/>
                      <w:bCs/>
                      <w:color w:val="000000"/>
                      <w:kern w:val="2"/>
                      <w:sz w:val="21"/>
                      <w:szCs w:val="21"/>
                    </w:rPr>
                    <w:t xml:space="preserve">单位 </w:t>
                  </w:r>
                </w:p>
              </w:tc>
              <w:tc>
                <w:tcPr>
                  <w:tcW w:w="2154" w:type="pct"/>
                  <w:vAlign w:val="center"/>
                </w:tcPr>
                <w:p w14:paraId="73E5E138">
                  <w:pPr>
                    <w:pStyle w:val="31"/>
                    <w:widowControl w:val="0"/>
                    <w:autoSpaceDE w:val="0"/>
                    <w:autoSpaceDN w:val="0"/>
                    <w:spacing w:before="0" w:beforeAutospacing="0" w:after="0" w:afterAutospacing="0"/>
                    <w:jc w:val="center"/>
                    <w:rPr>
                      <w:rFonts w:ascii="Times New Roman" w:hAnsi="Times New Roman"/>
                      <w:b/>
                      <w:bCs/>
                      <w:color w:val="000000"/>
                      <w:kern w:val="2"/>
                      <w:sz w:val="21"/>
                      <w:szCs w:val="21"/>
                    </w:rPr>
                  </w:pPr>
                  <w:r>
                    <w:rPr>
                      <w:rFonts w:hint="eastAsia" w:ascii="Times New Roman" w:hAnsi="Times New Roman"/>
                      <w:b/>
                      <w:bCs/>
                      <w:color w:val="000000"/>
                      <w:kern w:val="2"/>
                      <w:sz w:val="21"/>
                      <w:szCs w:val="21"/>
                      <w:lang w:val="en-US" w:eastAsia="zh-CN"/>
                    </w:rPr>
                    <w:t>吐鲁番</w:t>
                  </w:r>
                  <w:r>
                    <w:rPr>
                      <w:rFonts w:hint="eastAsia" w:ascii="Times New Roman" w:hAnsi="Times New Roman"/>
                      <w:b/>
                      <w:bCs/>
                      <w:color w:val="000000"/>
                      <w:kern w:val="2"/>
                      <w:sz w:val="21"/>
                      <w:szCs w:val="21"/>
                    </w:rPr>
                    <w:t>气象站</w:t>
                  </w:r>
                </w:p>
              </w:tc>
            </w:tr>
            <w:tr w14:paraId="6BB3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49501C3D">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多年平均气温 </w:t>
                  </w:r>
                </w:p>
              </w:tc>
              <w:tc>
                <w:tcPr>
                  <w:tcW w:w="655" w:type="pct"/>
                  <w:vAlign w:val="center"/>
                </w:tcPr>
                <w:p w14:paraId="329AE1E2">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 </w:t>
                  </w:r>
                </w:p>
              </w:tc>
              <w:tc>
                <w:tcPr>
                  <w:tcW w:w="2154" w:type="pct"/>
                  <w:vAlign w:val="center"/>
                </w:tcPr>
                <w:p w14:paraId="48E15D64">
                  <w:pPr>
                    <w:pStyle w:val="31"/>
                    <w:widowControl w:val="0"/>
                    <w:autoSpaceDE w:val="0"/>
                    <w:autoSpaceDN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color w:val="000000"/>
                      <w:kern w:val="2"/>
                      <w:sz w:val="21"/>
                      <w:szCs w:val="21"/>
                      <w:lang w:val="en-US" w:eastAsia="zh-CN"/>
                    </w:rPr>
                    <w:t>15.1</w:t>
                  </w:r>
                </w:p>
              </w:tc>
            </w:tr>
            <w:tr w14:paraId="4ABF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6CB74B57">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极端最高气温 </w:t>
                  </w:r>
                </w:p>
              </w:tc>
              <w:tc>
                <w:tcPr>
                  <w:tcW w:w="655" w:type="pct"/>
                  <w:vAlign w:val="center"/>
                </w:tcPr>
                <w:p w14:paraId="2514D9E0">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 </w:t>
                  </w:r>
                </w:p>
              </w:tc>
              <w:tc>
                <w:tcPr>
                  <w:tcW w:w="2154" w:type="pct"/>
                  <w:vAlign w:val="center"/>
                </w:tcPr>
                <w:p w14:paraId="68320A85">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val="en-US" w:eastAsia="zh-CN"/>
                    </w:rPr>
                    <w:t>48.5</w:t>
                  </w:r>
                  <w:r>
                    <w:rPr>
                      <w:rFonts w:ascii="Times New Roman" w:hAnsi="Times New Roman"/>
                      <w:color w:val="000000"/>
                      <w:kern w:val="2"/>
                      <w:sz w:val="21"/>
                      <w:szCs w:val="21"/>
                    </w:rPr>
                    <w:t>（</w:t>
                  </w:r>
                  <w:r>
                    <w:rPr>
                      <w:rFonts w:hint="eastAsia" w:ascii="Times New Roman" w:hAnsi="Times New Roman"/>
                      <w:color w:val="000000"/>
                      <w:kern w:val="2"/>
                      <w:sz w:val="21"/>
                      <w:szCs w:val="21"/>
                    </w:rPr>
                    <w:t>20</w:t>
                  </w:r>
                  <w:r>
                    <w:rPr>
                      <w:rFonts w:hint="eastAsia" w:ascii="Times New Roman" w:hAnsi="Times New Roman"/>
                      <w:color w:val="000000"/>
                      <w:kern w:val="2"/>
                      <w:sz w:val="21"/>
                      <w:szCs w:val="21"/>
                      <w:lang w:val="en-US" w:eastAsia="zh-CN"/>
                    </w:rPr>
                    <w:t>17</w:t>
                  </w:r>
                  <w:r>
                    <w:rPr>
                      <w:rFonts w:hint="eastAsia" w:ascii="Times New Roman" w:hAnsi="Times New Roman"/>
                      <w:color w:val="000000"/>
                      <w:kern w:val="2"/>
                      <w:sz w:val="21"/>
                      <w:szCs w:val="21"/>
                    </w:rPr>
                    <w:t>年</w:t>
                  </w:r>
                  <w:r>
                    <w:rPr>
                      <w:rFonts w:ascii="Times New Roman" w:hAnsi="Times New Roman"/>
                      <w:color w:val="000000"/>
                      <w:kern w:val="2"/>
                      <w:sz w:val="21"/>
                      <w:szCs w:val="21"/>
                    </w:rPr>
                    <w:t>）</w:t>
                  </w:r>
                </w:p>
              </w:tc>
            </w:tr>
            <w:tr w14:paraId="09AD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58161107">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极端最低气温 </w:t>
                  </w:r>
                </w:p>
              </w:tc>
              <w:tc>
                <w:tcPr>
                  <w:tcW w:w="655" w:type="pct"/>
                  <w:vAlign w:val="center"/>
                </w:tcPr>
                <w:p w14:paraId="3CD84A47">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 </w:t>
                  </w:r>
                </w:p>
              </w:tc>
              <w:tc>
                <w:tcPr>
                  <w:tcW w:w="2154" w:type="pct"/>
                  <w:vAlign w:val="center"/>
                </w:tcPr>
                <w:p w14:paraId="2FB7C5D7">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lang w:val="en-US" w:eastAsia="zh-CN"/>
                    </w:rPr>
                    <w:t>-17.7</w:t>
                  </w:r>
                  <w:r>
                    <w:rPr>
                      <w:rFonts w:ascii="Times New Roman" w:hAnsi="Times New Roman"/>
                      <w:color w:val="000000"/>
                      <w:kern w:val="2"/>
                      <w:sz w:val="21"/>
                      <w:szCs w:val="21"/>
                    </w:rPr>
                    <w:t>（</w:t>
                  </w:r>
                  <w:r>
                    <w:rPr>
                      <w:rFonts w:hint="eastAsia" w:ascii="Times New Roman" w:hAnsi="Times New Roman"/>
                      <w:color w:val="000000"/>
                      <w:kern w:val="2"/>
                      <w:sz w:val="21"/>
                      <w:szCs w:val="21"/>
                      <w:lang w:val="en-US" w:eastAsia="zh-CN"/>
                    </w:rPr>
                    <w:t>2011</w:t>
                  </w:r>
                  <w:r>
                    <w:rPr>
                      <w:rFonts w:hint="eastAsia" w:ascii="Times New Roman" w:hAnsi="Times New Roman"/>
                      <w:color w:val="000000"/>
                      <w:kern w:val="2"/>
                      <w:sz w:val="21"/>
                      <w:szCs w:val="21"/>
                    </w:rPr>
                    <w:t>年</w:t>
                  </w:r>
                  <w:r>
                    <w:rPr>
                      <w:rFonts w:ascii="Times New Roman" w:hAnsi="Times New Roman"/>
                      <w:color w:val="000000"/>
                      <w:kern w:val="2"/>
                      <w:sz w:val="21"/>
                      <w:szCs w:val="21"/>
                    </w:rPr>
                    <w:t>）</w:t>
                  </w:r>
                </w:p>
              </w:tc>
            </w:tr>
            <w:tr w14:paraId="12725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5462D05E">
                  <w:pPr>
                    <w:pStyle w:val="31"/>
                    <w:widowControl w:val="0"/>
                    <w:autoSpaceDE w:val="0"/>
                    <w:autoSpaceDN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累年年平均降水量</w:t>
                  </w:r>
                </w:p>
              </w:tc>
              <w:tc>
                <w:tcPr>
                  <w:tcW w:w="655" w:type="pct"/>
                  <w:vAlign w:val="center"/>
                </w:tcPr>
                <w:p w14:paraId="135BC20D">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mm</w:t>
                  </w:r>
                </w:p>
              </w:tc>
              <w:tc>
                <w:tcPr>
                  <w:tcW w:w="2154" w:type="pct"/>
                  <w:vAlign w:val="center"/>
                </w:tcPr>
                <w:p w14:paraId="59167971">
                  <w:pPr>
                    <w:pStyle w:val="31"/>
                    <w:widowControl w:val="0"/>
                    <w:autoSpaceDE w:val="0"/>
                    <w:autoSpaceDN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color w:val="000000"/>
                      <w:kern w:val="2"/>
                      <w:sz w:val="21"/>
                      <w:szCs w:val="21"/>
                      <w:lang w:val="en-US" w:eastAsia="zh-CN"/>
                    </w:rPr>
                    <w:t>16.1</w:t>
                  </w:r>
                </w:p>
              </w:tc>
            </w:tr>
            <w:tr w14:paraId="0B52B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4B60BF8E">
                  <w:pPr>
                    <w:pStyle w:val="31"/>
                    <w:widowControl w:val="0"/>
                    <w:autoSpaceDE w:val="0"/>
                    <w:autoSpaceDN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全年主导风向</w:t>
                  </w:r>
                </w:p>
              </w:tc>
              <w:tc>
                <w:tcPr>
                  <w:tcW w:w="655" w:type="pct"/>
                  <w:vAlign w:val="center"/>
                </w:tcPr>
                <w:p w14:paraId="7D6D04B7">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w:t>
                  </w:r>
                  <w:r>
                    <w:rPr>
                      <w:rFonts w:ascii="Times New Roman" w:hAnsi="Times New Roman"/>
                      <w:color w:val="000000"/>
                      <w:kern w:val="2"/>
                      <w:sz w:val="21"/>
                      <w:szCs w:val="21"/>
                    </w:rPr>
                    <w:t xml:space="preserve"> </w:t>
                  </w:r>
                </w:p>
              </w:tc>
              <w:tc>
                <w:tcPr>
                  <w:tcW w:w="2154" w:type="pct"/>
                  <w:vAlign w:val="center"/>
                </w:tcPr>
                <w:p w14:paraId="0AD37503">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E</w:t>
                  </w:r>
                </w:p>
              </w:tc>
            </w:tr>
            <w:tr w14:paraId="1389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90" w:type="pct"/>
                  <w:vAlign w:val="center"/>
                </w:tcPr>
                <w:p w14:paraId="6E4D8A9A">
                  <w:pPr>
                    <w:pStyle w:val="31"/>
                    <w:widowControl w:val="0"/>
                    <w:autoSpaceDE w:val="0"/>
                    <w:autoSpaceDN w:val="0"/>
                    <w:jc w:val="center"/>
                    <w:rPr>
                      <w:rFonts w:ascii="Times New Roman" w:hAnsi="Times New Roman"/>
                      <w:color w:val="000000"/>
                      <w:sz w:val="21"/>
                      <w:szCs w:val="21"/>
                    </w:rPr>
                  </w:pPr>
                  <w:r>
                    <w:rPr>
                      <w:rFonts w:ascii="Times New Roman" w:hAnsi="Times New Roman"/>
                      <w:color w:val="000000"/>
                      <w:sz w:val="21"/>
                      <w:szCs w:val="21"/>
                    </w:rPr>
                    <w:t>累年平均风速</w:t>
                  </w:r>
                </w:p>
              </w:tc>
              <w:tc>
                <w:tcPr>
                  <w:tcW w:w="655" w:type="pct"/>
                  <w:vAlign w:val="center"/>
                </w:tcPr>
                <w:p w14:paraId="73968BEC">
                  <w:pPr>
                    <w:pStyle w:val="31"/>
                    <w:widowControl w:val="0"/>
                    <w:autoSpaceDE w:val="0"/>
                    <w:autoSpaceDN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sz w:val="21"/>
                      <w:szCs w:val="21"/>
                    </w:rPr>
                    <w:t>m/s</w:t>
                  </w:r>
                </w:p>
              </w:tc>
              <w:tc>
                <w:tcPr>
                  <w:tcW w:w="2154" w:type="pct"/>
                  <w:vAlign w:val="center"/>
                </w:tcPr>
                <w:p w14:paraId="04903453">
                  <w:pPr>
                    <w:pStyle w:val="31"/>
                    <w:widowControl w:val="0"/>
                    <w:autoSpaceDE w:val="0"/>
                    <w:autoSpaceDN w:val="0"/>
                    <w:spacing w:before="0" w:beforeAutospacing="0" w:after="0" w:afterAutospacing="0"/>
                    <w:jc w:val="center"/>
                    <w:rPr>
                      <w:rFonts w:hint="eastAsia" w:ascii="Times New Roman" w:hAnsi="Times New Roman" w:eastAsia="宋体"/>
                      <w:color w:val="000000"/>
                      <w:kern w:val="2"/>
                      <w:sz w:val="21"/>
                      <w:szCs w:val="21"/>
                      <w:lang w:eastAsia="zh-CN"/>
                    </w:rPr>
                  </w:pPr>
                  <w:r>
                    <w:rPr>
                      <w:rFonts w:hint="eastAsia" w:ascii="Times New Roman" w:hAnsi="Times New Roman"/>
                      <w:color w:val="000000"/>
                      <w:kern w:val="2"/>
                      <w:sz w:val="21"/>
                      <w:szCs w:val="21"/>
                    </w:rPr>
                    <w:t>1.</w:t>
                  </w:r>
                  <w:r>
                    <w:rPr>
                      <w:rFonts w:hint="eastAsia" w:ascii="Times New Roman" w:hAnsi="Times New Roman"/>
                      <w:color w:val="000000"/>
                      <w:kern w:val="2"/>
                      <w:sz w:val="21"/>
                      <w:szCs w:val="21"/>
                      <w:lang w:val="en-US" w:eastAsia="zh-CN"/>
                    </w:rPr>
                    <w:t>3</w:t>
                  </w:r>
                </w:p>
              </w:tc>
            </w:tr>
          </w:tbl>
          <w:p w14:paraId="01E589E6">
            <w:pPr>
              <w:pStyle w:val="3"/>
              <w:numPr>
                <w:ilvl w:val="1"/>
                <w:numId w:val="9"/>
              </w:numPr>
              <w:spacing w:after="0" w:line="360" w:lineRule="auto"/>
              <w:rPr>
                <w:rFonts w:eastAsia="宋体"/>
                <w:sz w:val="24"/>
                <w:szCs w:val="24"/>
              </w:rPr>
            </w:pPr>
            <w:bookmarkStart w:id="355" w:name="_Toc109473791"/>
            <w:bookmarkStart w:id="356" w:name="_Toc109472618"/>
            <w:bookmarkStart w:id="357" w:name="_Toc91493257"/>
            <w:bookmarkStart w:id="358" w:name="_Toc95464659"/>
            <w:bookmarkStart w:id="359" w:name="_Toc109473557"/>
            <w:bookmarkStart w:id="360" w:name="_Toc96031285"/>
            <w:bookmarkStart w:id="361" w:name="_Toc85036871"/>
            <w:bookmarkStart w:id="362" w:name="_Toc97290575"/>
            <w:bookmarkStart w:id="363" w:name="_Toc111564309"/>
            <w:bookmarkStart w:id="364" w:name="_Toc81308141"/>
            <w:bookmarkStart w:id="365" w:name="_Toc85037205"/>
            <w:bookmarkStart w:id="366" w:name="_Toc81415613"/>
            <w:bookmarkStart w:id="367" w:name="_Toc109473870"/>
            <w:bookmarkStart w:id="368" w:name="_Toc96935405"/>
            <w:bookmarkStart w:id="369" w:name="_Toc91532164"/>
            <w:bookmarkStart w:id="370" w:name="_Toc110439145"/>
            <w:bookmarkStart w:id="371" w:name="_Toc96031368"/>
            <w:bookmarkStart w:id="372" w:name="_Toc22740"/>
            <w:bookmarkStart w:id="373" w:name="_Toc3944"/>
            <w:bookmarkStart w:id="374" w:name="_Toc88558511"/>
            <w:r>
              <w:rPr>
                <w:rFonts w:eastAsia="宋体"/>
                <w:sz w:val="24"/>
                <w:szCs w:val="24"/>
              </w:rPr>
              <w:t>植被</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11D0DDE">
            <w:pPr>
              <w:pStyle w:val="11"/>
              <w:rPr>
                <w:color w:val="000000"/>
                <w:szCs w:val="24"/>
              </w:rPr>
            </w:pPr>
            <w:r>
              <w:rPr>
                <w:rFonts w:hint="eastAsia"/>
                <w:color w:val="000000"/>
                <w:szCs w:val="24"/>
              </w:rPr>
              <w:t>本工程区位于荒漠植被类型区，原生植被为温带丛生禾草草原植被、少量灌木林地，自然植被长势一般，草本植被以蒿类为主，灌木以梭梭、红柳为主。林地区域主要为人工栽植乔木。项目沿线林草覆盖率5%~20%。</w:t>
            </w:r>
          </w:p>
          <w:p w14:paraId="20E7A470">
            <w:pPr>
              <w:pStyle w:val="11"/>
              <w:rPr>
                <w:color w:val="000000"/>
                <w:szCs w:val="24"/>
              </w:rPr>
            </w:pPr>
            <w:r>
              <w:rPr>
                <w:rFonts w:hint="eastAsia"/>
                <w:szCs w:val="24"/>
              </w:rPr>
              <w:t>对照《国家重点保护野生植物名录》（国家林业和草原局农业农村部公告，2021年第15号）和《新疆维吾尔自治区重点保护野生植物名录》（新政发〔2023〕63号），工程生态影响评价区内未发现国家及自治区重点保护野生植物。</w:t>
            </w:r>
          </w:p>
          <w:p w14:paraId="251C9E4E">
            <w:pPr>
              <w:pStyle w:val="3"/>
              <w:numPr>
                <w:ilvl w:val="1"/>
                <w:numId w:val="9"/>
              </w:numPr>
              <w:spacing w:before="0" w:after="0" w:line="360" w:lineRule="auto"/>
              <w:rPr>
                <w:rFonts w:eastAsia="宋体"/>
                <w:sz w:val="24"/>
                <w:szCs w:val="24"/>
              </w:rPr>
            </w:pPr>
            <w:bookmarkStart w:id="375" w:name="_Toc16767"/>
            <w:bookmarkStart w:id="376" w:name="_Toc95464660"/>
            <w:bookmarkStart w:id="377" w:name="_Toc81308142"/>
            <w:bookmarkStart w:id="378" w:name="_Toc111564310"/>
            <w:bookmarkStart w:id="379" w:name="_Toc20887"/>
            <w:bookmarkStart w:id="380" w:name="_Toc110439146"/>
            <w:bookmarkStart w:id="381" w:name="_Toc96935406"/>
            <w:bookmarkStart w:id="382" w:name="_Toc91493258"/>
            <w:bookmarkStart w:id="383" w:name="_Toc91532165"/>
            <w:bookmarkStart w:id="384" w:name="_Toc109472619"/>
            <w:bookmarkStart w:id="385" w:name="_Toc109473871"/>
            <w:bookmarkStart w:id="386" w:name="_Toc96031286"/>
            <w:bookmarkStart w:id="387" w:name="_Toc88558512"/>
            <w:bookmarkStart w:id="388" w:name="_Toc97290576"/>
            <w:bookmarkStart w:id="389" w:name="_Toc96031369"/>
            <w:bookmarkStart w:id="390" w:name="_Toc109473792"/>
            <w:bookmarkStart w:id="391" w:name="_Toc109473558"/>
            <w:bookmarkStart w:id="392" w:name="_Toc81415614"/>
            <w:bookmarkStart w:id="393" w:name="_Toc85037206"/>
            <w:bookmarkStart w:id="394" w:name="_Toc85036872"/>
            <w:r>
              <w:rPr>
                <w:rFonts w:eastAsia="宋体"/>
                <w:sz w:val="24"/>
                <w:szCs w:val="24"/>
              </w:rPr>
              <w:t>动物</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46928F67">
            <w:pPr>
              <w:pStyle w:val="11"/>
              <w:rPr>
                <w:color w:val="000000"/>
                <w:szCs w:val="24"/>
              </w:rPr>
            </w:pPr>
            <w:r>
              <w:rPr>
                <w:color w:val="000000"/>
                <w:szCs w:val="24"/>
              </w:rPr>
              <w:t>根据现场踏勘及有关资料，</w:t>
            </w:r>
            <w:r>
              <w:rPr>
                <w:rFonts w:hint="eastAsia"/>
                <w:color w:val="000000"/>
                <w:szCs w:val="24"/>
              </w:rPr>
              <w:t>本工程所在区域人类活动较频繁，区域野生动物分布较少，主要为爬行类的蜥蜴和哺乳类的啮齿动物。</w:t>
            </w:r>
          </w:p>
          <w:p w14:paraId="023C417B">
            <w:pPr>
              <w:pStyle w:val="11"/>
              <w:rPr>
                <w:rFonts w:hint="eastAsia"/>
                <w:szCs w:val="24"/>
              </w:rPr>
            </w:pPr>
            <w:r>
              <w:rPr>
                <w:rFonts w:hint="eastAsia"/>
                <w:szCs w:val="24"/>
              </w:rPr>
              <w:t>对照《国家重点保护野生动物名录》（国家林业和草原局 农业农村部公告2021年第3号）和《新疆维吾尔自治区重点保护野生动物名录（修订）》（新政发〔2022〕75号），本工程评价区内未发现国家及自治区重点保护野生动物分布。</w:t>
            </w:r>
          </w:p>
          <w:p w14:paraId="3D12E6A4">
            <w:pPr>
              <w:pStyle w:val="3"/>
              <w:numPr>
                <w:ilvl w:val="1"/>
                <w:numId w:val="9"/>
              </w:numPr>
              <w:spacing w:before="0" w:after="0" w:line="360" w:lineRule="auto"/>
              <w:rPr>
                <w:rFonts w:eastAsia="宋体"/>
                <w:sz w:val="24"/>
                <w:szCs w:val="24"/>
                <w:u w:val="single"/>
              </w:rPr>
            </w:pPr>
            <w:bookmarkStart w:id="395" w:name="_Toc13434"/>
            <w:r>
              <w:rPr>
                <w:rFonts w:hint="eastAsia" w:eastAsia="宋体"/>
                <w:sz w:val="24"/>
                <w:szCs w:val="24"/>
                <w:u w:val="none"/>
              </w:rPr>
              <w:t>土地沙化现状</w:t>
            </w:r>
            <w:bookmarkEnd w:id="395"/>
          </w:p>
          <w:p w14:paraId="502715C7">
            <w:pPr>
              <w:pStyle w:val="11"/>
              <w:rPr>
                <w:rFonts w:hint="eastAsia"/>
                <w:szCs w:val="24"/>
                <w:u w:val="none"/>
              </w:rPr>
            </w:pPr>
            <w:r>
              <w:rPr>
                <w:rFonts w:hint="eastAsia"/>
                <w:szCs w:val="24"/>
                <w:u w:val="none"/>
              </w:rPr>
              <w:t>根据现场踏勘，地貌主要为山前冲洪积平原。根据《新疆第六次沙化土地监测报告》，本工程所在区域为非沙化土地。</w:t>
            </w:r>
          </w:p>
          <w:p w14:paraId="74202B21">
            <w:pPr>
              <w:pStyle w:val="3"/>
              <w:numPr>
                <w:ilvl w:val="0"/>
                <w:numId w:val="9"/>
              </w:numPr>
              <w:spacing w:before="0" w:after="0" w:line="360" w:lineRule="auto"/>
              <w:rPr>
                <w:rFonts w:eastAsia="宋体"/>
                <w:sz w:val="24"/>
                <w:szCs w:val="24"/>
              </w:rPr>
            </w:pPr>
            <w:bookmarkStart w:id="396" w:name="_Toc109472620"/>
            <w:bookmarkStart w:id="397" w:name="_Toc96031370"/>
            <w:bookmarkStart w:id="398" w:name="_Toc88558513"/>
            <w:bookmarkStart w:id="399" w:name="_Toc91532166"/>
            <w:bookmarkStart w:id="400" w:name="_Toc85037207"/>
            <w:bookmarkStart w:id="401" w:name="_Toc81308143"/>
            <w:bookmarkStart w:id="402" w:name="_Toc18243"/>
            <w:bookmarkStart w:id="403" w:name="_Toc109473793"/>
            <w:bookmarkStart w:id="404" w:name="_Toc110439147"/>
            <w:bookmarkStart w:id="405" w:name="_Toc111564311"/>
            <w:bookmarkStart w:id="406" w:name="_Toc96031287"/>
            <w:bookmarkStart w:id="407" w:name="_Toc19851"/>
            <w:bookmarkStart w:id="408" w:name="_Toc91493259"/>
            <w:bookmarkStart w:id="409" w:name="_Toc96935407"/>
            <w:bookmarkStart w:id="410" w:name="_Toc85036873"/>
            <w:bookmarkStart w:id="411" w:name="_Toc97290577"/>
            <w:bookmarkStart w:id="412" w:name="_Toc81415615"/>
            <w:bookmarkStart w:id="413" w:name="_Toc109473559"/>
            <w:bookmarkStart w:id="414" w:name="_Toc95464661"/>
            <w:bookmarkStart w:id="415" w:name="_Toc109473872"/>
            <w:r>
              <w:rPr>
                <w:rFonts w:eastAsia="宋体"/>
                <w:sz w:val="24"/>
                <w:szCs w:val="24"/>
              </w:rPr>
              <w:t>声环境质量现状</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57C156A">
            <w:pPr>
              <w:pStyle w:val="3"/>
              <w:numPr>
                <w:ilvl w:val="1"/>
                <w:numId w:val="9"/>
              </w:numPr>
              <w:spacing w:before="0" w:after="0" w:line="360" w:lineRule="auto"/>
              <w:rPr>
                <w:rFonts w:eastAsia="宋体"/>
                <w:sz w:val="24"/>
                <w:szCs w:val="24"/>
              </w:rPr>
            </w:pPr>
            <w:bookmarkStart w:id="416" w:name="_Toc91493260"/>
            <w:bookmarkStart w:id="417" w:name="_Toc81415616"/>
            <w:bookmarkStart w:id="418" w:name="_Toc96031371"/>
            <w:bookmarkStart w:id="419" w:name="_Toc111564312"/>
            <w:bookmarkStart w:id="420" w:name="_Toc96935408"/>
            <w:bookmarkStart w:id="421" w:name="_Toc97290578"/>
            <w:bookmarkStart w:id="422" w:name="_Toc12700"/>
            <w:bookmarkStart w:id="423" w:name="_Toc81308144"/>
            <w:bookmarkStart w:id="424" w:name="_Toc85036874"/>
            <w:bookmarkStart w:id="425" w:name="_Toc109472621"/>
            <w:bookmarkStart w:id="426" w:name="_Toc85037208"/>
            <w:bookmarkStart w:id="427" w:name="_Toc96031288"/>
            <w:bookmarkStart w:id="428" w:name="_Toc91532167"/>
            <w:bookmarkStart w:id="429" w:name="_Toc109473794"/>
            <w:bookmarkStart w:id="430" w:name="_Toc95464662"/>
            <w:bookmarkStart w:id="431" w:name="_Toc109473873"/>
            <w:bookmarkStart w:id="432" w:name="_Toc109473560"/>
            <w:bookmarkStart w:id="433" w:name="_Toc110439148"/>
            <w:bookmarkStart w:id="434" w:name="_Toc13228"/>
            <w:bookmarkStart w:id="435" w:name="_Toc88558514"/>
            <w:r>
              <w:rPr>
                <w:rFonts w:eastAsia="宋体"/>
                <w:sz w:val="24"/>
                <w:szCs w:val="24"/>
              </w:rPr>
              <w:t>监测布点</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140DE7F5">
            <w:pPr>
              <w:pStyle w:val="3"/>
              <w:numPr>
                <w:ilvl w:val="2"/>
                <w:numId w:val="9"/>
              </w:numPr>
              <w:spacing w:before="0" w:after="0" w:line="360" w:lineRule="auto"/>
              <w:rPr>
                <w:rFonts w:eastAsia="宋体"/>
                <w:sz w:val="24"/>
                <w:szCs w:val="24"/>
              </w:rPr>
            </w:pPr>
            <w:bookmarkStart w:id="436" w:name="_Toc96031372"/>
            <w:bookmarkStart w:id="437" w:name="_Toc24402"/>
            <w:bookmarkStart w:id="438" w:name="_Toc91532168"/>
            <w:bookmarkStart w:id="439" w:name="_Toc109473561"/>
            <w:bookmarkStart w:id="440" w:name="_Toc85037209"/>
            <w:bookmarkStart w:id="441" w:name="_Toc110439149"/>
            <w:bookmarkStart w:id="442" w:name="_Toc111564313"/>
            <w:bookmarkStart w:id="443" w:name="_Toc96031289"/>
            <w:bookmarkStart w:id="444" w:name="_Toc97290579"/>
            <w:bookmarkStart w:id="445" w:name="_Toc109473874"/>
            <w:bookmarkStart w:id="446" w:name="_Toc91493261"/>
            <w:bookmarkStart w:id="447" w:name="_Toc96935409"/>
            <w:bookmarkStart w:id="448" w:name="_Toc109473795"/>
            <w:bookmarkStart w:id="449" w:name="_Toc88558515"/>
            <w:bookmarkStart w:id="450" w:name="_Toc95464663"/>
            <w:bookmarkStart w:id="451" w:name="_Toc81308145"/>
            <w:bookmarkStart w:id="452" w:name="_Toc2131"/>
            <w:bookmarkStart w:id="453" w:name="_Toc85036875"/>
            <w:bookmarkStart w:id="454" w:name="_Toc81415617"/>
            <w:bookmarkStart w:id="455" w:name="_Toc109472622"/>
            <w:r>
              <w:rPr>
                <w:rFonts w:eastAsia="宋体"/>
                <w:sz w:val="24"/>
                <w:szCs w:val="24"/>
              </w:rPr>
              <w:t>监测布点原则</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DD4759D">
            <w:pPr>
              <w:pStyle w:val="11"/>
            </w:pPr>
            <w:r>
              <w:rPr>
                <w:rFonts w:hint="eastAsia"/>
              </w:rPr>
              <w:t>变电站厂界：厂界监测布点原则上根据站内噪声源、周围噪声保护建筑物的布局以及毗邻的区域声环境功能类别，在厂界外设置至少1个代表性监测点。监测点尽量靠近站内高噪声设备、距噪声敏感建筑物较近以及受被测声源影响大的位置。一般情况下，厂界测点选在工业企业厂界外1m、高度1.2m以上、距任一反射面距离不小于1m的位置，当厂界有围墙（且未设有声屏障等隔声设施）且周围有受影响的噪声敏感建筑物时，测点应选在厂界外1m、高于围墙0.5m以上的位置。</w:t>
            </w:r>
          </w:p>
          <w:p w14:paraId="634E88EF">
            <w:pPr>
              <w:pStyle w:val="11"/>
            </w:pPr>
            <w:r>
              <w:rPr>
                <w:rFonts w:hint="eastAsia"/>
              </w:rPr>
              <w:t>架空线路：对线路沿线各声环境保护目标进行声环境现状监测，若线路沿线声环境影响评价范围内无声环境</w:t>
            </w:r>
            <w:r>
              <w:rPr>
                <w:rFonts w:hint="eastAsia"/>
                <w:lang w:val="en-US" w:eastAsia="zh-CN"/>
              </w:rPr>
              <w:t>保护</w:t>
            </w:r>
            <w:r>
              <w:rPr>
                <w:rFonts w:hint="eastAsia"/>
              </w:rPr>
              <w:t>目标，在拟建线路路径处设置现状监测点位。</w:t>
            </w:r>
          </w:p>
          <w:p w14:paraId="742D2F68">
            <w:pPr>
              <w:pStyle w:val="11"/>
              <w:rPr>
                <w:color w:val="000000"/>
                <w:szCs w:val="24"/>
              </w:rPr>
            </w:pPr>
            <w:r>
              <w:rPr>
                <w:rFonts w:hint="eastAsia"/>
              </w:rPr>
              <w:t>声环境保护目标：声环境保护目标监测点原则上布设在可能既受到前期工程声源影响、又受到本期建设项目声源影响的敏感目标处。当声环境保护目标高于（含）三层建筑时，还应按照噪声垂直分布规律、建设项目与声环境保护目标高差等因素选取有代表性的声环境保护目标的代表性楼层设置测点。测点位于噪声敏感建筑物外，距墙壁或窗户1m处，距地面高度1.2m以上。</w:t>
            </w:r>
          </w:p>
          <w:p w14:paraId="45D340BA">
            <w:pPr>
              <w:pStyle w:val="3"/>
              <w:numPr>
                <w:ilvl w:val="2"/>
                <w:numId w:val="9"/>
              </w:numPr>
              <w:spacing w:before="0" w:after="0" w:line="360" w:lineRule="auto"/>
              <w:rPr>
                <w:rFonts w:eastAsia="宋体"/>
                <w:sz w:val="24"/>
                <w:szCs w:val="24"/>
              </w:rPr>
            </w:pPr>
            <w:bookmarkStart w:id="456" w:name="_Toc25440"/>
            <w:bookmarkStart w:id="457" w:name="_Toc109473796"/>
            <w:bookmarkStart w:id="458" w:name="_Toc97290580"/>
            <w:bookmarkStart w:id="459" w:name="_Toc96935410"/>
            <w:bookmarkStart w:id="460" w:name="_Toc85037210"/>
            <w:bookmarkStart w:id="461" w:name="_Toc85036876"/>
            <w:bookmarkStart w:id="462" w:name="_Toc96031290"/>
            <w:bookmarkStart w:id="463" w:name="_Toc25638"/>
            <w:bookmarkStart w:id="464" w:name="_Toc109473562"/>
            <w:bookmarkStart w:id="465" w:name="_Toc109473875"/>
            <w:bookmarkStart w:id="466" w:name="_Toc88558516"/>
            <w:bookmarkStart w:id="467" w:name="_Toc81308146"/>
            <w:bookmarkStart w:id="468" w:name="_Toc95464664"/>
            <w:bookmarkStart w:id="469" w:name="_Toc91493262"/>
            <w:bookmarkStart w:id="470" w:name="_Toc81415618"/>
            <w:bookmarkStart w:id="471" w:name="_Toc109472623"/>
            <w:bookmarkStart w:id="472" w:name="_Toc96031373"/>
            <w:bookmarkStart w:id="473" w:name="_Toc111564314"/>
            <w:bookmarkStart w:id="474" w:name="_Toc91532169"/>
            <w:bookmarkStart w:id="475" w:name="_Toc110439150"/>
            <w:r>
              <w:rPr>
                <w:rFonts w:eastAsia="宋体"/>
                <w:sz w:val="24"/>
                <w:szCs w:val="24"/>
              </w:rPr>
              <w:t>监测布点</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510042A">
            <w:pPr>
              <w:pStyle w:val="11"/>
              <w:rPr>
                <w:color w:val="000000"/>
                <w:szCs w:val="24"/>
              </w:rPr>
            </w:pPr>
            <w:r>
              <w:rPr>
                <w:color w:val="000000"/>
                <w:szCs w:val="24"/>
              </w:rPr>
              <w:t>1）</w:t>
            </w:r>
            <w:r>
              <w:rPr>
                <w:rFonts w:hint="eastAsia"/>
                <w:color w:val="000000"/>
                <w:szCs w:val="32"/>
                <w:lang w:eastAsia="zh-CN"/>
              </w:rPr>
              <w:t>港城变110千伏间隔扩建工程</w:t>
            </w:r>
            <w:r>
              <w:rPr>
                <w:rFonts w:hint="eastAsia"/>
                <w:color w:val="000000"/>
                <w:szCs w:val="24"/>
              </w:rPr>
              <w:t>：</w:t>
            </w:r>
          </w:p>
          <w:p w14:paraId="00CF45EC">
            <w:pPr>
              <w:pStyle w:val="11"/>
              <w:rPr>
                <w:snapToGrid w:val="0"/>
                <w:szCs w:val="24"/>
                <w:shd w:val="clear" w:color="auto" w:fill="FFFFFF"/>
              </w:rPr>
            </w:pPr>
            <w:r>
              <w:rPr>
                <w:rFonts w:hint="eastAsia"/>
                <w:snapToGrid w:val="0"/>
                <w:szCs w:val="24"/>
                <w:shd w:val="clear" w:color="auto" w:fill="FFFFFF"/>
              </w:rPr>
              <w:t>在变电站四侧厂界分别布设2个监测点，共8个测点</w:t>
            </w:r>
            <w:r>
              <w:rPr>
                <w:rFonts w:hint="eastAsia"/>
                <w:snapToGrid w:val="0"/>
                <w:szCs w:val="24"/>
                <w:highlight w:val="none"/>
                <w:shd w:val="clear" w:color="auto" w:fill="FFFFFF"/>
              </w:rPr>
              <w:t>；变电站评价范围内有</w:t>
            </w:r>
            <w:r>
              <w:rPr>
                <w:rFonts w:hint="eastAsia"/>
                <w:snapToGrid w:val="0"/>
                <w:szCs w:val="24"/>
                <w:highlight w:val="none"/>
                <w:shd w:val="clear" w:color="auto" w:fill="FFFFFF"/>
                <w:lang w:eastAsia="zh-CN"/>
              </w:rPr>
              <w:t>3</w:t>
            </w:r>
            <w:r>
              <w:rPr>
                <w:rFonts w:hint="eastAsia"/>
                <w:snapToGrid w:val="0"/>
                <w:szCs w:val="24"/>
                <w:highlight w:val="none"/>
                <w:shd w:val="clear" w:color="auto" w:fill="FFFFFF"/>
              </w:rPr>
              <w:t>处声环境保护目标，共布设</w:t>
            </w:r>
            <w:r>
              <w:rPr>
                <w:rFonts w:hint="eastAsia"/>
                <w:snapToGrid w:val="0"/>
                <w:szCs w:val="24"/>
                <w:highlight w:val="none"/>
                <w:shd w:val="clear" w:color="auto" w:fill="FFFFFF"/>
                <w:lang w:eastAsia="zh-CN"/>
              </w:rPr>
              <w:t>3</w:t>
            </w:r>
            <w:r>
              <w:rPr>
                <w:rFonts w:hint="eastAsia"/>
                <w:snapToGrid w:val="0"/>
                <w:szCs w:val="24"/>
                <w:highlight w:val="none"/>
                <w:shd w:val="clear" w:color="auto" w:fill="FFFFFF"/>
              </w:rPr>
              <w:t>个测点。</w:t>
            </w:r>
          </w:p>
          <w:p w14:paraId="051B0E24">
            <w:pPr>
              <w:pStyle w:val="11"/>
              <w:rPr>
                <w:color w:val="000000"/>
                <w:szCs w:val="24"/>
              </w:rPr>
            </w:pPr>
            <w:r>
              <w:rPr>
                <w:rFonts w:hint="eastAsia"/>
                <w:color w:val="000000"/>
                <w:szCs w:val="24"/>
              </w:rPr>
              <w:t>2</w:t>
            </w:r>
            <w:r>
              <w:rPr>
                <w:color w:val="000000"/>
                <w:szCs w:val="24"/>
              </w:rPr>
              <w:t>）</w:t>
            </w:r>
            <w:r>
              <w:rPr>
                <w:rFonts w:hint="eastAsia"/>
                <w:color w:val="000000"/>
                <w:lang w:eastAsia="zh-CN"/>
              </w:rPr>
              <w:t>港城~新阳110千伏线路工程</w:t>
            </w:r>
            <w:r>
              <w:rPr>
                <w:color w:val="000000"/>
                <w:szCs w:val="24"/>
              </w:rPr>
              <w:t>：</w:t>
            </w:r>
          </w:p>
          <w:p w14:paraId="17751EAD">
            <w:pPr>
              <w:pStyle w:val="11"/>
              <w:rPr>
                <w:color w:val="000000"/>
                <w:szCs w:val="24"/>
              </w:rPr>
            </w:pPr>
            <w:r>
              <w:rPr>
                <w:rFonts w:hint="eastAsia"/>
                <w:color w:val="000000"/>
                <w:szCs w:val="24"/>
                <w:highlight w:val="none"/>
              </w:rPr>
              <w:t>新建线路评价范围内</w:t>
            </w:r>
            <w:r>
              <w:rPr>
                <w:rFonts w:hint="eastAsia"/>
                <w:color w:val="000000"/>
                <w:szCs w:val="24"/>
                <w:highlight w:val="none"/>
                <w:lang w:val="en-US" w:eastAsia="zh-CN"/>
              </w:rPr>
              <w:t>有1处</w:t>
            </w:r>
            <w:r>
              <w:rPr>
                <w:rFonts w:hint="eastAsia"/>
                <w:color w:val="000000"/>
                <w:szCs w:val="24"/>
                <w:highlight w:val="none"/>
              </w:rPr>
              <w:t>声环境保护目标，</w:t>
            </w:r>
            <w:r>
              <w:rPr>
                <w:rFonts w:hint="eastAsia"/>
                <w:color w:val="000000"/>
                <w:szCs w:val="24"/>
                <w:highlight w:val="none"/>
                <w:lang w:val="en-US" w:eastAsia="zh-CN"/>
              </w:rPr>
              <w:t>共布设1个测点</w:t>
            </w:r>
            <w:r>
              <w:rPr>
                <w:color w:val="000000"/>
                <w:szCs w:val="24"/>
                <w:highlight w:val="none"/>
              </w:rPr>
              <w:t>。</w:t>
            </w:r>
          </w:p>
          <w:p w14:paraId="078EE493">
            <w:pPr>
              <w:pStyle w:val="3"/>
              <w:numPr>
                <w:ilvl w:val="2"/>
                <w:numId w:val="9"/>
              </w:numPr>
              <w:spacing w:before="0" w:after="0" w:line="360" w:lineRule="auto"/>
              <w:rPr>
                <w:rFonts w:eastAsia="宋体"/>
                <w:sz w:val="24"/>
                <w:szCs w:val="24"/>
              </w:rPr>
            </w:pPr>
            <w:bookmarkStart w:id="476" w:name="_Toc96935411"/>
            <w:bookmarkStart w:id="477" w:name="_Toc95464665"/>
            <w:bookmarkStart w:id="478" w:name="_Toc109473797"/>
            <w:bookmarkStart w:id="479" w:name="_Toc96031291"/>
            <w:bookmarkStart w:id="480" w:name="_Toc109472624"/>
            <w:bookmarkStart w:id="481" w:name="_Toc81415619"/>
            <w:bookmarkStart w:id="482" w:name="_Toc109473876"/>
            <w:bookmarkStart w:id="483" w:name="_Toc111564315"/>
            <w:bookmarkStart w:id="484" w:name="_Toc3337"/>
            <w:bookmarkStart w:id="485" w:name="_Toc91532170"/>
            <w:bookmarkStart w:id="486" w:name="_Toc109473563"/>
            <w:bookmarkStart w:id="487" w:name="_Toc96031374"/>
            <w:bookmarkStart w:id="488" w:name="_Toc88558517"/>
            <w:bookmarkStart w:id="489" w:name="_Toc97290581"/>
            <w:bookmarkStart w:id="490" w:name="_Toc81308147"/>
            <w:bookmarkStart w:id="491" w:name="_Toc85037211"/>
            <w:bookmarkStart w:id="492" w:name="_Toc85036877"/>
            <w:bookmarkStart w:id="493" w:name="_Toc110439151"/>
            <w:bookmarkStart w:id="494" w:name="_Toc91493263"/>
            <w:bookmarkStart w:id="495" w:name="_Toc7888"/>
            <w:r>
              <w:rPr>
                <w:rFonts w:eastAsia="宋体"/>
                <w:sz w:val="24"/>
                <w:szCs w:val="24"/>
              </w:rPr>
              <w:t>监测点位</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414F966">
            <w:pPr>
              <w:pStyle w:val="11"/>
              <w:rPr>
                <w:snapToGrid w:val="0"/>
                <w:szCs w:val="24"/>
                <w:shd w:val="clear" w:color="auto" w:fill="FFFFFF"/>
              </w:rPr>
            </w:pPr>
            <w:r>
              <w:rPr>
                <w:color w:val="000000"/>
                <w:szCs w:val="24"/>
              </w:rPr>
              <w:t>1）</w:t>
            </w:r>
            <w:r>
              <w:rPr>
                <w:rFonts w:hint="eastAsia"/>
                <w:color w:val="000000"/>
                <w:szCs w:val="24"/>
              </w:rPr>
              <w:t>变电站间隔扩建工程：</w:t>
            </w:r>
            <w:r>
              <w:rPr>
                <w:rFonts w:hint="eastAsia"/>
                <w:color w:val="000000"/>
                <w:szCs w:val="24"/>
                <w:lang w:val="en-US" w:eastAsia="zh-CN"/>
              </w:rPr>
              <w:t>根据现场踏勘，港城110kV变电站厂界外围约2m处建有格栅，</w:t>
            </w:r>
            <w:r>
              <w:rPr>
                <w:rFonts w:hint="eastAsia"/>
                <w:color w:val="000000"/>
                <w:szCs w:val="24"/>
              </w:rPr>
              <w:t>结合站外环境条件，</w:t>
            </w:r>
            <w:r>
              <w:rPr>
                <w:rFonts w:hint="eastAsia"/>
                <w:snapToGrid w:val="0"/>
                <w:szCs w:val="24"/>
                <w:shd w:val="clear" w:color="auto" w:fill="FFFFFF"/>
              </w:rPr>
              <w:t>在</w:t>
            </w:r>
            <w:r>
              <w:rPr>
                <w:rFonts w:hint="eastAsia"/>
                <w:color w:val="000000"/>
                <w:szCs w:val="32"/>
                <w:lang w:eastAsia="zh-CN"/>
              </w:rPr>
              <w:t>港城110kV变电站</w:t>
            </w:r>
            <w:r>
              <w:rPr>
                <w:rFonts w:hint="eastAsia"/>
                <w:snapToGrid w:val="0"/>
                <w:szCs w:val="24"/>
                <w:shd w:val="clear" w:color="auto" w:fill="FFFFFF"/>
              </w:rPr>
              <w:t>厂界东侧</w:t>
            </w:r>
            <w:r>
              <w:rPr>
                <w:rFonts w:hint="eastAsia"/>
                <w:snapToGrid w:val="0"/>
                <w:szCs w:val="24"/>
                <w:shd w:val="clear" w:color="auto" w:fill="FFFFFF"/>
                <w:lang w:eastAsia="zh-CN"/>
              </w:rPr>
              <w:t>、</w:t>
            </w:r>
            <w:r>
              <w:rPr>
                <w:rFonts w:hint="eastAsia"/>
                <w:snapToGrid w:val="0"/>
                <w:szCs w:val="24"/>
                <w:shd w:val="clear" w:color="auto" w:fill="FFFFFF"/>
                <w:lang w:val="en-US" w:eastAsia="zh-CN"/>
              </w:rPr>
              <w:t>南侧、西侧</w:t>
            </w:r>
            <w:r>
              <w:rPr>
                <w:rFonts w:hint="eastAsia"/>
                <w:snapToGrid w:val="0"/>
                <w:szCs w:val="24"/>
                <w:shd w:val="clear" w:color="auto" w:fill="FFFFFF"/>
              </w:rPr>
              <w:t>围墙外</w:t>
            </w:r>
            <w:r>
              <w:rPr>
                <w:rFonts w:hint="eastAsia"/>
                <w:snapToGrid w:val="0"/>
                <w:szCs w:val="24"/>
                <w:shd w:val="clear" w:color="auto" w:fill="FFFFFF"/>
                <w:lang w:val="en-US" w:eastAsia="zh-CN"/>
              </w:rPr>
              <w:t>2</w:t>
            </w:r>
            <w:r>
              <w:rPr>
                <w:rFonts w:hint="eastAsia"/>
                <w:snapToGrid w:val="0"/>
                <w:szCs w:val="24"/>
                <w:shd w:val="clear" w:color="auto" w:fill="FFFFFF"/>
              </w:rPr>
              <w:t>m、高于围墙0.5m高度处</w:t>
            </w:r>
            <w:r>
              <w:rPr>
                <w:rFonts w:hint="eastAsia"/>
                <w:snapToGrid w:val="0"/>
                <w:szCs w:val="24"/>
                <w:shd w:val="clear" w:color="auto" w:fill="FFFFFF"/>
                <w:lang w:val="en-US" w:eastAsia="zh-CN"/>
              </w:rPr>
              <w:t>各</w:t>
            </w:r>
            <w:r>
              <w:rPr>
                <w:rFonts w:hint="eastAsia"/>
                <w:snapToGrid w:val="0"/>
                <w:szCs w:val="24"/>
                <w:shd w:val="clear" w:color="auto" w:fill="FFFFFF"/>
              </w:rPr>
              <w:t>布设2个监测点；厂界</w:t>
            </w:r>
            <w:r>
              <w:rPr>
                <w:rFonts w:hint="eastAsia"/>
                <w:snapToGrid w:val="0"/>
                <w:szCs w:val="24"/>
                <w:shd w:val="clear" w:color="auto" w:fill="FFFFFF"/>
                <w:lang w:val="en-US" w:eastAsia="zh-CN"/>
              </w:rPr>
              <w:t>北</w:t>
            </w:r>
            <w:r>
              <w:rPr>
                <w:rFonts w:hint="eastAsia"/>
                <w:snapToGrid w:val="0"/>
                <w:szCs w:val="24"/>
                <w:shd w:val="clear" w:color="auto" w:fill="FFFFFF"/>
              </w:rPr>
              <w:t>侧围墙外</w:t>
            </w:r>
            <w:r>
              <w:rPr>
                <w:rFonts w:hint="eastAsia"/>
                <w:snapToGrid w:val="0"/>
                <w:szCs w:val="24"/>
                <w:shd w:val="clear" w:color="auto" w:fill="FFFFFF"/>
                <w:lang w:val="en-US" w:eastAsia="zh-CN"/>
              </w:rPr>
              <w:t>2</w:t>
            </w:r>
            <w:r>
              <w:rPr>
                <w:rFonts w:hint="eastAsia"/>
                <w:snapToGrid w:val="0"/>
                <w:szCs w:val="24"/>
                <w:shd w:val="clear" w:color="auto" w:fill="FFFFFF"/>
              </w:rPr>
              <w:t>m、距地面1.2m高度处布设2个监测点，共8个测点。</w:t>
            </w:r>
          </w:p>
          <w:p w14:paraId="25426DE3">
            <w:pPr>
              <w:pStyle w:val="11"/>
              <w:rPr>
                <w:color w:val="000000"/>
                <w:szCs w:val="24"/>
              </w:rPr>
            </w:pPr>
            <w:r>
              <w:rPr>
                <w:rFonts w:hint="eastAsia"/>
                <w:szCs w:val="24"/>
                <w:lang w:eastAsia="zh-CN"/>
              </w:rPr>
              <w:t>港城110kV变电站</w:t>
            </w:r>
            <w:r>
              <w:rPr>
                <w:rFonts w:hint="eastAsia"/>
                <w:szCs w:val="24"/>
              </w:rPr>
              <w:t>评价范围有</w:t>
            </w:r>
            <w:r>
              <w:rPr>
                <w:rFonts w:hint="eastAsia"/>
                <w:szCs w:val="24"/>
                <w:lang w:val="en-US" w:eastAsia="zh-CN"/>
              </w:rPr>
              <w:t>3</w:t>
            </w:r>
            <w:r>
              <w:rPr>
                <w:rFonts w:hint="eastAsia"/>
                <w:szCs w:val="24"/>
              </w:rPr>
              <w:t>处声环境保护目标，</w:t>
            </w:r>
            <w:r>
              <w:rPr>
                <w:rFonts w:hint="eastAsia"/>
              </w:rPr>
              <w:t>测点位于噪声敏感建筑物外，距墙壁或窗户1m，距地面高度1.2</w:t>
            </w:r>
            <w:r>
              <w:rPr>
                <w:rFonts w:hint="eastAsia"/>
                <w:lang w:val="en-US" w:eastAsia="zh-CN"/>
              </w:rPr>
              <w:t>m处</w:t>
            </w:r>
            <w:r>
              <w:rPr>
                <w:rFonts w:hint="eastAsia"/>
                <w:szCs w:val="24"/>
              </w:rPr>
              <w:t>。</w:t>
            </w:r>
          </w:p>
          <w:p w14:paraId="3589C24D">
            <w:pPr>
              <w:pStyle w:val="11"/>
              <w:rPr>
                <w:color w:val="000000"/>
                <w:szCs w:val="24"/>
              </w:rPr>
            </w:pPr>
            <w:r>
              <w:rPr>
                <w:rFonts w:hint="eastAsia"/>
                <w:color w:val="000000"/>
                <w:szCs w:val="24"/>
              </w:rPr>
              <w:t>2</w:t>
            </w:r>
            <w:r>
              <w:rPr>
                <w:color w:val="000000"/>
                <w:szCs w:val="24"/>
              </w:rPr>
              <w:t>）</w:t>
            </w:r>
            <w:r>
              <w:rPr>
                <w:rFonts w:hint="eastAsia"/>
                <w:color w:val="000000"/>
                <w:szCs w:val="24"/>
              </w:rPr>
              <w:t>线路</w:t>
            </w:r>
            <w:r>
              <w:rPr>
                <w:color w:val="000000"/>
                <w:szCs w:val="24"/>
              </w:rPr>
              <w:t>工程：</w:t>
            </w:r>
            <w:r>
              <w:rPr>
                <w:rFonts w:hint="eastAsia"/>
                <w:szCs w:val="24"/>
              </w:rPr>
              <w:t>新建输电线路</w:t>
            </w:r>
            <w:r>
              <w:rPr>
                <w:rFonts w:hint="eastAsia"/>
                <w:szCs w:val="24"/>
                <w:lang w:val="en-US" w:eastAsia="zh-CN"/>
              </w:rPr>
              <w:t>评价范围内有1处声环境保护目标</w:t>
            </w:r>
            <w:r>
              <w:rPr>
                <w:rFonts w:hint="eastAsia"/>
                <w:szCs w:val="24"/>
              </w:rPr>
              <w:t>，</w:t>
            </w:r>
            <w:r>
              <w:rPr>
                <w:rFonts w:hint="eastAsia"/>
              </w:rPr>
              <w:t>测点位于噪声敏感建筑物外，距墙壁1m，距地面高度1.2</w:t>
            </w:r>
            <w:r>
              <w:rPr>
                <w:rFonts w:hint="eastAsia"/>
                <w:lang w:val="en-US" w:eastAsia="zh-CN"/>
              </w:rPr>
              <w:t>m</w:t>
            </w:r>
            <w:r>
              <w:rPr>
                <w:rFonts w:hint="eastAsia"/>
              </w:rPr>
              <w:t>。</w:t>
            </w:r>
          </w:p>
          <w:p w14:paraId="64900B7C">
            <w:pPr>
              <w:pStyle w:val="11"/>
              <w:rPr>
                <w:color w:val="000000"/>
                <w:szCs w:val="24"/>
              </w:rPr>
            </w:pPr>
            <w:r>
              <w:rPr>
                <w:color w:val="000000"/>
                <w:szCs w:val="24"/>
              </w:rPr>
              <w:t>本工程声环境监测具体点位见</w:t>
            </w:r>
            <w:r>
              <w:rPr>
                <w:color w:val="000000"/>
                <w:szCs w:val="24"/>
              </w:rPr>
              <w:fldChar w:fldCharType="begin"/>
            </w:r>
            <w:r>
              <w:rPr>
                <w:color w:val="000000"/>
                <w:szCs w:val="24"/>
              </w:rPr>
              <w:instrText xml:space="preserve"> REF _Ref157204023 \h  \* MERGEFORMAT </w:instrText>
            </w:r>
            <w:r>
              <w:rPr>
                <w:color w:val="000000"/>
                <w:szCs w:val="24"/>
              </w:rPr>
              <w:fldChar w:fldCharType="separate"/>
            </w:r>
            <w:r>
              <w:rPr>
                <w:color w:val="000000"/>
                <w:szCs w:val="24"/>
              </w:rPr>
              <w:t>表 13</w:t>
            </w:r>
            <w:r>
              <w:rPr>
                <w:color w:val="000000"/>
                <w:szCs w:val="24"/>
              </w:rPr>
              <w:fldChar w:fldCharType="end"/>
            </w:r>
            <w:r>
              <w:rPr>
                <w:color w:val="000000"/>
                <w:szCs w:val="24"/>
              </w:rPr>
              <w:t>。</w:t>
            </w:r>
          </w:p>
          <w:p w14:paraId="36115D11">
            <w:pPr>
              <w:pStyle w:val="9"/>
              <w:keepNext/>
              <w:rPr>
                <w:rFonts w:ascii="黑体" w:hAnsi="黑体"/>
                <w:b/>
              </w:rPr>
            </w:pPr>
            <w:bookmarkStart w:id="496" w:name="_Ref157204023"/>
            <w:r>
              <w:rPr>
                <w:rFonts w:ascii="黑体" w:hAnsi="黑体"/>
                <w:b/>
              </w:rPr>
              <w:t xml:space="preserve">表 </w:t>
            </w:r>
            <w:r>
              <w:rPr>
                <w:rFonts w:hint="default" w:ascii="Times New Roman" w:hAnsi="Times New Roman" w:cs="Times New Roman"/>
                <w:b/>
              </w:rPr>
              <w:fldChar w:fldCharType="begin"/>
            </w:r>
            <w:r>
              <w:rPr>
                <w:rFonts w:hint="default" w:ascii="Times New Roman" w:hAnsi="Times New Roman" w:cs="Times New Roman"/>
                <w:b/>
              </w:rPr>
              <w:instrText xml:space="preserve"> SEQ 表 \* ARABIC </w:instrText>
            </w:r>
            <w:r>
              <w:rPr>
                <w:rFonts w:hint="default" w:ascii="Times New Roman" w:hAnsi="Times New Roman" w:cs="Times New Roman"/>
                <w:b/>
              </w:rPr>
              <w:fldChar w:fldCharType="separate"/>
            </w:r>
            <w:r>
              <w:rPr>
                <w:rFonts w:hint="default" w:ascii="Times New Roman" w:hAnsi="Times New Roman" w:cs="Times New Roman"/>
                <w:b/>
              </w:rPr>
              <w:t>13</w:t>
            </w:r>
            <w:r>
              <w:rPr>
                <w:rFonts w:hint="default" w:ascii="Times New Roman" w:hAnsi="Times New Roman" w:cs="Times New Roman"/>
                <w:b/>
              </w:rPr>
              <w:fldChar w:fldCharType="end"/>
            </w:r>
            <w:bookmarkEnd w:id="496"/>
            <w:r>
              <w:rPr>
                <w:rFonts w:hint="default" w:ascii="Times New Roman" w:hAnsi="Times New Roman" w:cs="Times New Roman"/>
                <w:b/>
              </w:rPr>
              <w:t xml:space="preserve"> </w:t>
            </w:r>
            <w:r>
              <w:rPr>
                <w:rFonts w:ascii="黑体" w:hAnsi="黑体"/>
                <w:b/>
              </w:rPr>
              <w:t xml:space="preserve">                      声环境质量现状监测点位表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323"/>
              <w:gridCol w:w="1482"/>
              <w:gridCol w:w="2688"/>
              <w:gridCol w:w="2161"/>
            </w:tblGrid>
            <w:tr w14:paraId="506B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67" w:type="pct"/>
                  <w:vAlign w:val="center"/>
                </w:tcPr>
                <w:p w14:paraId="059660D4">
                  <w:pPr>
                    <w:widowControl/>
                    <w:spacing w:line="276" w:lineRule="auto"/>
                    <w:jc w:val="center"/>
                    <w:rPr>
                      <w:rFonts w:ascii="Times New Roman" w:hAnsi="Times New Roman" w:eastAsia="宋体"/>
                      <w:b/>
                      <w:bCs/>
                      <w:color w:val="000000"/>
                      <w:kern w:val="0"/>
                      <w:sz w:val="21"/>
                      <w:szCs w:val="21"/>
                    </w:rPr>
                  </w:pPr>
                  <w:bookmarkStart w:id="497" w:name="_Hlk166530830"/>
                  <w:r>
                    <w:rPr>
                      <w:rFonts w:ascii="Times New Roman" w:hAnsi="Times New Roman" w:eastAsia="宋体"/>
                      <w:b/>
                      <w:bCs/>
                      <w:color w:val="000000"/>
                      <w:kern w:val="0"/>
                      <w:sz w:val="21"/>
                      <w:szCs w:val="21"/>
                    </w:rPr>
                    <w:t>序号</w:t>
                  </w:r>
                </w:p>
              </w:tc>
              <w:tc>
                <w:tcPr>
                  <w:tcW w:w="1734" w:type="pct"/>
                  <w:gridSpan w:val="2"/>
                  <w:vAlign w:val="center"/>
                </w:tcPr>
                <w:p w14:paraId="3A32E9BA">
                  <w:pPr>
                    <w:widowControl/>
                    <w:spacing w:line="276" w:lineRule="auto"/>
                    <w:jc w:val="center"/>
                    <w:rPr>
                      <w:rFonts w:ascii="Times New Roman" w:hAnsi="Times New Roman" w:eastAsia="宋体"/>
                      <w:b/>
                      <w:bCs/>
                      <w:color w:val="000000"/>
                      <w:kern w:val="0"/>
                      <w:sz w:val="21"/>
                      <w:szCs w:val="21"/>
                    </w:rPr>
                  </w:pPr>
                  <w:r>
                    <w:rPr>
                      <w:rFonts w:ascii="Times New Roman" w:hAnsi="Times New Roman" w:eastAsia="宋体"/>
                      <w:b/>
                      <w:bCs/>
                      <w:color w:val="000000"/>
                      <w:kern w:val="0"/>
                      <w:sz w:val="21"/>
                      <w:szCs w:val="21"/>
                    </w:rPr>
                    <w:t>监测对象</w:t>
                  </w:r>
                </w:p>
              </w:tc>
              <w:tc>
                <w:tcPr>
                  <w:tcW w:w="1661" w:type="pct"/>
                  <w:vAlign w:val="center"/>
                </w:tcPr>
                <w:p w14:paraId="521DB62B">
                  <w:pPr>
                    <w:widowControl/>
                    <w:spacing w:line="276" w:lineRule="auto"/>
                    <w:jc w:val="center"/>
                    <w:rPr>
                      <w:rFonts w:ascii="Times New Roman" w:hAnsi="Times New Roman" w:eastAsia="宋体"/>
                      <w:b/>
                      <w:bCs/>
                      <w:color w:val="000000"/>
                      <w:kern w:val="0"/>
                      <w:sz w:val="21"/>
                      <w:szCs w:val="21"/>
                    </w:rPr>
                  </w:pPr>
                  <w:r>
                    <w:rPr>
                      <w:rFonts w:ascii="Times New Roman" w:hAnsi="Times New Roman" w:eastAsia="宋体"/>
                      <w:b/>
                      <w:bCs/>
                      <w:color w:val="000000"/>
                      <w:kern w:val="0"/>
                      <w:sz w:val="21"/>
                      <w:szCs w:val="21"/>
                    </w:rPr>
                    <w:t>监测点位</w:t>
                  </w:r>
                </w:p>
              </w:tc>
              <w:tc>
                <w:tcPr>
                  <w:tcW w:w="1336" w:type="pct"/>
                  <w:vAlign w:val="center"/>
                </w:tcPr>
                <w:p w14:paraId="05723FED">
                  <w:pPr>
                    <w:widowControl/>
                    <w:spacing w:line="276" w:lineRule="auto"/>
                    <w:jc w:val="center"/>
                    <w:rPr>
                      <w:rFonts w:ascii="Times New Roman" w:hAnsi="Times New Roman" w:eastAsia="宋体"/>
                      <w:b/>
                      <w:bCs/>
                      <w:color w:val="000000"/>
                      <w:kern w:val="0"/>
                      <w:sz w:val="21"/>
                      <w:szCs w:val="21"/>
                    </w:rPr>
                  </w:pPr>
                  <w:r>
                    <w:rPr>
                      <w:rFonts w:hint="eastAsia" w:ascii="Times New Roman" w:hAnsi="Times New Roman" w:eastAsia="宋体"/>
                      <w:b/>
                      <w:bCs/>
                      <w:color w:val="000000"/>
                      <w:kern w:val="0"/>
                      <w:sz w:val="21"/>
                      <w:szCs w:val="21"/>
                    </w:rPr>
                    <w:t>备注</w:t>
                  </w:r>
                </w:p>
              </w:tc>
            </w:tr>
            <w:tr w14:paraId="4B1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034A424D">
                  <w:pPr>
                    <w:widowControl/>
                    <w:spacing w:line="276" w:lineRule="auto"/>
                    <w:rPr>
                      <w:rFonts w:hint="eastAsia" w:ascii="Times New Roman" w:hAnsi="Times New Roman" w:eastAsia="宋体"/>
                      <w:b/>
                      <w:bCs/>
                      <w:color w:val="000000"/>
                      <w:kern w:val="0"/>
                      <w:sz w:val="21"/>
                      <w:szCs w:val="21"/>
                      <w:lang w:eastAsia="zh-CN"/>
                    </w:rPr>
                  </w:pPr>
                  <w:r>
                    <w:rPr>
                      <w:rFonts w:hint="eastAsia" w:ascii="Times New Roman" w:hAnsi="Times New Roman" w:eastAsia="宋体"/>
                      <w:b/>
                      <w:bCs/>
                      <w:color w:val="000000"/>
                      <w:kern w:val="0"/>
                      <w:sz w:val="21"/>
                      <w:szCs w:val="21"/>
                    </w:rPr>
                    <w:t>二、</w:t>
                  </w:r>
                  <w:r>
                    <w:rPr>
                      <w:rFonts w:hint="eastAsia" w:ascii="Times New Roman" w:hAnsi="Times New Roman" w:eastAsia="宋体"/>
                      <w:b/>
                      <w:bCs/>
                      <w:color w:val="000000"/>
                      <w:kern w:val="0"/>
                      <w:sz w:val="21"/>
                      <w:szCs w:val="21"/>
                      <w:lang w:eastAsia="zh-CN"/>
                    </w:rPr>
                    <w:t>港城变110千伏间隔扩建工程</w:t>
                  </w:r>
                </w:p>
              </w:tc>
            </w:tr>
            <w:tr w14:paraId="1457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59AC0118">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restart"/>
                  <w:vAlign w:val="center"/>
                </w:tcPr>
                <w:p w14:paraId="61AB7E8D">
                  <w:pPr>
                    <w:widowControl/>
                    <w:spacing w:line="276" w:lineRule="auto"/>
                    <w:jc w:val="center"/>
                    <w:rPr>
                      <w:rFonts w:ascii="Times New Roman" w:hAnsi="Times New Roman" w:eastAsia="宋体"/>
                      <w:color w:val="000000"/>
                      <w:sz w:val="21"/>
                    </w:rPr>
                  </w:pPr>
                  <w:r>
                    <w:rPr>
                      <w:rFonts w:hint="eastAsia" w:ascii="Times New Roman" w:hAnsi="Times New Roman" w:eastAsia="宋体"/>
                      <w:color w:val="000000"/>
                      <w:sz w:val="21"/>
                      <w:lang w:eastAsia="zh-CN"/>
                    </w:rPr>
                    <w:t>港城110kV变电站</w:t>
                  </w:r>
                  <w:r>
                    <w:rPr>
                      <w:rFonts w:hint="eastAsia" w:ascii="Times New Roman" w:hAnsi="Times New Roman" w:eastAsia="宋体"/>
                      <w:color w:val="000000"/>
                      <w:sz w:val="21"/>
                    </w:rPr>
                    <w:t>厂界</w:t>
                  </w:r>
                </w:p>
              </w:tc>
              <w:tc>
                <w:tcPr>
                  <w:tcW w:w="916" w:type="pct"/>
                  <w:vAlign w:val="center"/>
                </w:tcPr>
                <w:p w14:paraId="7C58A1F0">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w:t>
                  </w:r>
                </w:p>
              </w:tc>
              <w:tc>
                <w:tcPr>
                  <w:tcW w:w="1661" w:type="pct"/>
                  <w:vAlign w:val="center"/>
                </w:tcPr>
                <w:p w14:paraId="34088BBD">
                  <w:pPr>
                    <w:widowControl/>
                    <w:jc w:val="center"/>
                    <w:rPr>
                      <w:rFonts w:ascii="Times New Roman" w:hAnsi="Times New Roman" w:eastAsia="宋体"/>
                      <w:color w:val="000000"/>
                      <w:sz w:val="21"/>
                    </w:rPr>
                  </w:pPr>
                  <w:r>
                    <w:rPr>
                      <w:rFonts w:hint="eastAsia" w:ascii="Times New Roman" w:hAnsi="Times New Roman" w:eastAsia="宋体"/>
                      <w:kern w:val="0"/>
                      <w:szCs w:val="21"/>
                    </w:rPr>
                    <w:t>东侧1#</w:t>
                  </w:r>
                </w:p>
              </w:tc>
              <w:tc>
                <w:tcPr>
                  <w:tcW w:w="1336" w:type="pct"/>
                  <w:vMerge w:val="restart"/>
                  <w:vAlign w:val="center"/>
                </w:tcPr>
                <w:p w14:paraId="7D5D2823">
                  <w:pPr>
                    <w:widowControl/>
                    <w:spacing w:line="276" w:lineRule="auto"/>
                    <w:jc w:val="both"/>
                    <w:rPr>
                      <w:rFonts w:ascii="Times New Roman" w:hAnsi="Times New Roman" w:eastAsia="宋体"/>
                      <w:color w:val="000000"/>
                      <w:sz w:val="21"/>
                    </w:rPr>
                  </w:pPr>
                  <w:r>
                    <w:rPr>
                      <w:rFonts w:hint="eastAsia" w:ascii="Times New Roman" w:hAnsi="Times New Roman" w:eastAsia="宋体"/>
                      <w:kern w:val="0"/>
                      <w:szCs w:val="21"/>
                      <w:lang w:val="en-US" w:eastAsia="zh-CN"/>
                    </w:rPr>
                    <w:t>由于围墙外格栅</w:t>
                  </w:r>
                  <w:r>
                    <w:rPr>
                      <w:rFonts w:hint="eastAsia"/>
                      <w:kern w:val="0"/>
                      <w:szCs w:val="21"/>
                      <w:lang w:val="en-US" w:eastAsia="zh-CN"/>
                    </w:rPr>
                    <w:t>限制</w:t>
                  </w:r>
                  <w:r>
                    <w:rPr>
                      <w:rFonts w:hint="eastAsia" w:ascii="Times New Roman" w:hAnsi="Times New Roman" w:eastAsia="宋体"/>
                      <w:kern w:val="0"/>
                      <w:szCs w:val="21"/>
                      <w:lang w:val="en-US" w:eastAsia="zh-CN"/>
                    </w:rPr>
                    <w:t>，检测点位距围墙水平距离约2m，垂直距离高于围墙0.5m。</w:t>
                  </w:r>
                </w:p>
              </w:tc>
            </w:tr>
            <w:tr w14:paraId="3B59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00078F44">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666BE438">
                  <w:pPr>
                    <w:widowControl/>
                    <w:spacing w:line="276" w:lineRule="auto"/>
                    <w:jc w:val="center"/>
                    <w:rPr>
                      <w:rFonts w:ascii="Times New Roman" w:hAnsi="Times New Roman" w:eastAsia="宋体"/>
                      <w:color w:val="000000"/>
                      <w:sz w:val="21"/>
                      <w:szCs w:val="21"/>
                    </w:rPr>
                  </w:pPr>
                </w:p>
              </w:tc>
              <w:tc>
                <w:tcPr>
                  <w:tcW w:w="916" w:type="pct"/>
                  <w:vAlign w:val="center"/>
                </w:tcPr>
                <w:p w14:paraId="12586F22">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w:t>
                  </w:r>
                </w:p>
              </w:tc>
              <w:tc>
                <w:tcPr>
                  <w:tcW w:w="1661" w:type="pct"/>
                  <w:vAlign w:val="center"/>
                </w:tcPr>
                <w:p w14:paraId="16D318E0">
                  <w:pPr>
                    <w:widowControl/>
                    <w:jc w:val="center"/>
                    <w:rPr>
                      <w:rFonts w:ascii="Times New Roman" w:hAnsi="Times New Roman" w:eastAsia="宋体"/>
                      <w:color w:val="000000"/>
                      <w:sz w:val="21"/>
                    </w:rPr>
                  </w:pPr>
                  <w:r>
                    <w:rPr>
                      <w:rFonts w:hint="eastAsia" w:ascii="Times New Roman" w:hAnsi="Times New Roman" w:eastAsia="宋体"/>
                      <w:kern w:val="0"/>
                      <w:szCs w:val="21"/>
                    </w:rPr>
                    <w:t>东侧2#</w:t>
                  </w:r>
                </w:p>
              </w:tc>
              <w:tc>
                <w:tcPr>
                  <w:tcW w:w="1336" w:type="pct"/>
                  <w:vMerge w:val="continue"/>
                  <w:vAlign w:val="center"/>
                </w:tcPr>
                <w:p w14:paraId="4AAB3FE8">
                  <w:pPr>
                    <w:widowControl/>
                    <w:spacing w:line="276" w:lineRule="auto"/>
                    <w:jc w:val="both"/>
                    <w:rPr>
                      <w:rFonts w:ascii="Times New Roman" w:hAnsi="Times New Roman" w:eastAsia="宋体"/>
                      <w:color w:val="000000"/>
                      <w:sz w:val="21"/>
                    </w:rPr>
                  </w:pPr>
                </w:p>
              </w:tc>
            </w:tr>
            <w:tr w14:paraId="3A68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7F19C716">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387C3D17">
                  <w:pPr>
                    <w:widowControl/>
                    <w:spacing w:line="276" w:lineRule="auto"/>
                    <w:jc w:val="center"/>
                    <w:rPr>
                      <w:rFonts w:ascii="Times New Roman" w:hAnsi="Times New Roman" w:eastAsia="宋体"/>
                      <w:color w:val="000000"/>
                      <w:sz w:val="21"/>
                      <w:szCs w:val="21"/>
                    </w:rPr>
                  </w:pPr>
                </w:p>
              </w:tc>
              <w:tc>
                <w:tcPr>
                  <w:tcW w:w="916" w:type="pct"/>
                  <w:vAlign w:val="center"/>
                </w:tcPr>
                <w:p w14:paraId="00A7287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w:t>
                  </w:r>
                </w:p>
              </w:tc>
              <w:tc>
                <w:tcPr>
                  <w:tcW w:w="1661" w:type="pct"/>
                  <w:vAlign w:val="center"/>
                </w:tcPr>
                <w:p w14:paraId="67733C87">
                  <w:pPr>
                    <w:widowControl/>
                    <w:jc w:val="center"/>
                    <w:rPr>
                      <w:rFonts w:ascii="Times New Roman" w:hAnsi="Times New Roman" w:eastAsia="宋体"/>
                      <w:color w:val="000000"/>
                      <w:sz w:val="21"/>
                    </w:rPr>
                  </w:pPr>
                  <w:r>
                    <w:rPr>
                      <w:rFonts w:hint="eastAsia" w:ascii="Times New Roman" w:hAnsi="Times New Roman" w:eastAsia="宋体"/>
                      <w:kern w:val="0"/>
                      <w:szCs w:val="21"/>
                    </w:rPr>
                    <w:t>南侧3#</w:t>
                  </w:r>
                </w:p>
              </w:tc>
              <w:tc>
                <w:tcPr>
                  <w:tcW w:w="1336" w:type="pct"/>
                  <w:vMerge w:val="continue"/>
                  <w:vAlign w:val="center"/>
                </w:tcPr>
                <w:p w14:paraId="6608051D">
                  <w:pPr>
                    <w:widowControl/>
                    <w:spacing w:line="276" w:lineRule="auto"/>
                    <w:jc w:val="both"/>
                    <w:rPr>
                      <w:rFonts w:ascii="Times New Roman" w:hAnsi="Times New Roman" w:eastAsia="宋体"/>
                      <w:color w:val="000000"/>
                      <w:sz w:val="21"/>
                    </w:rPr>
                  </w:pPr>
                </w:p>
              </w:tc>
            </w:tr>
            <w:tr w14:paraId="015B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7050E1A8">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6EB1FD0A">
                  <w:pPr>
                    <w:widowControl/>
                    <w:spacing w:line="276" w:lineRule="auto"/>
                    <w:jc w:val="center"/>
                    <w:rPr>
                      <w:rFonts w:ascii="Times New Roman" w:hAnsi="Times New Roman" w:eastAsia="宋体"/>
                      <w:color w:val="000000"/>
                      <w:sz w:val="21"/>
                      <w:szCs w:val="21"/>
                    </w:rPr>
                  </w:pPr>
                </w:p>
              </w:tc>
              <w:tc>
                <w:tcPr>
                  <w:tcW w:w="916" w:type="pct"/>
                  <w:vAlign w:val="center"/>
                </w:tcPr>
                <w:p w14:paraId="38BBAEF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w:t>
                  </w:r>
                </w:p>
              </w:tc>
              <w:tc>
                <w:tcPr>
                  <w:tcW w:w="1661" w:type="pct"/>
                  <w:vAlign w:val="center"/>
                </w:tcPr>
                <w:p w14:paraId="7C132A62">
                  <w:pPr>
                    <w:widowControl/>
                    <w:jc w:val="center"/>
                    <w:rPr>
                      <w:rFonts w:ascii="Times New Roman" w:hAnsi="Times New Roman" w:eastAsia="宋体"/>
                      <w:color w:val="000000"/>
                      <w:sz w:val="21"/>
                    </w:rPr>
                  </w:pPr>
                  <w:r>
                    <w:rPr>
                      <w:rFonts w:hint="eastAsia" w:ascii="Times New Roman" w:hAnsi="Times New Roman" w:eastAsia="宋体"/>
                      <w:kern w:val="0"/>
                      <w:szCs w:val="21"/>
                    </w:rPr>
                    <w:t>南侧4#</w:t>
                  </w:r>
                </w:p>
              </w:tc>
              <w:tc>
                <w:tcPr>
                  <w:tcW w:w="1336" w:type="pct"/>
                  <w:vMerge w:val="continue"/>
                  <w:vAlign w:val="center"/>
                </w:tcPr>
                <w:p w14:paraId="2625F2A0">
                  <w:pPr>
                    <w:widowControl/>
                    <w:spacing w:line="276" w:lineRule="auto"/>
                    <w:jc w:val="both"/>
                    <w:rPr>
                      <w:rFonts w:ascii="Times New Roman" w:hAnsi="Times New Roman" w:eastAsia="宋体"/>
                      <w:color w:val="000000"/>
                      <w:sz w:val="21"/>
                    </w:rPr>
                  </w:pPr>
                </w:p>
              </w:tc>
            </w:tr>
            <w:tr w14:paraId="2F2C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67855FF4">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70292270">
                  <w:pPr>
                    <w:widowControl/>
                    <w:spacing w:line="276" w:lineRule="auto"/>
                    <w:jc w:val="center"/>
                    <w:rPr>
                      <w:rFonts w:ascii="Times New Roman" w:hAnsi="Times New Roman" w:eastAsia="宋体"/>
                      <w:color w:val="000000"/>
                      <w:sz w:val="21"/>
                      <w:szCs w:val="21"/>
                    </w:rPr>
                  </w:pPr>
                </w:p>
              </w:tc>
              <w:tc>
                <w:tcPr>
                  <w:tcW w:w="916" w:type="pct"/>
                  <w:vAlign w:val="center"/>
                </w:tcPr>
                <w:p w14:paraId="00FE00D8">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w:t>
                  </w:r>
                </w:p>
              </w:tc>
              <w:tc>
                <w:tcPr>
                  <w:tcW w:w="1661" w:type="pct"/>
                  <w:vAlign w:val="center"/>
                </w:tcPr>
                <w:p w14:paraId="1D752415">
                  <w:pPr>
                    <w:widowControl/>
                    <w:jc w:val="center"/>
                    <w:rPr>
                      <w:rFonts w:ascii="Times New Roman" w:hAnsi="Times New Roman" w:eastAsia="宋体"/>
                      <w:color w:val="000000"/>
                      <w:sz w:val="21"/>
                    </w:rPr>
                  </w:pPr>
                  <w:r>
                    <w:rPr>
                      <w:rFonts w:hint="eastAsia" w:ascii="Times New Roman" w:hAnsi="Times New Roman" w:eastAsia="宋体"/>
                      <w:kern w:val="0"/>
                      <w:szCs w:val="21"/>
                    </w:rPr>
                    <w:t>西侧5#</w:t>
                  </w:r>
                </w:p>
              </w:tc>
              <w:tc>
                <w:tcPr>
                  <w:tcW w:w="1336" w:type="pct"/>
                  <w:vMerge w:val="continue"/>
                  <w:vAlign w:val="center"/>
                </w:tcPr>
                <w:p w14:paraId="19A33805">
                  <w:pPr>
                    <w:widowControl/>
                    <w:spacing w:line="276" w:lineRule="auto"/>
                    <w:jc w:val="both"/>
                    <w:rPr>
                      <w:rFonts w:ascii="Times New Roman" w:hAnsi="Times New Roman" w:eastAsia="宋体"/>
                      <w:color w:val="000000"/>
                      <w:sz w:val="21"/>
                    </w:rPr>
                  </w:pPr>
                </w:p>
              </w:tc>
            </w:tr>
            <w:tr w14:paraId="1EF9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4D309B75">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1C83D01D">
                  <w:pPr>
                    <w:widowControl/>
                    <w:spacing w:line="276" w:lineRule="auto"/>
                    <w:jc w:val="center"/>
                    <w:rPr>
                      <w:rFonts w:ascii="Times New Roman" w:hAnsi="Times New Roman" w:eastAsia="宋体"/>
                      <w:color w:val="000000"/>
                      <w:sz w:val="21"/>
                      <w:szCs w:val="21"/>
                    </w:rPr>
                  </w:pPr>
                </w:p>
              </w:tc>
              <w:tc>
                <w:tcPr>
                  <w:tcW w:w="916" w:type="pct"/>
                  <w:vAlign w:val="center"/>
                </w:tcPr>
                <w:p w14:paraId="7B5F0421">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w:t>
                  </w:r>
                </w:p>
              </w:tc>
              <w:tc>
                <w:tcPr>
                  <w:tcW w:w="1661" w:type="pct"/>
                  <w:vAlign w:val="center"/>
                </w:tcPr>
                <w:p w14:paraId="71790EA1">
                  <w:pPr>
                    <w:widowControl/>
                    <w:jc w:val="center"/>
                    <w:rPr>
                      <w:rFonts w:ascii="Times New Roman" w:hAnsi="Times New Roman" w:eastAsia="宋体"/>
                      <w:color w:val="000000"/>
                      <w:sz w:val="21"/>
                    </w:rPr>
                  </w:pPr>
                  <w:r>
                    <w:rPr>
                      <w:rFonts w:hint="eastAsia" w:ascii="Times New Roman" w:hAnsi="Times New Roman" w:eastAsia="宋体"/>
                      <w:kern w:val="0"/>
                      <w:szCs w:val="21"/>
                    </w:rPr>
                    <w:t>西侧6#</w:t>
                  </w:r>
                </w:p>
              </w:tc>
              <w:tc>
                <w:tcPr>
                  <w:tcW w:w="1336" w:type="pct"/>
                  <w:vMerge w:val="continue"/>
                  <w:vAlign w:val="center"/>
                </w:tcPr>
                <w:p w14:paraId="1F560E6A">
                  <w:pPr>
                    <w:widowControl/>
                    <w:spacing w:line="276" w:lineRule="auto"/>
                    <w:jc w:val="both"/>
                    <w:rPr>
                      <w:rFonts w:ascii="Times New Roman" w:hAnsi="Times New Roman" w:eastAsia="宋体"/>
                      <w:color w:val="000000"/>
                      <w:sz w:val="21"/>
                    </w:rPr>
                  </w:pPr>
                </w:p>
              </w:tc>
            </w:tr>
            <w:tr w14:paraId="5744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776B4EBA">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4B4375EC">
                  <w:pPr>
                    <w:widowControl/>
                    <w:spacing w:line="276" w:lineRule="auto"/>
                    <w:jc w:val="center"/>
                    <w:rPr>
                      <w:rFonts w:ascii="Times New Roman" w:hAnsi="Times New Roman" w:eastAsia="宋体"/>
                      <w:color w:val="000000"/>
                      <w:sz w:val="21"/>
                      <w:szCs w:val="21"/>
                    </w:rPr>
                  </w:pPr>
                </w:p>
              </w:tc>
              <w:tc>
                <w:tcPr>
                  <w:tcW w:w="916" w:type="pct"/>
                  <w:vAlign w:val="center"/>
                </w:tcPr>
                <w:p w14:paraId="0D9FF6F6">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w:t>
                  </w:r>
                </w:p>
              </w:tc>
              <w:tc>
                <w:tcPr>
                  <w:tcW w:w="1661" w:type="pct"/>
                  <w:vAlign w:val="center"/>
                </w:tcPr>
                <w:p w14:paraId="5033C869">
                  <w:pPr>
                    <w:widowControl/>
                    <w:jc w:val="center"/>
                    <w:rPr>
                      <w:rFonts w:ascii="Times New Roman" w:hAnsi="Times New Roman" w:eastAsia="宋体"/>
                      <w:color w:val="000000"/>
                      <w:sz w:val="21"/>
                    </w:rPr>
                  </w:pPr>
                  <w:r>
                    <w:rPr>
                      <w:rFonts w:hint="eastAsia" w:ascii="Times New Roman" w:hAnsi="Times New Roman" w:eastAsia="宋体"/>
                      <w:kern w:val="0"/>
                      <w:szCs w:val="21"/>
                    </w:rPr>
                    <w:t>北侧7#</w:t>
                  </w:r>
                </w:p>
              </w:tc>
              <w:tc>
                <w:tcPr>
                  <w:tcW w:w="1336" w:type="pct"/>
                  <w:vMerge w:val="restart"/>
                  <w:vAlign w:val="center"/>
                </w:tcPr>
                <w:p w14:paraId="315D5A1A">
                  <w:pPr>
                    <w:widowControl/>
                    <w:spacing w:line="276" w:lineRule="auto"/>
                    <w:jc w:val="both"/>
                    <w:rPr>
                      <w:rFonts w:ascii="Times New Roman" w:hAnsi="Times New Roman" w:eastAsia="宋体"/>
                      <w:color w:val="000000"/>
                      <w:sz w:val="21"/>
                    </w:rPr>
                  </w:pPr>
                  <w:r>
                    <w:rPr>
                      <w:rFonts w:hint="eastAsia" w:ascii="Times New Roman" w:hAnsi="Times New Roman" w:eastAsia="宋体"/>
                      <w:kern w:val="0"/>
                      <w:szCs w:val="21"/>
                      <w:lang w:val="en-US" w:eastAsia="zh-CN"/>
                    </w:rPr>
                    <w:t>由于围墙外格栅</w:t>
                  </w:r>
                  <w:r>
                    <w:rPr>
                      <w:rFonts w:hint="eastAsia"/>
                      <w:kern w:val="0"/>
                      <w:szCs w:val="21"/>
                      <w:lang w:val="en-US" w:eastAsia="zh-CN"/>
                    </w:rPr>
                    <w:t>限制</w:t>
                  </w:r>
                  <w:r>
                    <w:rPr>
                      <w:rFonts w:hint="eastAsia" w:ascii="Times New Roman" w:hAnsi="Times New Roman" w:eastAsia="宋体"/>
                      <w:kern w:val="0"/>
                      <w:szCs w:val="21"/>
                      <w:lang w:val="en-US" w:eastAsia="zh-CN"/>
                    </w:rPr>
                    <w:t>，检测点位距围墙水平距离约2m。</w:t>
                  </w:r>
                </w:p>
              </w:tc>
            </w:tr>
            <w:tr w14:paraId="232F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51B07E34">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817" w:type="pct"/>
                  <w:vMerge w:val="continue"/>
                  <w:vAlign w:val="center"/>
                </w:tcPr>
                <w:p w14:paraId="3182EC3E">
                  <w:pPr>
                    <w:widowControl/>
                    <w:spacing w:line="276" w:lineRule="auto"/>
                    <w:jc w:val="center"/>
                    <w:rPr>
                      <w:rFonts w:ascii="Times New Roman" w:hAnsi="Times New Roman" w:eastAsia="宋体"/>
                      <w:color w:val="000000"/>
                      <w:sz w:val="21"/>
                      <w:szCs w:val="21"/>
                    </w:rPr>
                  </w:pPr>
                </w:p>
              </w:tc>
              <w:tc>
                <w:tcPr>
                  <w:tcW w:w="916" w:type="pct"/>
                  <w:vAlign w:val="center"/>
                </w:tcPr>
                <w:p w14:paraId="123D1300">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w:t>
                  </w:r>
                </w:p>
              </w:tc>
              <w:tc>
                <w:tcPr>
                  <w:tcW w:w="1661" w:type="pct"/>
                  <w:vAlign w:val="center"/>
                </w:tcPr>
                <w:p w14:paraId="38F7F54F">
                  <w:pPr>
                    <w:widowControl/>
                    <w:jc w:val="center"/>
                    <w:rPr>
                      <w:rFonts w:ascii="Times New Roman" w:hAnsi="Times New Roman" w:eastAsia="宋体"/>
                      <w:color w:val="000000"/>
                      <w:sz w:val="21"/>
                    </w:rPr>
                  </w:pPr>
                  <w:r>
                    <w:rPr>
                      <w:rFonts w:hint="eastAsia" w:ascii="Times New Roman" w:hAnsi="Times New Roman" w:eastAsia="宋体"/>
                      <w:kern w:val="0"/>
                      <w:szCs w:val="21"/>
                    </w:rPr>
                    <w:t>北侧8#</w:t>
                  </w:r>
                </w:p>
              </w:tc>
              <w:tc>
                <w:tcPr>
                  <w:tcW w:w="1336" w:type="pct"/>
                  <w:vMerge w:val="continue"/>
                  <w:vAlign w:val="center"/>
                </w:tcPr>
                <w:p w14:paraId="7839E21E">
                  <w:pPr>
                    <w:widowControl/>
                    <w:spacing w:line="276" w:lineRule="auto"/>
                    <w:jc w:val="center"/>
                    <w:rPr>
                      <w:rFonts w:ascii="Times New Roman" w:hAnsi="Times New Roman" w:eastAsia="宋体"/>
                      <w:color w:val="000000"/>
                      <w:sz w:val="21"/>
                    </w:rPr>
                  </w:pPr>
                </w:p>
              </w:tc>
            </w:tr>
            <w:tr w14:paraId="6B9E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34B20C57">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1734" w:type="pct"/>
                  <w:gridSpan w:val="2"/>
                  <w:vMerge w:val="restart"/>
                  <w:vAlign w:val="center"/>
                </w:tcPr>
                <w:p w14:paraId="0DC5337B">
                  <w:pPr>
                    <w:widowControl/>
                    <w:spacing w:line="276" w:lineRule="auto"/>
                    <w:jc w:val="center"/>
                    <w:rPr>
                      <w:rFonts w:hint="eastAsia" w:ascii="Times New Roman" w:hAnsi="Times New Roman" w:eastAsia="宋体"/>
                      <w:color w:val="000000"/>
                      <w:sz w:val="21"/>
                      <w:lang w:eastAsia="zh-CN"/>
                    </w:rPr>
                  </w:pPr>
                  <w:r>
                    <w:rPr>
                      <w:rFonts w:hint="eastAsia" w:ascii="Times New Roman" w:hAnsi="Times New Roman" w:eastAsia="宋体"/>
                      <w:kern w:val="0"/>
                      <w:szCs w:val="21"/>
                    </w:rPr>
                    <w:t>吐鲁番市高昌区港城社区</w:t>
                  </w:r>
                </w:p>
              </w:tc>
              <w:tc>
                <w:tcPr>
                  <w:tcW w:w="1661" w:type="pct"/>
                  <w:vAlign w:val="center"/>
                </w:tcPr>
                <w:p w14:paraId="375FB555">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其他建筑a西侧</w:t>
                  </w:r>
                </w:p>
              </w:tc>
              <w:tc>
                <w:tcPr>
                  <w:tcW w:w="1336" w:type="pct"/>
                  <w:vAlign w:val="center"/>
                </w:tcPr>
                <w:p w14:paraId="06DEDC43">
                  <w:pPr>
                    <w:widowControl/>
                    <w:spacing w:line="276" w:lineRule="auto"/>
                    <w:jc w:val="center"/>
                    <w:rPr>
                      <w:rFonts w:ascii="Times New Roman" w:hAnsi="Times New Roman" w:eastAsia="宋体" w:cs="宋体"/>
                      <w:color w:val="000000"/>
                      <w:sz w:val="21"/>
                    </w:rPr>
                  </w:pPr>
                </w:p>
              </w:tc>
            </w:tr>
            <w:tr w14:paraId="457F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53C3FC79">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1734" w:type="pct"/>
                  <w:gridSpan w:val="2"/>
                  <w:vMerge w:val="continue"/>
                  <w:vAlign w:val="center"/>
                </w:tcPr>
                <w:p w14:paraId="0674BD98">
                  <w:pPr>
                    <w:widowControl/>
                    <w:spacing w:line="276" w:lineRule="auto"/>
                    <w:jc w:val="center"/>
                    <w:rPr>
                      <w:rFonts w:hint="eastAsia" w:ascii="Times New Roman" w:hAnsi="Times New Roman" w:eastAsia="宋体"/>
                      <w:color w:val="000000"/>
                      <w:sz w:val="21"/>
                      <w:szCs w:val="21"/>
                    </w:rPr>
                  </w:pPr>
                </w:p>
              </w:tc>
              <w:tc>
                <w:tcPr>
                  <w:tcW w:w="1661" w:type="pct"/>
                  <w:vAlign w:val="center"/>
                </w:tcPr>
                <w:p w14:paraId="0DC84321">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葡萄干打把场办公室北侧</w:t>
                  </w:r>
                </w:p>
              </w:tc>
              <w:tc>
                <w:tcPr>
                  <w:tcW w:w="1336" w:type="pct"/>
                  <w:vAlign w:val="center"/>
                </w:tcPr>
                <w:p w14:paraId="32C3BE20">
                  <w:pPr>
                    <w:widowControl/>
                    <w:spacing w:line="276" w:lineRule="auto"/>
                    <w:jc w:val="center"/>
                    <w:rPr>
                      <w:rFonts w:ascii="Times New Roman" w:hAnsi="Times New Roman" w:eastAsia="宋体" w:cs="宋体"/>
                      <w:color w:val="000000"/>
                      <w:sz w:val="21"/>
                    </w:rPr>
                  </w:pPr>
                </w:p>
              </w:tc>
            </w:tr>
            <w:tr w14:paraId="1BE3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0A48AFBA">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1734" w:type="pct"/>
                  <w:gridSpan w:val="2"/>
                  <w:vMerge w:val="continue"/>
                  <w:vAlign w:val="center"/>
                </w:tcPr>
                <w:p w14:paraId="23EE90F3">
                  <w:pPr>
                    <w:widowControl/>
                    <w:spacing w:line="276" w:lineRule="auto"/>
                    <w:jc w:val="center"/>
                    <w:rPr>
                      <w:rFonts w:hint="eastAsia" w:ascii="Times New Roman" w:hAnsi="Times New Roman" w:eastAsia="宋体"/>
                      <w:color w:val="000000"/>
                      <w:sz w:val="21"/>
                      <w:szCs w:val="21"/>
                    </w:rPr>
                  </w:pPr>
                </w:p>
              </w:tc>
              <w:tc>
                <w:tcPr>
                  <w:tcW w:w="1661" w:type="pct"/>
                  <w:vAlign w:val="center"/>
                </w:tcPr>
                <w:p w14:paraId="353D5C6E">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其他建筑b东侧</w:t>
                  </w:r>
                </w:p>
              </w:tc>
              <w:tc>
                <w:tcPr>
                  <w:tcW w:w="1336" w:type="pct"/>
                  <w:vAlign w:val="center"/>
                </w:tcPr>
                <w:p w14:paraId="732D6D40">
                  <w:pPr>
                    <w:widowControl/>
                    <w:spacing w:line="276" w:lineRule="auto"/>
                    <w:jc w:val="center"/>
                    <w:rPr>
                      <w:rFonts w:ascii="Times New Roman" w:hAnsi="Times New Roman" w:eastAsia="宋体" w:cs="宋体"/>
                      <w:color w:val="000000"/>
                      <w:sz w:val="21"/>
                    </w:rPr>
                  </w:pPr>
                </w:p>
              </w:tc>
            </w:tr>
            <w:tr w14:paraId="0A12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429B2BAA">
                  <w:pPr>
                    <w:widowControl/>
                    <w:spacing w:line="276" w:lineRule="auto"/>
                    <w:rPr>
                      <w:rFonts w:hint="eastAsia" w:ascii="Times New Roman" w:hAnsi="Times New Roman" w:eastAsia="宋体"/>
                      <w:b/>
                      <w:bCs/>
                      <w:color w:val="000000"/>
                      <w:kern w:val="0"/>
                      <w:sz w:val="21"/>
                      <w:szCs w:val="21"/>
                      <w:lang w:eastAsia="zh-CN"/>
                    </w:rPr>
                  </w:pPr>
                  <w:r>
                    <w:rPr>
                      <w:rFonts w:hint="eastAsia" w:ascii="Times New Roman" w:hAnsi="Times New Roman" w:eastAsia="宋体"/>
                      <w:b/>
                      <w:bCs/>
                      <w:color w:val="000000"/>
                      <w:kern w:val="0"/>
                      <w:sz w:val="21"/>
                      <w:szCs w:val="21"/>
                    </w:rPr>
                    <w:t>三、</w:t>
                  </w:r>
                  <w:r>
                    <w:rPr>
                      <w:rFonts w:hint="eastAsia" w:ascii="Times New Roman" w:hAnsi="Times New Roman" w:eastAsia="宋体"/>
                      <w:b/>
                      <w:bCs/>
                      <w:color w:val="000000"/>
                      <w:kern w:val="0"/>
                      <w:sz w:val="21"/>
                      <w:szCs w:val="21"/>
                      <w:lang w:eastAsia="zh-CN"/>
                    </w:rPr>
                    <w:t>港城~新阳110千伏线路工程</w:t>
                  </w:r>
                </w:p>
              </w:tc>
            </w:tr>
            <w:tr w14:paraId="22DA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vAlign w:val="center"/>
                </w:tcPr>
                <w:p w14:paraId="0CA8F555">
                  <w:pPr>
                    <w:pStyle w:val="105"/>
                    <w:widowControl/>
                    <w:numPr>
                      <w:ilvl w:val="0"/>
                      <w:numId w:val="11"/>
                    </w:numPr>
                    <w:spacing w:line="276" w:lineRule="auto"/>
                    <w:ind w:firstLineChars="0"/>
                    <w:jc w:val="center"/>
                    <w:rPr>
                      <w:rFonts w:ascii="Times New Roman" w:hAnsi="Times New Roman" w:eastAsia="宋体"/>
                      <w:b/>
                      <w:bCs/>
                      <w:color w:val="000000"/>
                      <w:kern w:val="0"/>
                      <w:sz w:val="21"/>
                      <w:szCs w:val="21"/>
                    </w:rPr>
                  </w:pPr>
                </w:p>
              </w:tc>
              <w:tc>
                <w:tcPr>
                  <w:tcW w:w="1734" w:type="pct"/>
                  <w:gridSpan w:val="2"/>
                  <w:vAlign w:val="center"/>
                </w:tcPr>
                <w:p w14:paraId="21086671">
                  <w:pPr>
                    <w:widowControl/>
                    <w:jc w:val="center"/>
                    <w:rPr>
                      <w:rFonts w:hint="eastAsia" w:ascii="Times New Roman" w:hAnsi="Times New Roman" w:eastAsia="宋体"/>
                      <w:kern w:val="0"/>
                      <w:sz w:val="21"/>
                      <w:szCs w:val="21"/>
                      <w:lang w:eastAsia="zh-CN"/>
                    </w:rPr>
                  </w:pPr>
                  <w:r>
                    <w:rPr>
                      <w:rFonts w:hint="eastAsia" w:ascii="Times New Roman" w:hAnsi="Times New Roman" w:eastAsia="宋体"/>
                      <w:kern w:val="0"/>
                      <w:szCs w:val="21"/>
                    </w:rPr>
                    <w:t>吐鲁番市高昌区港城社区</w:t>
                  </w:r>
                </w:p>
              </w:tc>
              <w:tc>
                <w:tcPr>
                  <w:tcW w:w="1661" w:type="pct"/>
                  <w:vAlign w:val="center"/>
                </w:tcPr>
                <w:p w14:paraId="21013EE7">
                  <w:pPr>
                    <w:widowControl/>
                    <w:jc w:val="center"/>
                    <w:rPr>
                      <w:rFonts w:hint="eastAsia" w:ascii="Times New Roman" w:hAnsi="Times New Roman" w:eastAsia="宋体"/>
                      <w:kern w:val="0"/>
                      <w:sz w:val="21"/>
                      <w:szCs w:val="21"/>
                    </w:rPr>
                  </w:pPr>
                  <w:r>
                    <w:rPr>
                      <w:rFonts w:hint="eastAsia" w:ascii="Times New Roman" w:hAnsi="Times New Roman" w:eastAsia="宋体"/>
                      <w:kern w:val="0"/>
                      <w:szCs w:val="21"/>
                    </w:rPr>
                    <w:t>葡萄干打把场办公室北侧</w:t>
                  </w:r>
                </w:p>
              </w:tc>
              <w:tc>
                <w:tcPr>
                  <w:tcW w:w="1336" w:type="pct"/>
                  <w:vAlign w:val="center"/>
                </w:tcPr>
                <w:p w14:paraId="53EB7CDF">
                  <w:pPr>
                    <w:widowControl/>
                    <w:jc w:val="center"/>
                    <w:rPr>
                      <w:rFonts w:ascii="Times New Roman" w:hAnsi="Times New Roman" w:eastAsia="宋体"/>
                      <w:kern w:val="0"/>
                      <w:sz w:val="21"/>
                      <w:szCs w:val="21"/>
                    </w:rPr>
                  </w:pPr>
                </w:p>
              </w:tc>
            </w:tr>
            <w:bookmarkEnd w:id="497"/>
          </w:tbl>
          <w:p w14:paraId="3D96D769">
            <w:pPr>
              <w:pStyle w:val="3"/>
              <w:numPr>
                <w:ilvl w:val="1"/>
                <w:numId w:val="9"/>
              </w:numPr>
              <w:spacing w:before="0" w:after="0" w:line="360" w:lineRule="auto"/>
              <w:rPr>
                <w:rFonts w:eastAsia="宋体"/>
                <w:sz w:val="24"/>
                <w:szCs w:val="24"/>
              </w:rPr>
            </w:pPr>
            <w:bookmarkStart w:id="498" w:name="_Toc16444"/>
            <w:bookmarkStart w:id="499" w:name="_Toc110439152"/>
            <w:bookmarkStart w:id="500" w:name="_Toc91493264"/>
            <w:bookmarkStart w:id="501" w:name="_Toc96935412"/>
            <w:bookmarkStart w:id="502" w:name="_Toc96031375"/>
            <w:bookmarkStart w:id="503" w:name="_Toc81308148"/>
            <w:bookmarkStart w:id="504" w:name="_Toc85037212"/>
            <w:bookmarkStart w:id="505" w:name="_Toc95464666"/>
            <w:bookmarkStart w:id="506" w:name="_Toc109473877"/>
            <w:bookmarkStart w:id="507" w:name="_Toc96031292"/>
            <w:bookmarkStart w:id="508" w:name="_Toc97290582"/>
            <w:bookmarkStart w:id="509" w:name="_Toc85036878"/>
            <w:bookmarkStart w:id="510" w:name="_Toc109473564"/>
            <w:bookmarkStart w:id="511" w:name="_Toc2083"/>
            <w:bookmarkStart w:id="512" w:name="_Toc109473798"/>
            <w:bookmarkStart w:id="513" w:name="_Toc88558518"/>
            <w:bookmarkStart w:id="514" w:name="_Toc109472625"/>
            <w:bookmarkStart w:id="515" w:name="_Toc111564316"/>
            <w:bookmarkStart w:id="516" w:name="_Toc81415620"/>
            <w:bookmarkStart w:id="517" w:name="_Toc91532171"/>
            <w:r>
              <w:rPr>
                <w:rFonts w:eastAsia="宋体"/>
                <w:sz w:val="24"/>
                <w:szCs w:val="24"/>
              </w:rPr>
              <w:t>监测项目</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020342B3">
            <w:pPr>
              <w:pStyle w:val="11"/>
              <w:rPr>
                <w:b/>
                <w:color w:val="000000"/>
                <w:szCs w:val="24"/>
              </w:rPr>
            </w:pPr>
            <w:r>
              <w:rPr>
                <w:bCs/>
                <w:color w:val="000000"/>
                <w:szCs w:val="24"/>
              </w:rPr>
              <w:t>等效连续A声级。</w:t>
            </w:r>
          </w:p>
          <w:p w14:paraId="43C1CED3">
            <w:pPr>
              <w:pStyle w:val="3"/>
              <w:numPr>
                <w:ilvl w:val="1"/>
                <w:numId w:val="9"/>
              </w:numPr>
              <w:spacing w:before="0" w:after="0" w:line="360" w:lineRule="auto"/>
              <w:rPr>
                <w:rFonts w:eastAsia="宋体"/>
                <w:sz w:val="24"/>
                <w:szCs w:val="24"/>
              </w:rPr>
            </w:pPr>
            <w:bookmarkStart w:id="518" w:name="_Toc96935413"/>
            <w:bookmarkStart w:id="519" w:name="_Toc25075"/>
            <w:bookmarkStart w:id="520" w:name="_Toc91532172"/>
            <w:bookmarkStart w:id="521" w:name="_Toc109473878"/>
            <w:bookmarkStart w:id="522" w:name="_Toc81415621"/>
            <w:bookmarkStart w:id="523" w:name="_Toc96031376"/>
            <w:bookmarkStart w:id="524" w:name="_Toc109473565"/>
            <w:bookmarkStart w:id="525" w:name="_Toc109473799"/>
            <w:bookmarkStart w:id="526" w:name="_Toc110439153"/>
            <w:bookmarkStart w:id="527" w:name="_Toc81308149"/>
            <w:bookmarkStart w:id="528" w:name="_Toc95464667"/>
            <w:bookmarkStart w:id="529" w:name="_Toc85036879"/>
            <w:bookmarkStart w:id="530" w:name="_Toc13373"/>
            <w:bookmarkStart w:id="531" w:name="_Toc85037213"/>
            <w:bookmarkStart w:id="532" w:name="_Toc88558519"/>
            <w:bookmarkStart w:id="533" w:name="_Toc96031293"/>
            <w:bookmarkStart w:id="534" w:name="_Toc91493265"/>
            <w:bookmarkStart w:id="535" w:name="_Toc109472626"/>
            <w:bookmarkStart w:id="536" w:name="_Toc97290583"/>
            <w:bookmarkStart w:id="537" w:name="_Toc111564317"/>
            <w:r>
              <w:rPr>
                <w:rFonts w:eastAsia="宋体"/>
                <w:sz w:val="24"/>
                <w:szCs w:val="24"/>
              </w:rPr>
              <w:t>监测单位</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A05166A">
            <w:pPr>
              <w:pStyle w:val="11"/>
              <w:rPr>
                <w:bCs/>
                <w:color w:val="000000"/>
                <w:szCs w:val="24"/>
              </w:rPr>
            </w:pPr>
            <w:r>
              <w:rPr>
                <w:bCs/>
                <w:color w:val="000000"/>
                <w:szCs w:val="24"/>
              </w:rPr>
              <w:t>武汉中电工程检测有限公司。</w:t>
            </w:r>
          </w:p>
          <w:p w14:paraId="64193335">
            <w:pPr>
              <w:pStyle w:val="3"/>
              <w:numPr>
                <w:ilvl w:val="1"/>
                <w:numId w:val="9"/>
              </w:numPr>
              <w:spacing w:before="0" w:after="0" w:line="360" w:lineRule="auto"/>
              <w:rPr>
                <w:rFonts w:eastAsia="宋体"/>
                <w:sz w:val="24"/>
                <w:szCs w:val="24"/>
              </w:rPr>
            </w:pPr>
            <w:bookmarkStart w:id="538" w:name="_Toc109473800"/>
            <w:bookmarkStart w:id="539" w:name="_Toc96935414"/>
            <w:bookmarkStart w:id="540" w:name="_Toc91532173"/>
            <w:bookmarkStart w:id="541" w:name="_Toc10711"/>
            <w:bookmarkStart w:id="542" w:name="_Toc110439154"/>
            <w:bookmarkStart w:id="543" w:name="_Toc91493266"/>
            <w:bookmarkStart w:id="544" w:name="_Toc85036880"/>
            <w:bookmarkStart w:id="545" w:name="_Toc109472627"/>
            <w:bookmarkStart w:id="546" w:name="_Toc109473879"/>
            <w:bookmarkStart w:id="547" w:name="_Toc85037214"/>
            <w:bookmarkStart w:id="548" w:name="_Toc88558520"/>
            <w:bookmarkStart w:id="549" w:name="_Toc96031377"/>
            <w:bookmarkStart w:id="550" w:name="_Toc95464668"/>
            <w:bookmarkStart w:id="551" w:name="_Toc81308150"/>
            <w:bookmarkStart w:id="552" w:name="_Toc6426"/>
            <w:bookmarkStart w:id="553" w:name="_Toc81415622"/>
            <w:bookmarkStart w:id="554" w:name="_Toc96031294"/>
            <w:bookmarkStart w:id="555" w:name="_Toc109473566"/>
            <w:bookmarkStart w:id="556" w:name="_Toc111564318"/>
            <w:bookmarkStart w:id="557" w:name="_Toc97290584"/>
            <w:r>
              <w:rPr>
                <w:rFonts w:eastAsia="宋体"/>
                <w:sz w:val="24"/>
                <w:szCs w:val="24"/>
              </w:rPr>
              <w:t>监测时间、监测频率、监测环境</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A5154C4">
            <w:pPr>
              <w:pStyle w:val="11"/>
              <w:rPr>
                <w:color w:val="000000"/>
                <w:szCs w:val="24"/>
              </w:rPr>
            </w:pPr>
            <w:r>
              <w:rPr>
                <w:color w:val="000000"/>
                <w:szCs w:val="24"/>
              </w:rPr>
              <w:t>监测时间：202</w:t>
            </w:r>
            <w:r>
              <w:rPr>
                <w:rFonts w:hint="eastAsia"/>
                <w:color w:val="000000"/>
                <w:szCs w:val="24"/>
                <w:lang w:val="en-US" w:eastAsia="zh-CN"/>
              </w:rPr>
              <w:t>5</w:t>
            </w:r>
            <w:r>
              <w:rPr>
                <w:color w:val="000000"/>
                <w:szCs w:val="24"/>
              </w:rPr>
              <w:t>年</w:t>
            </w:r>
            <w:r>
              <w:rPr>
                <w:rFonts w:hint="eastAsia"/>
                <w:color w:val="000000"/>
                <w:szCs w:val="24"/>
                <w:lang w:val="en-US" w:eastAsia="zh-CN"/>
              </w:rPr>
              <w:t>7</w:t>
            </w:r>
            <w:r>
              <w:rPr>
                <w:color w:val="000000"/>
                <w:szCs w:val="24"/>
              </w:rPr>
              <w:t>月</w:t>
            </w:r>
            <w:r>
              <w:rPr>
                <w:rFonts w:hint="eastAsia"/>
                <w:color w:val="000000"/>
                <w:szCs w:val="24"/>
                <w:lang w:val="en-US" w:eastAsia="zh-CN"/>
              </w:rPr>
              <w:t>1</w:t>
            </w:r>
            <w:r>
              <w:rPr>
                <w:color w:val="000000"/>
                <w:szCs w:val="24"/>
              </w:rPr>
              <w:t>日</w:t>
            </w:r>
            <w:r>
              <w:rPr>
                <w:rFonts w:hint="eastAsia"/>
                <w:color w:val="000000"/>
                <w:szCs w:val="24"/>
                <w:lang w:val="en-US" w:eastAsia="zh-CN"/>
              </w:rPr>
              <w:t>~7</w:t>
            </w:r>
            <w:r>
              <w:rPr>
                <w:rFonts w:hint="eastAsia"/>
                <w:color w:val="000000"/>
                <w:szCs w:val="24"/>
              </w:rPr>
              <w:t>月</w:t>
            </w:r>
            <w:r>
              <w:rPr>
                <w:rFonts w:hint="eastAsia"/>
                <w:color w:val="000000"/>
                <w:szCs w:val="24"/>
                <w:lang w:val="en-US" w:eastAsia="zh-CN"/>
              </w:rPr>
              <w:t>2</w:t>
            </w:r>
            <w:r>
              <w:rPr>
                <w:rFonts w:hint="eastAsia"/>
                <w:color w:val="000000"/>
                <w:szCs w:val="24"/>
              </w:rPr>
              <w:t>日</w:t>
            </w:r>
          </w:p>
          <w:p w14:paraId="717837E4">
            <w:pPr>
              <w:pStyle w:val="11"/>
              <w:rPr>
                <w:color w:val="000000"/>
                <w:szCs w:val="24"/>
              </w:rPr>
            </w:pPr>
            <w:r>
              <w:rPr>
                <w:color w:val="000000"/>
                <w:szCs w:val="24"/>
              </w:rPr>
              <w:t>监测频率：每个监测点昼、夜各监测一次；</w:t>
            </w:r>
          </w:p>
          <w:p w14:paraId="16B0B8A4">
            <w:pPr>
              <w:pStyle w:val="11"/>
              <w:rPr>
                <w:bCs/>
                <w:color w:val="000000"/>
                <w:szCs w:val="24"/>
              </w:rPr>
            </w:pPr>
            <w:r>
              <w:rPr>
                <w:bCs/>
                <w:color w:val="000000"/>
                <w:szCs w:val="24"/>
              </w:rPr>
              <w:t>监测环境详见</w:t>
            </w:r>
            <w:r>
              <w:rPr>
                <w:bCs/>
                <w:color w:val="000000"/>
                <w:szCs w:val="24"/>
              </w:rPr>
              <w:fldChar w:fldCharType="begin"/>
            </w:r>
            <w:r>
              <w:rPr>
                <w:bCs/>
                <w:color w:val="000000"/>
                <w:szCs w:val="24"/>
              </w:rPr>
              <w:instrText xml:space="preserve"> REF _Ref157246430 \h  \* MERGEFORMAT </w:instrText>
            </w:r>
            <w:r>
              <w:rPr>
                <w:bCs/>
                <w:color w:val="000000"/>
                <w:szCs w:val="24"/>
              </w:rPr>
              <w:fldChar w:fldCharType="separate"/>
            </w:r>
            <w:r>
              <w:rPr>
                <w:bCs/>
                <w:color w:val="000000"/>
                <w:szCs w:val="24"/>
              </w:rPr>
              <w:t>表 14</w:t>
            </w:r>
            <w:r>
              <w:rPr>
                <w:bCs/>
                <w:color w:val="000000"/>
                <w:szCs w:val="24"/>
              </w:rPr>
              <w:fldChar w:fldCharType="end"/>
            </w:r>
            <w:r>
              <w:rPr>
                <w:bCs/>
                <w:color w:val="000000"/>
                <w:szCs w:val="24"/>
              </w:rPr>
              <w:t>。</w:t>
            </w:r>
          </w:p>
          <w:p w14:paraId="32998236">
            <w:pPr>
              <w:pStyle w:val="9"/>
              <w:keepNext/>
              <w:rPr>
                <w:rFonts w:ascii="Times New Roman" w:hAnsi="Times New Roman"/>
                <w:b/>
              </w:rPr>
            </w:pPr>
            <w:bookmarkStart w:id="558" w:name="_Ref157246430"/>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14</w:t>
            </w:r>
            <w:r>
              <w:rPr>
                <w:rFonts w:ascii="Times New Roman" w:hAnsi="Times New Roman"/>
                <w:b/>
              </w:rPr>
              <w:fldChar w:fldCharType="end"/>
            </w:r>
            <w:bookmarkEnd w:id="558"/>
            <w:r>
              <w:rPr>
                <w:rFonts w:ascii="Times New Roman" w:hAnsi="Times New Roman"/>
                <w:b/>
              </w:rPr>
              <w:t xml:space="preserve">                        检测时间及气象条件</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869"/>
              <w:gridCol w:w="1933"/>
              <w:gridCol w:w="1933"/>
              <w:gridCol w:w="1934"/>
            </w:tblGrid>
            <w:tr w14:paraId="2F1D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78" w:type="pct"/>
                  <w:vAlign w:val="center"/>
                </w:tcPr>
                <w:p w14:paraId="64D86440">
                  <w:pPr>
                    <w:widowControl/>
                    <w:jc w:val="center"/>
                    <w:rPr>
                      <w:b/>
                      <w:color w:val="000000"/>
                      <w:kern w:val="0"/>
                      <w:szCs w:val="21"/>
                    </w:rPr>
                  </w:pPr>
                  <w:r>
                    <w:rPr>
                      <w:b/>
                      <w:color w:val="000000"/>
                      <w:kern w:val="0"/>
                      <w:szCs w:val="21"/>
                    </w:rPr>
                    <w:t>检测时间</w:t>
                  </w:r>
                </w:p>
              </w:tc>
              <w:tc>
                <w:tcPr>
                  <w:tcW w:w="537" w:type="pct"/>
                  <w:vAlign w:val="center"/>
                </w:tcPr>
                <w:p w14:paraId="14DCF210">
                  <w:pPr>
                    <w:widowControl/>
                    <w:jc w:val="center"/>
                    <w:rPr>
                      <w:b/>
                      <w:bCs/>
                      <w:color w:val="000000"/>
                      <w:kern w:val="0"/>
                      <w:szCs w:val="21"/>
                    </w:rPr>
                  </w:pPr>
                  <w:r>
                    <w:rPr>
                      <w:b/>
                      <w:bCs/>
                      <w:color w:val="000000"/>
                      <w:kern w:val="0"/>
                      <w:szCs w:val="21"/>
                    </w:rPr>
                    <w:t>天气</w:t>
                  </w:r>
                </w:p>
              </w:tc>
              <w:tc>
                <w:tcPr>
                  <w:tcW w:w="1194" w:type="pct"/>
                  <w:vAlign w:val="center"/>
                </w:tcPr>
                <w:p w14:paraId="6B870D13">
                  <w:pPr>
                    <w:widowControl/>
                    <w:jc w:val="center"/>
                    <w:rPr>
                      <w:b/>
                      <w:bCs/>
                      <w:color w:val="000000"/>
                      <w:kern w:val="0"/>
                      <w:szCs w:val="21"/>
                    </w:rPr>
                  </w:pPr>
                  <w:r>
                    <w:rPr>
                      <w:b/>
                      <w:bCs/>
                      <w:color w:val="000000"/>
                      <w:kern w:val="0"/>
                      <w:szCs w:val="21"/>
                    </w:rPr>
                    <w:t>温度（℃）</w:t>
                  </w:r>
                </w:p>
              </w:tc>
              <w:tc>
                <w:tcPr>
                  <w:tcW w:w="1194" w:type="pct"/>
                  <w:tcBorders>
                    <w:right w:val="single" w:color="auto" w:sz="2" w:space="0"/>
                  </w:tcBorders>
                  <w:vAlign w:val="center"/>
                </w:tcPr>
                <w:p w14:paraId="2179725F">
                  <w:pPr>
                    <w:widowControl/>
                    <w:jc w:val="center"/>
                    <w:rPr>
                      <w:b/>
                      <w:bCs/>
                      <w:color w:val="000000"/>
                      <w:kern w:val="0"/>
                      <w:szCs w:val="21"/>
                    </w:rPr>
                  </w:pPr>
                  <w:r>
                    <w:rPr>
                      <w:b/>
                      <w:bCs/>
                      <w:color w:val="000000"/>
                      <w:kern w:val="0"/>
                      <w:szCs w:val="21"/>
                    </w:rPr>
                    <w:t>湿度（RH%）</w:t>
                  </w:r>
                </w:p>
              </w:tc>
              <w:tc>
                <w:tcPr>
                  <w:tcW w:w="1195" w:type="pct"/>
                  <w:tcBorders>
                    <w:left w:val="single" w:color="auto" w:sz="2" w:space="0"/>
                  </w:tcBorders>
                  <w:vAlign w:val="center"/>
                </w:tcPr>
                <w:p w14:paraId="408F2C39">
                  <w:pPr>
                    <w:widowControl/>
                    <w:jc w:val="center"/>
                    <w:rPr>
                      <w:b/>
                      <w:bCs/>
                      <w:color w:val="000000"/>
                      <w:kern w:val="0"/>
                      <w:szCs w:val="21"/>
                    </w:rPr>
                  </w:pPr>
                  <w:r>
                    <w:rPr>
                      <w:b/>
                      <w:bCs/>
                      <w:color w:val="000000"/>
                      <w:kern w:val="0"/>
                      <w:szCs w:val="21"/>
                    </w:rPr>
                    <w:t>风速（</w:t>
                  </w:r>
                  <w:r>
                    <w:rPr>
                      <w:b/>
                      <w:color w:val="000000"/>
                      <w:szCs w:val="21"/>
                    </w:rPr>
                    <w:t>m/s）</w:t>
                  </w:r>
                </w:p>
              </w:tc>
            </w:tr>
            <w:tr w14:paraId="3938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pct"/>
                  <w:vAlign w:val="center"/>
                </w:tcPr>
                <w:p w14:paraId="55E86617">
                  <w:pPr>
                    <w:widowControl/>
                    <w:jc w:val="center"/>
                    <w:rPr>
                      <w:rFonts w:hint="eastAsia" w:eastAsia="宋体"/>
                      <w:color w:val="000000"/>
                      <w:kern w:val="0"/>
                      <w:szCs w:val="21"/>
                      <w:lang w:eastAsia="zh-CN"/>
                    </w:rPr>
                  </w:pPr>
                  <w:r>
                    <w:rPr>
                      <w:color w:val="000000"/>
                      <w:kern w:val="0"/>
                      <w:szCs w:val="21"/>
                    </w:rPr>
                    <w:t>20</w:t>
                  </w:r>
                  <w:r>
                    <w:rPr>
                      <w:rFonts w:hint="eastAsia"/>
                      <w:color w:val="000000"/>
                      <w:kern w:val="0"/>
                      <w:szCs w:val="21"/>
                    </w:rPr>
                    <w:t>2</w:t>
                  </w:r>
                  <w:r>
                    <w:rPr>
                      <w:rFonts w:hint="eastAsia"/>
                      <w:color w:val="000000"/>
                      <w:kern w:val="0"/>
                      <w:szCs w:val="21"/>
                      <w:lang w:val="en-US" w:eastAsia="zh-CN"/>
                    </w:rPr>
                    <w:t>5</w:t>
                  </w:r>
                  <w:r>
                    <w:rPr>
                      <w:rFonts w:hint="eastAsia"/>
                      <w:color w:val="000000"/>
                      <w:kern w:val="0"/>
                      <w:szCs w:val="21"/>
                    </w:rPr>
                    <w:t>.</w:t>
                  </w:r>
                  <w:r>
                    <w:rPr>
                      <w:rFonts w:hint="eastAsia"/>
                      <w:color w:val="000000"/>
                      <w:kern w:val="0"/>
                      <w:szCs w:val="21"/>
                      <w:lang w:val="en-US" w:eastAsia="zh-CN"/>
                    </w:rPr>
                    <w:t>7</w:t>
                  </w:r>
                  <w:r>
                    <w:rPr>
                      <w:rFonts w:hint="eastAsia"/>
                      <w:color w:val="000000"/>
                      <w:kern w:val="0"/>
                      <w:szCs w:val="21"/>
                    </w:rPr>
                    <w:t>.</w:t>
                  </w:r>
                  <w:r>
                    <w:rPr>
                      <w:rFonts w:hint="eastAsia"/>
                      <w:color w:val="000000"/>
                      <w:kern w:val="0"/>
                      <w:szCs w:val="21"/>
                      <w:lang w:val="en-US" w:eastAsia="zh-CN"/>
                    </w:rPr>
                    <w:t>1</w:t>
                  </w:r>
                </w:p>
              </w:tc>
              <w:tc>
                <w:tcPr>
                  <w:tcW w:w="537" w:type="pct"/>
                  <w:vAlign w:val="center"/>
                </w:tcPr>
                <w:p w14:paraId="3A18798B">
                  <w:pPr>
                    <w:widowControl/>
                    <w:jc w:val="center"/>
                    <w:rPr>
                      <w:rFonts w:hint="eastAsia" w:eastAsia="宋体"/>
                      <w:color w:val="000000"/>
                      <w:kern w:val="0"/>
                      <w:szCs w:val="21"/>
                      <w:lang w:eastAsia="zh-CN"/>
                    </w:rPr>
                  </w:pPr>
                  <w:r>
                    <w:rPr>
                      <w:rFonts w:hint="eastAsia"/>
                      <w:color w:val="000000"/>
                      <w:kern w:val="0"/>
                      <w:szCs w:val="21"/>
                      <w:lang w:val="en-US" w:eastAsia="zh-CN"/>
                    </w:rPr>
                    <w:t>阴</w:t>
                  </w:r>
                </w:p>
              </w:tc>
              <w:tc>
                <w:tcPr>
                  <w:tcW w:w="1194" w:type="pct"/>
                  <w:vAlign w:val="center"/>
                </w:tcPr>
                <w:p w14:paraId="79329D99">
                  <w:pPr>
                    <w:widowControl/>
                    <w:jc w:val="center"/>
                    <w:rPr>
                      <w:rFonts w:hint="default" w:ascii="Times New Roman" w:hAnsi="Times New Roman" w:eastAsia="宋体" w:cs="ˎ̥"/>
                      <w:color w:val="000000"/>
                      <w:kern w:val="0"/>
                      <w:sz w:val="21"/>
                      <w:szCs w:val="21"/>
                      <w:lang w:val="en-US" w:eastAsia="zh-CN" w:bidi="ar-SA"/>
                    </w:rPr>
                  </w:pPr>
                  <w:r>
                    <w:rPr>
                      <w:rFonts w:hint="eastAsia" w:ascii="ˎ̥" w:hAnsi="ˎ̥" w:cs="ˎ̥"/>
                      <w:color w:val="000000"/>
                      <w:kern w:val="0"/>
                      <w:szCs w:val="21"/>
                      <w:lang w:val="en-US" w:eastAsia="zh-CN"/>
                    </w:rPr>
                    <w:t>31.3~32.2</w:t>
                  </w:r>
                </w:p>
              </w:tc>
              <w:tc>
                <w:tcPr>
                  <w:tcW w:w="1194" w:type="pct"/>
                  <w:tcBorders>
                    <w:right w:val="single" w:color="auto" w:sz="2" w:space="0"/>
                  </w:tcBorders>
                  <w:vAlign w:val="center"/>
                </w:tcPr>
                <w:p w14:paraId="530472D9">
                  <w:pPr>
                    <w:widowControl/>
                    <w:jc w:val="center"/>
                    <w:rPr>
                      <w:rFonts w:hint="default" w:ascii="Times New Roman" w:hAnsi="Times New Roman" w:eastAsia="宋体" w:cs="ˎ̥"/>
                      <w:color w:val="000000"/>
                      <w:kern w:val="0"/>
                      <w:sz w:val="21"/>
                      <w:szCs w:val="21"/>
                      <w:lang w:val="en-US" w:eastAsia="zh-CN" w:bidi="ar-SA"/>
                    </w:rPr>
                  </w:pPr>
                  <w:r>
                    <w:rPr>
                      <w:rFonts w:hint="eastAsia" w:ascii="ˎ̥" w:hAnsi="ˎ̥" w:cs="ˎ̥"/>
                      <w:color w:val="000000"/>
                      <w:kern w:val="0"/>
                      <w:szCs w:val="21"/>
                      <w:lang w:val="en-US" w:eastAsia="zh-CN"/>
                    </w:rPr>
                    <w:t>22.9~24.6</w:t>
                  </w:r>
                </w:p>
              </w:tc>
              <w:tc>
                <w:tcPr>
                  <w:tcW w:w="1195" w:type="pct"/>
                  <w:tcBorders>
                    <w:left w:val="single" w:color="auto" w:sz="2" w:space="0"/>
                  </w:tcBorders>
                  <w:vAlign w:val="center"/>
                </w:tcPr>
                <w:p w14:paraId="26599435">
                  <w:pPr>
                    <w:widowControl/>
                    <w:jc w:val="center"/>
                    <w:rPr>
                      <w:rFonts w:hint="default" w:ascii="Times New Roman" w:hAnsi="Times New Roman" w:eastAsia="宋体" w:cs="ˎ̥"/>
                      <w:color w:val="000000"/>
                      <w:kern w:val="0"/>
                      <w:sz w:val="21"/>
                      <w:szCs w:val="21"/>
                      <w:lang w:val="en-US" w:eastAsia="zh-CN" w:bidi="ar-SA"/>
                    </w:rPr>
                  </w:pPr>
                  <w:r>
                    <w:rPr>
                      <w:rFonts w:hint="eastAsia" w:ascii="ˎ̥" w:hAnsi="ˎ̥" w:cs="ˎ̥"/>
                      <w:color w:val="000000"/>
                      <w:kern w:val="0"/>
                      <w:szCs w:val="21"/>
                      <w:lang w:val="en-US" w:eastAsia="zh-CN"/>
                    </w:rPr>
                    <w:t>0.4~0.8</w:t>
                  </w:r>
                </w:p>
              </w:tc>
            </w:tr>
            <w:tr w14:paraId="2CF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pct"/>
                  <w:vAlign w:val="center"/>
                </w:tcPr>
                <w:p w14:paraId="61E78A8E">
                  <w:pPr>
                    <w:widowControl/>
                    <w:jc w:val="center"/>
                    <w:rPr>
                      <w:color w:val="000000"/>
                      <w:kern w:val="0"/>
                      <w:szCs w:val="21"/>
                    </w:rPr>
                  </w:pPr>
                  <w:r>
                    <w:rPr>
                      <w:color w:val="000000"/>
                      <w:kern w:val="0"/>
                      <w:szCs w:val="21"/>
                    </w:rPr>
                    <w:t>20</w:t>
                  </w:r>
                  <w:r>
                    <w:rPr>
                      <w:rFonts w:hint="eastAsia"/>
                      <w:color w:val="000000"/>
                      <w:kern w:val="0"/>
                      <w:szCs w:val="21"/>
                    </w:rPr>
                    <w:t>2</w:t>
                  </w:r>
                  <w:r>
                    <w:rPr>
                      <w:rFonts w:hint="eastAsia"/>
                      <w:color w:val="000000"/>
                      <w:kern w:val="0"/>
                      <w:szCs w:val="21"/>
                      <w:lang w:val="en-US" w:eastAsia="zh-CN"/>
                    </w:rPr>
                    <w:t>5</w:t>
                  </w:r>
                  <w:r>
                    <w:rPr>
                      <w:rFonts w:hint="eastAsia"/>
                      <w:color w:val="000000"/>
                      <w:kern w:val="0"/>
                      <w:szCs w:val="21"/>
                    </w:rPr>
                    <w:t>.</w:t>
                  </w:r>
                  <w:r>
                    <w:rPr>
                      <w:rFonts w:hint="eastAsia"/>
                      <w:color w:val="000000"/>
                      <w:kern w:val="0"/>
                      <w:szCs w:val="21"/>
                      <w:lang w:val="en-US" w:eastAsia="zh-CN"/>
                    </w:rPr>
                    <w:t>7</w:t>
                  </w:r>
                  <w:r>
                    <w:rPr>
                      <w:rFonts w:hint="eastAsia"/>
                      <w:color w:val="000000"/>
                      <w:kern w:val="0"/>
                      <w:szCs w:val="21"/>
                    </w:rPr>
                    <w:t>.</w:t>
                  </w:r>
                  <w:r>
                    <w:rPr>
                      <w:rFonts w:hint="eastAsia"/>
                      <w:color w:val="000000"/>
                      <w:kern w:val="0"/>
                      <w:szCs w:val="21"/>
                      <w:lang w:val="en-US" w:eastAsia="zh-CN"/>
                    </w:rPr>
                    <w:t>2</w:t>
                  </w:r>
                </w:p>
              </w:tc>
              <w:tc>
                <w:tcPr>
                  <w:tcW w:w="537" w:type="pct"/>
                  <w:vAlign w:val="center"/>
                </w:tcPr>
                <w:p w14:paraId="3646390F">
                  <w:pPr>
                    <w:widowControl/>
                    <w:jc w:val="center"/>
                    <w:rPr>
                      <w:rFonts w:hint="eastAsia" w:eastAsia="宋体"/>
                      <w:color w:val="000000"/>
                      <w:kern w:val="0"/>
                      <w:szCs w:val="21"/>
                      <w:lang w:eastAsia="zh-CN"/>
                    </w:rPr>
                  </w:pPr>
                  <w:r>
                    <w:rPr>
                      <w:rFonts w:hint="eastAsia"/>
                      <w:color w:val="000000"/>
                      <w:kern w:val="0"/>
                      <w:szCs w:val="21"/>
                      <w:lang w:val="en-US" w:eastAsia="zh-CN"/>
                    </w:rPr>
                    <w:t>阴</w:t>
                  </w:r>
                </w:p>
              </w:tc>
              <w:tc>
                <w:tcPr>
                  <w:tcW w:w="1194" w:type="pct"/>
                  <w:vAlign w:val="center"/>
                </w:tcPr>
                <w:p w14:paraId="49CAF275">
                  <w:pPr>
                    <w:widowControl/>
                    <w:jc w:val="center"/>
                    <w:rPr>
                      <w:rFonts w:hint="default" w:eastAsia="宋体"/>
                      <w:color w:val="000000"/>
                      <w:kern w:val="0"/>
                      <w:szCs w:val="21"/>
                      <w:highlight w:val="none"/>
                      <w:lang w:val="en-US" w:eastAsia="zh-CN"/>
                    </w:rPr>
                  </w:pPr>
                  <w:r>
                    <w:rPr>
                      <w:rFonts w:hint="eastAsia"/>
                      <w:color w:val="000000"/>
                      <w:kern w:val="0"/>
                      <w:szCs w:val="21"/>
                      <w:highlight w:val="none"/>
                      <w:lang w:val="en-US" w:eastAsia="zh-CN"/>
                    </w:rPr>
                    <w:t>24.8~25.4</w:t>
                  </w:r>
                </w:p>
              </w:tc>
              <w:tc>
                <w:tcPr>
                  <w:tcW w:w="1194" w:type="pct"/>
                  <w:tcBorders>
                    <w:right w:val="single" w:color="auto" w:sz="2" w:space="0"/>
                  </w:tcBorders>
                  <w:vAlign w:val="center"/>
                </w:tcPr>
                <w:p w14:paraId="70C1CEA2">
                  <w:pPr>
                    <w:widowControl/>
                    <w:jc w:val="center"/>
                    <w:rPr>
                      <w:rFonts w:hint="eastAsia" w:eastAsia="宋体"/>
                      <w:color w:val="000000"/>
                      <w:kern w:val="0"/>
                      <w:szCs w:val="21"/>
                      <w:highlight w:val="none"/>
                      <w:lang w:val="en-US" w:eastAsia="zh-CN"/>
                    </w:rPr>
                  </w:pPr>
                  <w:r>
                    <w:rPr>
                      <w:rFonts w:hint="eastAsia"/>
                      <w:color w:val="000000"/>
                      <w:kern w:val="0"/>
                      <w:szCs w:val="21"/>
                      <w:highlight w:val="none"/>
                      <w:lang w:val="en-US" w:eastAsia="zh-CN"/>
                    </w:rPr>
                    <w:t>/</w:t>
                  </w:r>
                </w:p>
              </w:tc>
              <w:tc>
                <w:tcPr>
                  <w:tcW w:w="1195" w:type="pct"/>
                  <w:tcBorders>
                    <w:left w:val="single" w:color="auto" w:sz="2" w:space="0"/>
                  </w:tcBorders>
                  <w:vAlign w:val="center"/>
                </w:tcPr>
                <w:p w14:paraId="32C0C0AD">
                  <w:pPr>
                    <w:widowControl/>
                    <w:jc w:val="center"/>
                    <w:rPr>
                      <w:rFonts w:hint="default" w:eastAsia="宋体"/>
                      <w:color w:val="000000"/>
                      <w:kern w:val="0"/>
                      <w:szCs w:val="21"/>
                      <w:highlight w:val="none"/>
                      <w:lang w:val="en-US" w:eastAsia="zh-CN"/>
                    </w:rPr>
                  </w:pPr>
                  <w:r>
                    <w:rPr>
                      <w:rFonts w:hint="eastAsia"/>
                      <w:color w:val="000000"/>
                      <w:kern w:val="0"/>
                      <w:szCs w:val="21"/>
                      <w:highlight w:val="none"/>
                      <w:lang w:val="en-US" w:eastAsia="zh-CN"/>
                    </w:rPr>
                    <w:t>0.4~0.8</w:t>
                  </w:r>
                </w:p>
              </w:tc>
            </w:tr>
          </w:tbl>
          <w:p w14:paraId="6D97D97D">
            <w:pPr>
              <w:widowControl/>
              <w:numPr>
                <w:ilvl w:val="255"/>
                <w:numId w:val="0"/>
              </w:numPr>
              <w:spacing w:before="120" w:beforeLines="50" w:line="360" w:lineRule="auto"/>
              <w:ind w:firstLine="480" w:firstLineChars="200"/>
              <w:jc w:val="left"/>
              <w:rPr>
                <w:sz w:val="24"/>
                <w:szCs w:val="32"/>
              </w:rPr>
            </w:pPr>
            <w:bookmarkStart w:id="559" w:name="_Toc110439155"/>
            <w:bookmarkStart w:id="560" w:name="_Toc81415623"/>
            <w:bookmarkStart w:id="561" w:name="_Toc96031295"/>
            <w:bookmarkStart w:id="562" w:name="_Toc85037215"/>
            <w:bookmarkStart w:id="563" w:name="_Toc88558521"/>
            <w:bookmarkStart w:id="564" w:name="_Toc96935415"/>
            <w:bookmarkStart w:id="565" w:name="_Toc96031378"/>
            <w:bookmarkStart w:id="566" w:name="_Toc97290585"/>
            <w:bookmarkStart w:id="567" w:name="_Toc109473880"/>
            <w:bookmarkStart w:id="568" w:name="_Toc91493267"/>
            <w:bookmarkStart w:id="569" w:name="_Toc109473567"/>
            <w:bookmarkStart w:id="570" w:name="_Toc109473801"/>
            <w:bookmarkStart w:id="571" w:name="_Toc95464669"/>
            <w:bookmarkStart w:id="572" w:name="_Toc81308151"/>
            <w:bookmarkStart w:id="573" w:name="_Toc109472628"/>
            <w:bookmarkStart w:id="574" w:name="_Toc85036881"/>
            <w:bookmarkStart w:id="575" w:name="_Toc111564319"/>
            <w:bookmarkStart w:id="576" w:name="_Toc91532174"/>
            <w:bookmarkStart w:id="577" w:name="_Toc21524"/>
            <w:r>
              <w:rPr>
                <w:rFonts w:hint="eastAsia"/>
                <w:color w:val="000000"/>
                <w:sz w:val="24"/>
                <w:szCs w:val="20"/>
              </w:rPr>
              <w:t>监测期间运行工况见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_Ref8609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15</w:t>
            </w:r>
            <w:r>
              <w:rPr>
                <w:rFonts w:hint="eastAsia"/>
                <w:b w:val="0"/>
                <w:bCs w:val="0"/>
                <w:color w:val="000000"/>
                <w:sz w:val="24"/>
                <w:szCs w:val="24"/>
                <w:lang w:eastAsia="zh-CN"/>
              </w:rPr>
              <w:fldChar w:fldCharType="end"/>
            </w:r>
            <w:r>
              <w:rPr>
                <w:rFonts w:hint="eastAsia"/>
                <w:color w:val="000000"/>
                <w:sz w:val="24"/>
                <w:szCs w:val="20"/>
              </w:rPr>
              <w:t>。</w:t>
            </w:r>
          </w:p>
          <w:p w14:paraId="4AE0853F">
            <w:pPr>
              <w:rPr>
                <w:rFonts w:hint="eastAsia" w:eastAsia="黑体"/>
                <w:b/>
                <w:szCs w:val="21"/>
                <w:u w:val="none"/>
              </w:rPr>
            </w:pPr>
            <w:bookmarkStart w:id="578" w:name="_Ref8609"/>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15</w:t>
            </w:r>
            <w:r>
              <w:rPr>
                <w:rFonts w:ascii="Times New Roman" w:hAnsi="Times New Roman"/>
                <w:b/>
              </w:rPr>
              <w:fldChar w:fldCharType="end"/>
            </w:r>
            <w:bookmarkEnd w:id="578"/>
            <w:r>
              <w:rPr>
                <w:rFonts w:ascii="Times New Roman" w:hAnsi="Times New Roman"/>
                <w:b/>
              </w:rPr>
              <w:t xml:space="preserve"> </w:t>
            </w:r>
            <w:r>
              <w:rPr>
                <w:rFonts w:hint="eastAsia" w:eastAsia="黑体"/>
                <w:b/>
                <w:szCs w:val="21"/>
              </w:rPr>
              <w:t xml:space="preserve"> </w:t>
            </w:r>
            <w:r>
              <w:rPr>
                <w:rFonts w:eastAsia="黑体"/>
                <w:b/>
                <w:szCs w:val="21"/>
              </w:rPr>
              <w:t xml:space="preserve">              </w:t>
            </w:r>
            <w:r>
              <w:rPr>
                <w:rFonts w:hint="eastAsia" w:eastAsia="黑体"/>
                <w:b/>
                <w:szCs w:val="21"/>
              </w:rPr>
              <w:t xml:space="preserve"> </w:t>
            </w:r>
            <w:r>
              <w:rPr>
                <w:rFonts w:hint="eastAsia" w:eastAsia="黑体"/>
                <w:b/>
                <w:szCs w:val="21"/>
                <w:u w:val="none"/>
                <w:lang w:val="en-US" w:eastAsia="zh-CN"/>
              </w:rPr>
              <w:t>港城110kV变电站</w:t>
            </w:r>
            <w:r>
              <w:rPr>
                <w:rFonts w:hint="eastAsia" w:eastAsia="黑体"/>
                <w:b/>
                <w:szCs w:val="21"/>
                <w:u w:val="none"/>
              </w:rPr>
              <w:t>监测时的运行工况</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30"/>
              <w:gridCol w:w="900"/>
              <w:gridCol w:w="1525"/>
              <w:gridCol w:w="1412"/>
              <w:gridCol w:w="1338"/>
              <w:gridCol w:w="1261"/>
            </w:tblGrid>
            <w:tr w14:paraId="294E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5" w:type="pct"/>
                  <w:vAlign w:val="center"/>
                </w:tcPr>
                <w:p w14:paraId="201F2A90">
                  <w:pPr>
                    <w:widowControl/>
                    <w:jc w:val="center"/>
                    <w:rPr>
                      <w:b/>
                      <w:bCs w:val="0"/>
                      <w:kern w:val="0"/>
                      <w:szCs w:val="21"/>
                    </w:rPr>
                  </w:pPr>
                  <w:r>
                    <w:rPr>
                      <w:rFonts w:hint="eastAsia"/>
                      <w:b/>
                      <w:bCs w:val="0"/>
                      <w:kern w:val="0"/>
                      <w:szCs w:val="21"/>
                      <w:lang w:val="en-US" w:eastAsia="zh-CN"/>
                    </w:rPr>
                    <w:t>监</w:t>
                  </w:r>
                  <w:r>
                    <w:rPr>
                      <w:rFonts w:hint="eastAsia"/>
                      <w:b/>
                      <w:bCs w:val="0"/>
                      <w:kern w:val="0"/>
                      <w:szCs w:val="21"/>
                    </w:rPr>
                    <w:t>测日期</w:t>
                  </w:r>
                </w:p>
              </w:tc>
              <w:tc>
                <w:tcPr>
                  <w:tcW w:w="1131" w:type="pct"/>
                  <w:gridSpan w:val="2"/>
                  <w:vAlign w:val="center"/>
                </w:tcPr>
                <w:p w14:paraId="6115AFB0">
                  <w:pPr>
                    <w:widowControl/>
                    <w:jc w:val="center"/>
                    <w:rPr>
                      <w:b/>
                      <w:bCs w:val="0"/>
                      <w:kern w:val="0"/>
                      <w:szCs w:val="21"/>
                    </w:rPr>
                  </w:pPr>
                  <w:r>
                    <w:rPr>
                      <w:b/>
                      <w:bCs w:val="0"/>
                      <w:kern w:val="0"/>
                      <w:szCs w:val="21"/>
                    </w:rPr>
                    <w:t>项目</w:t>
                  </w:r>
                </w:p>
              </w:tc>
              <w:tc>
                <w:tcPr>
                  <w:tcW w:w="942" w:type="pct"/>
                  <w:vAlign w:val="center"/>
                </w:tcPr>
                <w:p w14:paraId="042D33B7">
                  <w:pPr>
                    <w:widowControl/>
                    <w:jc w:val="center"/>
                    <w:rPr>
                      <w:b/>
                      <w:bCs w:val="0"/>
                      <w:kern w:val="0"/>
                      <w:szCs w:val="21"/>
                    </w:rPr>
                  </w:pPr>
                  <w:r>
                    <w:rPr>
                      <w:b/>
                      <w:bCs w:val="0"/>
                      <w:kern w:val="0"/>
                      <w:szCs w:val="21"/>
                    </w:rPr>
                    <w:t>电压（kV）</w:t>
                  </w:r>
                </w:p>
              </w:tc>
              <w:tc>
                <w:tcPr>
                  <w:tcW w:w="873" w:type="pct"/>
                  <w:vAlign w:val="center"/>
                </w:tcPr>
                <w:p w14:paraId="1031276D">
                  <w:pPr>
                    <w:widowControl/>
                    <w:jc w:val="center"/>
                    <w:rPr>
                      <w:b/>
                      <w:bCs w:val="0"/>
                      <w:kern w:val="0"/>
                      <w:szCs w:val="21"/>
                    </w:rPr>
                  </w:pPr>
                  <w:r>
                    <w:rPr>
                      <w:b/>
                      <w:bCs w:val="0"/>
                      <w:kern w:val="0"/>
                      <w:szCs w:val="21"/>
                    </w:rPr>
                    <w:t>电流（A）</w:t>
                  </w:r>
                </w:p>
              </w:tc>
              <w:tc>
                <w:tcPr>
                  <w:tcW w:w="827" w:type="pct"/>
                  <w:vAlign w:val="center"/>
                </w:tcPr>
                <w:p w14:paraId="13BF0FFC">
                  <w:pPr>
                    <w:widowControl/>
                    <w:jc w:val="center"/>
                    <w:rPr>
                      <w:b/>
                      <w:bCs w:val="0"/>
                      <w:kern w:val="0"/>
                      <w:szCs w:val="21"/>
                    </w:rPr>
                  </w:pPr>
                  <w:r>
                    <w:rPr>
                      <w:b/>
                      <w:bCs w:val="0"/>
                      <w:kern w:val="0"/>
                      <w:szCs w:val="21"/>
                    </w:rPr>
                    <w:t>有功功率（MW）</w:t>
                  </w:r>
                </w:p>
              </w:tc>
              <w:tc>
                <w:tcPr>
                  <w:tcW w:w="779" w:type="pct"/>
                  <w:vAlign w:val="center"/>
                </w:tcPr>
                <w:p w14:paraId="6A69C67F">
                  <w:pPr>
                    <w:widowControl/>
                    <w:jc w:val="center"/>
                    <w:rPr>
                      <w:b/>
                      <w:bCs w:val="0"/>
                      <w:kern w:val="0"/>
                      <w:szCs w:val="21"/>
                    </w:rPr>
                  </w:pPr>
                  <w:r>
                    <w:rPr>
                      <w:b/>
                      <w:bCs w:val="0"/>
                      <w:kern w:val="0"/>
                      <w:szCs w:val="21"/>
                    </w:rPr>
                    <w:t>无功功率（Mvar）</w:t>
                  </w:r>
                </w:p>
              </w:tc>
            </w:tr>
            <w:tr w14:paraId="6C2D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pct"/>
                  <w:vMerge w:val="restart"/>
                  <w:vAlign w:val="center"/>
                </w:tcPr>
                <w:p w14:paraId="628C4E49">
                  <w:pPr>
                    <w:widowControl/>
                    <w:jc w:val="center"/>
                    <w:rPr>
                      <w:rFonts w:hint="default" w:eastAsia="宋体"/>
                      <w:bCs/>
                      <w:kern w:val="0"/>
                      <w:szCs w:val="21"/>
                      <w:highlight w:val="yellow"/>
                      <w:lang w:val="en-US" w:eastAsia="zh-CN"/>
                    </w:rPr>
                  </w:pPr>
                  <w:r>
                    <w:rPr>
                      <w:rFonts w:hint="eastAsia"/>
                      <w:szCs w:val="21"/>
                    </w:rPr>
                    <w:t>202</w:t>
                  </w:r>
                  <w:r>
                    <w:rPr>
                      <w:rFonts w:hint="eastAsia"/>
                      <w:szCs w:val="21"/>
                      <w:lang w:val="en-US" w:eastAsia="zh-CN"/>
                    </w:rPr>
                    <w:t>5</w:t>
                  </w:r>
                  <w:r>
                    <w:rPr>
                      <w:rFonts w:hint="eastAsia"/>
                      <w:szCs w:val="21"/>
                    </w:rPr>
                    <w:t>.</w:t>
                  </w:r>
                  <w:r>
                    <w:rPr>
                      <w:rFonts w:hint="eastAsia"/>
                      <w:szCs w:val="21"/>
                      <w:lang w:val="en-US" w:eastAsia="zh-CN"/>
                    </w:rPr>
                    <w:t>7</w:t>
                  </w:r>
                  <w:r>
                    <w:rPr>
                      <w:rFonts w:hint="eastAsia"/>
                      <w:szCs w:val="21"/>
                    </w:rPr>
                    <w:t>.</w:t>
                  </w:r>
                  <w:r>
                    <w:rPr>
                      <w:rFonts w:hint="eastAsia"/>
                      <w:szCs w:val="21"/>
                      <w:lang w:val="en-US" w:eastAsia="zh-CN"/>
                    </w:rPr>
                    <w:t>1~7.2</w:t>
                  </w:r>
                </w:p>
              </w:tc>
              <w:tc>
                <w:tcPr>
                  <w:tcW w:w="575" w:type="pct"/>
                  <w:vMerge w:val="restart"/>
                  <w:vAlign w:val="center"/>
                </w:tcPr>
                <w:p w14:paraId="5500699E">
                  <w:pPr>
                    <w:widowControl/>
                    <w:jc w:val="center"/>
                    <w:rPr>
                      <w:rFonts w:hint="eastAsia" w:eastAsia="宋体"/>
                      <w:bCs/>
                      <w:kern w:val="0"/>
                      <w:szCs w:val="21"/>
                      <w:lang w:eastAsia="zh-CN"/>
                    </w:rPr>
                  </w:pPr>
                  <w:r>
                    <w:rPr>
                      <w:rFonts w:hint="eastAsia"/>
                      <w:bCs/>
                      <w:kern w:val="0"/>
                      <w:szCs w:val="21"/>
                      <w:lang w:eastAsia="zh-CN"/>
                    </w:rPr>
                    <w:t>港城110kV变电站</w:t>
                  </w:r>
                </w:p>
              </w:tc>
              <w:tc>
                <w:tcPr>
                  <w:tcW w:w="556" w:type="pct"/>
                  <w:vAlign w:val="center"/>
                </w:tcPr>
                <w:p w14:paraId="52F7EA32">
                  <w:pPr>
                    <w:pStyle w:val="105"/>
                    <w:tabs>
                      <w:tab w:val="center" w:pos="4462"/>
                    </w:tabs>
                    <w:snapToGrid w:val="0"/>
                    <w:spacing w:line="276" w:lineRule="auto"/>
                    <w:ind w:firstLine="0" w:firstLineChars="0"/>
                    <w:jc w:val="center"/>
                    <w:rPr>
                      <w:bCs/>
                      <w:kern w:val="0"/>
                      <w:szCs w:val="21"/>
                      <w:highlight w:val="yellow"/>
                    </w:rPr>
                  </w:pPr>
                  <w:r>
                    <w:rPr>
                      <w:snapToGrid w:val="0"/>
                      <w:kern w:val="0"/>
                      <w:szCs w:val="21"/>
                    </w:rPr>
                    <w:t>#1主变</w:t>
                  </w:r>
                </w:p>
              </w:tc>
              <w:tc>
                <w:tcPr>
                  <w:tcW w:w="942" w:type="pct"/>
                  <w:vAlign w:val="center"/>
                </w:tcPr>
                <w:p w14:paraId="26EBD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11</w:t>
                  </w:r>
                  <w:r>
                    <w:rPr>
                      <w:rFonts w:hint="eastAsia" w:ascii="Times New Roman" w:hAnsi="Times New Roman"/>
                      <w:kern w:val="0"/>
                      <w:szCs w:val="21"/>
                      <w:lang w:val="en-US" w:eastAsia="zh-CN"/>
                    </w:rPr>
                    <w:t>6</w:t>
                  </w:r>
                  <w:r>
                    <w:rPr>
                      <w:rFonts w:ascii="Times New Roman" w:hAnsi="Times New Roman"/>
                      <w:kern w:val="0"/>
                      <w:szCs w:val="21"/>
                    </w:rPr>
                    <w:t>.26~11</w:t>
                  </w:r>
                  <w:r>
                    <w:rPr>
                      <w:rFonts w:hint="eastAsia" w:ascii="Times New Roman" w:hAnsi="Times New Roman"/>
                      <w:kern w:val="0"/>
                      <w:szCs w:val="21"/>
                      <w:lang w:val="en-US" w:eastAsia="zh-CN"/>
                    </w:rPr>
                    <w:t>7</w:t>
                  </w:r>
                  <w:r>
                    <w:rPr>
                      <w:rFonts w:ascii="Times New Roman" w:hAnsi="Times New Roman"/>
                      <w:kern w:val="0"/>
                      <w:szCs w:val="21"/>
                    </w:rPr>
                    <w:t>.74</w:t>
                  </w:r>
                </w:p>
              </w:tc>
              <w:tc>
                <w:tcPr>
                  <w:tcW w:w="873" w:type="pct"/>
                  <w:vAlign w:val="center"/>
                </w:tcPr>
                <w:p w14:paraId="555785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5</w:t>
                  </w:r>
                  <w:r>
                    <w:rPr>
                      <w:rFonts w:ascii="Times New Roman" w:hAnsi="Times New Roman"/>
                      <w:kern w:val="0"/>
                      <w:szCs w:val="21"/>
                    </w:rPr>
                    <w:t>.61~4</w:t>
                  </w:r>
                  <w:r>
                    <w:rPr>
                      <w:rFonts w:hint="eastAsia" w:ascii="Times New Roman" w:hAnsi="Times New Roman"/>
                      <w:kern w:val="0"/>
                      <w:szCs w:val="21"/>
                      <w:lang w:val="en-US" w:eastAsia="zh-CN"/>
                    </w:rPr>
                    <w:t>7</w:t>
                  </w:r>
                  <w:r>
                    <w:rPr>
                      <w:rFonts w:ascii="Times New Roman" w:hAnsi="Times New Roman"/>
                      <w:kern w:val="0"/>
                      <w:szCs w:val="21"/>
                    </w:rPr>
                    <w:t>.41</w:t>
                  </w:r>
                </w:p>
              </w:tc>
              <w:tc>
                <w:tcPr>
                  <w:tcW w:w="827" w:type="pct"/>
                  <w:vAlign w:val="center"/>
                </w:tcPr>
                <w:p w14:paraId="64178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8.</w:t>
                  </w:r>
                  <w:r>
                    <w:rPr>
                      <w:rFonts w:hint="eastAsia" w:ascii="Times New Roman" w:hAnsi="Times New Roman"/>
                      <w:kern w:val="0"/>
                      <w:szCs w:val="21"/>
                      <w:lang w:val="en-US" w:eastAsia="zh-CN"/>
                    </w:rPr>
                    <w:t>5</w:t>
                  </w:r>
                  <w:r>
                    <w:rPr>
                      <w:rFonts w:ascii="Times New Roman" w:hAnsi="Times New Roman"/>
                      <w:kern w:val="0"/>
                      <w:szCs w:val="21"/>
                    </w:rPr>
                    <w:t>3~9.</w:t>
                  </w:r>
                  <w:r>
                    <w:rPr>
                      <w:rFonts w:hint="eastAsia" w:ascii="Times New Roman" w:hAnsi="Times New Roman"/>
                      <w:kern w:val="0"/>
                      <w:szCs w:val="21"/>
                      <w:lang w:val="en-US" w:eastAsia="zh-CN"/>
                    </w:rPr>
                    <w:t>0</w:t>
                  </w:r>
                  <w:r>
                    <w:rPr>
                      <w:rFonts w:ascii="Times New Roman" w:hAnsi="Times New Roman"/>
                      <w:kern w:val="0"/>
                      <w:szCs w:val="21"/>
                    </w:rPr>
                    <w:t>1</w:t>
                  </w:r>
                </w:p>
              </w:tc>
              <w:tc>
                <w:tcPr>
                  <w:tcW w:w="779" w:type="pct"/>
                  <w:vAlign w:val="center"/>
                </w:tcPr>
                <w:p w14:paraId="7539E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spacing w:val="-8"/>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9</w:t>
                  </w:r>
                  <w:r>
                    <w:rPr>
                      <w:rFonts w:ascii="Times New Roman" w:hAnsi="Times New Roman"/>
                      <w:kern w:val="0"/>
                      <w:szCs w:val="21"/>
                    </w:rPr>
                    <w:t>4~-4.</w:t>
                  </w:r>
                  <w:r>
                    <w:rPr>
                      <w:rFonts w:hint="eastAsia" w:ascii="Times New Roman" w:hAnsi="Times New Roman"/>
                      <w:kern w:val="0"/>
                      <w:szCs w:val="21"/>
                      <w:lang w:val="en-US" w:eastAsia="zh-CN"/>
                    </w:rPr>
                    <w:t>4</w:t>
                  </w:r>
                  <w:r>
                    <w:rPr>
                      <w:rFonts w:ascii="Times New Roman" w:hAnsi="Times New Roman"/>
                      <w:kern w:val="0"/>
                      <w:szCs w:val="21"/>
                    </w:rPr>
                    <w:t>3</w:t>
                  </w:r>
                </w:p>
              </w:tc>
            </w:tr>
            <w:tr w14:paraId="17A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pct"/>
                  <w:vMerge w:val="continue"/>
                  <w:vAlign w:val="center"/>
                </w:tcPr>
                <w:p w14:paraId="3DD9CDB6">
                  <w:pPr>
                    <w:widowControl/>
                    <w:jc w:val="center"/>
                    <w:rPr>
                      <w:rFonts w:hint="eastAsia"/>
                      <w:szCs w:val="21"/>
                    </w:rPr>
                  </w:pPr>
                </w:p>
              </w:tc>
              <w:tc>
                <w:tcPr>
                  <w:tcW w:w="575" w:type="pct"/>
                  <w:vMerge w:val="continue"/>
                  <w:vAlign w:val="center"/>
                </w:tcPr>
                <w:p w14:paraId="63C90A99">
                  <w:pPr>
                    <w:widowControl/>
                    <w:jc w:val="center"/>
                    <w:rPr>
                      <w:rFonts w:hint="eastAsia"/>
                      <w:bCs/>
                      <w:kern w:val="0"/>
                      <w:szCs w:val="21"/>
                      <w:lang w:eastAsia="zh-CN"/>
                    </w:rPr>
                  </w:pPr>
                </w:p>
              </w:tc>
              <w:tc>
                <w:tcPr>
                  <w:tcW w:w="556" w:type="pct"/>
                  <w:vAlign w:val="center"/>
                </w:tcPr>
                <w:p w14:paraId="386C5AB3">
                  <w:pPr>
                    <w:pStyle w:val="105"/>
                    <w:tabs>
                      <w:tab w:val="center" w:pos="4462"/>
                    </w:tabs>
                    <w:snapToGrid w:val="0"/>
                    <w:spacing w:line="276" w:lineRule="auto"/>
                    <w:ind w:firstLine="0" w:firstLineChars="0"/>
                    <w:jc w:val="center"/>
                    <w:rPr>
                      <w:snapToGrid w:val="0"/>
                      <w:kern w:val="0"/>
                      <w:szCs w:val="21"/>
                    </w:rPr>
                  </w:pPr>
                  <w:r>
                    <w:rPr>
                      <w:snapToGrid w:val="0"/>
                      <w:kern w:val="0"/>
                      <w:szCs w:val="21"/>
                    </w:rPr>
                    <w:t>#</w:t>
                  </w:r>
                  <w:r>
                    <w:rPr>
                      <w:rFonts w:hint="eastAsia"/>
                      <w:snapToGrid w:val="0"/>
                      <w:kern w:val="0"/>
                      <w:szCs w:val="21"/>
                      <w:lang w:val="en-US" w:eastAsia="zh-CN"/>
                    </w:rPr>
                    <w:t>2</w:t>
                  </w:r>
                  <w:r>
                    <w:rPr>
                      <w:snapToGrid w:val="0"/>
                      <w:kern w:val="0"/>
                      <w:szCs w:val="21"/>
                    </w:rPr>
                    <w:t>主变</w:t>
                  </w:r>
                </w:p>
              </w:tc>
              <w:tc>
                <w:tcPr>
                  <w:tcW w:w="942" w:type="pct"/>
                  <w:vAlign w:val="center"/>
                </w:tcPr>
                <w:p w14:paraId="22295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11</w:t>
                  </w:r>
                  <w:r>
                    <w:rPr>
                      <w:rFonts w:hint="eastAsia" w:ascii="Times New Roman" w:hAnsi="Times New Roman"/>
                      <w:kern w:val="0"/>
                      <w:szCs w:val="21"/>
                      <w:lang w:val="en-US" w:eastAsia="zh-CN"/>
                    </w:rPr>
                    <w:t>4</w:t>
                  </w:r>
                  <w:r>
                    <w:rPr>
                      <w:rFonts w:ascii="Times New Roman" w:hAnsi="Times New Roman"/>
                      <w:kern w:val="0"/>
                      <w:szCs w:val="21"/>
                    </w:rPr>
                    <w:t>.</w:t>
                  </w:r>
                  <w:r>
                    <w:rPr>
                      <w:rFonts w:hint="eastAsia" w:ascii="Times New Roman" w:hAnsi="Times New Roman"/>
                      <w:kern w:val="0"/>
                      <w:szCs w:val="21"/>
                    </w:rPr>
                    <w:t>47</w:t>
                  </w:r>
                  <w:r>
                    <w:rPr>
                      <w:rFonts w:ascii="Times New Roman" w:hAnsi="Times New Roman"/>
                      <w:kern w:val="0"/>
                      <w:szCs w:val="21"/>
                    </w:rPr>
                    <w:t>~11</w:t>
                  </w:r>
                  <w:r>
                    <w:rPr>
                      <w:rFonts w:hint="eastAsia" w:ascii="Times New Roman" w:hAnsi="Times New Roman"/>
                      <w:kern w:val="0"/>
                      <w:szCs w:val="21"/>
                      <w:lang w:val="en-US" w:eastAsia="zh-CN"/>
                    </w:rPr>
                    <w:t>5</w:t>
                  </w:r>
                  <w:r>
                    <w:rPr>
                      <w:rFonts w:ascii="Times New Roman" w:hAnsi="Times New Roman"/>
                      <w:kern w:val="0"/>
                      <w:szCs w:val="21"/>
                    </w:rPr>
                    <w:t>.</w:t>
                  </w:r>
                  <w:r>
                    <w:rPr>
                      <w:rFonts w:hint="eastAsia" w:ascii="Times New Roman" w:hAnsi="Times New Roman"/>
                      <w:kern w:val="0"/>
                      <w:szCs w:val="21"/>
                    </w:rPr>
                    <w:t>86</w:t>
                  </w:r>
                </w:p>
              </w:tc>
              <w:tc>
                <w:tcPr>
                  <w:tcW w:w="873" w:type="pct"/>
                  <w:vAlign w:val="center"/>
                </w:tcPr>
                <w:p w14:paraId="30DC0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4</w:t>
                  </w:r>
                  <w:r>
                    <w:rPr>
                      <w:rFonts w:ascii="Times New Roman" w:hAnsi="Times New Roman"/>
                      <w:kern w:val="0"/>
                      <w:szCs w:val="21"/>
                    </w:rPr>
                    <w:t>.</w:t>
                  </w:r>
                  <w:r>
                    <w:rPr>
                      <w:rFonts w:hint="eastAsia" w:ascii="Times New Roman" w:hAnsi="Times New Roman"/>
                      <w:kern w:val="0"/>
                      <w:szCs w:val="21"/>
                    </w:rPr>
                    <w:t>97</w:t>
                  </w:r>
                  <w:r>
                    <w:rPr>
                      <w:rFonts w:ascii="Times New Roman" w:hAnsi="Times New Roman"/>
                      <w:kern w:val="0"/>
                      <w:szCs w:val="21"/>
                    </w:rPr>
                    <w:t>~4</w:t>
                  </w:r>
                  <w:r>
                    <w:rPr>
                      <w:rFonts w:hint="eastAsia" w:ascii="Times New Roman" w:hAnsi="Times New Roman"/>
                      <w:kern w:val="0"/>
                      <w:szCs w:val="21"/>
                      <w:lang w:val="en-US" w:eastAsia="zh-CN"/>
                    </w:rPr>
                    <w:t>6</w:t>
                  </w:r>
                  <w:r>
                    <w:rPr>
                      <w:rFonts w:ascii="Times New Roman" w:hAnsi="Times New Roman"/>
                      <w:kern w:val="0"/>
                      <w:szCs w:val="21"/>
                    </w:rPr>
                    <w:t>.</w:t>
                  </w:r>
                  <w:r>
                    <w:rPr>
                      <w:rFonts w:hint="eastAsia" w:ascii="Times New Roman" w:hAnsi="Times New Roman"/>
                      <w:kern w:val="0"/>
                      <w:szCs w:val="21"/>
                    </w:rPr>
                    <w:t>35</w:t>
                  </w:r>
                </w:p>
              </w:tc>
              <w:tc>
                <w:tcPr>
                  <w:tcW w:w="827" w:type="pct"/>
                  <w:vAlign w:val="center"/>
                </w:tcPr>
                <w:p w14:paraId="44B6E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8.</w:t>
                  </w:r>
                  <w:r>
                    <w:rPr>
                      <w:rFonts w:hint="eastAsia" w:ascii="Times New Roman" w:hAnsi="Times New Roman"/>
                      <w:kern w:val="0"/>
                      <w:szCs w:val="21"/>
                      <w:lang w:val="en-US" w:eastAsia="zh-CN"/>
                    </w:rPr>
                    <w:t>7</w:t>
                  </w:r>
                  <w:r>
                    <w:rPr>
                      <w:rFonts w:hint="eastAsia" w:ascii="Times New Roman" w:hAnsi="Times New Roman"/>
                      <w:kern w:val="0"/>
                      <w:szCs w:val="21"/>
                    </w:rPr>
                    <w:t>2</w:t>
                  </w:r>
                  <w:r>
                    <w:rPr>
                      <w:rFonts w:ascii="Times New Roman" w:hAnsi="Times New Roman"/>
                      <w:kern w:val="0"/>
                      <w:szCs w:val="21"/>
                    </w:rPr>
                    <w:t>~</w:t>
                  </w:r>
                  <w:r>
                    <w:rPr>
                      <w:rFonts w:hint="eastAsia" w:ascii="Times New Roman" w:hAnsi="Times New Roman"/>
                      <w:kern w:val="0"/>
                      <w:szCs w:val="21"/>
                    </w:rPr>
                    <w:t>8</w:t>
                  </w:r>
                  <w:r>
                    <w:rPr>
                      <w:rFonts w:ascii="Times New Roman" w:hAnsi="Times New Roman"/>
                      <w:kern w:val="0"/>
                      <w:szCs w:val="21"/>
                    </w:rPr>
                    <w:t>.</w:t>
                  </w:r>
                  <w:r>
                    <w:rPr>
                      <w:rFonts w:hint="eastAsia" w:ascii="Times New Roman" w:hAnsi="Times New Roman"/>
                      <w:kern w:val="0"/>
                      <w:szCs w:val="21"/>
                      <w:lang w:val="en-US" w:eastAsia="zh-CN"/>
                    </w:rPr>
                    <w:t>9</w:t>
                  </w:r>
                  <w:r>
                    <w:rPr>
                      <w:rFonts w:hint="eastAsia" w:ascii="Times New Roman" w:hAnsi="Times New Roman"/>
                      <w:kern w:val="0"/>
                      <w:szCs w:val="21"/>
                    </w:rPr>
                    <w:t>7</w:t>
                  </w:r>
                </w:p>
              </w:tc>
              <w:tc>
                <w:tcPr>
                  <w:tcW w:w="779" w:type="pct"/>
                  <w:vAlign w:val="center"/>
                </w:tcPr>
                <w:p w14:paraId="52A36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pacing w:val="-8"/>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7</w:t>
                  </w:r>
                  <w:r>
                    <w:rPr>
                      <w:rFonts w:hint="eastAsia" w:ascii="Times New Roman" w:hAnsi="Times New Roman"/>
                      <w:kern w:val="0"/>
                      <w:szCs w:val="21"/>
                    </w:rPr>
                    <w:t>4</w:t>
                  </w:r>
                  <w:r>
                    <w:rPr>
                      <w:rFonts w:ascii="Times New Roman" w:hAnsi="Times New Roman"/>
                      <w:kern w:val="0"/>
                      <w:szCs w:val="21"/>
                    </w:rPr>
                    <w:t>~-4.</w:t>
                  </w:r>
                  <w:r>
                    <w:rPr>
                      <w:rFonts w:hint="eastAsia" w:ascii="Times New Roman" w:hAnsi="Times New Roman"/>
                      <w:kern w:val="0"/>
                      <w:szCs w:val="21"/>
                      <w:lang w:val="en-US" w:eastAsia="zh-CN"/>
                    </w:rPr>
                    <w:t>3</w:t>
                  </w:r>
                  <w:r>
                    <w:rPr>
                      <w:rFonts w:hint="eastAsia" w:ascii="Times New Roman" w:hAnsi="Times New Roman"/>
                      <w:kern w:val="0"/>
                      <w:szCs w:val="21"/>
                    </w:rPr>
                    <w:t>8</w:t>
                  </w:r>
                </w:p>
              </w:tc>
            </w:tr>
          </w:tbl>
          <w:p w14:paraId="7D91D391">
            <w:pPr>
              <w:pStyle w:val="3"/>
              <w:numPr>
                <w:ilvl w:val="1"/>
                <w:numId w:val="9"/>
              </w:numPr>
              <w:spacing w:after="0" w:line="360" w:lineRule="auto"/>
              <w:rPr>
                <w:rFonts w:eastAsia="宋体"/>
                <w:sz w:val="24"/>
                <w:szCs w:val="24"/>
              </w:rPr>
            </w:pPr>
            <w:bookmarkStart w:id="579" w:name="_Toc9445"/>
            <w:r>
              <w:rPr>
                <w:rFonts w:eastAsia="宋体"/>
                <w:sz w:val="24"/>
                <w:szCs w:val="24"/>
              </w:rPr>
              <w:t>监测方法及测量仪器</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9"/>
          </w:p>
          <w:p w14:paraId="03128BAF">
            <w:pPr>
              <w:pStyle w:val="11"/>
              <w:rPr>
                <w:color w:val="000000"/>
                <w:szCs w:val="24"/>
              </w:rPr>
            </w:pPr>
            <w:r>
              <w:rPr>
                <w:color w:val="000000"/>
                <w:szCs w:val="24"/>
              </w:rPr>
              <w:t>（1）监测方法</w:t>
            </w:r>
          </w:p>
          <w:p w14:paraId="7E8C25C7">
            <w:pPr>
              <w:pStyle w:val="11"/>
              <w:rPr>
                <w:color w:val="000000"/>
                <w:szCs w:val="24"/>
              </w:rPr>
            </w:pPr>
            <w:r>
              <w:rPr>
                <w:color w:val="000000"/>
                <w:szCs w:val="24"/>
              </w:rPr>
              <w:t>按《声环境质量标准》（GB3096-2008）</w:t>
            </w:r>
            <w:r>
              <w:rPr>
                <w:rFonts w:hint="eastAsia"/>
                <w:color w:val="000000"/>
                <w:szCs w:val="24"/>
              </w:rPr>
              <w:t>、</w:t>
            </w:r>
            <w:r>
              <w:rPr>
                <w:rFonts w:hint="eastAsia"/>
                <w:color w:val="000000" w:themeColor="text1"/>
                <w14:textFill>
                  <w14:solidFill>
                    <w14:schemeClr w14:val="tx1"/>
                  </w14:solidFill>
                </w14:textFill>
              </w:rPr>
              <w:t>《工业企业厂界环境噪声排放标准》（GB 12348-2008）</w:t>
            </w:r>
            <w:r>
              <w:rPr>
                <w:color w:val="000000"/>
                <w:szCs w:val="24"/>
              </w:rPr>
              <w:t>执行。</w:t>
            </w:r>
          </w:p>
          <w:p w14:paraId="0FEDF462">
            <w:pPr>
              <w:pStyle w:val="3"/>
              <w:numPr>
                <w:ilvl w:val="1"/>
                <w:numId w:val="9"/>
              </w:numPr>
              <w:spacing w:before="0" w:after="0" w:line="360" w:lineRule="auto"/>
              <w:rPr>
                <w:rFonts w:eastAsia="宋体"/>
                <w:sz w:val="24"/>
                <w:szCs w:val="24"/>
              </w:rPr>
            </w:pPr>
            <w:bookmarkStart w:id="580" w:name="_Toc28185"/>
            <w:bookmarkStart w:id="581" w:name="_Toc96031379"/>
            <w:bookmarkStart w:id="582" w:name="_Toc95464670"/>
            <w:bookmarkStart w:id="583" w:name="_Toc109473802"/>
            <w:bookmarkStart w:id="584" w:name="_Toc85036882"/>
            <w:bookmarkStart w:id="585" w:name="_Toc81308152"/>
            <w:bookmarkStart w:id="586" w:name="_Toc14153"/>
            <w:bookmarkStart w:id="587" w:name="_Toc96935416"/>
            <w:bookmarkStart w:id="588" w:name="_Toc81415624"/>
            <w:bookmarkStart w:id="589" w:name="_Toc109473568"/>
            <w:bookmarkStart w:id="590" w:name="_Toc110439156"/>
            <w:bookmarkStart w:id="591" w:name="_Toc96031296"/>
            <w:bookmarkStart w:id="592" w:name="_Toc109473881"/>
            <w:bookmarkStart w:id="593" w:name="_Toc88558522"/>
            <w:bookmarkStart w:id="594" w:name="_Toc97290586"/>
            <w:bookmarkStart w:id="595" w:name="_Toc85037216"/>
            <w:bookmarkStart w:id="596" w:name="_Toc111564320"/>
            <w:bookmarkStart w:id="597" w:name="_Toc91532175"/>
            <w:bookmarkStart w:id="598" w:name="_Toc91493268"/>
            <w:bookmarkStart w:id="599" w:name="_Toc109472629"/>
            <w:r>
              <w:rPr>
                <w:rFonts w:eastAsia="宋体"/>
                <w:sz w:val="24"/>
                <w:szCs w:val="24"/>
              </w:rPr>
              <w:t>监测结果及分析</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4CF9D740">
            <w:pPr>
              <w:pStyle w:val="11"/>
              <w:rPr>
                <w:rFonts w:hint="eastAsia"/>
              </w:rPr>
            </w:pPr>
            <w:r>
              <w:rPr>
                <w:color w:val="000000"/>
                <w:szCs w:val="24"/>
              </w:rPr>
              <w:t>本工程声环境现状监测结果见</w:t>
            </w:r>
            <w:r>
              <w:rPr>
                <w:color w:val="000000"/>
                <w:szCs w:val="24"/>
              </w:rPr>
              <w:fldChar w:fldCharType="begin"/>
            </w:r>
            <w:r>
              <w:rPr>
                <w:color w:val="000000"/>
                <w:szCs w:val="24"/>
              </w:rPr>
              <w:instrText xml:space="preserve"> REF _Ref157246590 \h  \* MERGEFORMAT </w:instrText>
            </w:r>
            <w:r>
              <w:rPr>
                <w:color w:val="000000"/>
                <w:szCs w:val="24"/>
              </w:rPr>
              <w:fldChar w:fldCharType="separate"/>
            </w:r>
            <w:r>
              <w:rPr>
                <w:color w:val="000000"/>
                <w:szCs w:val="24"/>
              </w:rPr>
              <w:t>表 17</w:t>
            </w:r>
            <w:r>
              <w:rPr>
                <w:color w:val="000000"/>
                <w:szCs w:val="24"/>
              </w:rPr>
              <w:fldChar w:fldCharType="end"/>
            </w:r>
            <w:r>
              <w:rPr>
                <w:color w:val="000000"/>
                <w:szCs w:val="24"/>
              </w:rPr>
              <w:t>。</w:t>
            </w:r>
            <w:bookmarkStart w:id="600" w:name="_Ref388020174"/>
            <w:r>
              <w:rPr>
                <w:rFonts w:hint="eastAsia"/>
              </w:rPr>
              <w:t>本环评对声环境现状监测结果按《数值修约规则与极限数值的表示和判定》（</w:t>
            </w:r>
            <w:r>
              <w:t>GB/T8170-2008</w:t>
            </w:r>
            <w:r>
              <w:rPr>
                <w:rFonts w:hint="eastAsia"/>
              </w:rPr>
              <w:t>）修约到个位数进行评价。</w:t>
            </w:r>
          </w:p>
          <w:bookmarkEnd w:id="600"/>
          <w:p w14:paraId="722003C0">
            <w:pPr>
              <w:pStyle w:val="9"/>
              <w:keepNext/>
              <w:rPr>
                <w:rFonts w:ascii="黑体" w:hAnsi="黑体"/>
                <w:b/>
              </w:rPr>
            </w:pPr>
            <w:bookmarkStart w:id="601" w:name="_Ref157246590"/>
            <w:r>
              <w:rPr>
                <w:rFonts w:ascii="黑体" w:hAnsi="黑体"/>
                <w:b/>
              </w:rPr>
              <w:t xml:space="preserve">表 </w:t>
            </w:r>
            <w:r>
              <w:rPr>
                <w:rFonts w:hint="default" w:ascii="Times New Roman" w:hAnsi="Times New Roman" w:cs="Times New Roman"/>
                <w:b/>
              </w:rPr>
              <w:fldChar w:fldCharType="begin"/>
            </w:r>
            <w:r>
              <w:rPr>
                <w:rFonts w:hint="default" w:ascii="Times New Roman" w:hAnsi="Times New Roman" w:cs="Times New Roman"/>
                <w:b/>
              </w:rPr>
              <w:instrText xml:space="preserve"> SEQ 表 \* ARABIC </w:instrText>
            </w:r>
            <w:r>
              <w:rPr>
                <w:rFonts w:hint="default" w:ascii="Times New Roman" w:hAnsi="Times New Roman" w:cs="Times New Roman"/>
                <w:b/>
              </w:rPr>
              <w:fldChar w:fldCharType="separate"/>
            </w:r>
            <w:r>
              <w:rPr>
                <w:rFonts w:hint="default" w:ascii="Times New Roman" w:hAnsi="Times New Roman" w:cs="Times New Roman"/>
                <w:b/>
              </w:rPr>
              <w:t>17</w:t>
            </w:r>
            <w:r>
              <w:rPr>
                <w:rFonts w:hint="default" w:ascii="Times New Roman" w:hAnsi="Times New Roman" w:cs="Times New Roman"/>
                <w:b/>
              </w:rPr>
              <w:fldChar w:fldCharType="end"/>
            </w:r>
            <w:bookmarkEnd w:id="601"/>
            <w:r>
              <w:rPr>
                <w:rFonts w:ascii="黑体" w:hAnsi="黑体"/>
                <w:b/>
              </w:rPr>
              <w:t xml:space="preserve">                   </w:t>
            </w:r>
            <w:r>
              <w:rPr>
                <w:rFonts w:hint="eastAsia" w:ascii="黑体" w:hAnsi="黑体"/>
                <w:b/>
              </w:rPr>
              <w:t xml:space="preserve">  </w:t>
            </w:r>
            <w:r>
              <w:rPr>
                <w:rFonts w:ascii="黑体" w:hAnsi="黑体"/>
                <w:b/>
              </w:rPr>
              <w:t xml:space="preserve"> 声环境现状监测结果                  单位： </w:t>
            </w:r>
            <w:r>
              <w:rPr>
                <w:rFonts w:ascii="Times New Roman" w:hAnsi="Times New Roman"/>
                <w:b/>
              </w:rPr>
              <w:t>dB</w:t>
            </w:r>
            <w:r>
              <w:rPr>
                <w:rFonts w:hint="default" w:ascii="Times New Roman" w:hAnsi="Times New Roman"/>
                <w:b/>
              </w:rPr>
              <w:t>(</w:t>
            </w:r>
            <w:r>
              <w:rPr>
                <w:rFonts w:ascii="Times New Roman" w:hAnsi="Times New Roman"/>
                <w:b/>
              </w:rPr>
              <w:t>A</w:t>
            </w:r>
            <w:r>
              <w:rPr>
                <w:rFonts w:hint="default" w:ascii="Times New Roman" w:hAnsi="Times New Roman"/>
                <w:b/>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760"/>
              <w:gridCol w:w="49"/>
              <w:gridCol w:w="1810"/>
              <w:gridCol w:w="790"/>
              <w:gridCol w:w="790"/>
              <w:gridCol w:w="790"/>
              <w:gridCol w:w="792"/>
              <w:gridCol w:w="849"/>
            </w:tblGrid>
            <w:tr w14:paraId="0A95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282" w:type="pct"/>
                  <w:vMerge w:val="restart"/>
                  <w:shd w:val="clear" w:color="auto" w:fill="auto"/>
                  <w:vAlign w:val="center"/>
                </w:tcPr>
                <w:p w14:paraId="4C588D9E">
                  <w:pPr>
                    <w:widowControl/>
                    <w:spacing w:line="276" w:lineRule="auto"/>
                    <w:jc w:val="center"/>
                    <w:rPr>
                      <w:b/>
                      <w:bCs/>
                      <w:kern w:val="0"/>
                      <w:szCs w:val="21"/>
                    </w:rPr>
                  </w:pPr>
                  <w:r>
                    <w:rPr>
                      <w:b/>
                      <w:bCs/>
                      <w:kern w:val="0"/>
                      <w:szCs w:val="21"/>
                    </w:rPr>
                    <w:t>序号</w:t>
                  </w:r>
                </w:p>
              </w:tc>
              <w:tc>
                <w:tcPr>
                  <w:tcW w:w="2237" w:type="pct"/>
                  <w:gridSpan w:val="3"/>
                  <w:vMerge w:val="restart"/>
                  <w:shd w:val="clear" w:color="auto" w:fill="auto"/>
                  <w:vAlign w:val="center"/>
                </w:tcPr>
                <w:p w14:paraId="53C67C72">
                  <w:pPr>
                    <w:widowControl/>
                    <w:spacing w:line="240" w:lineRule="auto"/>
                    <w:jc w:val="center"/>
                    <w:rPr>
                      <w:b/>
                      <w:bCs/>
                      <w:kern w:val="0"/>
                      <w:szCs w:val="21"/>
                    </w:rPr>
                  </w:pPr>
                  <w:r>
                    <w:rPr>
                      <w:b/>
                      <w:bCs/>
                      <w:kern w:val="0"/>
                      <w:szCs w:val="21"/>
                    </w:rPr>
                    <w:t>检测点位</w:t>
                  </w:r>
                </w:p>
              </w:tc>
              <w:tc>
                <w:tcPr>
                  <w:tcW w:w="976" w:type="pct"/>
                  <w:gridSpan w:val="2"/>
                  <w:shd w:val="clear" w:color="auto" w:fill="auto"/>
                  <w:vAlign w:val="center"/>
                </w:tcPr>
                <w:p w14:paraId="349B42E9">
                  <w:pPr>
                    <w:widowControl/>
                    <w:spacing w:line="240" w:lineRule="auto"/>
                    <w:jc w:val="center"/>
                    <w:rPr>
                      <w:b/>
                      <w:bCs/>
                      <w:kern w:val="0"/>
                      <w:szCs w:val="21"/>
                    </w:rPr>
                  </w:pPr>
                  <w:r>
                    <w:rPr>
                      <w:rFonts w:hint="eastAsia"/>
                      <w:b/>
                      <w:snapToGrid w:val="0"/>
                      <w:kern w:val="0"/>
                      <w:szCs w:val="21"/>
                    </w:rPr>
                    <w:t>监测值</w:t>
                  </w:r>
                </w:p>
              </w:tc>
              <w:tc>
                <w:tcPr>
                  <w:tcW w:w="978" w:type="pct"/>
                  <w:gridSpan w:val="2"/>
                  <w:vAlign w:val="center"/>
                </w:tcPr>
                <w:p w14:paraId="3A0BD7E7">
                  <w:pPr>
                    <w:widowControl/>
                    <w:spacing w:line="240" w:lineRule="auto"/>
                    <w:jc w:val="center"/>
                    <w:rPr>
                      <w:b/>
                      <w:bCs/>
                      <w:kern w:val="0"/>
                      <w:szCs w:val="21"/>
                    </w:rPr>
                  </w:pPr>
                  <w:r>
                    <w:rPr>
                      <w:rFonts w:hint="eastAsia"/>
                      <w:b/>
                      <w:snapToGrid w:val="0"/>
                      <w:kern w:val="0"/>
                      <w:szCs w:val="21"/>
                    </w:rPr>
                    <w:t>修约值</w:t>
                  </w:r>
                </w:p>
              </w:tc>
              <w:tc>
                <w:tcPr>
                  <w:tcW w:w="524" w:type="pct"/>
                  <w:vMerge w:val="restart"/>
                  <w:vAlign w:val="center"/>
                </w:tcPr>
                <w:p w14:paraId="0B260697">
                  <w:pPr>
                    <w:widowControl/>
                    <w:spacing w:line="276" w:lineRule="auto"/>
                    <w:jc w:val="center"/>
                    <w:rPr>
                      <w:b/>
                      <w:bCs/>
                      <w:kern w:val="0"/>
                      <w:szCs w:val="21"/>
                    </w:rPr>
                  </w:pPr>
                  <w:r>
                    <w:rPr>
                      <w:rFonts w:hint="eastAsia"/>
                      <w:b/>
                      <w:bCs/>
                      <w:kern w:val="0"/>
                      <w:szCs w:val="21"/>
                    </w:rPr>
                    <w:t>备注</w:t>
                  </w:r>
                </w:p>
              </w:tc>
            </w:tr>
            <w:tr w14:paraId="04A9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blHeader/>
                <w:jc w:val="center"/>
              </w:trPr>
              <w:tc>
                <w:tcPr>
                  <w:tcW w:w="282" w:type="pct"/>
                  <w:vMerge w:val="continue"/>
                  <w:shd w:val="clear" w:color="auto" w:fill="auto"/>
                  <w:vAlign w:val="center"/>
                </w:tcPr>
                <w:p w14:paraId="153999B1">
                  <w:pPr>
                    <w:widowControl/>
                    <w:spacing w:line="276" w:lineRule="auto"/>
                    <w:jc w:val="center"/>
                    <w:rPr>
                      <w:b/>
                      <w:bCs/>
                      <w:kern w:val="0"/>
                      <w:szCs w:val="21"/>
                    </w:rPr>
                  </w:pPr>
                </w:p>
              </w:tc>
              <w:tc>
                <w:tcPr>
                  <w:tcW w:w="2237" w:type="pct"/>
                  <w:gridSpan w:val="3"/>
                  <w:vMerge w:val="continue"/>
                  <w:shd w:val="clear" w:color="auto" w:fill="auto"/>
                  <w:vAlign w:val="center"/>
                </w:tcPr>
                <w:p w14:paraId="7BDC17FB">
                  <w:pPr>
                    <w:widowControl/>
                    <w:spacing w:line="240" w:lineRule="auto"/>
                    <w:jc w:val="center"/>
                    <w:rPr>
                      <w:b/>
                      <w:bCs/>
                      <w:kern w:val="0"/>
                      <w:szCs w:val="21"/>
                    </w:rPr>
                  </w:pPr>
                </w:p>
              </w:tc>
              <w:tc>
                <w:tcPr>
                  <w:tcW w:w="488" w:type="pct"/>
                  <w:shd w:val="clear" w:color="auto" w:fill="auto"/>
                  <w:vAlign w:val="center"/>
                </w:tcPr>
                <w:p w14:paraId="5F517E16">
                  <w:pPr>
                    <w:widowControl/>
                    <w:spacing w:line="240" w:lineRule="auto"/>
                    <w:jc w:val="center"/>
                    <w:rPr>
                      <w:b/>
                      <w:bCs/>
                      <w:kern w:val="0"/>
                      <w:szCs w:val="21"/>
                    </w:rPr>
                  </w:pPr>
                  <w:r>
                    <w:rPr>
                      <w:b/>
                      <w:snapToGrid w:val="0"/>
                      <w:kern w:val="0"/>
                      <w:szCs w:val="21"/>
                    </w:rPr>
                    <w:t>昼间</w:t>
                  </w:r>
                </w:p>
              </w:tc>
              <w:tc>
                <w:tcPr>
                  <w:tcW w:w="488" w:type="pct"/>
                  <w:shd w:val="clear" w:color="auto" w:fill="auto"/>
                  <w:vAlign w:val="center"/>
                </w:tcPr>
                <w:p w14:paraId="04A1B18E">
                  <w:pPr>
                    <w:widowControl/>
                    <w:spacing w:line="240" w:lineRule="auto"/>
                    <w:jc w:val="center"/>
                    <w:rPr>
                      <w:b/>
                      <w:bCs/>
                      <w:kern w:val="0"/>
                      <w:szCs w:val="21"/>
                    </w:rPr>
                  </w:pPr>
                  <w:r>
                    <w:rPr>
                      <w:rFonts w:hint="eastAsia"/>
                      <w:b/>
                      <w:snapToGrid w:val="0"/>
                      <w:kern w:val="0"/>
                      <w:szCs w:val="21"/>
                    </w:rPr>
                    <w:t>夜间</w:t>
                  </w:r>
                </w:p>
              </w:tc>
              <w:tc>
                <w:tcPr>
                  <w:tcW w:w="488" w:type="pct"/>
                  <w:vAlign w:val="center"/>
                </w:tcPr>
                <w:p w14:paraId="5731C4DC">
                  <w:pPr>
                    <w:widowControl/>
                    <w:spacing w:line="240" w:lineRule="auto"/>
                    <w:jc w:val="center"/>
                    <w:rPr>
                      <w:b/>
                      <w:bCs/>
                      <w:kern w:val="0"/>
                      <w:szCs w:val="21"/>
                    </w:rPr>
                  </w:pPr>
                  <w:r>
                    <w:rPr>
                      <w:b/>
                      <w:snapToGrid w:val="0"/>
                      <w:kern w:val="0"/>
                      <w:szCs w:val="21"/>
                    </w:rPr>
                    <w:t>昼间</w:t>
                  </w:r>
                </w:p>
              </w:tc>
              <w:tc>
                <w:tcPr>
                  <w:tcW w:w="489" w:type="pct"/>
                  <w:vAlign w:val="center"/>
                </w:tcPr>
                <w:p w14:paraId="0D32F8A4">
                  <w:pPr>
                    <w:widowControl/>
                    <w:spacing w:line="240" w:lineRule="auto"/>
                    <w:jc w:val="center"/>
                    <w:rPr>
                      <w:b/>
                      <w:bCs/>
                      <w:kern w:val="0"/>
                      <w:szCs w:val="21"/>
                    </w:rPr>
                  </w:pPr>
                  <w:r>
                    <w:rPr>
                      <w:rFonts w:hint="eastAsia"/>
                      <w:b/>
                      <w:snapToGrid w:val="0"/>
                      <w:kern w:val="0"/>
                      <w:szCs w:val="21"/>
                    </w:rPr>
                    <w:t>夜间</w:t>
                  </w:r>
                </w:p>
              </w:tc>
              <w:tc>
                <w:tcPr>
                  <w:tcW w:w="524" w:type="pct"/>
                  <w:vMerge w:val="continue"/>
                  <w:vAlign w:val="center"/>
                </w:tcPr>
                <w:p w14:paraId="267BEA8D">
                  <w:pPr>
                    <w:widowControl/>
                    <w:spacing w:line="276" w:lineRule="auto"/>
                    <w:jc w:val="center"/>
                    <w:rPr>
                      <w:b/>
                      <w:bCs/>
                      <w:kern w:val="0"/>
                      <w:szCs w:val="21"/>
                    </w:rPr>
                  </w:pPr>
                </w:p>
              </w:tc>
            </w:tr>
            <w:tr w14:paraId="5E23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shd w:val="clear" w:color="auto" w:fill="auto"/>
                  <w:vAlign w:val="center"/>
                </w:tcPr>
                <w:p w14:paraId="721243A4">
                  <w:pPr>
                    <w:widowControl/>
                    <w:spacing w:line="276" w:lineRule="auto"/>
                    <w:rPr>
                      <w:rFonts w:hint="eastAsia" w:eastAsia="宋体"/>
                      <w:szCs w:val="21"/>
                      <w:lang w:eastAsia="zh-CN"/>
                    </w:rPr>
                  </w:pPr>
                  <w:r>
                    <w:rPr>
                      <w:rFonts w:hint="eastAsia"/>
                      <w:b/>
                      <w:bCs/>
                      <w:color w:val="000000"/>
                      <w:kern w:val="0"/>
                      <w:szCs w:val="21"/>
                    </w:rPr>
                    <w:t>一、</w:t>
                  </w:r>
                  <w:r>
                    <w:rPr>
                      <w:rFonts w:hint="eastAsia"/>
                      <w:b/>
                      <w:bCs/>
                      <w:color w:val="000000"/>
                      <w:kern w:val="0"/>
                      <w:szCs w:val="21"/>
                      <w:lang w:eastAsia="zh-CN"/>
                    </w:rPr>
                    <w:t>港城变110千伏间隔扩建工程</w:t>
                  </w:r>
                </w:p>
              </w:tc>
            </w:tr>
            <w:tr w14:paraId="2D7D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10F6BFAF">
                  <w:pPr>
                    <w:pStyle w:val="105"/>
                    <w:widowControl/>
                    <w:numPr>
                      <w:ilvl w:val="0"/>
                      <w:numId w:val="12"/>
                    </w:numPr>
                    <w:spacing w:line="276" w:lineRule="auto"/>
                    <w:ind w:firstLineChars="0"/>
                    <w:jc w:val="center"/>
                    <w:rPr>
                      <w:b/>
                      <w:bCs/>
                      <w:kern w:val="0"/>
                      <w:szCs w:val="21"/>
                    </w:rPr>
                  </w:pPr>
                </w:p>
              </w:tc>
              <w:tc>
                <w:tcPr>
                  <w:tcW w:w="1088" w:type="pct"/>
                  <w:vMerge w:val="restart"/>
                  <w:shd w:val="clear" w:color="auto" w:fill="auto"/>
                  <w:vAlign w:val="center"/>
                </w:tcPr>
                <w:p w14:paraId="511F7B2D">
                  <w:pPr>
                    <w:widowControl/>
                    <w:spacing w:line="276" w:lineRule="auto"/>
                    <w:jc w:val="center"/>
                    <w:rPr>
                      <w:szCs w:val="21"/>
                    </w:rPr>
                  </w:pPr>
                  <w:r>
                    <w:rPr>
                      <w:rFonts w:hint="eastAsia"/>
                      <w:szCs w:val="21"/>
                      <w:lang w:eastAsia="zh-CN"/>
                    </w:rPr>
                    <w:t>港城110kV变电站</w:t>
                  </w:r>
                  <w:r>
                    <w:rPr>
                      <w:rFonts w:hint="eastAsia"/>
                      <w:szCs w:val="21"/>
                    </w:rPr>
                    <w:t>厂界</w:t>
                  </w:r>
                </w:p>
              </w:tc>
              <w:tc>
                <w:tcPr>
                  <w:tcW w:w="1149" w:type="pct"/>
                  <w:gridSpan w:val="2"/>
                  <w:shd w:val="clear" w:color="auto" w:fill="auto"/>
                  <w:vAlign w:val="center"/>
                </w:tcPr>
                <w:p w14:paraId="4AA7BBD6">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东侧1#</w:t>
                  </w:r>
                </w:p>
              </w:tc>
              <w:tc>
                <w:tcPr>
                  <w:tcW w:w="488" w:type="pct"/>
                  <w:shd w:val="clear" w:color="auto" w:fill="auto"/>
                  <w:vAlign w:val="center"/>
                </w:tcPr>
                <w:p w14:paraId="53EA7099">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kern w:val="0"/>
                      <w:szCs w:val="21"/>
                      <w:highlight w:val="none"/>
                      <w:lang w:val="en-US" w:eastAsia="zh-CN"/>
                    </w:rPr>
                    <w:t>50.5</w:t>
                  </w:r>
                </w:p>
              </w:tc>
              <w:tc>
                <w:tcPr>
                  <w:tcW w:w="488" w:type="pct"/>
                  <w:shd w:val="clear" w:color="auto" w:fill="auto"/>
                  <w:vAlign w:val="center"/>
                </w:tcPr>
                <w:p w14:paraId="30064F73">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kern w:val="0"/>
                      <w:szCs w:val="21"/>
                      <w:highlight w:val="none"/>
                      <w:lang w:val="en-US" w:eastAsia="zh-CN"/>
                    </w:rPr>
                    <w:t>48.2</w:t>
                  </w:r>
                </w:p>
              </w:tc>
              <w:tc>
                <w:tcPr>
                  <w:tcW w:w="488" w:type="pct"/>
                  <w:vAlign w:val="center"/>
                </w:tcPr>
                <w:p w14:paraId="7100FC99">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kern w:val="0"/>
                      <w:szCs w:val="21"/>
                      <w:highlight w:val="none"/>
                      <w:lang w:val="en-US" w:eastAsia="zh-CN"/>
                    </w:rPr>
                    <w:t>50</w:t>
                  </w:r>
                </w:p>
              </w:tc>
              <w:tc>
                <w:tcPr>
                  <w:tcW w:w="489" w:type="pct"/>
                  <w:vAlign w:val="center"/>
                </w:tcPr>
                <w:p w14:paraId="04BF5363">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kern w:val="0"/>
                      <w:szCs w:val="21"/>
                      <w:highlight w:val="none"/>
                      <w:lang w:val="en-US" w:eastAsia="zh-CN"/>
                    </w:rPr>
                    <w:t>48</w:t>
                  </w:r>
                </w:p>
              </w:tc>
              <w:tc>
                <w:tcPr>
                  <w:tcW w:w="524" w:type="pct"/>
                  <w:vAlign w:val="center"/>
                </w:tcPr>
                <w:p w14:paraId="392AFAE6">
                  <w:pPr>
                    <w:widowControl/>
                    <w:spacing w:line="276" w:lineRule="auto"/>
                    <w:jc w:val="center"/>
                    <w:rPr>
                      <w:szCs w:val="21"/>
                    </w:rPr>
                  </w:pPr>
                </w:p>
              </w:tc>
            </w:tr>
            <w:tr w14:paraId="6E15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66A825B6">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1C0CD896">
                  <w:pPr>
                    <w:widowControl/>
                    <w:spacing w:line="276" w:lineRule="auto"/>
                    <w:jc w:val="center"/>
                    <w:rPr>
                      <w:szCs w:val="21"/>
                    </w:rPr>
                  </w:pPr>
                </w:p>
              </w:tc>
              <w:tc>
                <w:tcPr>
                  <w:tcW w:w="1149" w:type="pct"/>
                  <w:gridSpan w:val="2"/>
                  <w:shd w:val="clear" w:color="auto" w:fill="auto"/>
                  <w:vAlign w:val="center"/>
                </w:tcPr>
                <w:p w14:paraId="53AF136E">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东侧2#</w:t>
                  </w:r>
                </w:p>
              </w:tc>
              <w:tc>
                <w:tcPr>
                  <w:tcW w:w="488" w:type="pct"/>
                  <w:shd w:val="clear" w:color="auto" w:fill="auto"/>
                  <w:vAlign w:val="center"/>
                </w:tcPr>
                <w:p w14:paraId="4A3EFAF8">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46.4 </w:t>
                  </w:r>
                </w:p>
              </w:tc>
              <w:tc>
                <w:tcPr>
                  <w:tcW w:w="488" w:type="pct"/>
                  <w:shd w:val="clear" w:color="auto" w:fill="auto"/>
                  <w:vAlign w:val="center"/>
                </w:tcPr>
                <w:p w14:paraId="18EB83EC">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45.8 </w:t>
                  </w:r>
                </w:p>
              </w:tc>
              <w:tc>
                <w:tcPr>
                  <w:tcW w:w="488" w:type="pct"/>
                  <w:vAlign w:val="center"/>
                </w:tcPr>
                <w:p w14:paraId="55B34674">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46</w:t>
                  </w:r>
                </w:p>
              </w:tc>
              <w:tc>
                <w:tcPr>
                  <w:tcW w:w="489" w:type="pct"/>
                  <w:vAlign w:val="center"/>
                </w:tcPr>
                <w:p w14:paraId="61374A23">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46</w:t>
                  </w:r>
                </w:p>
              </w:tc>
              <w:tc>
                <w:tcPr>
                  <w:tcW w:w="524" w:type="pct"/>
                  <w:vAlign w:val="center"/>
                </w:tcPr>
                <w:p w14:paraId="17758279">
                  <w:pPr>
                    <w:widowControl/>
                    <w:spacing w:line="276" w:lineRule="auto"/>
                    <w:jc w:val="center"/>
                    <w:rPr>
                      <w:szCs w:val="21"/>
                    </w:rPr>
                  </w:pPr>
                </w:p>
              </w:tc>
            </w:tr>
            <w:tr w14:paraId="7609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21C4C185">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325EB2C7">
                  <w:pPr>
                    <w:widowControl/>
                    <w:spacing w:line="276" w:lineRule="auto"/>
                    <w:jc w:val="center"/>
                    <w:rPr>
                      <w:szCs w:val="21"/>
                    </w:rPr>
                  </w:pPr>
                </w:p>
              </w:tc>
              <w:tc>
                <w:tcPr>
                  <w:tcW w:w="1149" w:type="pct"/>
                  <w:gridSpan w:val="2"/>
                  <w:shd w:val="clear" w:color="auto" w:fill="auto"/>
                  <w:vAlign w:val="center"/>
                </w:tcPr>
                <w:p w14:paraId="46C6E1E0">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南侧3#</w:t>
                  </w:r>
                </w:p>
              </w:tc>
              <w:tc>
                <w:tcPr>
                  <w:tcW w:w="488" w:type="pct"/>
                  <w:shd w:val="clear" w:color="auto" w:fill="auto"/>
                  <w:vAlign w:val="center"/>
                </w:tcPr>
                <w:p w14:paraId="1D924158">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45.9 </w:t>
                  </w:r>
                </w:p>
              </w:tc>
              <w:tc>
                <w:tcPr>
                  <w:tcW w:w="488" w:type="pct"/>
                  <w:shd w:val="clear" w:color="auto" w:fill="auto"/>
                  <w:vAlign w:val="center"/>
                </w:tcPr>
                <w:p w14:paraId="24B83E05">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45.0 </w:t>
                  </w:r>
                </w:p>
              </w:tc>
              <w:tc>
                <w:tcPr>
                  <w:tcW w:w="488" w:type="pct"/>
                  <w:vAlign w:val="center"/>
                </w:tcPr>
                <w:p w14:paraId="34CA3EBF">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46</w:t>
                  </w:r>
                </w:p>
              </w:tc>
              <w:tc>
                <w:tcPr>
                  <w:tcW w:w="489" w:type="pct"/>
                  <w:vAlign w:val="center"/>
                </w:tcPr>
                <w:p w14:paraId="49F116B7">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45</w:t>
                  </w:r>
                </w:p>
              </w:tc>
              <w:tc>
                <w:tcPr>
                  <w:tcW w:w="524" w:type="pct"/>
                  <w:vAlign w:val="center"/>
                </w:tcPr>
                <w:p w14:paraId="14B9D903">
                  <w:pPr>
                    <w:widowControl/>
                    <w:spacing w:line="276" w:lineRule="auto"/>
                    <w:jc w:val="center"/>
                    <w:rPr>
                      <w:szCs w:val="21"/>
                    </w:rPr>
                  </w:pPr>
                </w:p>
              </w:tc>
            </w:tr>
            <w:tr w14:paraId="13CA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7AA67791">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38F5FFF0">
                  <w:pPr>
                    <w:widowControl/>
                    <w:spacing w:line="276" w:lineRule="auto"/>
                    <w:jc w:val="center"/>
                    <w:rPr>
                      <w:szCs w:val="21"/>
                    </w:rPr>
                  </w:pPr>
                </w:p>
              </w:tc>
              <w:tc>
                <w:tcPr>
                  <w:tcW w:w="1149" w:type="pct"/>
                  <w:gridSpan w:val="2"/>
                  <w:shd w:val="clear" w:color="auto" w:fill="auto"/>
                  <w:vAlign w:val="center"/>
                </w:tcPr>
                <w:p w14:paraId="1556F6EA">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南侧4#</w:t>
                  </w:r>
                </w:p>
              </w:tc>
              <w:tc>
                <w:tcPr>
                  <w:tcW w:w="488" w:type="pct"/>
                  <w:shd w:val="clear" w:color="auto" w:fill="auto"/>
                  <w:vAlign w:val="center"/>
                </w:tcPr>
                <w:p w14:paraId="780B0AA5">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45.9 </w:t>
                  </w:r>
                </w:p>
              </w:tc>
              <w:tc>
                <w:tcPr>
                  <w:tcW w:w="488" w:type="pct"/>
                  <w:shd w:val="clear" w:color="auto" w:fill="auto"/>
                  <w:vAlign w:val="center"/>
                </w:tcPr>
                <w:p w14:paraId="0E44CE19">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45.1 </w:t>
                  </w:r>
                </w:p>
              </w:tc>
              <w:tc>
                <w:tcPr>
                  <w:tcW w:w="488" w:type="pct"/>
                  <w:vAlign w:val="center"/>
                </w:tcPr>
                <w:p w14:paraId="42CBC0CE">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46</w:t>
                  </w:r>
                </w:p>
              </w:tc>
              <w:tc>
                <w:tcPr>
                  <w:tcW w:w="489" w:type="pct"/>
                  <w:vAlign w:val="center"/>
                </w:tcPr>
                <w:p w14:paraId="3CA207CF">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45</w:t>
                  </w:r>
                </w:p>
              </w:tc>
              <w:tc>
                <w:tcPr>
                  <w:tcW w:w="524" w:type="pct"/>
                  <w:vAlign w:val="center"/>
                </w:tcPr>
                <w:p w14:paraId="4FF37F21">
                  <w:pPr>
                    <w:widowControl/>
                    <w:spacing w:line="276" w:lineRule="auto"/>
                    <w:jc w:val="center"/>
                    <w:rPr>
                      <w:szCs w:val="21"/>
                    </w:rPr>
                  </w:pPr>
                </w:p>
              </w:tc>
            </w:tr>
            <w:tr w14:paraId="02ED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2A75C3F6">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2F1D201E">
                  <w:pPr>
                    <w:widowControl/>
                    <w:spacing w:line="276" w:lineRule="auto"/>
                    <w:jc w:val="center"/>
                    <w:rPr>
                      <w:szCs w:val="21"/>
                    </w:rPr>
                  </w:pPr>
                </w:p>
              </w:tc>
              <w:tc>
                <w:tcPr>
                  <w:tcW w:w="1149" w:type="pct"/>
                  <w:gridSpan w:val="2"/>
                  <w:shd w:val="clear" w:color="auto" w:fill="auto"/>
                  <w:vAlign w:val="center"/>
                </w:tcPr>
                <w:p w14:paraId="2773E15E">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西侧5#</w:t>
                  </w:r>
                </w:p>
              </w:tc>
              <w:tc>
                <w:tcPr>
                  <w:tcW w:w="488" w:type="pct"/>
                  <w:shd w:val="clear" w:color="auto" w:fill="auto"/>
                  <w:vAlign w:val="center"/>
                </w:tcPr>
                <w:p w14:paraId="5A4D85EB">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47.6 </w:t>
                  </w:r>
                </w:p>
              </w:tc>
              <w:tc>
                <w:tcPr>
                  <w:tcW w:w="488" w:type="pct"/>
                  <w:shd w:val="clear" w:color="auto" w:fill="auto"/>
                  <w:vAlign w:val="center"/>
                </w:tcPr>
                <w:p w14:paraId="4542FD0D">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46.8 </w:t>
                  </w:r>
                </w:p>
              </w:tc>
              <w:tc>
                <w:tcPr>
                  <w:tcW w:w="488" w:type="pct"/>
                  <w:vAlign w:val="center"/>
                </w:tcPr>
                <w:p w14:paraId="2089E852">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48</w:t>
                  </w:r>
                </w:p>
              </w:tc>
              <w:tc>
                <w:tcPr>
                  <w:tcW w:w="489" w:type="pct"/>
                  <w:vAlign w:val="center"/>
                </w:tcPr>
                <w:p w14:paraId="3C23C965">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47</w:t>
                  </w:r>
                </w:p>
              </w:tc>
              <w:tc>
                <w:tcPr>
                  <w:tcW w:w="524" w:type="pct"/>
                  <w:vAlign w:val="center"/>
                </w:tcPr>
                <w:p w14:paraId="12251A2A">
                  <w:pPr>
                    <w:widowControl/>
                    <w:spacing w:line="276" w:lineRule="auto"/>
                    <w:jc w:val="center"/>
                    <w:rPr>
                      <w:szCs w:val="21"/>
                    </w:rPr>
                  </w:pPr>
                </w:p>
              </w:tc>
            </w:tr>
            <w:tr w14:paraId="75DD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273C137D">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71A17163">
                  <w:pPr>
                    <w:widowControl/>
                    <w:spacing w:line="276" w:lineRule="auto"/>
                    <w:jc w:val="center"/>
                    <w:rPr>
                      <w:szCs w:val="21"/>
                    </w:rPr>
                  </w:pPr>
                </w:p>
              </w:tc>
              <w:tc>
                <w:tcPr>
                  <w:tcW w:w="1149" w:type="pct"/>
                  <w:gridSpan w:val="2"/>
                  <w:shd w:val="clear" w:color="auto" w:fill="auto"/>
                  <w:vAlign w:val="center"/>
                </w:tcPr>
                <w:p w14:paraId="5F9912F8">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西侧6#</w:t>
                  </w:r>
                </w:p>
              </w:tc>
              <w:tc>
                <w:tcPr>
                  <w:tcW w:w="488" w:type="pct"/>
                  <w:shd w:val="clear" w:color="auto" w:fill="auto"/>
                  <w:vAlign w:val="center"/>
                </w:tcPr>
                <w:p w14:paraId="2319ACD2">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47.8 </w:t>
                  </w:r>
                </w:p>
              </w:tc>
              <w:tc>
                <w:tcPr>
                  <w:tcW w:w="488" w:type="pct"/>
                  <w:shd w:val="clear" w:color="auto" w:fill="auto"/>
                  <w:vAlign w:val="center"/>
                </w:tcPr>
                <w:p w14:paraId="1EB7AA3D">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47.1 </w:t>
                  </w:r>
                </w:p>
              </w:tc>
              <w:tc>
                <w:tcPr>
                  <w:tcW w:w="488" w:type="pct"/>
                  <w:vAlign w:val="center"/>
                </w:tcPr>
                <w:p w14:paraId="776E7062">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48</w:t>
                  </w:r>
                </w:p>
              </w:tc>
              <w:tc>
                <w:tcPr>
                  <w:tcW w:w="489" w:type="pct"/>
                  <w:vAlign w:val="center"/>
                </w:tcPr>
                <w:p w14:paraId="7C85075F">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47</w:t>
                  </w:r>
                </w:p>
              </w:tc>
              <w:tc>
                <w:tcPr>
                  <w:tcW w:w="524" w:type="pct"/>
                  <w:vAlign w:val="center"/>
                </w:tcPr>
                <w:p w14:paraId="5CDF0313">
                  <w:pPr>
                    <w:widowControl/>
                    <w:spacing w:line="276" w:lineRule="auto"/>
                    <w:jc w:val="center"/>
                    <w:rPr>
                      <w:szCs w:val="21"/>
                    </w:rPr>
                  </w:pPr>
                </w:p>
              </w:tc>
            </w:tr>
            <w:tr w14:paraId="2319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05C929D5">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5F2373EB">
                  <w:pPr>
                    <w:widowControl/>
                    <w:spacing w:line="276" w:lineRule="auto"/>
                    <w:jc w:val="center"/>
                    <w:rPr>
                      <w:szCs w:val="21"/>
                    </w:rPr>
                  </w:pPr>
                </w:p>
              </w:tc>
              <w:tc>
                <w:tcPr>
                  <w:tcW w:w="1149" w:type="pct"/>
                  <w:gridSpan w:val="2"/>
                  <w:shd w:val="clear" w:color="auto" w:fill="auto"/>
                  <w:vAlign w:val="center"/>
                </w:tcPr>
                <w:p w14:paraId="229F5134">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北侧7#</w:t>
                  </w:r>
                </w:p>
              </w:tc>
              <w:tc>
                <w:tcPr>
                  <w:tcW w:w="488" w:type="pct"/>
                  <w:shd w:val="clear" w:color="auto" w:fill="auto"/>
                  <w:vAlign w:val="center"/>
                </w:tcPr>
                <w:p w14:paraId="04FFC005">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43.9 </w:t>
                  </w:r>
                </w:p>
              </w:tc>
              <w:tc>
                <w:tcPr>
                  <w:tcW w:w="488" w:type="pct"/>
                  <w:shd w:val="clear" w:color="auto" w:fill="auto"/>
                  <w:vAlign w:val="center"/>
                </w:tcPr>
                <w:p w14:paraId="60C905F4">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43.2 </w:t>
                  </w:r>
                </w:p>
              </w:tc>
              <w:tc>
                <w:tcPr>
                  <w:tcW w:w="488" w:type="pct"/>
                  <w:vAlign w:val="center"/>
                </w:tcPr>
                <w:p w14:paraId="55DCD673">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44</w:t>
                  </w:r>
                </w:p>
              </w:tc>
              <w:tc>
                <w:tcPr>
                  <w:tcW w:w="489" w:type="pct"/>
                  <w:vAlign w:val="center"/>
                </w:tcPr>
                <w:p w14:paraId="620FA4D4">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43</w:t>
                  </w:r>
                </w:p>
              </w:tc>
              <w:tc>
                <w:tcPr>
                  <w:tcW w:w="524" w:type="pct"/>
                  <w:vAlign w:val="center"/>
                </w:tcPr>
                <w:p w14:paraId="35A917EA">
                  <w:pPr>
                    <w:widowControl/>
                    <w:spacing w:line="276" w:lineRule="auto"/>
                    <w:jc w:val="center"/>
                    <w:rPr>
                      <w:szCs w:val="21"/>
                    </w:rPr>
                  </w:pPr>
                </w:p>
              </w:tc>
            </w:tr>
            <w:tr w14:paraId="75E2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060811D3">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38B3A801">
                  <w:pPr>
                    <w:widowControl/>
                    <w:spacing w:line="276" w:lineRule="auto"/>
                    <w:jc w:val="center"/>
                    <w:rPr>
                      <w:szCs w:val="21"/>
                    </w:rPr>
                  </w:pPr>
                </w:p>
              </w:tc>
              <w:tc>
                <w:tcPr>
                  <w:tcW w:w="1149" w:type="pct"/>
                  <w:gridSpan w:val="2"/>
                  <w:shd w:val="clear" w:color="auto" w:fill="auto"/>
                  <w:vAlign w:val="center"/>
                </w:tcPr>
                <w:p w14:paraId="1578B2B4">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北侧8#</w:t>
                  </w:r>
                </w:p>
              </w:tc>
              <w:tc>
                <w:tcPr>
                  <w:tcW w:w="488" w:type="pct"/>
                  <w:shd w:val="clear" w:color="auto" w:fill="auto"/>
                  <w:vAlign w:val="center"/>
                </w:tcPr>
                <w:p w14:paraId="149DFD9C">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43.0 </w:t>
                  </w:r>
                </w:p>
              </w:tc>
              <w:tc>
                <w:tcPr>
                  <w:tcW w:w="488" w:type="pct"/>
                  <w:shd w:val="clear" w:color="auto" w:fill="auto"/>
                  <w:vAlign w:val="center"/>
                </w:tcPr>
                <w:p w14:paraId="4060653D">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42.4 </w:t>
                  </w:r>
                </w:p>
              </w:tc>
              <w:tc>
                <w:tcPr>
                  <w:tcW w:w="488" w:type="pct"/>
                  <w:vAlign w:val="center"/>
                </w:tcPr>
                <w:p w14:paraId="457E1D5C">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43</w:t>
                  </w:r>
                </w:p>
              </w:tc>
              <w:tc>
                <w:tcPr>
                  <w:tcW w:w="489" w:type="pct"/>
                  <w:vAlign w:val="center"/>
                </w:tcPr>
                <w:p w14:paraId="3E442719">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42</w:t>
                  </w:r>
                </w:p>
              </w:tc>
              <w:tc>
                <w:tcPr>
                  <w:tcW w:w="524" w:type="pct"/>
                  <w:vAlign w:val="center"/>
                </w:tcPr>
                <w:p w14:paraId="6BF899AC">
                  <w:pPr>
                    <w:widowControl/>
                    <w:spacing w:line="276" w:lineRule="auto"/>
                    <w:jc w:val="center"/>
                    <w:rPr>
                      <w:szCs w:val="21"/>
                    </w:rPr>
                  </w:pPr>
                </w:p>
              </w:tc>
            </w:tr>
            <w:tr w14:paraId="2740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066DBF67">
                  <w:pPr>
                    <w:pStyle w:val="105"/>
                    <w:widowControl/>
                    <w:numPr>
                      <w:ilvl w:val="0"/>
                      <w:numId w:val="12"/>
                    </w:numPr>
                    <w:spacing w:line="276" w:lineRule="auto"/>
                    <w:ind w:firstLineChars="0"/>
                    <w:jc w:val="center"/>
                    <w:rPr>
                      <w:b/>
                      <w:bCs/>
                      <w:kern w:val="0"/>
                      <w:szCs w:val="21"/>
                    </w:rPr>
                  </w:pPr>
                </w:p>
              </w:tc>
              <w:tc>
                <w:tcPr>
                  <w:tcW w:w="1088" w:type="pct"/>
                  <w:vMerge w:val="restart"/>
                  <w:shd w:val="clear" w:color="auto" w:fill="auto"/>
                  <w:vAlign w:val="center"/>
                </w:tcPr>
                <w:p w14:paraId="5D3301CC">
                  <w:pPr>
                    <w:widowControl/>
                    <w:spacing w:line="276" w:lineRule="auto"/>
                    <w:jc w:val="center"/>
                    <w:rPr>
                      <w:rFonts w:hint="eastAsia" w:eastAsia="宋体"/>
                      <w:szCs w:val="21"/>
                      <w:lang w:eastAsia="zh-CN"/>
                    </w:rPr>
                  </w:pPr>
                  <w:r>
                    <w:rPr>
                      <w:rFonts w:hint="eastAsia" w:ascii="Times New Roman" w:hAnsi="Times New Roman" w:eastAsia="宋体"/>
                      <w:kern w:val="0"/>
                      <w:szCs w:val="21"/>
                    </w:rPr>
                    <w:t>新疆维吾尔自治区吐鲁番市高昌区港城社区</w:t>
                  </w:r>
                </w:p>
              </w:tc>
              <w:tc>
                <w:tcPr>
                  <w:tcW w:w="1149" w:type="pct"/>
                  <w:gridSpan w:val="2"/>
                  <w:shd w:val="clear" w:color="auto" w:fill="auto"/>
                  <w:vAlign w:val="center"/>
                </w:tcPr>
                <w:p w14:paraId="269BD1E0">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其他建筑a西侧</w:t>
                  </w:r>
                </w:p>
              </w:tc>
              <w:tc>
                <w:tcPr>
                  <w:tcW w:w="488" w:type="pct"/>
                  <w:shd w:val="clear" w:color="auto" w:fill="auto"/>
                  <w:vAlign w:val="center"/>
                </w:tcPr>
                <w:p w14:paraId="3ED98C10">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45.4 </w:t>
                  </w:r>
                </w:p>
              </w:tc>
              <w:tc>
                <w:tcPr>
                  <w:tcW w:w="488" w:type="pct"/>
                  <w:shd w:val="clear" w:color="auto" w:fill="auto"/>
                  <w:vAlign w:val="center"/>
                </w:tcPr>
                <w:p w14:paraId="6996AB61">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44.9 </w:t>
                  </w:r>
                </w:p>
              </w:tc>
              <w:tc>
                <w:tcPr>
                  <w:tcW w:w="488" w:type="pct"/>
                  <w:vAlign w:val="center"/>
                </w:tcPr>
                <w:p w14:paraId="231EB0D0">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45</w:t>
                  </w:r>
                </w:p>
              </w:tc>
              <w:tc>
                <w:tcPr>
                  <w:tcW w:w="489" w:type="pct"/>
                  <w:vAlign w:val="center"/>
                </w:tcPr>
                <w:p w14:paraId="753E5912">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45</w:t>
                  </w:r>
                </w:p>
              </w:tc>
              <w:tc>
                <w:tcPr>
                  <w:tcW w:w="524" w:type="pct"/>
                  <w:vAlign w:val="center"/>
                </w:tcPr>
                <w:p w14:paraId="50B8E3B1">
                  <w:pPr>
                    <w:widowControl/>
                    <w:spacing w:line="276" w:lineRule="auto"/>
                    <w:jc w:val="center"/>
                    <w:rPr>
                      <w:szCs w:val="21"/>
                    </w:rPr>
                  </w:pPr>
                </w:p>
              </w:tc>
            </w:tr>
            <w:tr w14:paraId="7C91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04ECDF8A">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58D70577">
                  <w:pPr>
                    <w:widowControl/>
                    <w:spacing w:line="276" w:lineRule="auto"/>
                    <w:jc w:val="center"/>
                    <w:rPr>
                      <w:rFonts w:hint="eastAsia"/>
                      <w:color w:val="000000"/>
                      <w:szCs w:val="21"/>
                    </w:rPr>
                  </w:pPr>
                </w:p>
              </w:tc>
              <w:tc>
                <w:tcPr>
                  <w:tcW w:w="1149" w:type="pct"/>
                  <w:gridSpan w:val="2"/>
                  <w:shd w:val="clear" w:color="auto" w:fill="auto"/>
                  <w:vAlign w:val="center"/>
                </w:tcPr>
                <w:p w14:paraId="716ED514">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葡萄干打把场办公室北侧</w:t>
                  </w:r>
                </w:p>
              </w:tc>
              <w:tc>
                <w:tcPr>
                  <w:tcW w:w="488" w:type="pct"/>
                  <w:shd w:val="clear" w:color="auto" w:fill="auto"/>
                  <w:vAlign w:val="center"/>
                </w:tcPr>
                <w:p w14:paraId="5C9EE21A">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41.3 </w:t>
                  </w:r>
                </w:p>
              </w:tc>
              <w:tc>
                <w:tcPr>
                  <w:tcW w:w="488" w:type="pct"/>
                  <w:shd w:val="clear" w:color="auto" w:fill="auto"/>
                  <w:vAlign w:val="center"/>
                </w:tcPr>
                <w:p w14:paraId="32168FE5">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40.5 </w:t>
                  </w:r>
                </w:p>
              </w:tc>
              <w:tc>
                <w:tcPr>
                  <w:tcW w:w="488" w:type="pct"/>
                  <w:vAlign w:val="center"/>
                </w:tcPr>
                <w:p w14:paraId="3054EDC4">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41</w:t>
                  </w:r>
                </w:p>
              </w:tc>
              <w:tc>
                <w:tcPr>
                  <w:tcW w:w="489" w:type="pct"/>
                  <w:vAlign w:val="center"/>
                </w:tcPr>
                <w:p w14:paraId="15451EF2">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40</w:t>
                  </w:r>
                </w:p>
              </w:tc>
              <w:tc>
                <w:tcPr>
                  <w:tcW w:w="524" w:type="pct"/>
                  <w:vAlign w:val="center"/>
                </w:tcPr>
                <w:p w14:paraId="451D3497">
                  <w:pPr>
                    <w:widowControl/>
                    <w:spacing w:line="276" w:lineRule="auto"/>
                    <w:jc w:val="center"/>
                    <w:rPr>
                      <w:szCs w:val="21"/>
                    </w:rPr>
                  </w:pPr>
                </w:p>
              </w:tc>
            </w:tr>
            <w:tr w14:paraId="2324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457FC96B">
                  <w:pPr>
                    <w:pStyle w:val="105"/>
                    <w:widowControl/>
                    <w:numPr>
                      <w:ilvl w:val="0"/>
                      <w:numId w:val="12"/>
                    </w:numPr>
                    <w:spacing w:line="276" w:lineRule="auto"/>
                    <w:ind w:firstLineChars="0"/>
                    <w:jc w:val="center"/>
                    <w:rPr>
                      <w:b/>
                      <w:bCs/>
                      <w:kern w:val="0"/>
                      <w:szCs w:val="21"/>
                    </w:rPr>
                  </w:pPr>
                </w:p>
              </w:tc>
              <w:tc>
                <w:tcPr>
                  <w:tcW w:w="1088" w:type="pct"/>
                  <w:vMerge w:val="continue"/>
                  <w:shd w:val="clear" w:color="auto" w:fill="auto"/>
                  <w:vAlign w:val="center"/>
                </w:tcPr>
                <w:p w14:paraId="5D7EB86F">
                  <w:pPr>
                    <w:widowControl/>
                    <w:spacing w:line="276" w:lineRule="auto"/>
                    <w:jc w:val="center"/>
                    <w:rPr>
                      <w:rFonts w:hint="eastAsia"/>
                      <w:color w:val="000000"/>
                      <w:szCs w:val="21"/>
                    </w:rPr>
                  </w:pPr>
                </w:p>
              </w:tc>
              <w:tc>
                <w:tcPr>
                  <w:tcW w:w="1149" w:type="pct"/>
                  <w:gridSpan w:val="2"/>
                  <w:shd w:val="clear" w:color="auto" w:fill="auto"/>
                  <w:vAlign w:val="center"/>
                </w:tcPr>
                <w:p w14:paraId="3ABF715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其他建筑b东侧</w:t>
                  </w:r>
                </w:p>
              </w:tc>
              <w:tc>
                <w:tcPr>
                  <w:tcW w:w="488" w:type="pct"/>
                  <w:shd w:val="clear" w:color="auto" w:fill="auto"/>
                  <w:vAlign w:val="center"/>
                </w:tcPr>
                <w:p w14:paraId="509D69B4">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43.3 </w:t>
                  </w:r>
                </w:p>
              </w:tc>
              <w:tc>
                <w:tcPr>
                  <w:tcW w:w="488" w:type="pct"/>
                  <w:shd w:val="clear" w:color="auto" w:fill="auto"/>
                  <w:vAlign w:val="center"/>
                </w:tcPr>
                <w:p w14:paraId="664704F5">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42.0 </w:t>
                  </w:r>
                </w:p>
              </w:tc>
              <w:tc>
                <w:tcPr>
                  <w:tcW w:w="488" w:type="pct"/>
                  <w:vAlign w:val="center"/>
                </w:tcPr>
                <w:p w14:paraId="0D606771">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43</w:t>
                  </w:r>
                </w:p>
              </w:tc>
              <w:tc>
                <w:tcPr>
                  <w:tcW w:w="489" w:type="pct"/>
                  <w:vAlign w:val="center"/>
                </w:tcPr>
                <w:p w14:paraId="4769C6DA">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42</w:t>
                  </w:r>
                </w:p>
              </w:tc>
              <w:tc>
                <w:tcPr>
                  <w:tcW w:w="524" w:type="pct"/>
                  <w:vAlign w:val="center"/>
                </w:tcPr>
                <w:p w14:paraId="5D806107">
                  <w:pPr>
                    <w:widowControl/>
                    <w:spacing w:line="276" w:lineRule="auto"/>
                    <w:jc w:val="center"/>
                    <w:rPr>
                      <w:szCs w:val="21"/>
                    </w:rPr>
                  </w:pPr>
                </w:p>
              </w:tc>
            </w:tr>
            <w:tr w14:paraId="6588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shd w:val="clear" w:color="auto" w:fill="auto"/>
                  <w:vAlign w:val="center"/>
                </w:tcPr>
                <w:p w14:paraId="6D28CE0B">
                  <w:pPr>
                    <w:widowControl/>
                    <w:spacing w:line="276" w:lineRule="auto"/>
                    <w:rPr>
                      <w:rFonts w:hint="eastAsia" w:eastAsia="宋体"/>
                      <w:szCs w:val="21"/>
                      <w:lang w:eastAsia="zh-CN"/>
                    </w:rPr>
                  </w:pPr>
                  <w:r>
                    <w:rPr>
                      <w:rFonts w:hint="eastAsia"/>
                      <w:b/>
                      <w:bCs/>
                      <w:color w:val="000000"/>
                      <w:kern w:val="0"/>
                      <w:szCs w:val="21"/>
                    </w:rPr>
                    <w:t>二、</w:t>
                  </w:r>
                  <w:r>
                    <w:rPr>
                      <w:rFonts w:hint="eastAsia"/>
                      <w:b/>
                      <w:bCs/>
                      <w:color w:val="000000"/>
                      <w:kern w:val="0"/>
                      <w:szCs w:val="21"/>
                      <w:lang w:eastAsia="zh-CN"/>
                    </w:rPr>
                    <w:t>港城~新阳110千伏线路工程</w:t>
                  </w:r>
                </w:p>
              </w:tc>
            </w:tr>
            <w:tr w14:paraId="616D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shd w:val="clear" w:color="auto" w:fill="auto"/>
                  <w:vAlign w:val="center"/>
                </w:tcPr>
                <w:p w14:paraId="33542C94">
                  <w:pPr>
                    <w:pStyle w:val="105"/>
                    <w:widowControl/>
                    <w:numPr>
                      <w:ilvl w:val="0"/>
                      <w:numId w:val="12"/>
                    </w:numPr>
                    <w:spacing w:line="276" w:lineRule="auto"/>
                    <w:ind w:firstLineChars="0"/>
                    <w:jc w:val="center"/>
                    <w:rPr>
                      <w:b/>
                      <w:bCs/>
                      <w:kern w:val="0"/>
                      <w:szCs w:val="21"/>
                    </w:rPr>
                  </w:pPr>
                </w:p>
              </w:tc>
              <w:tc>
                <w:tcPr>
                  <w:tcW w:w="1118" w:type="pct"/>
                  <w:gridSpan w:val="2"/>
                  <w:shd w:val="clear" w:color="auto" w:fill="auto"/>
                  <w:vAlign w:val="center"/>
                </w:tcPr>
                <w:p w14:paraId="75D025BB">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新疆维吾尔自治区吐鲁番市高昌区港城社区</w:t>
                  </w:r>
                </w:p>
              </w:tc>
              <w:tc>
                <w:tcPr>
                  <w:tcW w:w="1119" w:type="pct"/>
                  <w:shd w:val="clear" w:color="auto" w:fill="auto"/>
                  <w:vAlign w:val="center"/>
                </w:tcPr>
                <w:p w14:paraId="678839A4">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葡萄干打把场办公室北侧</w:t>
                  </w:r>
                </w:p>
              </w:tc>
              <w:tc>
                <w:tcPr>
                  <w:tcW w:w="488" w:type="pct"/>
                  <w:shd w:val="clear" w:color="auto" w:fill="auto"/>
                  <w:vAlign w:val="center"/>
                </w:tcPr>
                <w:p w14:paraId="5C93C8E7">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41.3 </w:t>
                  </w:r>
                </w:p>
              </w:tc>
              <w:tc>
                <w:tcPr>
                  <w:tcW w:w="488" w:type="pct"/>
                  <w:shd w:val="clear" w:color="auto" w:fill="auto"/>
                  <w:vAlign w:val="center"/>
                </w:tcPr>
                <w:p w14:paraId="2549D49D">
                  <w:pPr>
                    <w:widowControl/>
                    <w:jc w:val="center"/>
                    <w:rPr>
                      <w:rFonts w:ascii="Times New Roman" w:hAnsi="Times New Roman" w:eastAsia="宋体" w:cs="Times New Roman"/>
                      <w:kern w:val="0"/>
                      <w:sz w:val="21"/>
                      <w:szCs w:val="21"/>
                      <w:lang w:val="en-US" w:eastAsia="zh-CN" w:bidi="ar-SA"/>
                    </w:rPr>
                  </w:pPr>
                  <w:r>
                    <w:rPr>
                      <w:rFonts w:ascii="Times New Roman" w:hAnsi="Times New Roman" w:eastAsia="宋体"/>
                      <w:kern w:val="0"/>
                      <w:szCs w:val="21"/>
                    </w:rPr>
                    <w:t xml:space="preserve">40.5 </w:t>
                  </w:r>
                </w:p>
              </w:tc>
              <w:tc>
                <w:tcPr>
                  <w:tcW w:w="488" w:type="pct"/>
                  <w:vAlign w:val="center"/>
                </w:tcPr>
                <w:p w14:paraId="388C36E5">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41</w:t>
                  </w:r>
                </w:p>
              </w:tc>
              <w:tc>
                <w:tcPr>
                  <w:tcW w:w="489" w:type="pct"/>
                  <w:vAlign w:val="center"/>
                </w:tcPr>
                <w:p w14:paraId="14836290">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lang w:val="en-US" w:eastAsia="zh-CN"/>
                    </w:rPr>
                    <w:t>40</w:t>
                  </w:r>
                </w:p>
              </w:tc>
              <w:tc>
                <w:tcPr>
                  <w:tcW w:w="524" w:type="pct"/>
                  <w:vAlign w:val="center"/>
                </w:tcPr>
                <w:p w14:paraId="75192BFF">
                  <w:pPr>
                    <w:widowControl/>
                    <w:spacing w:line="276" w:lineRule="auto"/>
                    <w:jc w:val="center"/>
                    <w:rPr>
                      <w:rFonts w:ascii="Times New Roman" w:hAnsi="Times New Roman" w:eastAsia="宋体"/>
                      <w:szCs w:val="21"/>
                    </w:rPr>
                  </w:pPr>
                </w:p>
              </w:tc>
            </w:tr>
          </w:tbl>
          <w:p w14:paraId="2F9AEED5">
            <w:pPr>
              <w:pStyle w:val="11"/>
              <w:spacing w:before="240"/>
              <w:rPr>
                <w:color w:val="000000"/>
                <w:szCs w:val="24"/>
              </w:rPr>
            </w:pPr>
            <w:r>
              <w:rPr>
                <w:color w:val="000000"/>
                <w:szCs w:val="24"/>
              </w:rPr>
              <w:t>（2）监测结果分析</w:t>
            </w:r>
          </w:p>
          <w:p w14:paraId="5DC24D36">
            <w:pPr>
              <w:pStyle w:val="11"/>
              <w:rPr>
                <w:rFonts w:hint="eastAsia" w:eastAsia="宋体"/>
                <w:color w:val="000000"/>
                <w:szCs w:val="24"/>
                <w:lang w:eastAsia="zh-CN"/>
              </w:rPr>
            </w:pPr>
            <w:r>
              <w:rPr>
                <w:rFonts w:hint="eastAsia"/>
                <w:color w:val="000000"/>
                <w:szCs w:val="24"/>
              </w:rPr>
              <w:t>①</w:t>
            </w:r>
            <w:r>
              <w:rPr>
                <w:rFonts w:hint="eastAsia"/>
                <w:color w:val="000000"/>
                <w:szCs w:val="24"/>
                <w:lang w:eastAsia="zh-CN"/>
              </w:rPr>
              <w:t>港城变110千伏间隔扩建工程</w:t>
            </w:r>
          </w:p>
          <w:p w14:paraId="55ABAD4D">
            <w:pPr>
              <w:pStyle w:val="11"/>
              <w:rPr>
                <w:color w:val="000000"/>
                <w:szCs w:val="24"/>
              </w:rPr>
            </w:pPr>
            <w:r>
              <w:rPr>
                <w:rFonts w:hint="eastAsia"/>
                <w:color w:val="000000"/>
                <w:szCs w:val="24"/>
                <w:lang w:eastAsia="zh-CN"/>
              </w:rPr>
              <w:t>港城110kV变电站</w:t>
            </w:r>
            <w:r>
              <w:rPr>
                <w:color w:val="000000"/>
                <w:szCs w:val="24"/>
              </w:rPr>
              <w:t>昼间监测值</w:t>
            </w:r>
            <w:r>
              <w:rPr>
                <w:rFonts w:hint="eastAsia"/>
                <w:color w:val="000000"/>
                <w:szCs w:val="24"/>
              </w:rPr>
              <w:t>范围</w:t>
            </w:r>
            <w:r>
              <w:rPr>
                <w:color w:val="000000"/>
                <w:szCs w:val="24"/>
              </w:rPr>
              <w:t>为</w:t>
            </w:r>
            <w:r>
              <w:rPr>
                <w:rFonts w:hint="eastAsia"/>
                <w:color w:val="000000"/>
                <w:szCs w:val="24"/>
                <w:lang w:val="en-US" w:eastAsia="zh-CN"/>
              </w:rPr>
              <w:t>43</w:t>
            </w:r>
            <w:r>
              <w:rPr>
                <w:color w:val="000000"/>
                <w:szCs w:val="24"/>
              </w:rPr>
              <w:t>dB(A)</w:t>
            </w:r>
            <w:r>
              <w:rPr>
                <w:rFonts w:hint="eastAsia"/>
                <w:color w:val="000000"/>
                <w:szCs w:val="24"/>
              </w:rPr>
              <w:t>~5</w:t>
            </w:r>
            <w:r>
              <w:rPr>
                <w:rFonts w:hint="eastAsia"/>
                <w:color w:val="000000"/>
                <w:szCs w:val="24"/>
                <w:lang w:val="en-US" w:eastAsia="zh-CN"/>
              </w:rPr>
              <w:t>0</w:t>
            </w:r>
            <w:r>
              <w:rPr>
                <w:color w:val="000000"/>
                <w:szCs w:val="24"/>
              </w:rPr>
              <w:t>dB(A)，夜间监测值</w:t>
            </w:r>
            <w:r>
              <w:rPr>
                <w:rFonts w:hint="eastAsia"/>
                <w:color w:val="000000"/>
                <w:szCs w:val="24"/>
                <w:lang w:val="en-US" w:eastAsia="zh-CN"/>
              </w:rPr>
              <w:t>范围</w:t>
            </w:r>
            <w:r>
              <w:rPr>
                <w:color w:val="000000"/>
                <w:szCs w:val="24"/>
              </w:rPr>
              <w:t>为</w:t>
            </w:r>
            <w:r>
              <w:rPr>
                <w:rFonts w:hint="eastAsia"/>
                <w:color w:val="000000"/>
                <w:szCs w:val="24"/>
                <w:lang w:val="en-US" w:eastAsia="zh-CN"/>
              </w:rPr>
              <w:t>42</w:t>
            </w:r>
            <w:r>
              <w:rPr>
                <w:color w:val="000000"/>
                <w:szCs w:val="24"/>
              </w:rPr>
              <w:t>dB(A)</w:t>
            </w:r>
            <w:r>
              <w:rPr>
                <w:rFonts w:hint="eastAsia"/>
                <w:color w:val="000000"/>
                <w:szCs w:val="24"/>
              </w:rPr>
              <w:t>~</w:t>
            </w:r>
            <w:r>
              <w:rPr>
                <w:rFonts w:hint="eastAsia"/>
                <w:color w:val="000000"/>
                <w:szCs w:val="24"/>
                <w:lang w:val="en-US" w:eastAsia="zh-CN"/>
              </w:rPr>
              <w:t>48</w:t>
            </w:r>
            <w:r>
              <w:rPr>
                <w:color w:val="000000"/>
                <w:szCs w:val="24"/>
              </w:rPr>
              <w:t>dB(A)，</w:t>
            </w:r>
            <w:r>
              <w:rPr>
                <w:rFonts w:hint="eastAsia"/>
                <w:color w:val="000000"/>
                <w:szCs w:val="24"/>
              </w:rPr>
              <w:t>满足《工业企业厂界环境噪声排放标准》（GB 12348-2008）</w:t>
            </w:r>
            <w:r>
              <w:rPr>
                <w:rFonts w:hint="eastAsia"/>
                <w:color w:val="000000"/>
                <w:szCs w:val="24"/>
                <w:lang w:val="en-US" w:eastAsia="zh-CN"/>
              </w:rPr>
              <w:t>2</w:t>
            </w:r>
            <w:r>
              <w:rPr>
                <w:rFonts w:hint="eastAsia"/>
                <w:color w:val="000000"/>
                <w:szCs w:val="24"/>
              </w:rPr>
              <w:t>类标准限值要求；变电站评价范围内声环境保护目标</w:t>
            </w:r>
            <w:r>
              <w:rPr>
                <w:color w:val="000000"/>
                <w:szCs w:val="24"/>
              </w:rPr>
              <w:t>昼间监测值为</w:t>
            </w:r>
            <w:r>
              <w:rPr>
                <w:rFonts w:hint="eastAsia"/>
                <w:color w:val="000000"/>
                <w:szCs w:val="24"/>
                <w:lang w:val="en-US" w:eastAsia="zh-CN"/>
              </w:rPr>
              <w:t>41</w:t>
            </w:r>
            <w:r>
              <w:rPr>
                <w:color w:val="000000"/>
                <w:szCs w:val="24"/>
              </w:rPr>
              <w:t>dB(A)</w:t>
            </w:r>
            <w:r>
              <w:rPr>
                <w:rFonts w:hint="eastAsia"/>
                <w:color w:val="000000"/>
                <w:szCs w:val="24"/>
                <w:lang w:val="en-US" w:eastAsia="zh-CN"/>
              </w:rPr>
              <w:t>~45</w:t>
            </w:r>
            <w:r>
              <w:rPr>
                <w:color w:val="000000"/>
                <w:szCs w:val="24"/>
              </w:rPr>
              <w:t>dB(A)，夜间监测值为</w:t>
            </w:r>
            <w:r>
              <w:rPr>
                <w:rFonts w:hint="eastAsia"/>
                <w:color w:val="000000"/>
                <w:szCs w:val="24"/>
                <w:lang w:val="en-US" w:eastAsia="zh-CN"/>
              </w:rPr>
              <w:t>40</w:t>
            </w:r>
            <w:r>
              <w:rPr>
                <w:color w:val="000000"/>
                <w:szCs w:val="24"/>
              </w:rPr>
              <w:t>dB(A)</w:t>
            </w:r>
            <w:r>
              <w:rPr>
                <w:rFonts w:hint="eastAsia"/>
                <w:color w:val="000000"/>
                <w:szCs w:val="24"/>
                <w:lang w:val="en-US" w:eastAsia="zh-CN"/>
              </w:rPr>
              <w:t>~45</w:t>
            </w:r>
            <w:r>
              <w:rPr>
                <w:color w:val="000000"/>
                <w:szCs w:val="24"/>
              </w:rPr>
              <w:t>dB(A)</w:t>
            </w:r>
            <w:r>
              <w:rPr>
                <w:rFonts w:hint="eastAsia"/>
                <w:color w:val="000000"/>
                <w:szCs w:val="24"/>
              </w:rPr>
              <w:t>，满足</w:t>
            </w:r>
            <w:r>
              <w:rPr>
                <w:color w:val="000000"/>
                <w:szCs w:val="24"/>
              </w:rPr>
              <w:t>《声环境质量标准》（GB3096-2008）</w:t>
            </w:r>
            <w:r>
              <w:rPr>
                <w:rFonts w:hint="eastAsia"/>
                <w:color w:val="000000"/>
                <w:szCs w:val="24"/>
              </w:rPr>
              <w:t>2</w:t>
            </w:r>
            <w:r>
              <w:rPr>
                <w:color w:val="000000"/>
                <w:szCs w:val="24"/>
              </w:rPr>
              <w:t>类标准</w:t>
            </w:r>
            <w:r>
              <w:rPr>
                <w:rFonts w:hint="eastAsia"/>
                <w:color w:val="000000"/>
                <w:szCs w:val="24"/>
              </w:rPr>
              <w:t>限值要求。</w:t>
            </w:r>
          </w:p>
          <w:p w14:paraId="35CD3507">
            <w:pPr>
              <w:pStyle w:val="11"/>
              <w:rPr>
                <w:rFonts w:hint="eastAsia" w:eastAsia="宋体"/>
                <w:color w:val="000000"/>
                <w:szCs w:val="24"/>
                <w:lang w:eastAsia="zh-CN"/>
              </w:rPr>
            </w:pPr>
            <w:r>
              <w:rPr>
                <w:rFonts w:hint="eastAsia"/>
                <w:color w:val="000000"/>
                <w:szCs w:val="24"/>
              </w:rPr>
              <w:t>②</w:t>
            </w:r>
            <w:r>
              <w:rPr>
                <w:rFonts w:hint="eastAsia"/>
                <w:color w:val="000000"/>
                <w:szCs w:val="24"/>
                <w:lang w:eastAsia="zh-CN"/>
              </w:rPr>
              <w:t>港城~新阳110千伏线路工程</w:t>
            </w:r>
          </w:p>
          <w:p w14:paraId="6965E335">
            <w:pPr>
              <w:pStyle w:val="11"/>
              <w:rPr>
                <w:color w:val="000000"/>
                <w:szCs w:val="24"/>
              </w:rPr>
            </w:pPr>
            <w:r>
              <w:rPr>
                <w:color w:val="000000"/>
                <w:szCs w:val="24"/>
              </w:rPr>
              <w:t>输电线路沿线声环境</w:t>
            </w:r>
            <w:r>
              <w:rPr>
                <w:rFonts w:hint="eastAsia"/>
                <w:color w:val="000000"/>
                <w:szCs w:val="24"/>
              </w:rPr>
              <w:t>保护</w:t>
            </w:r>
            <w:r>
              <w:rPr>
                <w:color w:val="000000"/>
                <w:szCs w:val="24"/>
              </w:rPr>
              <w:t>目标昼间噪声监测值为</w:t>
            </w:r>
            <w:r>
              <w:rPr>
                <w:rFonts w:hint="eastAsia"/>
                <w:color w:val="000000"/>
                <w:szCs w:val="24"/>
                <w:lang w:val="en-US" w:eastAsia="zh-CN"/>
              </w:rPr>
              <w:t>41</w:t>
            </w:r>
            <w:r>
              <w:rPr>
                <w:color w:val="000000"/>
                <w:szCs w:val="24"/>
              </w:rPr>
              <w:t>dB(A)，夜间噪声监测值为</w:t>
            </w:r>
            <w:r>
              <w:rPr>
                <w:rFonts w:hint="eastAsia"/>
                <w:color w:val="000000"/>
                <w:szCs w:val="24"/>
                <w:lang w:val="en-US" w:eastAsia="zh-CN"/>
              </w:rPr>
              <w:t>40</w:t>
            </w:r>
            <w:r>
              <w:rPr>
                <w:color w:val="000000"/>
                <w:szCs w:val="24"/>
              </w:rPr>
              <w:t>dB(A)</w:t>
            </w:r>
            <w:r>
              <w:rPr>
                <w:rFonts w:hint="eastAsia"/>
                <w:color w:val="000000"/>
                <w:szCs w:val="24"/>
              </w:rPr>
              <w:t>，</w:t>
            </w:r>
            <w:r>
              <w:rPr>
                <w:color w:val="000000"/>
                <w:szCs w:val="24"/>
              </w:rPr>
              <w:t>满足《声环境质量标准》（GB3096-2008）</w:t>
            </w:r>
            <w:r>
              <w:rPr>
                <w:rFonts w:hint="eastAsia"/>
                <w:color w:val="000000"/>
                <w:szCs w:val="24"/>
                <w:lang w:val="en-US" w:eastAsia="zh-CN"/>
              </w:rPr>
              <w:t>2</w:t>
            </w:r>
            <w:r>
              <w:rPr>
                <w:color w:val="000000"/>
                <w:szCs w:val="24"/>
              </w:rPr>
              <w:t>类标准</w:t>
            </w:r>
            <w:r>
              <w:rPr>
                <w:rFonts w:hint="eastAsia"/>
                <w:color w:val="000000"/>
                <w:szCs w:val="24"/>
                <w:lang w:val="en-US" w:eastAsia="zh-CN"/>
              </w:rPr>
              <w:t>限值要求</w:t>
            </w:r>
            <w:r>
              <w:rPr>
                <w:color w:val="000000"/>
                <w:szCs w:val="24"/>
              </w:rPr>
              <w:t>。</w:t>
            </w:r>
          </w:p>
          <w:p w14:paraId="572A535B">
            <w:pPr>
              <w:pStyle w:val="3"/>
              <w:numPr>
                <w:ilvl w:val="0"/>
                <w:numId w:val="9"/>
              </w:numPr>
              <w:spacing w:before="0" w:after="0" w:line="360" w:lineRule="auto"/>
              <w:rPr>
                <w:rFonts w:eastAsia="宋体"/>
                <w:sz w:val="24"/>
                <w:szCs w:val="24"/>
              </w:rPr>
            </w:pPr>
            <w:bookmarkStart w:id="602" w:name="_Toc85036883"/>
            <w:bookmarkStart w:id="603" w:name="_Toc28910"/>
            <w:bookmarkStart w:id="604" w:name="_Toc110439157"/>
            <w:bookmarkStart w:id="605" w:name="_Toc109472630"/>
            <w:bookmarkStart w:id="606" w:name="_Toc91532176"/>
            <w:bookmarkStart w:id="607" w:name="_Toc85037217"/>
            <w:bookmarkStart w:id="608" w:name="_Toc14734"/>
            <w:bookmarkStart w:id="609" w:name="_Toc81415625"/>
            <w:bookmarkStart w:id="610" w:name="_Toc111564321"/>
            <w:bookmarkStart w:id="611" w:name="_Toc109473803"/>
            <w:bookmarkStart w:id="612" w:name="_Toc96935417"/>
            <w:bookmarkStart w:id="613" w:name="_Toc96031297"/>
            <w:bookmarkStart w:id="614" w:name="_Toc91493269"/>
            <w:bookmarkStart w:id="615" w:name="_Toc109473882"/>
            <w:bookmarkStart w:id="616" w:name="_Toc95464671"/>
            <w:bookmarkStart w:id="617" w:name="_Toc88558523"/>
            <w:bookmarkStart w:id="618" w:name="_Toc81308153"/>
            <w:bookmarkStart w:id="619" w:name="_Toc97290587"/>
            <w:bookmarkStart w:id="620" w:name="_Toc96031380"/>
            <w:bookmarkStart w:id="621" w:name="_Toc109473569"/>
            <w:r>
              <w:rPr>
                <w:rFonts w:eastAsia="宋体"/>
                <w:sz w:val="24"/>
                <w:szCs w:val="24"/>
              </w:rPr>
              <w:t>电磁环境质量现状</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B25BCE6">
            <w:pPr>
              <w:pStyle w:val="11"/>
              <w:rPr>
                <w:rFonts w:hint="eastAsia" w:eastAsia="宋体"/>
                <w:color w:val="000000"/>
                <w:szCs w:val="24"/>
                <w:lang w:eastAsia="zh-CN"/>
              </w:rPr>
            </w:pPr>
            <w:r>
              <w:rPr>
                <w:rFonts w:hint="eastAsia"/>
                <w:color w:val="000000"/>
                <w:szCs w:val="24"/>
              </w:rPr>
              <w:t>（1）</w:t>
            </w:r>
            <w:r>
              <w:rPr>
                <w:rFonts w:hint="eastAsia"/>
                <w:color w:val="000000"/>
                <w:szCs w:val="24"/>
                <w:lang w:eastAsia="zh-CN"/>
              </w:rPr>
              <w:t>港城变110千伏间隔扩建工程</w:t>
            </w:r>
          </w:p>
          <w:p w14:paraId="72E897D2">
            <w:pPr>
              <w:spacing w:line="360" w:lineRule="auto"/>
              <w:ind w:firstLine="480" w:firstLineChars="200"/>
              <w:rPr>
                <w:rFonts w:hint="eastAsia"/>
                <w:color w:val="000000"/>
                <w:sz w:val="24"/>
              </w:rPr>
            </w:pPr>
            <w:r>
              <w:rPr>
                <w:rFonts w:hint="eastAsia"/>
                <w:color w:val="000000"/>
                <w:sz w:val="24"/>
                <w:lang w:eastAsia="zh-CN"/>
              </w:rPr>
              <w:t>港城110kV变电站</w:t>
            </w:r>
            <w:r>
              <w:rPr>
                <w:rFonts w:hint="eastAsia"/>
                <w:color w:val="000000"/>
                <w:sz w:val="24"/>
              </w:rPr>
              <w:t>厂界</w:t>
            </w:r>
            <w:r>
              <w:rPr>
                <w:color w:val="000000"/>
                <w:sz w:val="24"/>
              </w:rPr>
              <w:t>工频电场强度监测值范围为</w:t>
            </w:r>
            <w:r>
              <w:rPr>
                <w:rFonts w:hint="eastAsia"/>
                <w:color w:val="000000"/>
                <w:sz w:val="24"/>
                <w:lang w:val="en-US" w:eastAsia="zh-CN"/>
              </w:rPr>
              <w:t>0.21</w:t>
            </w:r>
            <w:r>
              <w:rPr>
                <w:color w:val="000000"/>
                <w:sz w:val="24"/>
              </w:rPr>
              <w:t>V/m</w:t>
            </w:r>
            <w:r>
              <w:rPr>
                <w:rFonts w:hint="eastAsia"/>
                <w:color w:val="000000"/>
                <w:sz w:val="24"/>
              </w:rPr>
              <w:t>~</w:t>
            </w:r>
            <w:r>
              <w:rPr>
                <w:rFonts w:hint="eastAsia"/>
                <w:color w:val="000000"/>
                <w:sz w:val="24"/>
                <w:lang w:val="en-US" w:eastAsia="zh-CN"/>
              </w:rPr>
              <w:t>217.04</w:t>
            </w:r>
            <w:r>
              <w:rPr>
                <w:color w:val="000000"/>
                <w:sz w:val="24"/>
              </w:rPr>
              <w:t>V/m</w:t>
            </w:r>
            <w:r>
              <w:rPr>
                <w:rFonts w:hint="eastAsia"/>
                <w:color w:val="000000"/>
                <w:sz w:val="24"/>
              </w:rPr>
              <w:t>、</w:t>
            </w:r>
            <w:r>
              <w:rPr>
                <w:color w:val="000000"/>
                <w:sz w:val="24"/>
              </w:rPr>
              <w:t>工频磁感应强度监测值范围为</w:t>
            </w:r>
            <w:r>
              <w:rPr>
                <w:rFonts w:hint="eastAsia"/>
                <w:color w:val="000000"/>
                <w:sz w:val="24"/>
              </w:rPr>
              <w:t>0.0</w:t>
            </w:r>
            <w:r>
              <w:rPr>
                <w:rFonts w:hint="eastAsia"/>
                <w:color w:val="000000"/>
                <w:sz w:val="24"/>
                <w:lang w:val="en-US" w:eastAsia="zh-CN"/>
              </w:rPr>
              <w:t>84</w:t>
            </w:r>
            <w:r>
              <w:rPr>
                <w:color w:val="000000"/>
                <w:sz w:val="24"/>
              </w:rPr>
              <w:t>μT</w:t>
            </w:r>
            <w:r>
              <w:rPr>
                <w:rFonts w:hint="eastAsia"/>
                <w:color w:val="000000"/>
                <w:sz w:val="24"/>
              </w:rPr>
              <w:t>~0.</w:t>
            </w:r>
            <w:r>
              <w:rPr>
                <w:rFonts w:hint="eastAsia"/>
                <w:color w:val="000000"/>
                <w:sz w:val="24"/>
                <w:lang w:val="en-US" w:eastAsia="zh-CN"/>
              </w:rPr>
              <w:t>458</w:t>
            </w:r>
            <w:r>
              <w:rPr>
                <w:color w:val="000000"/>
                <w:sz w:val="24"/>
              </w:rPr>
              <w:t>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14:paraId="5F3F9551">
            <w:pPr>
              <w:spacing w:line="360" w:lineRule="auto"/>
              <w:ind w:firstLine="480" w:firstLineChars="200"/>
              <w:rPr>
                <w:color w:val="000000"/>
                <w:sz w:val="24"/>
              </w:rPr>
            </w:pPr>
            <w:r>
              <w:rPr>
                <w:rFonts w:hint="eastAsia"/>
                <w:color w:val="000000"/>
                <w:sz w:val="24"/>
              </w:rPr>
              <w:t>变电站评价范围内电磁环境敏感目标</w:t>
            </w:r>
            <w:r>
              <w:rPr>
                <w:rFonts w:hint="eastAsia"/>
                <w:color w:val="000000"/>
                <w:sz w:val="24"/>
                <w:lang w:val="en-US" w:eastAsia="zh-CN"/>
              </w:rPr>
              <w:t>处</w:t>
            </w:r>
            <w:r>
              <w:rPr>
                <w:color w:val="000000"/>
                <w:sz w:val="24"/>
              </w:rPr>
              <w:t>工频电场强度监测值为</w:t>
            </w:r>
            <w:r>
              <w:rPr>
                <w:rFonts w:hint="eastAsia"/>
                <w:color w:val="000000"/>
                <w:sz w:val="24"/>
                <w:lang w:val="en-US" w:eastAsia="zh-CN"/>
              </w:rPr>
              <w:t>11.87</w:t>
            </w:r>
            <w:r>
              <w:rPr>
                <w:color w:val="000000"/>
                <w:sz w:val="24"/>
              </w:rPr>
              <w:t>V/m</w:t>
            </w:r>
            <w:r>
              <w:rPr>
                <w:rFonts w:hint="eastAsia"/>
                <w:color w:val="000000"/>
                <w:sz w:val="24"/>
              </w:rPr>
              <w:t>、</w:t>
            </w:r>
            <w:r>
              <w:rPr>
                <w:color w:val="000000"/>
                <w:sz w:val="24"/>
              </w:rPr>
              <w:t>工频磁感应强度监测值为</w:t>
            </w:r>
            <w:r>
              <w:rPr>
                <w:rFonts w:hint="eastAsia"/>
                <w:color w:val="000000"/>
                <w:sz w:val="24"/>
                <w:lang w:val="en-US" w:eastAsia="zh-CN"/>
              </w:rPr>
              <w:t>0.035</w:t>
            </w:r>
            <w:r>
              <w:rPr>
                <w:color w:val="000000"/>
                <w:sz w:val="24"/>
              </w:rPr>
              <w:t>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14:paraId="64602A5A">
            <w:pPr>
              <w:pStyle w:val="11"/>
              <w:rPr>
                <w:rFonts w:hint="eastAsia" w:eastAsia="宋体"/>
                <w:color w:val="000000"/>
                <w:szCs w:val="24"/>
                <w:lang w:eastAsia="zh-CN"/>
              </w:rPr>
            </w:pPr>
            <w:r>
              <w:rPr>
                <w:rFonts w:hint="eastAsia"/>
                <w:color w:val="000000"/>
                <w:szCs w:val="24"/>
              </w:rPr>
              <w:t>（2）</w:t>
            </w:r>
            <w:r>
              <w:rPr>
                <w:rFonts w:hint="eastAsia"/>
                <w:color w:val="000000"/>
                <w:szCs w:val="24"/>
                <w:lang w:eastAsia="zh-CN"/>
              </w:rPr>
              <w:t>港城~新阳110千伏线路工程</w:t>
            </w:r>
          </w:p>
          <w:p w14:paraId="2B46D237">
            <w:pPr>
              <w:pStyle w:val="11"/>
              <w:rPr>
                <w:color w:val="000000"/>
                <w:szCs w:val="24"/>
              </w:rPr>
            </w:pPr>
            <w:r>
              <w:rPr>
                <w:rFonts w:hint="eastAsia"/>
                <w:color w:val="000000"/>
                <w:sz w:val="24"/>
              </w:rPr>
              <w:t>本工程拟建线路沿线环境敏感保护目标处的工频电场强度监测值为</w:t>
            </w:r>
            <w:r>
              <w:rPr>
                <w:rFonts w:hint="eastAsia"/>
                <w:color w:val="000000"/>
                <w:sz w:val="24"/>
                <w:lang w:val="en-US" w:eastAsia="zh-CN"/>
              </w:rPr>
              <w:t>12.47</w:t>
            </w:r>
            <w:r>
              <w:rPr>
                <w:rFonts w:hint="eastAsia"/>
                <w:color w:val="000000"/>
                <w:sz w:val="24"/>
              </w:rPr>
              <w:t>V/m、工频磁感应强度监测值为</w:t>
            </w:r>
            <w:r>
              <w:rPr>
                <w:rFonts w:hint="eastAsia"/>
                <w:color w:val="000000"/>
                <w:sz w:val="24"/>
                <w:lang w:val="en-US" w:eastAsia="zh-CN"/>
              </w:rPr>
              <w:t>0.288</w:t>
            </w:r>
            <w:r>
              <w:rPr>
                <w:rFonts w:hint="default" w:ascii="Times New Roman" w:hAnsi="Times New Roman" w:cs="Times New Roman"/>
                <w:color w:val="000000"/>
                <w:sz w:val="24"/>
              </w:rPr>
              <w:t>μ</w:t>
            </w:r>
            <w:r>
              <w:rPr>
                <w:rFonts w:hint="eastAsia"/>
                <w:color w:val="000000"/>
                <w:sz w:val="24"/>
              </w:rPr>
              <w:t>T，工频电场强度、磁感应强度分别满足4000V/m、100</w:t>
            </w:r>
            <w:r>
              <w:rPr>
                <w:rFonts w:hint="default" w:ascii="Times New Roman" w:hAnsi="Times New Roman" w:cs="Times New Roman"/>
                <w:color w:val="000000"/>
                <w:sz w:val="24"/>
              </w:rPr>
              <w:t>μ</w:t>
            </w:r>
            <w:r>
              <w:rPr>
                <w:rFonts w:hint="eastAsia"/>
                <w:color w:val="000000"/>
                <w:sz w:val="24"/>
              </w:rPr>
              <w:t>T的限值要求。</w:t>
            </w:r>
          </w:p>
        </w:tc>
      </w:tr>
      <w:tr w14:paraId="2F1AF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57" w:type="dxa"/>
            <w:vAlign w:val="center"/>
          </w:tcPr>
          <w:p w14:paraId="1C56B59F">
            <w:pPr>
              <w:adjustRightInd w:val="0"/>
              <w:snapToGrid w:val="0"/>
              <w:jc w:val="center"/>
              <w:rPr>
                <w:rFonts w:ascii="Times New Roman" w:hAnsi="Times New Roman" w:eastAsia="宋体" w:cs="Times New Roman"/>
                <w:b/>
                <w:color w:val="000000"/>
                <w:kern w:val="0"/>
                <w:sz w:val="24"/>
                <w:szCs w:val="24"/>
                <w:lang w:val="en-US" w:eastAsia="zh-CN" w:bidi="ar-SA"/>
              </w:rPr>
            </w:pPr>
            <w:r>
              <w:rPr>
                <w:b/>
                <w:color w:val="000000"/>
                <w:kern w:val="0"/>
                <w:sz w:val="24"/>
              </w:rPr>
              <w:t>与项目有关的原有环境污染和生态破坏问题</w:t>
            </w:r>
          </w:p>
        </w:tc>
        <w:tc>
          <w:tcPr>
            <w:tcW w:w="8316" w:type="dxa"/>
            <w:vAlign w:val="center"/>
          </w:tcPr>
          <w:p w14:paraId="653C3F74">
            <w:pPr>
              <w:pStyle w:val="3"/>
              <w:numPr>
                <w:ilvl w:val="0"/>
                <w:numId w:val="13"/>
              </w:numPr>
              <w:spacing w:before="0" w:after="0" w:line="360" w:lineRule="auto"/>
              <w:rPr>
                <w:rFonts w:eastAsia="宋体"/>
                <w:sz w:val="24"/>
                <w:szCs w:val="24"/>
              </w:rPr>
            </w:pPr>
            <w:r>
              <w:rPr>
                <w:rFonts w:hint="eastAsia" w:eastAsia="宋体"/>
                <w:sz w:val="24"/>
                <w:szCs w:val="24"/>
              </w:rPr>
              <w:t>前期工程环保手续履行情况</w:t>
            </w:r>
          </w:p>
          <w:p w14:paraId="434F4C5C">
            <w:pPr>
              <w:spacing w:line="360" w:lineRule="auto"/>
              <w:ind w:firstLine="480" w:firstLineChars="200"/>
              <w:rPr>
                <w:rFonts w:hint="eastAsia"/>
                <w:snapToGrid w:val="0"/>
                <w:kern w:val="0"/>
                <w:sz w:val="24"/>
                <w:lang w:val="en-US" w:eastAsia="zh-CN"/>
              </w:rPr>
            </w:pPr>
            <w:r>
              <w:rPr>
                <w:rFonts w:hint="eastAsia"/>
                <w:color w:val="000000"/>
                <w:sz w:val="24"/>
                <w:lang w:eastAsia="zh-CN"/>
              </w:rPr>
              <w:t>港城110kV变电站</w:t>
            </w:r>
            <w:r>
              <w:rPr>
                <w:rFonts w:hint="eastAsia"/>
                <w:color w:val="000000"/>
                <w:sz w:val="24"/>
              </w:rPr>
              <w:t>前期属于“吐鲁番港城110千伏变电站二期扩建工程”建设内容，20</w:t>
            </w:r>
            <w:r>
              <w:rPr>
                <w:rFonts w:hint="eastAsia"/>
                <w:color w:val="000000"/>
                <w:sz w:val="24"/>
                <w:lang w:val="en-US" w:eastAsia="zh-CN"/>
              </w:rPr>
              <w:t>17</w:t>
            </w:r>
            <w:r>
              <w:rPr>
                <w:rFonts w:hint="eastAsia"/>
                <w:color w:val="000000"/>
                <w:sz w:val="24"/>
              </w:rPr>
              <w:t>年</w:t>
            </w:r>
            <w:r>
              <w:rPr>
                <w:rFonts w:hint="eastAsia"/>
                <w:color w:val="000000"/>
                <w:sz w:val="24"/>
                <w:lang w:val="en-US" w:eastAsia="zh-CN"/>
              </w:rPr>
              <w:t>4</w:t>
            </w:r>
            <w:r>
              <w:rPr>
                <w:rFonts w:hint="eastAsia"/>
                <w:color w:val="000000"/>
                <w:sz w:val="24"/>
              </w:rPr>
              <w:t>月，</w:t>
            </w:r>
            <w:r>
              <w:rPr>
                <w:rFonts w:hint="eastAsia"/>
                <w:color w:val="000000"/>
                <w:sz w:val="24"/>
                <w:lang w:val="en-US" w:eastAsia="zh-CN"/>
              </w:rPr>
              <w:t>原吐鲁番市高昌区环境保护局</w:t>
            </w:r>
            <w:r>
              <w:rPr>
                <w:rFonts w:hint="eastAsia"/>
                <w:color w:val="000000"/>
                <w:sz w:val="24"/>
              </w:rPr>
              <w:t>以《关于</w:t>
            </w:r>
            <w:r>
              <w:rPr>
                <w:rFonts w:hint="eastAsia" w:ascii="宋体" w:hAnsi="宋体" w:eastAsia="宋体" w:cs="宋体"/>
                <w:color w:val="000000"/>
                <w:sz w:val="24"/>
                <w:lang w:val="en-US" w:eastAsia="zh-CN"/>
              </w:rPr>
              <w:t>&lt;</w:t>
            </w:r>
            <w:r>
              <w:rPr>
                <w:rFonts w:hint="eastAsia"/>
                <w:color w:val="000000"/>
                <w:sz w:val="24"/>
              </w:rPr>
              <w:t>吐鲁番港城110千伏变电站二期扩建工程建设项目环境影响报告表</w:t>
            </w:r>
            <w:r>
              <w:rPr>
                <w:rFonts w:hint="eastAsia" w:ascii="宋体" w:hAnsi="宋体" w:eastAsia="宋体" w:cs="宋体"/>
                <w:color w:val="000000"/>
                <w:sz w:val="24"/>
                <w:lang w:val="en-US" w:eastAsia="zh-CN"/>
              </w:rPr>
              <w:t>&gt;</w:t>
            </w:r>
            <w:r>
              <w:rPr>
                <w:rFonts w:hint="eastAsia"/>
                <w:color w:val="000000"/>
                <w:sz w:val="24"/>
              </w:rPr>
              <w:t>批复》</w:t>
            </w:r>
            <w:r>
              <w:rPr>
                <w:rFonts w:hint="eastAsia"/>
                <w:color w:val="000000"/>
                <w:sz w:val="24"/>
                <w:lang w:eastAsia="zh-CN"/>
              </w:rPr>
              <w:t>（</w:t>
            </w:r>
            <w:r>
              <w:rPr>
                <w:rFonts w:hint="eastAsia"/>
                <w:color w:val="000000"/>
                <w:sz w:val="24"/>
                <w:lang w:val="en-US" w:eastAsia="zh-CN"/>
              </w:rPr>
              <w:t>高区环</w:t>
            </w:r>
            <w:r>
              <w:rPr>
                <w:rFonts w:hint="eastAsia"/>
                <w:snapToGrid w:val="0"/>
                <w:kern w:val="0"/>
                <w:sz w:val="24"/>
              </w:rPr>
              <w:t>〔20</w:t>
            </w:r>
            <w:r>
              <w:rPr>
                <w:rFonts w:hint="eastAsia"/>
                <w:snapToGrid w:val="0"/>
                <w:kern w:val="0"/>
                <w:sz w:val="24"/>
                <w:lang w:val="en-US" w:eastAsia="zh-CN"/>
              </w:rPr>
              <w:t>17</w:t>
            </w:r>
            <w:r>
              <w:rPr>
                <w:rFonts w:hint="eastAsia"/>
                <w:snapToGrid w:val="0"/>
                <w:kern w:val="0"/>
                <w:sz w:val="24"/>
              </w:rPr>
              <w:t>〕</w:t>
            </w:r>
            <w:r>
              <w:rPr>
                <w:rFonts w:hint="eastAsia"/>
                <w:snapToGrid w:val="0"/>
                <w:kern w:val="0"/>
                <w:sz w:val="24"/>
                <w:lang w:val="en-US" w:eastAsia="zh-CN"/>
              </w:rPr>
              <w:t>56</w:t>
            </w:r>
            <w:r>
              <w:rPr>
                <w:rFonts w:hint="eastAsia"/>
                <w:snapToGrid w:val="0"/>
                <w:kern w:val="0"/>
                <w:sz w:val="24"/>
              </w:rPr>
              <w:t>号</w:t>
            </w:r>
            <w:r>
              <w:rPr>
                <w:rFonts w:hint="eastAsia"/>
                <w:snapToGrid w:val="0"/>
                <w:kern w:val="0"/>
                <w:sz w:val="24"/>
                <w:lang w:eastAsia="zh-CN"/>
              </w:rPr>
              <w:t>）</w:t>
            </w:r>
            <w:r>
              <w:rPr>
                <w:rFonts w:hint="eastAsia"/>
                <w:snapToGrid w:val="0"/>
                <w:kern w:val="0"/>
                <w:sz w:val="24"/>
              </w:rPr>
              <w:t>对该工程</w:t>
            </w:r>
            <w:r>
              <w:rPr>
                <w:rFonts w:hint="eastAsia"/>
                <w:snapToGrid w:val="0"/>
                <w:kern w:val="0"/>
                <w:sz w:val="24"/>
                <w:lang w:val="en-US" w:eastAsia="zh-CN"/>
              </w:rPr>
              <w:t>予以</w:t>
            </w:r>
            <w:r>
              <w:rPr>
                <w:rFonts w:hint="eastAsia"/>
                <w:snapToGrid w:val="0"/>
                <w:kern w:val="0"/>
                <w:sz w:val="24"/>
              </w:rPr>
              <w:t>批复。</w:t>
            </w:r>
            <w:r>
              <w:rPr>
                <w:rFonts w:hint="eastAsia"/>
                <w:snapToGrid w:val="0"/>
                <w:kern w:val="0"/>
                <w:sz w:val="24"/>
                <w:lang w:val="en-US" w:eastAsia="zh-CN"/>
              </w:rPr>
              <w:t>2018年12月，国网新疆电力有限公司科技通信部组织了本工程竣工环境保护验收调查，并形成了《吐鲁番港城110千伏变电站二期扩建工程竣工环境保护验收意见》。</w:t>
            </w:r>
          </w:p>
          <w:p w14:paraId="4A8D85E1">
            <w:pPr>
              <w:spacing w:line="360" w:lineRule="auto"/>
              <w:ind w:firstLine="480" w:firstLineChars="200"/>
              <w:rPr>
                <w:sz w:val="24"/>
                <w:szCs w:val="32"/>
              </w:rPr>
            </w:pPr>
            <w:r>
              <w:rPr>
                <w:rFonts w:hint="eastAsia"/>
                <w:color w:val="000000"/>
                <w:sz w:val="24"/>
                <w:lang w:eastAsia="zh-CN"/>
              </w:rPr>
              <w:t>港城110kV变电站</w:t>
            </w:r>
            <w:r>
              <w:rPr>
                <w:rFonts w:hint="eastAsia"/>
                <w:color w:val="000000"/>
                <w:sz w:val="24"/>
              </w:rPr>
              <w:t>现有各项环境保护设施均正常运行，无环保遗留问题。</w:t>
            </w:r>
          </w:p>
          <w:p w14:paraId="0220B5EA">
            <w:pPr>
              <w:pStyle w:val="3"/>
              <w:numPr>
                <w:ilvl w:val="0"/>
                <w:numId w:val="13"/>
              </w:numPr>
              <w:spacing w:before="0" w:after="0" w:line="360" w:lineRule="auto"/>
              <w:rPr>
                <w:rFonts w:eastAsia="宋体"/>
                <w:sz w:val="24"/>
                <w:szCs w:val="24"/>
              </w:rPr>
            </w:pPr>
            <w:r>
              <w:rPr>
                <w:rFonts w:hint="eastAsia" w:eastAsia="宋体"/>
                <w:sz w:val="24"/>
                <w:szCs w:val="24"/>
              </w:rPr>
              <w:t>与</w:t>
            </w:r>
            <w:r>
              <w:rPr>
                <w:rFonts w:hint="eastAsia" w:eastAsia="宋体"/>
                <w:sz w:val="24"/>
                <w:szCs w:val="24"/>
                <w:lang w:eastAsia="zh-CN"/>
              </w:rPr>
              <w:t>本工程</w:t>
            </w:r>
            <w:r>
              <w:rPr>
                <w:rFonts w:hint="eastAsia" w:eastAsia="宋体"/>
                <w:sz w:val="24"/>
                <w:szCs w:val="24"/>
              </w:rPr>
              <w:t>有关的原有污染情况及主要环境问题</w:t>
            </w:r>
          </w:p>
          <w:p w14:paraId="493D0811">
            <w:pPr>
              <w:pStyle w:val="3"/>
              <w:spacing w:after="0" w:line="360" w:lineRule="auto"/>
              <w:ind w:left="0" w:firstLine="0"/>
              <w:rPr>
                <w:rFonts w:eastAsia="宋体"/>
                <w:color w:val="auto"/>
                <w:sz w:val="24"/>
                <w:szCs w:val="24"/>
              </w:rPr>
            </w:pPr>
            <w:r>
              <w:rPr>
                <w:rFonts w:hint="eastAsia" w:eastAsia="宋体"/>
                <w:color w:val="auto"/>
                <w:sz w:val="24"/>
                <w:szCs w:val="24"/>
              </w:rPr>
              <w:t>2.1 与本工程有关的原有污染情况</w:t>
            </w:r>
          </w:p>
          <w:p w14:paraId="778D1C2D">
            <w:pPr>
              <w:pStyle w:val="11"/>
              <w:rPr>
                <w:color w:val="000000"/>
                <w:szCs w:val="24"/>
              </w:rPr>
            </w:pPr>
            <w:r>
              <w:rPr>
                <w:color w:val="000000"/>
                <w:szCs w:val="24"/>
              </w:rPr>
              <w:t>声环境污染源：</w:t>
            </w:r>
            <w:r>
              <w:rPr>
                <w:rFonts w:hint="eastAsia"/>
                <w:color w:val="000000"/>
                <w:szCs w:val="24"/>
                <w:lang w:eastAsia="zh-CN"/>
              </w:rPr>
              <w:t>港城110kV变电站</w:t>
            </w:r>
            <w:r>
              <w:rPr>
                <w:rFonts w:hint="eastAsia"/>
                <w:color w:val="000000"/>
                <w:szCs w:val="24"/>
              </w:rPr>
              <w:t>为已建变电站。</w:t>
            </w:r>
            <w:r>
              <w:rPr>
                <w:color w:val="000000"/>
                <w:szCs w:val="24"/>
              </w:rPr>
              <w:t>本工程附近的施工噪声、道路交通噪声为项目区域主要的声环境污染源。</w:t>
            </w:r>
          </w:p>
          <w:p w14:paraId="46F8B2B7">
            <w:pPr>
              <w:pStyle w:val="11"/>
              <w:rPr>
                <w:color w:val="000000"/>
                <w:szCs w:val="24"/>
              </w:rPr>
            </w:pPr>
            <w:r>
              <w:rPr>
                <w:color w:val="000000"/>
                <w:szCs w:val="24"/>
              </w:rPr>
              <w:t>电磁环境</w:t>
            </w:r>
            <w:r>
              <w:rPr>
                <w:rFonts w:hint="eastAsia"/>
                <w:color w:val="000000"/>
                <w:szCs w:val="24"/>
              </w:rPr>
              <w:t>污染源</w:t>
            </w:r>
            <w:r>
              <w:rPr>
                <w:color w:val="000000"/>
                <w:szCs w:val="24"/>
              </w:rPr>
              <w:t>：根据现场踏勘，工程附近已建输电线路为工程所在区域主要的电磁环境污染源。</w:t>
            </w:r>
          </w:p>
          <w:p w14:paraId="14882EDC">
            <w:pPr>
              <w:pStyle w:val="3"/>
              <w:spacing w:after="0" w:line="360" w:lineRule="auto"/>
              <w:ind w:left="0" w:firstLine="0"/>
              <w:rPr>
                <w:rFonts w:eastAsia="宋体"/>
                <w:color w:val="auto"/>
                <w:sz w:val="24"/>
                <w:szCs w:val="24"/>
              </w:rPr>
            </w:pPr>
            <w:r>
              <w:rPr>
                <w:rFonts w:hint="eastAsia" w:eastAsia="宋体"/>
                <w:color w:val="auto"/>
                <w:sz w:val="24"/>
                <w:szCs w:val="24"/>
              </w:rPr>
              <w:t>2.2 与本工程有关的主要环境问题</w:t>
            </w:r>
          </w:p>
          <w:p w14:paraId="6CCD7A40">
            <w:pPr>
              <w:pStyle w:val="11"/>
            </w:pPr>
            <w:r>
              <w:t>本次环境现状监测结果表明</w:t>
            </w:r>
            <w:r>
              <w:rPr>
                <w:rFonts w:hint="eastAsia"/>
              </w:rPr>
              <w:t>，</w:t>
            </w:r>
            <w:r>
              <w:t>工程所在地电磁环境和声环境现状均满足相应国家标准要求</w:t>
            </w:r>
            <w:r>
              <w:rPr>
                <w:rFonts w:hint="eastAsia"/>
              </w:rPr>
              <w:t>，</w:t>
            </w:r>
            <w:r>
              <w:t>未发现明显环境问题。</w:t>
            </w:r>
          </w:p>
          <w:p w14:paraId="389DD8CA">
            <w:pPr>
              <w:pStyle w:val="11"/>
              <w:ind w:firstLine="480" w:firstLineChars="200"/>
              <w:rPr>
                <w:rFonts w:hint="eastAsia"/>
              </w:rPr>
            </w:pPr>
            <w:r>
              <w:t>根据现场踏勘和调查</w:t>
            </w:r>
            <w:r>
              <w:rPr>
                <w:rFonts w:hint="eastAsia"/>
              </w:rPr>
              <w:t>，线路</w:t>
            </w:r>
            <w:r>
              <w:t>区域未发现环境空气、水环境等环境污染问题。相关工程前期环保手续完善</w:t>
            </w:r>
            <w:r>
              <w:rPr>
                <w:rFonts w:hint="eastAsia"/>
              </w:rPr>
              <w:t>，</w:t>
            </w:r>
            <w:r>
              <w:t>不存在</w:t>
            </w:r>
            <w:r>
              <w:rPr>
                <w:rFonts w:hint="eastAsia"/>
              </w:rPr>
              <w:t>遗留环保</w:t>
            </w:r>
            <w:r>
              <w:t>问题</w:t>
            </w:r>
            <w:r>
              <w:rPr>
                <w:rFonts w:hint="eastAsia"/>
              </w:rPr>
              <w:t>。</w:t>
            </w:r>
          </w:p>
          <w:p w14:paraId="5CED20BF">
            <w:pPr>
              <w:pStyle w:val="11"/>
              <w:ind w:firstLine="480" w:firstLineChars="200"/>
              <w:rPr>
                <w:rFonts w:hint="eastAsia"/>
                <w:lang w:val="en-US" w:eastAsia="zh-CN"/>
              </w:rPr>
            </w:pPr>
          </w:p>
        </w:tc>
      </w:tr>
      <w:tr w14:paraId="0CA8B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7" w:type="dxa"/>
            <w:vAlign w:val="center"/>
          </w:tcPr>
          <w:p w14:paraId="4AE05D6A">
            <w:pPr>
              <w:adjustRightInd w:val="0"/>
              <w:snapToGrid w:val="0"/>
              <w:jc w:val="center"/>
              <w:rPr>
                <w:b/>
                <w:color w:val="000000"/>
                <w:kern w:val="0"/>
                <w:sz w:val="24"/>
              </w:rPr>
            </w:pPr>
            <w:r>
              <w:rPr>
                <w:rFonts w:hint="eastAsia"/>
                <w:b/>
                <w:color w:val="000000"/>
                <w:kern w:val="0"/>
                <w:sz w:val="24"/>
              </w:rPr>
              <w:t>生态环境保护目标</w:t>
            </w:r>
          </w:p>
        </w:tc>
        <w:tc>
          <w:tcPr>
            <w:tcW w:w="8316" w:type="dxa"/>
            <w:vAlign w:val="center"/>
          </w:tcPr>
          <w:p w14:paraId="026489A0">
            <w:pPr>
              <w:pStyle w:val="11"/>
              <w:ind w:firstLine="0" w:firstLineChars="0"/>
              <w:rPr>
                <w:b/>
                <w:bCs/>
                <w:color w:val="000000"/>
                <w:kern w:val="44"/>
                <w:szCs w:val="24"/>
              </w:rPr>
            </w:pPr>
            <w:bookmarkStart w:id="622" w:name="_Toc109473570"/>
            <w:bookmarkStart w:id="623" w:name="_Toc91493274"/>
            <w:bookmarkStart w:id="624" w:name="_Toc111564322"/>
            <w:bookmarkStart w:id="625" w:name="_Toc109472631"/>
            <w:bookmarkStart w:id="626" w:name="_Toc96031302"/>
            <w:bookmarkStart w:id="627" w:name="_Toc85036898"/>
            <w:bookmarkStart w:id="628" w:name="_Toc96031385"/>
            <w:bookmarkStart w:id="629" w:name="_Toc109473883"/>
            <w:bookmarkStart w:id="630" w:name="_Toc85037232"/>
            <w:bookmarkStart w:id="631" w:name="_Toc95464676"/>
            <w:bookmarkStart w:id="632" w:name="_Toc97290592"/>
            <w:bookmarkStart w:id="633" w:name="_Toc88558537"/>
            <w:bookmarkStart w:id="634" w:name="_Toc109473804"/>
            <w:bookmarkStart w:id="635" w:name="_Toc96935422"/>
            <w:bookmarkStart w:id="636" w:name="_Toc91532181"/>
            <w:bookmarkStart w:id="637" w:name="_Toc110439158"/>
            <w:r>
              <w:rPr>
                <w:rFonts w:hint="eastAsia"/>
                <w:b/>
                <w:bCs/>
                <w:color w:val="000000"/>
                <w:kern w:val="44"/>
                <w:szCs w:val="24"/>
              </w:rPr>
              <w:t>1生态环境敏感区</w:t>
            </w:r>
          </w:p>
          <w:p w14:paraId="64697866">
            <w:pPr>
              <w:pStyle w:val="11"/>
              <w:rPr>
                <w:rFonts w:ascii="宋体" w:hAnsi="宋体" w:cs="宋体"/>
              </w:rPr>
            </w:pPr>
            <w:r>
              <w:rPr>
                <w:rFonts w:hint="eastAsia" w:cs="宋体"/>
              </w:rPr>
              <w:t>根据现场踏勘、资料收集和调研工作，本工程不涉及《建设项目环境影响评价分类管理名录（2021年版）》（生态环境部令第16号）第三条（一）中的环境敏感区，即不涉及国家公园、自然保护区、风景名胜区、世界文化和自然遗产地、海洋特别保护区，饮用水水源保护区；不涉及《环境影响评价技术导则 生态影响》（HJ19-2022）3.3中规定的生态敏感区；本工程不涉及新疆维吾尔自治区生态保护红线。</w:t>
            </w:r>
          </w:p>
          <w:p w14:paraId="4C728E55">
            <w:pPr>
              <w:pStyle w:val="11"/>
              <w:ind w:firstLine="0" w:firstLineChars="0"/>
              <w:rPr>
                <w:b/>
                <w:bCs/>
                <w:color w:val="000000"/>
                <w:kern w:val="44"/>
                <w:szCs w:val="24"/>
              </w:rPr>
            </w:pPr>
            <w:r>
              <w:rPr>
                <w:rFonts w:hint="eastAsia"/>
                <w:b/>
                <w:bCs/>
                <w:color w:val="000000"/>
                <w:kern w:val="44"/>
                <w:szCs w:val="24"/>
              </w:rPr>
              <w:t>2水环境保护目标</w:t>
            </w:r>
          </w:p>
          <w:p w14:paraId="1ED91066">
            <w:pPr>
              <w:pStyle w:val="11"/>
            </w:pPr>
            <w:r>
              <w:rPr>
                <w:rFonts w:hint="eastAsia"/>
              </w:rPr>
              <w:t>本工程不涉及《环境影响评价技术导则 地表水环境》（HJ 2.3-2018）中水环境保护目标，即不涉及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ascii="宋体" w:hAnsi="宋体"/>
              </w:rPr>
              <w:t>。</w:t>
            </w:r>
          </w:p>
          <w:p w14:paraId="69CC5E02">
            <w:pPr>
              <w:pStyle w:val="11"/>
              <w:ind w:firstLine="0" w:firstLineChars="0"/>
              <w:rPr>
                <w:b/>
                <w:bCs/>
                <w:color w:val="000000"/>
                <w:kern w:val="44"/>
                <w:szCs w:val="24"/>
              </w:rPr>
            </w:pPr>
            <w:r>
              <w:rPr>
                <w:rFonts w:hint="eastAsia"/>
                <w:b/>
                <w:bCs/>
                <w:color w:val="000000"/>
                <w:kern w:val="44"/>
                <w:szCs w:val="24"/>
              </w:rPr>
              <w:t>3电磁环境、声环境保护目标</w:t>
            </w:r>
          </w:p>
          <w:p w14:paraId="238DE7B3">
            <w:pPr>
              <w:pStyle w:val="11"/>
              <w:rPr>
                <w:rFonts w:hint="eastAsia" w:ascii="宋体" w:hAnsi="宋体" w:cs="宋体"/>
                <w:szCs w:val="24"/>
              </w:rPr>
            </w:pPr>
            <w:r>
              <w:rPr>
                <w:rFonts w:hint="eastAsia" w:ascii="宋体" w:hAnsi="宋体" w:cs="宋体"/>
                <w:szCs w:val="24"/>
              </w:rPr>
              <w:t>根据《环境影响评价技术导则 输变电》（</w:t>
            </w:r>
            <w:r>
              <w:rPr>
                <w:szCs w:val="24"/>
              </w:rPr>
              <w:t>HJ 24-2020</w:t>
            </w:r>
            <w:r>
              <w:rPr>
                <w:rFonts w:hint="eastAsia" w:ascii="宋体" w:hAnsi="宋体" w:cs="宋体"/>
                <w:szCs w:val="24"/>
              </w:rPr>
              <w:t>）及现场踏勘，本工程变电站评价范围内有</w:t>
            </w:r>
            <w:r>
              <w:rPr>
                <w:rFonts w:hint="default" w:ascii="Times New Roman" w:hAnsi="Times New Roman" w:cs="Times New Roman"/>
                <w:szCs w:val="24"/>
                <w:lang w:val="en-US" w:eastAsia="zh-CN"/>
              </w:rPr>
              <w:t>3</w:t>
            </w:r>
            <w:r>
              <w:rPr>
                <w:rFonts w:hint="eastAsia" w:ascii="宋体" w:hAnsi="宋体" w:cs="宋体"/>
                <w:szCs w:val="24"/>
              </w:rPr>
              <w:t>处声环境保护目标，</w:t>
            </w:r>
            <w:r>
              <w:rPr>
                <w:rFonts w:hint="eastAsia" w:ascii="Times New Roman" w:hAnsi="Times New Roman" w:cs="Times New Roman"/>
                <w:szCs w:val="24"/>
                <w:lang w:val="en-US" w:eastAsia="zh-CN"/>
              </w:rPr>
              <w:t>1处</w:t>
            </w:r>
            <w:r>
              <w:rPr>
                <w:rFonts w:hint="eastAsia" w:ascii="宋体" w:hAnsi="宋体" w:cs="宋体"/>
                <w:szCs w:val="24"/>
              </w:rPr>
              <w:t>电磁环境敏感目标。新建线路评价范围内</w:t>
            </w:r>
            <w:r>
              <w:rPr>
                <w:rFonts w:hint="eastAsia" w:ascii="Times New Roman" w:hAnsi="Times New Roman" w:cs="宋体"/>
                <w:sz w:val="24"/>
                <w:szCs w:val="24"/>
                <w:lang w:val="en-US" w:eastAsia="zh-CN"/>
              </w:rPr>
              <w:t>有1处</w:t>
            </w:r>
            <w:r>
              <w:rPr>
                <w:rFonts w:hint="eastAsia" w:ascii="Times New Roman" w:hAnsi="Times New Roman" w:cs="宋体"/>
                <w:sz w:val="24"/>
                <w:szCs w:val="24"/>
              </w:rPr>
              <w:t>声环境保护目标和</w:t>
            </w:r>
            <w:r>
              <w:rPr>
                <w:rFonts w:hint="eastAsia" w:ascii="Times New Roman" w:hAnsi="Times New Roman" w:cs="宋体"/>
                <w:sz w:val="24"/>
                <w:szCs w:val="24"/>
                <w:lang w:val="en-US" w:eastAsia="zh-CN"/>
              </w:rPr>
              <w:t>1处</w:t>
            </w:r>
            <w:r>
              <w:rPr>
                <w:rFonts w:hint="eastAsia" w:ascii="Times New Roman" w:hAnsi="Times New Roman" w:cs="宋体"/>
                <w:sz w:val="24"/>
                <w:szCs w:val="24"/>
              </w:rPr>
              <w:t>电</w:t>
            </w:r>
            <w:r>
              <w:rPr>
                <w:rFonts w:hint="eastAsia" w:ascii="宋体" w:hAnsi="宋体" w:cs="宋体"/>
                <w:szCs w:val="24"/>
              </w:rPr>
              <w:t>磁环境敏感目标。</w:t>
            </w:r>
          </w:p>
          <w:p w14:paraId="5C8CD061">
            <w:pPr>
              <w:pStyle w:val="11"/>
            </w:pPr>
            <w:r>
              <w:rPr>
                <w:rFonts w:hint="eastAsia" w:ascii="宋体" w:hAnsi="宋体" w:cs="宋体"/>
                <w:szCs w:val="24"/>
                <w:lang w:val="en-US" w:eastAsia="zh-CN"/>
              </w:rPr>
              <w:t>环境敏感目标</w:t>
            </w:r>
            <w:r>
              <w:rPr>
                <w:rFonts w:hint="eastAsia" w:ascii="宋体" w:hAnsi="宋体" w:cs="宋体"/>
                <w:szCs w:val="24"/>
              </w:rPr>
              <w:t>概况详见</w:t>
            </w:r>
            <w:r>
              <w:fldChar w:fldCharType="begin"/>
            </w:r>
            <w:r>
              <w:instrText xml:space="preserve"> </w:instrText>
            </w:r>
            <w:r>
              <w:rPr>
                <w:rFonts w:hint="eastAsia"/>
              </w:rPr>
              <w:instrText xml:space="preserve">REF _Ref183091911 \h</w:instrText>
            </w:r>
            <w:r>
              <w:instrText xml:space="preserve">  \* MERGEFORMAT </w:instrText>
            </w:r>
            <w:r>
              <w:fldChar w:fldCharType="separate"/>
            </w:r>
            <w:r>
              <w:rPr>
                <w:rFonts w:hint="eastAsia"/>
              </w:rPr>
              <w:t>表 18</w:t>
            </w:r>
            <w:r>
              <w:fldChar w:fldCharType="end"/>
            </w:r>
            <w:r>
              <w:rPr>
                <w:rFonts w:hint="eastAsia"/>
              </w:rPr>
              <w:t>。</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tc>
      </w:tr>
      <w:tr w14:paraId="4F1E1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7" w:type="dxa"/>
            <w:vAlign w:val="center"/>
          </w:tcPr>
          <w:p w14:paraId="67FDD0FE">
            <w:pPr>
              <w:adjustRightInd w:val="0"/>
              <w:snapToGrid w:val="0"/>
              <w:jc w:val="center"/>
              <w:rPr>
                <w:b/>
                <w:color w:val="000000"/>
                <w:kern w:val="0"/>
                <w:sz w:val="24"/>
              </w:rPr>
            </w:pPr>
            <w:r>
              <w:rPr>
                <w:b/>
                <w:color w:val="000000"/>
                <w:kern w:val="0"/>
                <w:sz w:val="24"/>
              </w:rPr>
              <w:t>评价</w:t>
            </w:r>
          </w:p>
          <w:p w14:paraId="080351E9">
            <w:pPr>
              <w:adjustRightInd w:val="0"/>
              <w:snapToGrid w:val="0"/>
              <w:jc w:val="center"/>
              <w:rPr>
                <w:b/>
                <w:color w:val="000000"/>
                <w:kern w:val="0"/>
                <w:sz w:val="24"/>
              </w:rPr>
            </w:pPr>
            <w:r>
              <w:rPr>
                <w:b/>
                <w:color w:val="000000"/>
                <w:kern w:val="0"/>
                <w:sz w:val="24"/>
              </w:rPr>
              <w:t>标准</w:t>
            </w:r>
          </w:p>
        </w:tc>
        <w:tc>
          <w:tcPr>
            <w:tcW w:w="8316" w:type="dxa"/>
            <w:vAlign w:val="center"/>
          </w:tcPr>
          <w:p w14:paraId="06C271A3">
            <w:pPr>
              <w:pStyle w:val="3"/>
              <w:numPr>
                <w:ilvl w:val="0"/>
                <w:numId w:val="14"/>
              </w:numPr>
              <w:spacing w:before="0" w:after="0" w:line="360" w:lineRule="auto"/>
              <w:rPr>
                <w:rFonts w:eastAsia="宋体"/>
                <w:sz w:val="24"/>
                <w:szCs w:val="24"/>
              </w:rPr>
            </w:pPr>
            <w:bookmarkStart w:id="638" w:name="_Toc21649"/>
            <w:bookmarkStart w:id="639" w:name="_Toc88558539"/>
            <w:bookmarkStart w:id="640" w:name="_Toc111564325"/>
            <w:bookmarkStart w:id="641" w:name="_Toc110439161"/>
            <w:bookmarkStart w:id="642" w:name="_Toc81415631"/>
            <w:bookmarkStart w:id="643" w:name="_Toc96031304"/>
            <w:bookmarkStart w:id="644" w:name="_Toc96031387"/>
            <w:bookmarkStart w:id="645" w:name="_Toc109473807"/>
            <w:bookmarkStart w:id="646" w:name="_Toc97290594"/>
            <w:bookmarkStart w:id="647" w:name="_Toc85036900"/>
            <w:bookmarkStart w:id="648" w:name="_Toc91493276"/>
            <w:bookmarkStart w:id="649" w:name="_Toc17622"/>
            <w:bookmarkStart w:id="650" w:name="_Toc85037234"/>
            <w:bookmarkStart w:id="651" w:name="_Toc109473573"/>
            <w:bookmarkStart w:id="652" w:name="_Toc81308159"/>
            <w:bookmarkStart w:id="653" w:name="_Toc96935424"/>
            <w:bookmarkStart w:id="654" w:name="_Toc109473886"/>
            <w:bookmarkStart w:id="655" w:name="_Toc91532183"/>
            <w:bookmarkStart w:id="656" w:name="_Toc109472634"/>
            <w:bookmarkStart w:id="657" w:name="_Toc95464678"/>
            <w:r>
              <w:rPr>
                <w:rFonts w:hint="eastAsia" w:eastAsia="宋体"/>
                <w:sz w:val="24"/>
                <w:szCs w:val="24"/>
              </w:rPr>
              <w:t>评价范围</w:t>
            </w:r>
            <w:bookmarkEnd w:id="638"/>
          </w:p>
          <w:p w14:paraId="797CE0AA">
            <w:pPr>
              <w:spacing w:line="360" w:lineRule="auto"/>
              <w:ind w:firstLine="240" w:firstLineChars="100"/>
              <w:rPr>
                <w:sz w:val="24"/>
              </w:rPr>
            </w:pPr>
            <w:r>
              <w:rPr>
                <w:sz w:val="24"/>
              </w:rPr>
              <w:t>（1）声环境</w:t>
            </w:r>
          </w:p>
          <w:p w14:paraId="1D1259E7">
            <w:pPr>
              <w:spacing w:line="360" w:lineRule="auto"/>
              <w:ind w:firstLine="480" w:firstLineChars="200"/>
              <w:rPr>
                <w:sz w:val="24"/>
              </w:rPr>
            </w:pPr>
            <w:r>
              <w:rPr>
                <w:rFonts w:hint="eastAsia"/>
                <w:sz w:val="24"/>
                <w:lang w:eastAsia="zh-CN"/>
              </w:rPr>
              <w:t>港城变110千伏间隔扩建工程</w:t>
            </w:r>
            <w:r>
              <w:rPr>
                <w:rFonts w:hint="eastAsia"/>
                <w:sz w:val="24"/>
              </w:rPr>
              <w:t>：变电站厂界外200m范围区域内；</w:t>
            </w:r>
          </w:p>
          <w:p w14:paraId="5BB2EF91">
            <w:pPr>
              <w:spacing w:line="360" w:lineRule="auto"/>
              <w:ind w:firstLine="480" w:firstLineChars="200"/>
              <w:rPr>
                <w:sz w:val="24"/>
              </w:rPr>
            </w:pPr>
            <w:r>
              <w:rPr>
                <w:rFonts w:hint="eastAsia"/>
                <w:sz w:val="24"/>
                <w:lang w:eastAsia="zh-CN"/>
              </w:rPr>
              <w:t>港城~新阳110千伏线路工程</w:t>
            </w:r>
            <w:r>
              <w:rPr>
                <w:rFonts w:hint="eastAsia"/>
                <w:sz w:val="24"/>
              </w:rPr>
              <w:t>：边导线地面垂直投影外两侧各</w:t>
            </w:r>
            <w:r>
              <w:rPr>
                <w:rFonts w:hint="eastAsia"/>
                <w:sz w:val="24"/>
                <w:lang w:val="en-US" w:eastAsia="zh-CN"/>
              </w:rPr>
              <w:t>30</w:t>
            </w:r>
            <w:r>
              <w:rPr>
                <w:rFonts w:hint="eastAsia"/>
                <w:sz w:val="24"/>
              </w:rPr>
              <w:t>m范围内。</w:t>
            </w:r>
          </w:p>
          <w:p w14:paraId="4619AFD5">
            <w:pPr>
              <w:spacing w:line="360" w:lineRule="auto"/>
              <w:ind w:firstLine="200"/>
              <w:rPr>
                <w:sz w:val="24"/>
              </w:rPr>
            </w:pPr>
            <w:r>
              <w:rPr>
                <w:sz w:val="24"/>
              </w:rPr>
              <w:t>（2）工频电场、工频磁场</w:t>
            </w:r>
          </w:p>
          <w:p w14:paraId="4165AA81">
            <w:pPr>
              <w:spacing w:line="360" w:lineRule="auto"/>
              <w:ind w:firstLine="480" w:firstLineChars="200"/>
              <w:rPr>
                <w:bCs/>
                <w:sz w:val="24"/>
              </w:rPr>
            </w:pPr>
            <w:r>
              <w:rPr>
                <w:rFonts w:hint="eastAsia"/>
                <w:sz w:val="24"/>
                <w:lang w:eastAsia="zh-CN"/>
              </w:rPr>
              <w:t>港城变110千伏间隔扩建工程</w:t>
            </w:r>
            <w:r>
              <w:rPr>
                <w:rFonts w:hint="eastAsia"/>
                <w:sz w:val="24"/>
              </w:rPr>
              <w:t>：变电站厂界外</w:t>
            </w:r>
            <w:r>
              <w:rPr>
                <w:rFonts w:hint="eastAsia"/>
                <w:sz w:val="24"/>
                <w:lang w:val="en-US" w:eastAsia="zh-CN"/>
              </w:rPr>
              <w:t>3</w:t>
            </w:r>
            <w:r>
              <w:rPr>
                <w:rFonts w:hint="eastAsia"/>
                <w:sz w:val="24"/>
              </w:rPr>
              <w:t>0m范围区域内；</w:t>
            </w:r>
          </w:p>
          <w:p w14:paraId="68C422FA">
            <w:pPr>
              <w:spacing w:line="360" w:lineRule="auto"/>
              <w:ind w:firstLine="480" w:firstLineChars="200"/>
              <w:rPr>
                <w:bCs/>
                <w:sz w:val="24"/>
              </w:rPr>
            </w:pPr>
            <w:r>
              <w:rPr>
                <w:rFonts w:hint="eastAsia"/>
                <w:sz w:val="24"/>
                <w:lang w:eastAsia="zh-CN"/>
              </w:rPr>
              <w:t>港城~新阳110千伏线路工程</w:t>
            </w:r>
            <w:r>
              <w:rPr>
                <w:rFonts w:hint="eastAsia"/>
                <w:sz w:val="24"/>
              </w:rPr>
              <w:t>：边导线地面垂直投影外两侧各</w:t>
            </w:r>
            <w:r>
              <w:rPr>
                <w:rFonts w:hint="eastAsia"/>
                <w:sz w:val="24"/>
                <w:lang w:val="en-US" w:eastAsia="zh-CN"/>
              </w:rPr>
              <w:t>3</w:t>
            </w:r>
            <w:r>
              <w:rPr>
                <w:rFonts w:hint="eastAsia"/>
                <w:sz w:val="24"/>
              </w:rPr>
              <w:t>0m范围内。</w:t>
            </w:r>
          </w:p>
          <w:p w14:paraId="5E46052F">
            <w:pPr>
              <w:spacing w:line="360" w:lineRule="auto"/>
              <w:ind w:firstLine="200"/>
              <w:rPr>
                <w:sz w:val="24"/>
              </w:rPr>
            </w:pPr>
            <w:r>
              <w:rPr>
                <w:rFonts w:hint="eastAsia"/>
                <w:sz w:val="24"/>
              </w:rPr>
              <w:t>（3）生态环境</w:t>
            </w:r>
          </w:p>
          <w:p w14:paraId="72FA7CC7">
            <w:pPr>
              <w:pStyle w:val="33"/>
              <w:spacing w:after="0" w:line="360" w:lineRule="auto"/>
              <w:ind w:left="0" w:leftChars="0" w:firstLine="480" w:firstLineChars="200"/>
            </w:pPr>
            <w:r>
              <w:rPr>
                <w:rFonts w:hint="eastAsia"/>
                <w:lang w:eastAsia="zh-CN"/>
              </w:rPr>
              <w:t>港城变110千伏间隔扩建工程</w:t>
            </w:r>
            <w:r>
              <w:rPr>
                <w:rFonts w:hint="eastAsia"/>
              </w:rPr>
              <w:t>：变电站围墙外500m范围内；</w:t>
            </w:r>
          </w:p>
          <w:p w14:paraId="1D2DA178">
            <w:pPr>
              <w:keepNext/>
              <w:keepLines w:val="0"/>
              <w:pageBreakBefore w:val="0"/>
              <w:widowControl w:val="0"/>
              <w:numPr>
                <w:ilvl w:val="255"/>
                <w:numId w:val="0"/>
              </w:numPr>
              <w:kinsoku/>
              <w:wordWrap/>
              <w:overflowPunct w:val="0"/>
              <w:topLinePunct w:val="0"/>
              <w:autoSpaceDE/>
              <w:autoSpaceDN/>
              <w:bidi w:val="0"/>
              <w:adjustRightInd/>
              <w:snapToGrid w:val="0"/>
              <w:spacing w:before="0" w:after="0" w:line="360" w:lineRule="auto"/>
              <w:ind w:firstLine="480" w:firstLineChars="200"/>
              <w:textAlignment w:val="auto"/>
              <w:outlineLvl w:val="9"/>
              <w:rPr>
                <w:rFonts w:eastAsia="宋体"/>
                <w:sz w:val="24"/>
                <w:szCs w:val="24"/>
              </w:rPr>
            </w:pPr>
            <w:bookmarkStart w:id="658" w:name="_Toc15941"/>
            <w:r>
              <w:rPr>
                <w:rFonts w:hint="eastAsia" w:eastAsia="宋体"/>
                <w:b w:val="0"/>
                <w:bCs w:val="0"/>
                <w:sz w:val="24"/>
                <w:szCs w:val="24"/>
                <w:lang w:eastAsia="zh-CN"/>
              </w:rPr>
              <w:t>港城~新阳110千伏线路工程</w:t>
            </w:r>
            <w:r>
              <w:rPr>
                <w:rFonts w:hint="eastAsia" w:eastAsia="宋体"/>
                <w:b w:val="0"/>
                <w:bCs w:val="0"/>
                <w:sz w:val="24"/>
                <w:szCs w:val="24"/>
              </w:rPr>
              <w:t>：输电线路</w:t>
            </w:r>
            <w:r>
              <w:rPr>
                <w:rFonts w:hint="eastAsia"/>
                <w:b w:val="0"/>
                <w:bCs w:val="0"/>
                <w:sz w:val="24"/>
                <w:szCs w:val="24"/>
                <w:lang w:val="en-US" w:eastAsia="zh-CN"/>
              </w:rPr>
              <w:t>边导线地面投影</w:t>
            </w:r>
            <w:r>
              <w:rPr>
                <w:rFonts w:hint="eastAsia" w:eastAsia="宋体"/>
                <w:b w:val="0"/>
                <w:bCs w:val="0"/>
                <w:sz w:val="24"/>
                <w:szCs w:val="24"/>
              </w:rPr>
              <w:t>向两侧外延300m形成的带状区域。</w:t>
            </w:r>
            <w:bookmarkEnd w:id="658"/>
          </w:p>
          <w:p w14:paraId="7C2D237A">
            <w:pPr>
              <w:pStyle w:val="3"/>
              <w:numPr>
                <w:ilvl w:val="0"/>
                <w:numId w:val="14"/>
              </w:numPr>
              <w:spacing w:before="0" w:after="0" w:line="360" w:lineRule="auto"/>
              <w:rPr>
                <w:rFonts w:eastAsia="宋体"/>
                <w:sz w:val="24"/>
                <w:szCs w:val="24"/>
              </w:rPr>
            </w:pPr>
            <w:bookmarkStart w:id="659" w:name="_Toc12754"/>
            <w:r>
              <w:rPr>
                <w:rFonts w:eastAsia="宋体"/>
                <w:sz w:val="24"/>
                <w:szCs w:val="24"/>
              </w:rPr>
              <w:t>环境质量标准</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9"/>
          </w:p>
          <w:p w14:paraId="0EC11542">
            <w:pPr>
              <w:pStyle w:val="11"/>
              <w:rPr>
                <w:color w:val="000000"/>
              </w:rPr>
            </w:pPr>
            <w:r>
              <w:rPr>
                <w:color w:val="000000"/>
              </w:rPr>
              <w:t>根据建设项目区域的环境现状、国家相关环境保护标准，本工程执行如下标准：</w:t>
            </w:r>
          </w:p>
          <w:p w14:paraId="4079C42A">
            <w:pPr>
              <w:pStyle w:val="11"/>
              <w:rPr>
                <w:color w:val="000000"/>
              </w:rPr>
            </w:pPr>
            <w:r>
              <w:rPr>
                <w:rFonts w:hint="eastAsia"/>
                <w:color w:val="000000"/>
              </w:rPr>
              <w:t>（1）</w:t>
            </w:r>
            <w:r>
              <w:rPr>
                <w:color w:val="000000"/>
              </w:rPr>
              <w:t>声环境</w:t>
            </w:r>
          </w:p>
          <w:p w14:paraId="54CC3FDF">
            <w:pPr>
              <w:pStyle w:val="11"/>
              <w:rPr>
                <w:color w:val="000000"/>
              </w:rPr>
            </w:pPr>
            <w:r>
              <w:rPr>
                <w:rFonts w:hint="eastAsia"/>
                <w:color w:val="000000"/>
              </w:rPr>
              <w:t>根据</w:t>
            </w:r>
            <w:r>
              <w:rPr>
                <w:rFonts w:hint="eastAsia"/>
                <w:color w:val="000000"/>
                <w:lang w:val="en-US" w:eastAsia="zh-CN"/>
              </w:rPr>
              <w:t>港城变电站前期环保手续及现场踏勘情况，</w:t>
            </w:r>
            <w:r>
              <w:rPr>
                <w:rFonts w:hint="eastAsia" w:ascii="Times New Roman" w:hAnsi="Times New Roman" w:eastAsia="宋体"/>
                <w:kern w:val="2"/>
              </w:rPr>
              <w:t>变电站厂界噪声执行《工业企业厂界环境噪声排放标准》（GB12348-2008）</w:t>
            </w:r>
            <w:r>
              <w:rPr>
                <w:rFonts w:hint="eastAsia" w:ascii="Times New Roman" w:hAnsi="Times New Roman" w:eastAsia="宋体"/>
                <w:kern w:val="2"/>
                <w:lang w:val="en-US" w:eastAsia="zh-CN"/>
              </w:rPr>
              <w:t>2</w:t>
            </w:r>
            <w:r>
              <w:rPr>
                <w:rFonts w:hint="eastAsia" w:ascii="Times New Roman" w:hAnsi="Times New Roman" w:eastAsia="宋体"/>
                <w:kern w:val="2"/>
              </w:rPr>
              <w:t>类标准，变电站厂界外评价范围内环境噪声执行《声环境质量标准》（GB3096-2008）</w:t>
            </w:r>
            <w:r>
              <w:rPr>
                <w:rFonts w:hint="eastAsia" w:ascii="Times New Roman" w:hAnsi="Times New Roman" w:eastAsia="宋体"/>
                <w:kern w:val="2"/>
                <w:lang w:val="en-US" w:eastAsia="zh-CN"/>
              </w:rPr>
              <w:t>2</w:t>
            </w:r>
            <w:r>
              <w:rPr>
                <w:rFonts w:hint="eastAsia" w:ascii="Times New Roman" w:hAnsi="Times New Roman" w:eastAsia="宋体"/>
                <w:kern w:val="2"/>
              </w:rPr>
              <w:t>类标准。</w:t>
            </w:r>
          </w:p>
          <w:p w14:paraId="4F864074">
            <w:pPr>
              <w:pStyle w:val="11"/>
              <w:rPr>
                <w:color w:val="000000"/>
              </w:rPr>
            </w:pPr>
            <w:r>
              <w:rPr>
                <w:rFonts w:hint="eastAsia"/>
                <w:color w:val="000000"/>
              </w:rPr>
              <w:t>本工程新建</w:t>
            </w:r>
            <w:r>
              <w:rPr>
                <w:color w:val="000000"/>
              </w:rPr>
              <w:t>输电线路</w:t>
            </w:r>
            <w:r>
              <w:rPr>
                <w:rFonts w:hint="eastAsia"/>
                <w:color w:val="000000"/>
              </w:rPr>
              <w:t>评价范围内</w:t>
            </w:r>
            <w:r>
              <w:rPr>
                <w:rFonts w:hint="eastAsia"/>
                <w:color w:val="000000"/>
                <w:lang w:val="en-US" w:eastAsia="zh-CN"/>
              </w:rPr>
              <w:t>有1处</w:t>
            </w:r>
            <w:r>
              <w:rPr>
                <w:rFonts w:hint="eastAsia"/>
                <w:color w:val="000000"/>
              </w:rPr>
              <w:t>声环境保护目标</w:t>
            </w:r>
            <w:r>
              <w:rPr>
                <w:rFonts w:hint="eastAsia"/>
                <w:color w:val="000000" w:themeColor="text1"/>
                <w14:textFill>
                  <w14:solidFill>
                    <w14:schemeClr w14:val="tx1"/>
                  </w14:solidFill>
                </w14:textFill>
              </w:rPr>
              <w:t>，</w:t>
            </w:r>
            <w:r>
              <w:rPr>
                <w:rFonts w:hint="eastAsia"/>
                <w:color w:val="000000" w:themeColor="text1"/>
                <w:u w:val="none"/>
                <w14:textFill>
                  <w14:solidFill>
                    <w14:schemeClr w14:val="tx1"/>
                  </w14:solidFill>
                </w14:textFill>
              </w:rPr>
              <w:t>根据《声环境功能区划分技术规范》（G</w:t>
            </w:r>
            <w:r>
              <w:rPr>
                <w:color w:val="000000" w:themeColor="text1"/>
                <w:u w:val="none"/>
                <w14:textFill>
                  <w14:solidFill>
                    <w14:schemeClr w14:val="tx1"/>
                  </w14:solidFill>
                </w14:textFill>
              </w:rPr>
              <w:t>B/T 15190-2014</w:t>
            </w:r>
            <w:r>
              <w:rPr>
                <w:rFonts w:hint="eastAsia"/>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综合拟建线路沿线地形地貌及用地功能，</w:t>
            </w:r>
            <w:r>
              <w:rPr>
                <w:rFonts w:hint="eastAsia"/>
                <w:color w:val="000000" w:themeColor="text1"/>
                <w14:textFill>
                  <w14:solidFill>
                    <w14:schemeClr w14:val="tx1"/>
                  </w14:solidFill>
                </w14:textFill>
              </w:rPr>
              <w:t>声环境</w:t>
            </w:r>
            <w:r>
              <w:rPr>
                <w:rFonts w:hint="eastAsia"/>
                <w:color w:val="000000" w:themeColor="text1"/>
                <w:lang w:val="en-US" w:eastAsia="zh-CN"/>
                <w14:textFill>
                  <w14:solidFill>
                    <w14:schemeClr w14:val="tx1"/>
                  </w14:solidFill>
                </w14:textFill>
              </w:rPr>
              <w:t>保护目标处</w:t>
            </w:r>
            <w:r>
              <w:rPr>
                <w:rFonts w:hint="eastAsia"/>
                <w:color w:val="000000" w:themeColor="text1"/>
                <w14:textFill>
                  <w14:solidFill>
                    <w14:schemeClr w14:val="tx1"/>
                  </w14:solidFill>
                </w14:textFill>
              </w:rPr>
              <w:t>执行《声环境质量标准》（GB3096-2008）</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类标准</w:t>
            </w:r>
            <w:r>
              <w:rPr>
                <w:color w:val="000000" w:themeColor="text1"/>
                <w14:textFill>
                  <w14:solidFill>
                    <w14:schemeClr w14:val="tx1"/>
                  </w14:solidFill>
                </w14:textFill>
              </w:rPr>
              <w:t>。</w:t>
            </w:r>
          </w:p>
          <w:p w14:paraId="5D7AF16D">
            <w:pPr>
              <w:pStyle w:val="11"/>
              <w:rPr>
                <w:color w:val="000000"/>
              </w:rPr>
            </w:pPr>
            <w:r>
              <w:rPr>
                <w:rFonts w:hint="eastAsia"/>
                <w:color w:val="000000"/>
              </w:rPr>
              <w:t>（2）</w:t>
            </w:r>
            <w:r>
              <w:rPr>
                <w:color w:val="000000"/>
              </w:rPr>
              <w:t>工频电场、工频磁场</w:t>
            </w:r>
          </w:p>
          <w:p w14:paraId="112013C2">
            <w:pPr>
              <w:pStyle w:val="11"/>
              <w:rPr>
                <w:color w:val="000000"/>
              </w:rPr>
            </w:pPr>
            <w:r>
              <w:t>执行《电磁环境控制限值》（GB 8702-2014）的规定，即电磁环境</w:t>
            </w:r>
            <w:r>
              <w:rPr>
                <w:rFonts w:hint="eastAsia"/>
              </w:rPr>
              <w:t>敏感</w:t>
            </w:r>
            <w:r>
              <w:t>目标处工频电场</w:t>
            </w:r>
            <w:r>
              <w:rPr>
                <w:rFonts w:hint="eastAsia"/>
              </w:rPr>
              <w:t>限值</w:t>
            </w:r>
            <w:r>
              <w:t>为4000V/m、</w:t>
            </w:r>
            <w:r>
              <w:rPr>
                <w:rFonts w:hint="eastAsia"/>
              </w:rPr>
              <w:t>工频磁场限值</w:t>
            </w:r>
            <w:r>
              <w:t>为100μT；架空线路线下耕地、园地、牧草地、畜禽饲养地、养殖水面、道路等场所，频率</w:t>
            </w:r>
            <w:r>
              <w:rPr>
                <w:rFonts w:hint="eastAsia"/>
              </w:rPr>
              <w:t>为5</w:t>
            </w:r>
            <w:r>
              <w:t>0Hz</w:t>
            </w:r>
            <w:r>
              <w:rPr>
                <w:rFonts w:hint="eastAsia"/>
              </w:rPr>
              <w:t>时</w:t>
            </w:r>
            <w:r>
              <w:t>电场强度控制限值为10kV/m</w:t>
            </w:r>
            <w:r>
              <w:rPr>
                <w:rFonts w:hint="eastAsia"/>
              </w:rPr>
              <w:t>，且应给出警示标志</w:t>
            </w:r>
            <w:r>
              <w:t>。</w:t>
            </w:r>
          </w:p>
          <w:p w14:paraId="698E285E">
            <w:pPr>
              <w:pStyle w:val="3"/>
              <w:numPr>
                <w:ilvl w:val="0"/>
                <w:numId w:val="14"/>
              </w:numPr>
              <w:spacing w:before="0" w:after="0" w:line="360" w:lineRule="auto"/>
              <w:rPr>
                <w:rFonts w:eastAsia="宋体"/>
                <w:sz w:val="24"/>
                <w:szCs w:val="24"/>
              </w:rPr>
            </w:pPr>
            <w:bookmarkStart w:id="660" w:name="_Toc85036902"/>
            <w:bookmarkEnd w:id="660"/>
            <w:bookmarkStart w:id="661" w:name="_Toc85036901"/>
            <w:bookmarkEnd w:id="661"/>
            <w:bookmarkStart w:id="662" w:name="_Toc85037148"/>
            <w:bookmarkEnd w:id="662"/>
            <w:bookmarkStart w:id="663" w:name="_Toc85037147"/>
            <w:bookmarkEnd w:id="663"/>
            <w:bookmarkStart w:id="664" w:name="_Toc85037235"/>
            <w:bookmarkEnd w:id="664"/>
            <w:bookmarkStart w:id="665" w:name="_Toc85037236"/>
            <w:bookmarkEnd w:id="665"/>
            <w:bookmarkStart w:id="666" w:name="_Toc91532184"/>
            <w:bookmarkStart w:id="667" w:name="_Toc91493277"/>
            <w:bookmarkStart w:id="668" w:name="_Toc88558540"/>
            <w:bookmarkStart w:id="669" w:name="_Toc111564326"/>
            <w:bookmarkStart w:id="670" w:name="_Toc85036903"/>
            <w:bookmarkStart w:id="671" w:name="_Toc96031305"/>
            <w:bookmarkStart w:id="672" w:name="_Toc81308160"/>
            <w:bookmarkStart w:id="673" w:name="_Toc96935425"/>
            <w:bookmarkStart w:id="674" w:name="_Toc81415632"/>
            <w:bookmarkStart w:id="675" w:name="_Toc109473808"/>
            <w:bookmarkStart w:id="676" w:name="_Toc10585"/>
            <w:bookmarkStart w:id="677" w:name="_Toc110439162"/>
            <w:bookmarkStart w:id="678" w:name="_Toc95464679"/>
            <w:bookmarkStart w:id="679" w:name="_Toc109472635"/>
            <w:bookmarkStart w:id="680" w:name="_Toc109473887"/>
            <w:bookmarkStart w:id="681" w:name="_Toc241"/>
            <w:bookmarkStart w:id="682" w:name="_Toc109473574"/>
            <w:bookmarkStart w:id="683" w:name="_Toc97290595"/>
            <w:bookmarkStart w:id="684" w:name="_Toc85037237"/>
            <w:bookmarkStart w:id="685" w:name="_Toc96031388"/>
            <w:r>
              <w:rPr>
                <w:rFonts w:eastAsia="宋体"/>
                <w:sz w:val="24"/>
                <w:szCs w:val="24"/>
              </w:rPr>
              <w:t>污染物排放标准</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EC16EF6">
            <w:pPr>
              <w:pStyle w:val="11"/>
              <w:ind w:firstLineChars="0"/>
              <w:rPr>
                <w:color w:val="000000"/>
              </w:rPr>
            </w:pPr>
            <w:r>
              <w:rPr>
                <w:rFonts w:hint="eastAsia"/>
                <w:color w:val="000000"/>
              </w:rPr>
              <w:t>（</w:t>
            </w:r>
            <w:r>
              <w:rPr>
                <w:color w:val="000000"/>
              </w:rPr>
              <w:t>1）施工期施工场界：执行《建筑施工场界环境噪声排放标准》（GB12523-2011）。</w:t>
            </w:r>
          </w:p>
          <w:p w14:paraId="5719E4D1">
            <w:pPr>
              <w:pStyle w:val="11"/>
              <w:ind w:firstLineChars="0"/>
              <w:rPr>
                <w:color w:val="000000"/>
              </w:rPr>
            </w:pPr>
            <w:r>
              <w:rPr>
                <w:color w:val="000000"/>
              </w:rPr>
              <w:t>（</w:t>
            </w:r>
            <w:r>
              <w:rPr>
                <w:rFonts w:hint="eastAsia"/>
                <w:color w:val="000000"/>
              </w:rPr>
              <w:t>2</w:t>
            </w:r>
            <w:r>
              <w:rPr>
                <w:color w:val="000000"/>
              </w:rPr>
              <w:t>）运行期变电站厂界噪声：</w:t>
            </w:r>
            <w:r>
              <w:rPr>
                <w:rFonts w:hint="eastAsia"/>
                <w:color w:val="000000"/>
                <w:lang w:eastAsia="zh-CN"/>
              </w:rPr>
              <w:t>港城110kV变电站</w:t>
            </w:r>
            <w:r>
              <w:rPr>
                <w:rFonts w:hint="eastAsia"/>
                <w:color w:val="000000"/>
              </w:rPr>
              <w:t>执行</w:t>
            </w:r>
            <w:r>
              <w:rPr>
                <w:rFonts w:hint="eastAsia"/>
                <w:color w:val="000000"/>
                <w:szCs w:val="24"/>
              </w:rPr>
              <w:t>《工业企业厂界环境噪声排放标准》（GB 12348-2008）</w:t>
            </w:r>
            <w:r>
              <w:rPr>
                <w:rFonts w:hint="eastAsia"/>
                <w:color w:val="000000"/>
                <w:lang w:val="en-US" w:eastAsia="zh-CN"/>
              </w:rPr>
              <w:t>2</w:t>
            </w:r>
            <w:r>
              <w:rPr>
                <w:rFonts w:hint="eastAsia"/>
                <w:color w:val="000000"/>
              </w:rPr>
              <w:t>类标准。</w:t>
            </w:r>
          </w:p>
          <w:p w14:paraId="1277442D">
            <w:pPr>
              <w:pStyle w:val="11"/>
              <w:ind w:firstLineChars="0"/>
              <w:rPr>
                <w:color w:val="000000"/>
              </w:rPr>
            </w:pPr>
            <w:r>
              <w:rPr>
                <w:rFonts w:hint="eastAsia"/>
                <w:color w:val="000000"/>
              </w:rPr>
              <w:t>（3）</w:t>
            </w:r>
            <w:r>
              <w:rPr>
                <w:color w:val="000000"/>
              </w:rPr>
              <w:t>施工期大气污染物：执行《大气污染物综合排放标准》（GB16297-1996）中无组织排放标准</w:t>
            </w:r>
            <w:r>
              <w:rPr>
                <w:rFonts w:hint="eastAsia"/>
                <w:color w:val="000000"/>
                <w:lang w:val="en-US" w:eastAsia="zh-CN"/>
              </w:rPr>
              <w:t>限制</w:t>
            </w:r>
            <w:r>
              <w:rPr>
                <w:color w:val="000000"/>
              </w:rPr>
              <w:t>要求。</w:t>
            </w:r>
          </w:p>
          <w:p w14:paraId="48257129">
            <w:pPr>
              <w:pStyle w:val="11"/>
              <w:ind w:firstLineChars="0"/>
              <w:rPr>
                <w:rFonts w:hint="eastAsia"/>
                <w:color w:val="000000" w:themeColor="text1"/>
                <w:szCs w:val="24"/>
                <w:u w:val="none"/>
                <w:lang w:val="en-US" w:eastAsia="zh-CN"/>
                <w14:textFill>
                  <w14:solidFill>
                    <w14:schemeClr w14:val="tx1"/>
                  </w14:solidFill>
                </w14:textFill>
              </w:rPr>
            </w:pPr>
            <w:r>
              <w:rPr>
                <w:rFonts w:hint="eastAsia"/>
                <w:color w:val="000000"/>
              </w:rPr>
              <w:t>（4）</w:t>
            </w:r>
            <w:r>
              <w:rPr>
                <w:rFonts w:hint="eastAsia"/>
                <w:color w:val="000000" w:themeColor="text1"/>
                <w:szCs w:val="24"/>
                <w:u w:val="none"/>
                <w14:textFill>
                  <w14:solidFill>
                    <w14:schemeClr w14:val="tx1"/>
                  </w14:solidFill>
                </w14:textFill>
              </w:rPr>
              <w:t>固体废物</w:t>
            </w:r>
            <w:r>
              <w:rPr>
                <w:rFonts w:hint="eastAsia"/>
                <w:color w:val="000000" w:themeColor="text1"/>
                <w:szCs w:val="24"/>
                <w:u w:val="none"/>
                <w:lang w:val="en-US" w:eastAsia="zh-CN"/>
                <w14:textFill>
                  <w14:solidFill>
                    <w14:schemeClr w14:val="tx1"/>
                  </w14:solidFill>
                </w14:textFill>
              </w:rPr>
              <w:t>及危险废物</w:t>
            </w:r>
          </w:p>
          <w:p w14:paraId="3D9F5911">
            <w:pPr>
              <w:pStyle w:val="11"/>
              <w:wordWrap w:val="0"/>
              <w:spacing w:before="0" w:after="0" w:line="360" w:lineRule="auto"/>
              <w:ind w:left="0" w:firstLine="482" w:firstLineChars="0"/>
              <w:rPr>
                <w:rFonts w:hint="eastAsia" w:ascii="宋体" w:hAnsi="宋体"/>
                <w:color w:val="000000"/>
                <w:szCs w:val="24"/>
                <w:u w:val="none"/>
              </w:rPr>
            </w:pPr>
            <w:r>
              <w:rPr>
                <w:rFonts w:ascii="宋体" w:hAnsi="宋体"/>
                <w:color w:val="000000"/>
                <w:szCs w:val="24"/>
                <w:u w:val="none"/>
              </w:rPr>
              <w:t>一般固体废物执行《一般工业固体废物贮存和填埋污染控制标准》</w:t>
            </w:r>
            <w:r>
              <w:rPr>
                <w:color w:val="000000"/>
                <w:szCs w:val="24"/>
                <w:u w:val="none"/>
              </w:rPr>
              <w:t>（GB18599-2020）</w:t>
            </w:r>
            <w:r>
              <w:rPr>
                <w:rFonts w:hint="eastAsia" w:ascii="宋体" w:hAnsi="宋体"/>
                <w:color w:val="000000"/>
                <w:szCs w:val="24"/>
                <w:u w:val="none"/>
              </w:rPr>
              <w:t>。</w:t>
            </w:r>
          </w:p>
          <w:p w14:paraId="1D77A2E1">
            <w:pPr>
              <w:pStyle w:val="11"/>
              <w:wordWrap w:val="0"/>
              <w:spacing w:before="0" w:after="0" w:line="360" w:lineRule="auto"/>
              <w:ind w:left="0" w:firstLine="482" w:firstLineChars="0"/>
              <w:rPr>
                <w:rFonts w:eastAsia="宋体"/>
                <w:sz w:val="24"/>
                <w:szCs w:val="24"/>
              </w:rPr>
            </w:pPr>
            <w:r>
              <w:rPr>
                <w:rFonts w:ascii="宋体" w:hAnsi="宋体"/>
                <w:color w:val="000000"/>
                <w:szCs w:val="24"/>
                <w:u w:val="none"/>
              </w:rPr>
              <w:t>危险废物</w:t>
            </w:r>
            <w:r>
              <w:rPr>
                <w:rFonts w:ascii="宋体" w:hAnsi="宋体"/>
                <w:bCs w:val="0"/>
                <w:color w:val="000000"/>
                <w:szCs w:val="24"/>
                <w:u w:val="none"/>
              </w:rPr>
              <w:t>执行《危险废物贮存污染控制标准》</w:t>
            </w:r>
            <w:r>
              <w:rPr>
                <w:rFonts w:hint="default" w:ascii="宋体" w:hAnsi="宋体"/>
                <w:bCs w:val="0"/>
                <w:color w:val="000000"/>
                <w:szCs w:val="24"/>
                <w:u w:val="none"/>
              </w:rPr>
              <w:t>（</w:t>
            </w:r>
            <w:r>
              <w:rPr>
                <w:bCs w:val="0"/>
                <w:color w:val="000000"/>
                <w:szCs w:val="24"/>
                <w:u w:val="none"/>
              </w:rPr>
              <w:t>GB18597-2023</w:t>
            </w:r>
            <w:r>
              <w:rPr>
                <w:rFonts w:hint="default" w:ascii="宋体" w:hAnsi="宋体"/>
                <w:bCs w:val="0"/>
                <w:color w:val="000000"/>
                <w:szCs w:val="24"/>
                <w:u w:val="none"/>
              </w:rPr>
              <w:t>）。</w:t>
            </w:r>
          </w:p>
        </w:tc>
      </w:tr>
      <w:tr w14:paraId="2E326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7" w:type="dxa"/>
            <w:vAlign w:val="center"/>
          </w:tcPr>
          <w:p w14:paraId="26789FD6">
            <w:pPr>
              <w:adjustRightInd w:val="0"/>
              <w:snapToGrid w:val="0"/>
              <w:jc w:val="center"/>
              <w:rPr>
                <w:b/>
                <w:color w:val="000000"/>
                <w:kern w:val="0"/>
                <w:sz w:val="24"/>
              </w:rPr>
            </w:pPr>
            <w:r>
              <w:rPr>
                <w:b/>
                <w:color w:val="000000"/>
                <w:kern w:val="0"/>
                <w:sz w:val="24"/>
              </w:rPr>
              <w:t>其他</w:t>
            </w:r>
          </w:p>
        </w:tc>
        <w:tc>
          <w:tcPr>
            <w:tcW w:w="8316" w:type="dxa"/>
            <w:vAlign w:val="center"/>
          </w:tcPr>
          <w:p w14:paraId="51CD2214">
            <w:pPr>
              <w:pStyle w:val="3"/>
              <w:spacing w:before="0" w:after="0" w:line="360" w:lineRule="auto"/>
              <w:ind w:left="425" w:firstLine="0"/>
              <w:rPr>
                <w:rFonts w:eastAsia="宋体"/>
                <w:sz w:val="24"/>
                <w:szCs w:val="24"/>
              </w:rPr>
            </w:pPr>
            <w:bookmarkStart w:id="686" w:name="_Toc24491"/>
            <w:r>
              <w:rPr>
                <w:rFonts w:hint="eastAsia" w:eastAsia="宋体"/>
                <w:b w:val="0"/>
                <w:bCs w:val="0"/>
                <w:kern w:val="2"/>
                <w:sz w:val="24"/>
                <w:szCs w:val="20"/>
              </w:rPr>
              <w:t>总量</w:t>
            </w:r>
            <w:r>
              <w:rPr>
                <w:rFonts w:eastAsia="宋体"/>
                <w:b w:val="0"/>
                <w:bCs w:val="0"/>
                <w:kern w:val="2"/>
                <w:sz w:val="24"/>
                <w:szCs w:val="20"/>
              </w:rPr>
              <w:t>控制指标无具体要求。</w:t>
            </w:r>
            <w:bookmarkEnd w:id="686"/>
          </w:p>
        </w:tc>
      </w:tr>
    </w:tbl>
    <w:p w14:paraId="42DC4049">
      <w:pPr>
        <w:pStyle w:val="33"/>
        <w:rPr>
          <w:color w:val="000000"/>
          <w:highlight w:val="yellow"/>
        </w:rPr>
        <w:sectPr>
          <w:pgSz w:w="11906" w:h="16838"/>
          <w:pgMar w:top="1440" w:right="1797" w:bottom="1440" w:left="1797" w:header="851" w:footer="1077" w:gutter="0"/>
          <w:cols w:space="720" w:num="1"/>
          <w:docGrid w:linePitch="312" w:charSpace="0"/>
        </w:sectPr>
      </w:pPr>
    </w:p>
    <w:p w14:paraId="4FC14A34">
      <w:pPr>
        <w:pStyle w:val="9"/>
        <w:keepNext/>
      </w:pPr>
      <w:bookmarkStart w:id="687" w:name="_Ref183091911"/>
      <w:r>
        <w:rPr>
          <w:rFonts w:hint="eastAsia" w:ascii="Times New Roman" w:hAnsi="Times New Roman" w:eastAsia="宋体"/>
          <w:b/>
          <w:bCs/>
        </w:rPr>
        <w:t xml:space="preserve">表 </w:t>
      </w:r>
      <w:r>
        <w:rPr>
          <w:rFonts w:ascii="Times New Roman" w:hAnsi="Times New Roman" w:eastAsia="宋体"/>
          <w:b/>
          <w:bCs/>
        </w:rPr>
        <w:fldChar w:fldCharType="begin"/>
      </w:r>
      <w:r>
        <w:rPr>
          <w:rFonts w:ascii="Times New Roman" w:hAnsi="Times New Roman" w:eastAsia="宋体"/>
          <w:b/>
          <w:bCs/>
        </w:rPr>
        <w:instrText xml:space="preserve"> </w:instrText>
      </w:r>
      <w:r>
        <w:rPr>
          <w:rFonts w:hint="eastAsia" w:ascii="Times New Roman" w:hAnsi="Times New Roman" w:eastAsia="宋体"/>
          <w:b/>
          <w:bCs/>
        </w:rPr>
        <w:instrText xml:space="preserve">SEQ 表 \* ARABIC</w:instrText>
      </w:r>
      <w:r>
        <w:rPr>
          <w:rFonts w:ascii="Times New Roman" w:hAnsi="Times New Roman" w:eastAsia="宋体"/>
          <w:b/>
          <w:bCs/>
        </w:rPr>
        <w:instrText xml:space="preserve"> </w:instrText>
      </w:r>
      <w:r>
        <w:rPr>
          <w:rFonts w:ascii="Times New Roman" w:hAnsi="Times New Roman" w:eastAsia="宋体"/>
          <w:b/>
          <w:bCs/>
        </w:rPr>
        <w:fldChar w:fldCharType="separate"/>
      </w:r>
      <w:r>
        <w:rPr>
          <w:rFonts w:hint="eastAsia" w:ascii="Times New Roman" w:hAnsi="Times New Roman" w:eastAsia="宋体"/>
          <w:b/>
          <w:bCs/>
        </w:rPr>
        <w:t>18</w:t>
      </w:r>
      <w:r>
        <w:rPr>
          <w:rFonts w:ascii="Times New Roman" w:hAnsi="Times New Roman" w:eastAsia="宋体"/>
          <w:b/>
          <w:bCs/>
        </w:rPr>
        <w:fldChar w:fldCharType="end"/>
      </w:r>
      <w:bookmarkEnd w:id="687"/>
      <w:r>
        <w:rPr>
          <w:rFonts w:hint="eastAsia"/>
        </w:rPr>
        <w:t xml:space="preserve">                                               </w:t>
      </w:r>
      <w:r>
        <w:rPr>
          <w:rFonts w:hint="eastAsia"/>
          <w:b/>
          <w:bCs/>
        </w:rPr>
        <w:t>本工程</w:t>
      </w:r>
      <w:r>
        <w:rPr>
          <w:rFonts w:ascii="Times New Roman" w:hAnsi="Times New Roman" w:eastAsia="宋体"/>
          <w:b/>
          <w:bCs/>
        </w:rPr>
        <w:t>环境敏感目标概况一览表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630"/>
        <w:gridCol w:w="1443"/>
        <w:gridCol w:w="2077"/>
        <w:gridCol w:w="1650"/>
        <w:gridCol w:w="2754"/>
        <w:gridCol w:w="1389"/>
        <w:gridCol w:w="1460"/>
        <w:gridCol w:w="1261"/>
      </w:tblGrid>
      <w:tr w14:paraId="4072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79" w:type="pct"/>
            <w:vAlign w:val="center"/>
          </w:tcPr>
          <w:p w14:paraId="38FCD493">
            <w:pPr>
              <w:pStyle w:val="73"/>
              <w:spacing w:line="0" w:lineRule="atLeast"/>
              <w:rPr>
                <w:b/>
                <w:szCs w:val="21"/>
              </w:rPr>
            </w:pPr>
            <w:r>
              <w:rPr>
                <w:b/>
                <w:szCs w:val="21"/>
              </w:rPr>
              <w:t>序号</w:t>
            </w:r>
          </w:p>
        </w:tc>
        <w:tc>
          <w:tcPr>
            <w:tcW w:w="574" w:type="pct"/>
            <w:vAlign w:val="center"/>
          </w:tcPr>
          <w:p w14:paraId="0DE5DF98">
            <w:pPr>
              <w:pStyle w:val="73"/>
              <w:spacing w:line="0" w:lineRule="atLeast"/>
              <w:rPr>
                <w:b/>
                <w:szCs w:val="21"/>
              </w:rPr>
            </w:pPr>
            <w:r>
              <w:rPr>
                <w:b/>
                <w:szCs w:val="21"/>
              </w:rPr>
              <w:t>行政区</w:t>
            </w:r>
          </w:p>
        </w:tc>
        <w:tc>
          <w:tcPr>
            <w:tcW w:w="509" w:type="pct"/>
            <w:vAlign w:val="center"/>
          </w:tcPr>
          <w:p w14:paraId="3550C4A4">
            <w:pPr>
              <w:pStyle w:val="73"/>
              <w:spacing w:line="0" w:lineRule="atLeast"/>
              <w:rPr>
                <w:b/>
                <w:szCs w:val="21"/>
              </w:rPr>
            </w:pPr>
            <w:r>
              <w:rPr>
                <w:b/>
                <w:szCs w:val="21"/>
              </w:rPr>
              <w:t>环境敏感目标名称</w:t>
            </w:r>
          </w:p>
        </w:tc>
        <w:tc>
          <w:tcPr>
            <w:tcW w:w="732" w:type="pct"/>
            <w:vAlign w:val="center"/>
          </w:tcPr>
          <w:p w14:paraId="4ACA2902">
            <w:pPr>
              <w:pStyle w:val="73"/>
              <w:spacing w:line="0" w:lineRule="atLeast"/>
              <w:rPr>
                <w:b/>
                <w:szCs w:val="21"/>
              </w:rPr>
            </w:pPr>
            <w:r>
              <w:rPr>
                <w:b/>
                <w:szCs w:val="21"/>
              </w:rPr>
              <w:t>环境敏感目标概况</w:t>
            </w:r>
          </w:p>
        </w:tc>
        <w:tc>
          <w:tcPr>
            <w:tcW w:w="582" w:type="pct"/>
            <w:vAlign w:val="center"/>
          </w:tcPr>
          <w:p w14:paraId="3BD33EB6">
            <w:pPr>
              <w:pStyle w:val="73"/>
              <w:spacing w:line="0" w:lineRule="atLeast"/>
              <w:rPr>
                <w:b/>
                <w:szCs w:val="21"/>
              </w:rPr>
            </w:pPr>
            <w:r>
              <w:rPr>
                <w:b/>
                <w:szCs w:val="21"/>
              </w:rPr>
              <w:t>建筑结构</w:t>
            </w:r>
          </w:p>
        </w:tc>
        <w:tc>
          <w:tcPr>
            <w:tcW w:w="971" w:type="pct"/>
            <w:vAlign w:val="center"/>
          </w:tcPr>
          <w:p w14:paraId="6514739E">
            <w:pPr>
              <w:pStyle w:val="73"/>
              <w:spacing w:line="0" w:lineRule="atLeast"/>
              <w:rPr>
                <w:b/>
                <w:szCs w:val="21"/>
              </w:rPr>
            </w:pPr>
            <w:r>
              <w:rPr>
                <w:rFonts w:hint="eastAsia"/>
                <w:b/>
                <w:szCs w:val="21"/>
              </w:rPr>
              <w:t>方位及</w:t>
            </w:r>
            <w:r>
              <w:rPr>
                <w:b/>
                <w:szCs w:val="21"/>
              </w:rPr>
              <w:t>距</w:t>
            </w:r>
            <w:r>
              <w:rPr>
                <w:rFonts w:hint="eastAsia"/>
                <w:b/>
                <w:szCs w:val="21"/>
              </w:rPr>
              <w:t>变电站围墙/边导线</w:t>
            </w:r>
            <w:r>
              <w:rPr>
                <w:b/>
                <w:szCs w:val="21"/>
              </w:rPr>
              <w:t>地面投影最近</w:t>
            </w:r>
            <w:r>
              <w:rPr>
                <w:rFonts w:hint="eastAsia"/>
                <w:b/>
                <w:szCs w:val="21"/>
              </w:rPr>
              <w:t>水平</w:t>
            </w:r>
            <w:r>
              <w:rPr>
                <w:b/>
                <w:szCs w:val="21"/>
              </w:rPr>
              <w:t>距离</w:t>
            </w:r>
          </w:p>
        </w:tc>
        <w:tc>
          <w:tcPr>
            <w:tcW w:w="489" w:type="pct"/>
            <w:vAlign w:val="center"/>
          </w:tcPr>
          <w:p w14:paraId="327C2D8D">
            <w:pPr>
              <w:pStyle w:val="73"/>
              <w:spacing w:line="0" w:lineRule="atLeast"/>
              <w:rPr>
                <w:b/>
                <w:szCs w:val="21"/>
              </w:rPr>
            </w:pPr>
            <w:r>
              <w:rPr>
                <w:b/>
                <w:szCs w:val="21"/>
              </w:rPr>
              <w:t>房屋高度（m）</w:t>
            </w:r>
          </w:p>
        </w:tc>
        <w:tc>
          <w:tcPr>
            <w:tcW w:w="515" w:type="pct"/>
            <w:vAlign w:val="center"/>
          </w:tcPr>
          <w:p w14:paraId="3683D9FB">
            <w:pPr>
              <w:pStyle w:val="73"/>
              <w:spacing w:line="0" w:lineRule="atLeast"/>
              <w:rPr>
                <w:b/>
                <w:szCs w:val="21"/>
              </w:rPr>
            </w:pPr>
            <w:r>
              <w:rPr>
                <w:b/>
                <w:szCs w:val="21"/>
              </w:rPr>
              <w:t>环境影响因子</w:t>
            </w:r>
          </w:p>
        </w:tc>
        <w:tc>
          <w:tcPr>
            <w:tcW w:w="444" w:type="pct"/>
            <w:vAlign w:val="center"/>
          </w:tcPr>
          <w:p w14:paraId="6E3DB3AE">
            <w:pPr>
              <w:pStyle w:val="73"/>
              <w:spacing w:line="0" w:lineRule="atLeast"/>
              <w:rPr>
                <w:b/>
                <w:szCs w:val="21"/>
              </w:rPr>
            </w:pPr>
            <w:r>
              <w:rPr>
                <w:b/>
                <w:szCs w:val="21"/>
              </w:rPr>
              <w:t>声功能区划</w:t>
            </w:r>
          </w:p>
        </w:tc>
      </w:tr>
      <w:tr w14:paraId="1688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vAlign w:val="center"/>
          </w:tcPr>
          <w:p w14:paraId="23095A7C">
            <w:pPr>
              <w:pStyle w:val="73"/>
              <w:spacing w:line="0" w:lineRule="atLeast"/>
              <w:jc w:val="left"/>
              <w:rPr>
                <w:rFonts w:hint="eastAsia" w:eastAsia="宋体"/>
                <w:color w:val="FF0000"/>
                <w:szCs w:val="21"/>
                <w:lang w:eastAsia="zh-CN"/>
              </w:rPr>
            </w:pPr>
            <w:r>
              <w:rPr>
                <w:rFonts w:hint="eastAsia"/>
                <w:b/>
                <w:szCs w:val="21"/>
              </w:rPr>
              <w:t>一、</w:t>
            </w:r>
            <w:r>
              <w:rPr>
                <w:rFonts w:hint="eastAsia"/>
                <w:b/>
                <w:bCs/>
                <w:szCs w:val="21"/>
                <w:lang w:eastAsia="zh-CN"/>
              </w:rPr>
              <w:t>港城变110千伏间隔扩建工程</w:t>
            </w:r>
          </w:p>
        </w:tc>
      </w:tr>
      <w:tr w14:paraId="0224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9" w:type="pct"/>
            <w:vAlign w:val="center"/>
          </w:tcPr>
          <w:p w14:paraId="3E24E4D6">
            <w:pPr>
              <w:pStyle w:val="73"/>
              <w:topLinePunct w:val="0"/>
              <w:autoSpaceDE w:val="0"/>
              <w:autoSpaceDN w:val="0"/>
              <w:snapToGrid/>
              <w:spacing w:line="0" w:lineRule="atLeast"/>
              <w:textAlignment w:val="bottom"/>
              <w:rPr>
                <w:rFonts w:ascii="Times New Roman" w:hAnsi="Times New Roman" w:eastAsia="宋体" w:cs="Times New Roman"/>
                <w:kern w:val="0"/>
                <w:sz w:val="21"/>
                <w:szCs w:val="21"/>
                <w:lang w:val="en-US" w:eastAsia="zh-CN" w:bidi="ar-SA"/>
              </w:rPr>
            </w:pPr>
            <w:r>
              <w:rPr>
                <w:rFonts w:hint="eastAsia"/>
              </w:rPr>
              <w:t>1</w:t>
            </w:r>
          </w:p>
        </w:tc>
        <w:tc>
          <w:tcPr>
            <w:tcW w:w="574" w:type="pct"/>
            <w:vAlign w:val="center"/>
          </w:tcPr>
          <w:p w14:paraId="7E9DF540">
            <w:pPr>
              <w:pStyle w:val="73"/>
              <w:spacing w:line="0" w:lineRule="atLeast"/>
              <w:rPr>
                <w:rFonts w:hint="eastAsia" w:ascii="Times New Roman" w:hAnsi="Times New Roman" w:eastAsia="宋体" w:cs="Times New Roman"/>
                <w:kern w:val="0"/>
                <w:sz w:val="21"/>
                <w:szCs w:val="21"/>
                <w:lang w:val="en-US" w:eastAsia="zh-CN" w:bidi="ar-SA"/>
              </w:rPr>
            </w:pPr>
            <w:r>
              <w:rPr>
                <w:rFonts w:hint="eastAsia"/>
              </w:rPr>
              <w:t>吐鲁番市</w:t>
            </w:r>
            <w:r>
              <w:rPr>
                <w:rFonts w:hint="eastAsia"/>
                <w:szCs w:val="21"/>
              </w:rPr>
              <w:t>高昌区</w:t>
            </w:r>
          </w:p>
        </w:tc>
        <w:tc>
          <w:tcPr>
            <w:tcW w:w="509" w:type="pct"/>
            <w:vAlign w:val="center"/>
          </w:tcPr>
          <w:p w14:paraId="0EE346F0">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732" w:type="pct"/>
            <w:vAlign w:val="center"/>
          </w:tcPr>
          <w:p w14:paraId="47E174BB">
            <w:pPr>
              <w:pStyle w:val="73"/>
              <w:spacing w:line="0" w:lineRule="atLeast"/>
              <w:jc w:val="both"/>
              <w:rPr>
                <w:rFonts w:hint="eastAsia" w:ascii="Times New Roman" w:hAnsi="Times New Roman" w:eastAsia="宋体" w:cs="Times New Roman"/>
                <w:kern w:val="0"/>
                <w:sz w:val="21"/>
                <w:szCs w:val="21"/>
                <w:lang w:val="en-US" w:eastAsia="zh-CN" w:bidi="ar-SA"/>
              </w:rPr>
            </w:pPr>
            <w:r>
              <w:rPr>
                <w:szCs w:val="21"/>
              </w:rPr>
              <w:t>评价范围内</w:t>
            </w:r>
            <w:r>
              <w:rPr>
                <w:rFonts w:hint="eastAsia"/>
                <w:szCs w:val="21"/>
              </w:rPr>
              <w:t>2户，最近户</w:t>
            </w:r>
            <w:r>
              <w:rPr>
                <w:szCs w:val="21"/>
              </w:rPr>
              <w:t>为</w:t>
            </w:r>
            <w:r>
              <w:rPr>
                <w:rFonts w:hint="eastAsia"/>
                <w:szCs w:val="21"/>
              </w:rPr>
              <w:t>其他建筑a</w:t>
            </w:r>
          </w:p>
        </w:tc>
        <w:tc>
          <w:tcPr>
            <w:tcW w:w="582" w:type="pct"/>
            <w:vAlign w:val="center"/>
          </w:tcPr>
          <w:p w14:paraId="3D3803C3">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1层</w:t>
            </w:r>
            <w:r>
              <w:rPr>
                <w:rFonts w:hint="eastAsia"/>
                <w:szCs w:val="21"/>
                <w:lang w:val="en-US" w:eastAsia="zh-CN"/>
              </w:rPr>
              <w:t>坡顶</w:t>
            </w:r>
          </w:p>
        </w:tc>
        <w:tc>
          <w:tcPr>
            <w:tcW w:w="971" w:type="pct"/>
            <w:vAlign w:val="center"/>
          </w:tcPr>
          <w:p w14:paraId="557C38F1">
            <w:pPr>
              <w:pStyle w:val="73"/>
              <w:spacing w:line="0" w:lineRule="atLeast"/>
              <w:rPr>
                <w:rFonts w:ascii="Times New Roman" w:hAnsi="Times New Roman" w:eastAsia="宋体" w:cs="Times New Roman"/>
                <w:kern w:val="0"/>
                <w:sz w:val="21"/>
                <w:szCs w:val="21"/>
                <w:lang w:val="en-US" w:eastAsia="zh-CN" w:bidi="ar-SA"/>
              </w:rPr>
            </w:pPr>
            <w:r>
              <w:rPr>
                <w:rFonts w:hint="eastAsia"/>
                <w:szCs w:val="21"/>
                <w:lang w:val="en-US" w:eastAsia="zh-CN"/>
              </w:rPr>
              <w:t>厂界</w:t>
            </w:r>
            <w:r>
              <w:rPr>
                <w:rFonts w:hint="eastAsia"/>
                <w:szCs w:val="21"/>
              </w:rPr>
              <w:t>东侧</w:t>
            </w:r>
            <w:r>
              <w:rPr>
                <w:rFonts w:hint="eastAsia"/>
                <w:szCs w:val="21"/>
                <w:lang w:val="en-US" w:eastAsia="zh-CN"/>
              </w:rPr>
              <w:t>约</w:t>
            </w:r>
            <w:r>
              <w:rPr>
                <w:rFonts w:hint="eastAsia"/>
                <w:szCs w:val="21"/>
              </w:rPr>
              <w:t>15m</w:t>
            </w:r>
          </w:p>
        </w:tc>
        <w:tc>
          <w:tcPr>
            <w:tcW w:w="489" w:type="pct"/>
            <w:vAlign w:val="center"/>
          </w:tcPr>
          <w:p w14:paraId="4FFC44FE">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3</w:t>
            </w:r>
          </w:p>
        </w:tc>
        <w:tc>
          <w:tcPr>
            <w:tcW w:w="515" w:type="pct"/>
            <w:vAlign w:val="center"/>
          </w:tcPr>
          <w:p w14:paraId="7CB36E93">
            <w:pPr>
              <w:pStyle w:val="73"/>
              <w:spacing w:line="0" w:lineRule="atLeast"/>
              <w:rPr>
                <w:rFonts w:hint="eastAsia"/>
                <w:szCs w:val="21"/>
              </w:rPr>
            </w:pPr>
            <w:r>
              <w:rPr>
                <w:rFonts w:hint="eastAsia"/>
                <w:szCs w:val="21"/>
              </w:rPr>
              <w:t>工频电场</w:t>
            </w:r>
          </w:p>
          <w:p w14:paraId="512D9CF3">
            <w:pPr>
              <w:pStyle w:val="73"/>
              <w:spacing w:line="0" w:lineRule="atLeast"/>
              <w:rPr>
                <w:rFonts w:hint="eastAsia"/>
                <w:szCs w:val="21"/>
              </w:rPr>
            </w:pPr>
            <w:r>
              <w:rPr>
                <w:rFonts w:hint="eastAsia"/>
                <w:szCs w:val="21"/>
              </w:rPr>
              <w:t>工频磁场</w:t>
            </w:r>
          </w:p>
          <w:p w14:paraId="759F7BC7">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噪声</w:t>
            </w:r>
          </w:p>
        </w:tc>
        <w:tc>
          <w:tcPr>
            <w:tcW w:w="444" w:type="pct"/>
            <w:vAlign w:val="center"/>
          </w:tcPr>
          <w:p w14:paraId="7723C213">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w:t>
            </w:r>
          </w:p>
        </w:tc>
      </w:tr>
      <w:tr w14:paraId="7EA3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9" w:type="pct"/>
            <w:vAlign w:val="center"/>
          </w:tcPr>
          <w:p w14:paraId="191DF8DC">
            <w:pPr>
              <w:pStyle w:val="73"/>
              <w:topLinePunct w:val="0"/>
              <w:autoSpaceDE w:val="0"/>
              <w:autoSpaceDN w:val="0"/>
              <w:snapToGrid/>
              <w:spacing w:line="0" w:lineRule="atLeast"/>
              <w:textAlignment w:val="bottom"/>
              <w:rPr>
                <w:rFonts w:hint="eastAsia" w:ascii="Times New Roman" w:hAnsi="Times New Roman" w:eastAsia="宋体" w:cs="Times New Roman"/>
                <w:kern w:val="0"/>
                <w:sz w:val="21"/>
                <w:szCs w:val="20"/>
                <w:lang w:val="en-US" w:eastAsia="zh-CN" w:bidi="ar-SA"/>
              </w:rPr>
            </w:pPr>
            <w:r>
              <w:rPr>
                <w:rFonts w:hint="eastAsia"/>
                <w:lang w:val="en-US" w:eastAsia="zh-CN"/>
              </w:rPr>
              <w:t>2</w:t>
            </w:r>
          </w:p>
        </w:tc>
        <w:tc>
          <w:tcPr>
            <w:tcW w:w="574" w:type="pct"/>
            <w:vAlign w:val="center"/>
          </w:tcPr>
          <w:p w14:paraId="1B825BC6">
            <w:pPr>
              <w:pStyle w:val="73"/>
              <w:spacing w:line="0" w:lineRule="atLeast"/>
              <w:rPr>
                <w:rFonts w:hint="eastAsia" w:ascii="Times New Roman" w:hAnsi="Times New Roman" w:eastAsia="宋体" w:cs="Times New Roman"/>
                <w:kern w:val="0"/>
                <w:sz w:val="21"/>
                <w:szCs w:val="20"/>
                <w:lang w:val="en-US" w:eastAsia="zh-CN" w:bidi="ar-SA"/>
              </w:rPr>
            </w:pPr>
            <w:r>
              <w:rPr>
                <w:rFonts w:hint="eastAsia"/>
              </w:rPr>
              <w:t>吐鲁番市</w:t>
            </w:r>
            <w:r>
              <w:rPr>
                <w:rFonts w:hint="eastAsia"/>
                <w:szCs w:val="21"/>
              </w:rPr>
              <w:t>高昌区</w:t>
            </w:r>
          </w:p>
        </w:tc>
        <w:tc>
          <w:tcPr>
            <w:tcW w:w="509" w:type="pct"/>
            <w:vAlign w:val="center"/>
          </w:tcPr>
          <w:p w14:paraId="62138A9C">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732" w:type="pct"/>
            <w:vAlign w:val="center"/>
          </w:tcPr>
          <w:p w14:paraId="591DE2C2">
            <w:pPr>
              <w:pStyle w:val="73"/>
              <w:spacing w:line="0" w:lineRule="atLeast"/>
              <w:jc w:val="both"/>
              <w:rPr>
                <w:rFonts w:hint="eastAsia" w:ascii="Times New Roman" w:hAnsi="Times New Roman" w:eastAsia="宋体" w:cs="Times New Roman"/>
                <w:kern w:val="0"/>
                <w:sz w:val="21"/>
                <w:szCs w:val="21"/>
                <w:lang w:val="en-US" w:eastAsia="zh-CN" w:bidi="ar-SA"/>
              </w:rPr>
            </w:pPr>
            <w:r>
              <w:rPr>
                <w:szCs w:val="21"/>
              </w:rPr>
              <w:t>评价范围内</w:t>
            </w:r>
            <w:r>
              <w:rPr>
                <w:rFonts w:hint="eastAsia"/>
                <w:szCs w:val="21"/>
              </w:rPr>
              <w:t>2户，最近户</w:t>
            </w:r>
            <w:r>
              <w:rPr>
                <w:szCs w:val="21"/>
              </w:rPr>
              <w:t>为</w:t>
            </w:r>
            <w:r>
              <w:rPr>
                <w:rFonts w:hint="eastAsia"/>
                <w:szCs w:val="21"/>
              </w:rPr>
              <w:t>葡萄干打把场办公室</w:t>
            </w:r>
          </w:p>
        </w:tc>
        <w:tc>
          <w:tcPr>
            <w:tcW w:w="582" w:type="pct"/>
            <w:vAlign w:val="center"/>
          </w:tcPr>
          <w:p w14:paraId="1DCF1AFB">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1层</w:t>
            </w:r>
            <w:r>
              <w:rPr>
                <w:rFonts w:hint="eastAsia"/>
                <w:szCs w:val="21"/>
                <w:lang w:val="en-US" w:eastAsia="zh-CN"/>
              </w:rPr>
              <w:t>坡</w:t>
            </w:r>
            <w:r>
              <w:rPr>
                <w:rFonts w:hint="eastAsia"/>
                <w:szCs w:val="21"/>
              </w:rPr>
              <w:t>顶</w:t>
            </w:r>
          </w:p>
        </w:tc>
        <w:tc>
          <w:tcPr>
            <w:tcW w:w="971" w:type="pct"/>
            <w:vAlign w:val="center"/>
          </w:tcPr>
          <w:p w14:paraId="59FF02CF">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厂界</w:t>
            </w:r>
            <w:r>
              <w:rPr>
                <w:rFonts w:hint="eastAsia"/>
                <w:szCs w:val="21"/>
              </w:rPr>
              <w:t>南侧</w:t>
            </w:r>
            <w:r>
              <w:rPr>
                <w:rFonts w:hint="eastAsia"/>
                <w:szCs w:val="21"/>
                <w:lang w:val="en-US" w:eastAsia="zh-CN"/>
              </w:rPr>
              <w:t>约</w:t>
            </w:r>
            <w:r>
              <w:rPr>
                <w:rFonts w:hint="eastAsia"/>
                <w:szCs w:val="21"/>
              </w:rPr>
              <w:t>95m</w:t>
            </w:r>
          </w:p>
        </w:tc>
        <w:tc>
          <w:tcPr>
            <w:tcW w:w="489" w:type="pct"/>
            <w:vAlign w:val="center"/>
          </w:tcPr>
          <w:p w14:paraId="468FD9AA">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3</w:t>
            </w:r>
          </w:p>
        </w:tc>
        <w:tc>
          <w:tcPr>
            <w:tcW w:w="515" w:type="pct"/>
            <w:vAlign w:val="center"/>
          </w:tcPr>
          <w:p w14:paraId="36C52DBA">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噪声</w:t>
            </w:r>
          </w:p>
        </w:tc>
        <w:tc>
          <w:tcPr>
            <w:tcW w:w="444" w:type="pct"/>
            <w:vAlign w:val="center"/>
          </w:tcPr>
          <w:p w14:paraId="79D52D44">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w:t>
            </w:r>
          </w:p>
        </w:tc>
      </w:tr>
      <w:tr w14:paraId="06CE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9" w:type="pct"/>
            <w:vAlign w:val="center"/>
          </w:tcPr>
          <w:p w14:paraId="2265EA75">
            <w:pPr>
              <w:pStyle w:val="73"/>
              <w:topLinePunct w:val="0"/>
              <w:autoSpaceDE w:val="0"/>
              <w:autoSpaceDN w:val="0"/>
              <w:snapToGrid/>
              <w:spacing w:line="0" w:lineRule="atLeast"/>
              <w:textAlignment w:val="bottom"/>
              <w:rPr>
                <w:rFonts w:hint="eastAsia" w:ascii="Times New Roman" w:hAnsi="Times New Roman" w:eastAsia="宋体" w:cs="Times New Roman"/>
                <w:kern w:val="0"/>
                <w:sz w:val="21"/>
                <w:szCs w:val="20"/>
                <w:lang w:val="en-US" w:eastAsia="zh-CN" w:bidi="ar-SA"/>
              </w:rPr>
            </w:pPr>
            <w:r>
              <w:rPr>
                <w:rFonts w:hint="eastAsia"/>
                <w:lang w:val="en-US" w:eastAsia="zh-CN"/>
              </w:rPr>
              <w:t>3</w:t>
            </w:r>
          </w:p>
        </w:tc>
        <w:tc>
          <w:tcPr>
            <w:tcW w:w="574" w:type="pct"/>
            <w:vAlign w:val="center"/>
          </w:tcPr>
          <w:p w14:paraId="123DF452">
            <w:pPr>
              <w:pStyle w:val="73"/>
              <w:spacing w:line="0" w:lineRule="atLeast"/>
              <w:rPr>
                <w:rFonts w:hint="eastAsia" w:ascii="Times New Roman" w:hAnsi="Times New Roman" w:eastAsia="宋体" w:cs="Times New Roman"/>
                <w:kern w:val="0"/>
                <w:sz w:val="21"/>
                <w:szCs w:val="20"/>
                <w:lang w:val="en-US" w:eastAsia="zh-CN" w:bidi="ar-SA"/>
              </w:rPr>
            </w:pPr>
            <w:r>
              <w:rPr>
                <w:rFonts w:hint="eastAsia"/>
              </w:rPr>
              <w:t>吐鲁番市</w:t>
            </w:r>
            <w:r>
              <w:rPr>
                <w:rFonts w:hint="eastAsia"/>
                <w:szCs w:val="21"/>
              </w:rPr>
              <w:t>高昌区</w:t>
            </w:r>
          </w:p>
        </w:tc>
        <w:tc>
          <w:tcPr>
            <w:tcW w:w="509" w:type="pct"/>
            <w:vAlign w:val="center"/>
          </w:tcPr>
          <w:p w14:paraId="211206BE">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732" w:type="pct"/>
            <w:vAlign w:val="center"/>
          </w:tcPr>
          <w:p w14:paraId="793C5401">
            <w:pPr>
              <w:pStyle w:val="73"/>
              <w:spacing w:line="0" w:lineRule="atLeast"/>
              <w:jc w:val="both"/>
              <w:rPr>
                <w:rFonts w:hint="eastAsia" w:ascii="Times New Roman" w:hAnsi="Times New Roman" w:eastAsia="宋体" w:cs="Times New Roman"/>
                <w:kern w:val="0"/>
                <w:sz w:val="21"/>
                <w:szCs w:val="21"/>
                <w:lang w:val="en-US" w:eastAsia="zh-CN" w:bidi="ar-SA"/>
              </w:rPr>
            </w:pPr>
            <w:r>
              <w:rPr>
                <w:szCs w:val="21"/>
              </w:rPr>
              <w:t>评价范围内</w:t>
            </w:r>
            <w:r>
              <w:rPr>
                <w:rFonts w:hint="eastAsia"/>
                <w:szCs w:val="21"/>
              </w:rPr>
              <w:t>1户，</w:t>
            </w:r>
            <w:r>
              <w:rPr>
                <w:szCs w:val="21"/>
              </w:rPr>
              <w:t>为</w:t>
            </w:r>
            <w:r>
              <w:rPr>
                <w:rFonts w:hint="eastAsia"/>
                <w:szCs w:val="21"/>
              </w:rPr>
              <w:t>其他建筑b</w:t>
            </w:r>
          </w:p>
        </w:tc>
        <w:tc>
          <w:tcPr>
            <w:tcW w:w="582" w:type="pct"/>
            <w:vAlign w:val="center"/>
          </w:tcPr>
          <w:p w14:paraId="256EE194">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1层平顶</w:t>
            </w:r>
          </w:p>
        </w:tc>
        <w:tc>
          <w:tcPr>
            <w:tcW w:w="971" w:type="pct"/>
            <w:vAlign w:val="center"/>
          </w:tcPr>
          <w:p w14:paraId="15177062">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厂界</w:t>
            </w:r>
            <w:r>
              <w:rPr>
                <w:rFonts w:hint="eastAsia"/>
                <w:szCs w:val="21"/>
              </w:rPr>
              <w:t>西侧</w:t>
            </w:r>
            <w:r>
              <w:rPr>
                <w:rFonts w:hint="eastAsia"/>
                <w:szCs w:val="21"/>
                <w:lang w:val="en-US" w:eastAsia="zh-CN"/>
              </w:rPr>
              <w:t>约</w:t>
            </w:r>
            <w:r>
              <w:rPr>
                <w:rFonts w:hint="eastAsia"/>
                <w:szCs w:val="21"/>
              </w:rPr>
              <w:t>58m</w:t>
            </w:r>
          </w:p>
        </w:tc>
        <w:tc>
          <w:tcPr>
            <w:tcW w:w="489" w:type="pct"/>
            <w:vAlign w:val="center"/>
          </w:tcPr>
          <w:p w14:paraId="1437075C">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3</w:t>
            </w:r>
          </w:p>
        </w:tc>
        <w:tc>
          <w:tcPr>
            <w:tcW w:w="515" w:type="pct"/>
            <w:vAlign w:val="center"/>
          </w:tcPr>
          <w:p w14:paraId="7F58758E">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噪声</w:t>
            </w:r>
          </w:p>
        </w:tc>
        <w:tc>
          <w:tcPr>
            <w:tcW w:w="444" w:type="pct"/>
            <w:vAlign w:val="center"/>
          </w:tcPr>
          <w:p w14:paraId="481DA11A">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w:t>
            </w:r>
          </w:p>
        </w:tc>
      </w:tr>
      <w:tr w14:paraId="747A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vAlign w:val="center"/>
          </w:tcPr>
          <w:p w14:paraId="5B02EFD9">
            <w:pPr>
              <w:pStyle w:val="73"/>
              <w:spacing w:line="0" w:lineRule="atLeast"/>
              <w:jc w:val="both"/>
              <w:rPr>
                <w:rFonts w:hint="eastAsia"/>
                <w:szCs w:val="21"/>
                <w:lang w:val="en-US" w:eastAsia="zh-CN"/>
              </w:rPr>
            </w:pPr>
            <w:r>
              <w:rPr>
                <w:rFonts w:hint="eastAsia"/>
                <w:b/>
                <w:szCs w:val="21"/>
              </w:rPr>
              <w:t>二、</w:t>
            </w:r>
            <w:r>
              <w:rPr>
                <w:rFonts w:hint="eastAsia"/>
                <w:b/>
                <w:szCs w:val="21"/>
                <w:lang w:eastAsia="zh-CN"/>
              </w:rPr>
              <w:t>港城~新阳110千伏线路工程</w:t>
            </w:r>
          </w:p>
        </w:tc>
      </w:tr>
      <w:tr w14:paraId="6DA5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9" w:type="pct"/>
            <w:vAlign w:val="center"/>
          </w:tcPr>
          <w:p w14:paraId="2321C3A1">
            <w:pPr>
              <w:pStyle w:val="73"/>
              <w:topLinePunct w:val="0"/>
              <w:autoSpaceDE w:val="0"/>
              <w:autoSpaceDN w:val="0"/>
              <w:snapToGrid/>
              <w:spacing w:line="0" w:lineRule="atLeast"/>
              <w:textAlignment w:val="bottom"/>
              <w:rPr>
                <w:rFonts w:hint="eastAsia" w:ascii="Times New Roman" w:hAnsi="Times New Roman" w:eastAsia="宋体" w:cs="Times New Roman"/>
                <w:kern w:val="0"/>
                <w:sz w:val="21"/>
                <w:szCs w:val="20"/>
                <w:lang w:val="en-US" w:eastAsia="zh-CN" w:bidi="ar-SA"/>
              </w:rPr>
            </w:pPr>
            <w:r>
              <w:rPr>
                <w:rFonts w:hint="eastAsia"/>
                <w:lang w:val="en-US" w:eastAsia="zh-CN"/>
              </w:rPr>
              <w:t>4</w:t>
            </w:r>
          </w:p>
        </w:tc>
        <w:tc>
          <w:tcPr>
            <w:tcW w:w="574" w:type="pct"/>
            <w:vAlign w:val="center"/>
          </w:tcPr>
          <w:p w14:paraId="2828B7D5">
            <w:pPr>
              <w:pStyle w:val="73"/>
              <w:spacing w:line="0" w:lineRule="atLeast"/>
              <w:rPr>
                <w:rFonts w:hint="eastAsia" w:ascii="Times New Roman" w:hAnsi="Times New Roman" w:eastAsia="宋体" w:cs="Times New Roman"/>
                <w:kern w:val="0"/>
                <w:sz w:val="21"/>
                <w:szCs w:val="20"/>
                <w:lang w:val="en-US" w:eastAsia="zh-CN" w:bidi="ar-SA"/>
              </w:rPr>
            </w:pPr>
            <w:r>
              <w:rPr>
                <w:rFonts w:hint="eastAsia"/>
              </w:rPr>
              <w:t>吐鲁番市</w:t>
            </w:r>
            <w:r>
              <w:rPr>
                <w:rFonts w:hint="eastAsia"/>
                <w:szCs w:val="21"/>
              </w:rPr>
              <w:t>高昌区</w:t>
            </w:r>
          </w:p>
        </w:tc>
        <w:tc>
          <w:tcPr>
            <w:tcW w:w="509" w:type="pct"/>
            <w:vAlign w:val="center"/>
          </w:tcPr>
          <w:p w14:paraId="13921BA2">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732" w:type="pct"/>
            <w:vAlign w:val="center"/>
          </w:tcPr>
          <w:p w14:paraId="582C8385">
            <w:pPr>
              <w:pStyle w:val="73"/>
              <w:spacing w:line="0" w:lineRule="atLeast"/>
              <w:jc w:val="both"/>
              <w:rPr>
                <w:rFonts w:hint="eastAsia" w:ascii="Times New Roman" w:hAnsi="Times New Roman" w:eastAsia="宋体" w:cs="Times New Roman"/>
                <w:kern w:val="0"/>
                <w:sz w:val="21"/>
                <w:szCs w:val="21"/>
                <w:lang w:val="en-US" w:eastAsia="zh-CN" w:bidi="ar-SA"/>
              </w:rPr>
            </w:pPr>
            <w:r>
              <w:rPr>
                <w:szCs w:val="21"/>
              </w:rPr>
              <w:t>评价范围内</w:t>
            </w:r>
            <w:r>
              <w:rPr>
                <w:rFonts w:hint="eastAsia"/>
                <w:szCs w:val="21"/>
              </w:rPr>
              <w:t>2户，最近户</w:t>
            </w:r>
            <w:r>
              <w:rPr>
                <w:szCs w:val="21"/>
              </w:rPr>
              <w:t>为</w:t>
            </w:r>
            <w:r>
              <w:rPr>
                <w:rFonts w:hint="eastAsia"/>
                <w:szCs w:val="21"/>
              </w:rPr>
              <w:t>葡萄干打把场办公室</w:t>
            </w:r>
          </w:p>
        </w:tc>
        <w:tc>
          <w:tcPr>
            <w:tcW w:w="582" w:type="pct"/>
            <w:vAlign w:val="center"/>
          </w:tcPr>
          <w:p w14:paraId="46A92E6F">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1层</w:t>
            </w:r>
            <w:r>
              <w:rPr>
                <w:rFonts w:hint="eastAsia"/>
                <w:szCs w:val="21"/>
                <w:lang w:val="en-US" w:eastAsia="zh-CN"/>
              </w:rPr>
              <w:t>坡</w:t>
            </w:r>
            <w:r>
              <w:rPr>
                <w:rFonts w:hint="eastAsia"/>
                <w:szCs w:val="21"/>
              </w:rPr>
              <w:t>顶</w:t>
            </w:r>
          </w:p>
        </w:tc>
        <w:tc>
          <w:tcPr>
            <w:tcW w:w="971" w:type="pct"/>
            <w:vAlign w:val="center"/>
          </w:tcPr>
          <w:p w14:paraId="3F2F7CC7">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边导线西</w:t>
            </w:r>
            <w:r>
              <w:rPr>
                <w:rFonts w:hint="eastAsia"/>
                <w:szCs w:val="21"/>
              </w:rPr>
              <w:t>侧</w:t>
            </w:r>
            <w:r>
              <w:rPr>
                <w:rFonts w:hint="eastAsia"/>
                <w:szCs w:val="21"/>
                <w:lang w:val="en-US" w:eastAsia="zh-CN"/>
              </w:rPr>
              <w:t>约25</w:t>
            </w:r>
            <w:r>
              <w:rPr>
                <w:rFonts w:hint="eastAsia"/>
                <w:szCs w:val="21"/>
              </w:rPr>
              <w:t>m</w:t>
            </w:r>
          </w:p>
        </w:tc>
        <w:tc>
          <w:tcPr>
            <w:tcW w:w="489" w:type="pct"/>
            <w:vAlign w:val="center"/>
          </w:tcPr>
          <w:p w14:paraId="29401D79">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3</w:t>
            </w:r>
          </w:p>
        </w:tc>
        <w:tc>
          <w:tcPr>
            <w:tcW w:w="515" w:type="pct"/>
            <w:vAlign w:val="center"/>
          </w:tcPr>
          <w:p w14:paraId="1A13B02B">
            <w:pPr>
              <w:pStyle w:val="73"/>
              <w:spacing w:line="0" w:lineRule="atLeast"/>
              <w:rPr>
                <w:rFonts w:hint="eastAsia"/>
                <w:szCs w:val="21"/>
              </w:rPr>
            </w:pPr>
            <w:r>
              <w:rPr>
                <w:rFonts w:hint="eastAsia"/>
                <w:szCs w:val="21"/>
              </w:rPr>
              <w:t>工频电场</w:t>
            </w:r>
          </w:p>
          <w:p w14:paraId="005F82C0">
            <w:pPr>
              <w:pStyle w:val="73"/>
              <w:spacing w:line="0" w:lineRule="atLeast"/>
              <w:rPr>
                <w:rFonts w:hint="eastAsia"/>
                <w:szCs w:val="21"/>
              </w:rPr>
            </w:pPr>
            <w:r>
              <w:rPr>
                <w:rFonts w:hint="eastAsia"/>
                <w:szCs w:val="21"/>
              </w:rPr>
              <w:t>工频磁场</w:t>
            </w:r>
          </w:p>
          <w:p w14:paraId="79ABFD2C">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噪声</w:t>
            </w:r>
          </w:p>
        </w:tc>
        <w:tc>
          <w:tcPr>
            <w:tcW w:w="444" w:type="pct"/>
            <w:vAlign w:val="center"/>
          </w:tcPr>
          <w:p w14:paraId="12E0F630">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lang w:val="en-US" w:eastAsia="zh-CN"/>
              </w:rPr>
              <w:t>/</w:t>
            </w:r>
          </w:p>
        </w:tc>
      </w:tr>
    </w:tbl>
    <w:p w14:paraId="2D22D738">
      <w:pPr>
        <w:pStyle w:val="42"/>
        <w:rPr>
          <w:highlight w:val="yellow"/>
        </w:rPr>
        <w:sectPr>
          <w:pgSz w:w="16838" w:h="11906" w:orient="landscape"/>
          <w:pgMar w:top="1797" w:right="1440" w:bottom="1797" w:left="1440" w:header="851" w:footer="1077" w:gutter="0"/>
          <w:cols w:space="720" w:num="1"/>
          <w:docGrid w:linePitch="312" w:charSpace="0"/>
        </w:sectPr>
      </w:pPr>
      <w:r>
        <w:rPr>
          <w:rFonts w:hint="eastAsia"/>
          <w:u w:val="none"/>
        </w:rPr>
        <w:t>注：</w:t>
      </w:r>
      <w:r>
        <w:rPr>
          <w:rFonts w:hint="eastAsia"/>
          <w:u w:val="none"/>
          <w:lang w:val="en-US" w:eastAsia="zh-CN"/>
        </w:rPr>
        <w:t>①</w:t>
      </w:r>
      <w:r>
        <w:rPr>
          <w:rFonts w:hint="eastAsia"/>
          <w:u w:val="none"/>
          <w:lang w:eastAsia="zh-CN"/>
        </w:rPr>
        <w:t>港城110kV变电站</w:t>
      </w:r>
      <w:r>
        <w:rPr>
          <w:rFonts w:hint="eastAsia"/>
          <w:u w:val="none"/>
        </w:rPr>
        <w:t>评价范围内</w:t>
      </w:r>
      <w:r>
        <w:rPr>
          <w:rFonts w:hint="eastAsia"/>
          <w:u w:val="none"/>
          <w:lang w:val="en-US" w:eastAsia="zh-CN"/>
        </w:rPr>
        <w:t>有多处仓库厂房，根据现场踏勘情况，仓库厂房主要用于货物贮存，已无人工作或居住，故不作为环境敏感目标。</w:t>
      </w:r>
      <w:r>
        <w:rPr>
          <w:rFonts w:hint="eastAsia" w:ascii="宋体" w:hAnsi="宋体" w:cs="宋体"/>
          <w:szCs w:val="21"/>
          <w:lang w:val="en-US" w:eastAsia="zh-CN"/>
        </w:rPr>
        <w:t>②</w:t>
      </w:r>
      <w:r>
        <w:rPr>
          <w:rFonts w:hint="eastAsia" w:ascii="宋体" w:hAnsi="宋体" w:cs="宋体"/>
          <w:szCs w:val="21"/>
        </w:rPr>
        <w:t>表中所列环境敏感目标为根据当前设计阶段路径资料调查所得，表中所描述位置距离为当前设计路径边导线垂直投影与环境敏感目标的最近水平距离。随工程设计不断深化，环评调查的环境敏感目标及其相对位置关系可能与建成后实际调查情况略有变化。</w:t>
      </w:r>
    </w:p>
    <w:p w14:paraId="7AE3AD55">
      <w:pPr>
        <w:pStyle w:val="31"/>
        <w:jc w:val="center"/>
        <w:outlineLvl w:val="0"/>
        <w:rPr>
          <w:rFonts w:ascii="Times New Roman" w:hAnsi="Times New Roman"/>
          <w:b/>
          <w:bCs/>
          <w:snapToGrid w:val="0"/>
          <w:color w:val="000000"/>
          <w:sz w:val="32"/>
          <w:szCs w:val="32"/>
        </w:rPr>
      </w:pPr>
      <w:bookmarkStart w:id="688" w:name="_Toc27573"/>
      <w:bookmarkStart w:id="689" w:name="_Toc111564327"/>
      <w:r>
        <w:rPr>
          <w:rFonts w:ascii="Times New Roman" w:hAnsi="Times New Roman"/>
          <w:b/>
          <w:bCs/>
          <w:snapToGrid w:val="0"/>
          <w:color w:val="000000"/>
          <w:sz w:val="32"/>
          <w:szCs w:val="32"/>
        </w:rPr>
        <w:t>四、生态环境影响分析</w:t>
      </w:r>
      <w:bookmarkEnd w:id="688"/>
      <w:bookmarkEnd w:id="689"/>
    </w:p>
    <w:tbl>
      <w:tblPr>
        <w:tblStyle w:val="34"/>
        <w:tblW w:w="89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8448"/>
      </w:tblGrid>
      <w:tr w14:paraId="7F8ED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97" w:type="dxa"/>
            <w:tcMar>
              <w:left w:w="28" w:type="dxa"/>
              <w:right w:w="28" w:type="dxa"/>
            </w:tcMar>
            <w:vAlign w:val="center"/>
          </w:tcPr>
          <w:p w14:paraId="04252C4B">
            <w:pPr>
              <w:pStyle w:val="31"/>
              <w:adjustRightInd w:val="0"/>
              <w:snapToGrid w:val="0"/>
              <w:spacing w:before="0" w:beforeAutospacing="0" w:after="0" w:afterAutospacing="0"/>
              <w:jc w:val="center"/>
              <w:rPr>
                <w:rFonts w:ascii="Times New Roman" w:hAnsi="Times New Roman"/>
                <w:b/>
                <w:bCs/>
                <w:color w:val="000000"/>
                <w:kern w:val="2"/>
                <w:sz w:val="21"/>
                <w:szCs w:val="21"/>
                <w:highlight w:val="yellow"/>
              </w:rPr>
            </w:pPr>
            <w:r>
              <w:rPr>
                <w:rFonts w:ascii="Times New Roman" w:hAnsi="Times New Roman"/>
                <w:b/>
                <w:bCs/>
                <w:color w:val="000000"/>
                <w:spacing w:val="10"/>
                <w:kern w:val="2"/>
                <w:szCs w:val="24"/>
              </w:rPr>
              <w:t>施工期生态环境影响分析</w:t>
            </w:r>
          </w:p>
        </w:tc>
        <w:tc>
          <w:tcPr>
            <w:tcW w:w="8528" w:type="dxa"/>
          </w:tcPr>
          <w:p w14:paraId="59B741E5">
            <w:pPr>
              <w:pStyle w:val="11"/>
              <w:numPr>
                <w:ilvl w:val="0"/>
                <w:numId w:val="15"/>
              </w:numPr>
              <w:ind w:firstLineChars="0"/>
              <w:rPr>
                <w:b/>
                <w:color w:val="000000"/>
                <w:kern w:val="0"/>
                <w:szCs w:val="21"/>
              </w:rPr>
            </w:pPr>
            <w:r>
              <w:rPr>
                <w:rFonts w:hint="eastAsia"/>
                <w:b/>
                <w:color w:val="000000"/>
                <w:kern w:val="0"/>
                <w:szCs w:val="21"/>
              </w:rPr>
              <w:t>产污环节</w:t>
            </w:r>
            <w:r>
              <w:rPr>
                <w:b/>
                <w:color w:val="000000"/>
                <w:kern w:val="0"/>
                <w:szCs w:val="21"/>
              </w:rPr>
              <w:t>分析</w:t>
            </w:r>
          </w:p>
          <w:p w14:paraId="4D327BC2">
            <w:pPr>
              <w:pStyle w:val="11"/>
              <w:rPr>
                <w:color w:val="000000"/>
                <w:szCs w:val="24"/>
              </w:rPr>
            </w:pPr>
            <w:r>
              <w:rPr>
                <w:color w:val="000000"/>
                <w:szCs w:val="24"/>
              </w:rPr>
              <w:t>输变电工程建设期材料运输、土建施工、设备安装等过程中会产生一定的扬尘、施工噪声、废污水以及固体废物等影响因子。</w:t>
            </w:r>
          </w:p>
          <w:p w14:paraId="691BE3BF">
            <w:pPr>
              <w:pStyle w:val="11"/>
              <w:rPr>
                <w:color w:val="000000"/>
                <w:szCs w:val="24"/>
              </w:rPr>
            </w:pPr>
            <w:r>
              <w:rPr>
                <w:color w:val="000000"/>
                <w:szCs w:val="24"/>
              </w:rPr>
              <w:t>变电站</w:t>
            </w:r>
            <w:r>
              <w:rPr>
                <w:rFonts w:hint="eastAsia"/>
                <w:color w:val="000000"/>
                <w:szCs w:val="24"/>
              </w:rPr>
              <w:t>间隔扩建</w:t>
            </w:r>
            <w:r>
              <w:rPr>
                <w:color w:val="000000"/>
                <w:szCs w:val="24"/>
              </w:rPr>
              <w:t>工程施工期的产污节点图见</w:t>
            </w:r>
            <w:r>
              <w:rPr>
                <w:color w:val="000000"/>
                <w:szCs w:val="24"/>
              </w:rPr>
              <w:fldChar w:fldCharType="begin"/>
            </w:r>
            <w:r>
              <w:rPr>
                <w:color w:val="000000"/>
                <w:szCs w:val="24"/>
              </w:rPr>
              <w:instrText xml:space="preserve"> REF _Ref183092452 \h  \* MERGEFORMAT </w:instrText>
            </w:r>
            <w:r>
              <w:rPr>
                <w:color w:val="000000"/>
                <w:szCs w:val="24"/>
              </w:rPr>
              <w:fldChar w:fldCharType="separate"/>
            </w:r>
            <w:r>
              <w:rPr>
                <w:rFonts w:hint="eastAsia"/>
                <w:color w:val="000000"/>
                <w:szCs w:val="24"/>
              </w:rPr>
              <w:t>图 7</w:t>
            </w:r>
            <w:r>
              <w:rPr>
                <w:color w:val="000000"/>
                <w:szCs w:val="24"/>
              </w:rPr>
              <w:fldChar w:fldCharType="end"/>
            </w:r>
            <w:r>
              <w:rPr>
                <w:rFonts w:hint="eastAsia"/>
                <w:color w:val="000000"/>
                <w:szCs w:val="24"/>
              </w:rPr>
              <w:t>，</w:t>
            </w:r>
            <w:r>
              <w:rPr>
                <w:color w:val="000000"/>
                <w:szCs w:val="24"/>
              </w:rPr>
              <w:t>架空输电线路工程施工期的产污节点图见</w:t>
            </w:r>
            <w:r>
              <w:rPr>
                <w:color w:val="000000"/>
                <w:szCs w:val="24"/>
              </w:rPr>
              <w:fldChar w:fldCharType="begin"/>
            </w:r>
            <w:r>
              <w:rPr>
                <w:color w:val="000000"/>
                <w:szCs w:val="24"/>
              </w:rPr>
              <w:instrText xml:space="preserve"> REF _Ref157204567 \h  \* MERGEFORMAT </w:instrText>
            </w:r>
            <w:r>
              <w:rPr>
                <w:color w:val="000000"/>
                <w:szCs w:val="24"/>
              </w:rPr>
              <w:fldChar w:fldCharType="separate"/>
            </w:r>
            <w:r>
              <w:rPr>
                <w:rFonts w:hint="eastAsia"/>
                <w:color w:val="000000"/>
                <w:szCs w:val="24"/>
              </w:rPr>
              <w:t>图 8</w:t>
            </w:r>
            <w:r>
              <w:rPr>
                <w:color w:val="000000"/>
                <w:szCs w:val="24"/>
              </w:rPr>
              <w:fldChar w:fldCharType="end"/>
            </w:r>
            <w:r>
              <w:rPr>
                <w:rFonts w:hint="eastAsia"/>
                <w:color w:val="000000"/>
                <w:szCs w:val="24"/>
              </w:rPr>
              <w:t>。</w:t>
            </w:r>
          </w:p>
          <w:p w14:paraId="3560D611">
            <w:pPr>
              <w:pStyle w:val="11"/>
              <w:ind w:firstLine="0" w:firstLineChars="0"/>
              <w:jc w:val="center"/>
            </w:pPr>
            <w:r>
              <w:rPr>
                <w:color w:val="000000"/>
              </w:rPr>
              <w:drawing>
                <wp:inline distT="0" distB="0" distL="0" distR="0">
                  <wp:extent cx="2475865" cy="2593975"/>
                  <wp:effectExtent l="0" t="0" r="635" b="15875"/>
                  <wp:docPr id="1556449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9130" name="图片 10"/>
                          <pic:cNvPicPr>
                            <a:picLocks noChangeAspect="1" noChangeArrowheads="1"/>
                          </pic:cNvPicPr>
                        </pic:nvPicPr>
                        <pic:blipFill>
                          <a:blip r:embed="rId20">
                            <a:extLst>
                              <a:ext uri="{28A0092B-C50C-407E-A947-70E740481C1C}">
                                <a14:useLocalDpi xmlns:a14="http://schemas.microsoft.com/office/drawing/2010/main" val="0"/>
                              </a:ext>
                            </a:extLst>
                          </a:blip>
                          <a:srcRect b="7201"/>
                          <a:stretch>
                            <a:fillRect/>
                          </a:stretch>
                        </pic:blipFill>
                        <pic:spPr>
                          <a:xfrm>
                            <a:off x="0" y="0"/>
                            <a:ext cx="2475865" cy="2593975"/>
                          </a:xfrm>
                          <a:prstGeom prst="rect">
                            <a:avLst/>
                          </a:prstGeom>
                          <a:noFill/>
                          <a:ln>
                            <a:noFill/>
                          </a:ln>
                        </pic:spPr>
                      </pic:pic>
                    </a:graphicData>
                  </a:graphic>
                </wp:inline>
              </w:drawing>
            </w:r>
          </w:p>
          <w:p w14:paraId="28B19025">
            <w:pPr>
              <w:pStyle w:val="9"/>
              <w:jc w:val="center"/>
              <w:rPr>
                <w:rFonts w:ascii="Times New Roman" w:hAnsi="Times New Roman"/>
                <w:color w:val="000000"/>
              </w:rPr>
            </w:pPr>
            <w:bookmarkStart w:id="690" w:name="_Ref183092452"/>
            <w:r>
              <w:rPr>
                <w:rFonts w:hint="eastAsia" w:ascii="Times New Roman" w:hAnsi="Times New Roman"/>
                <w:b/>
                <w:bCs/>
              </w:rPr>
              <w:t xml:space="preserve">图 </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SEQ 图 \* ARABIC</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7</w:t>
            </w:r>
            <w:r>
              <w:rPr>
                <w:rFonts w:ascii="Times New Roman" w:hAnsi="Times New Roman"/>
                <w:b/>
                <w:bCs/>
              </w:rPr>
              <w:fldChar w:fldCharType="end"/>
            </w:r>
            <w:bookmarkEnd w:id="690"/>
            <w:r>
              <w:rPr>
                <w:rFonts w:hint="eastAsia" w:ascii="Times New Roman" w:hAnsi="Times New Roman"/>
                <w:b/>
                <w:bCs/>
              </w:rPr>
              <w:t xml:space="preserve">  </w:t>
            </w:r>
            <w:r>
              <w:rPr>
                <w:rFonts w:ascii="Times New Roman" w:hAnsi="Times New Roman"/>
                <w:b/>
                <w:bCs/>
                <w:color w:val="000000"/>
              </w:rPr>
              <w:t>变电站间隔扩建工程施工期产污节点图</w:t>
            </w:r>
          </w:p>
          <w:p w14:paraId="1EB048BF">
            <w:pPr>
              <w:pStyle w:val="81"/>
              <w:keepNext/>
            </w:pPr>
            <w:r>
              <w:rPr>
                <w:color w:val="000000"/>
                <w:sz w:val="21"/>
              </w:rPr>
              <w:drawing>
                <wp:inline distT="0" distB="0" distL="0" distR="0">
                  <wp:extent cx="4436745" cy="2830830"/>
                  <wp:effectExtent l="0" t="0" r="0" b="0"/>
                  <wp:docPr id="2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36745" cy="2830830"/>
                          </a:xfrm>
                          <a:prstGeom prst="rect">
                            <a:avLst/>
                          </a:prstGeom>
                          <a:noFill/>
                          <a:ln>
                            <a:noFill/>
                          </a:ln>
                          <a:effectLst/>
                        </pic:spPr>
                      </pic:pic>
                    </a:graphicData>
                  </a:graphic>
                </wp:inline>
              </w:drawing>
            </w:r>
          </w:p>
          <w:p w14:paraId="1FFD0CC8">
            <w:pPr>
              <w:pStyle w:val="9"/>
              <w:jc w:val="center"/>
              <w:rPr>
                <w:rFonts w:ascii="Times New Roman" w:hAnsi="Times New Roman"/>
                <w:bCs/>
              </w:rPr>
            </w:pPr>
            <w:bookmarkStart w:id="691" w:name="_Ref157204567"/>
            <w:r>
              <w:rPr>
                <w:rFonts w:hint="eastAsia" w:ascii="Times New Roman" w:hAnsi="Times New Roman"/>
                <w:b/>
                <w:bCs/>
              </w:rPr>
              <w:t xml:space="preserve">图 </w:t>
            </w:r>
            <w:r>
              <w:rPr>
                <w:rFonts w:hint="eastAsia" w:ascii="Times New Roman" w:hAnsi="Times New Roman"/>
                <w:b/>
                <w:bCs/>
              </w:rPr>
              <w:fldChar w:fldCharType="begin"/>
            </w:r>
            <w:r>
              <w:rPr>
                <w:rFonts w:hint="eastAsia" w:ascii="Times New Roman" w:hAnsi="Times New Roman"/>
                <w:b/>
                <w:bCs/>
              </w:rPr>
              <w:instrText xml:space="preserve"> SEQ 图 \* ARABIC </w:instrText>
            </w:r>
            <w:r>
              <w:rPr>
                <w:rFonts w:hint="eastAsia" w:ascii="Times New Roman" w:hAnsi="Times New Roman"/>
                <w:b/>
                <w:bCs/>
              </w:rPr>
              <w:fldChar w:fldCharType="separate"/>
            </w:r>
            <w:r>
              <w:rPr>
                <w:rFonts w:hint="eastAsia" w:ascii="Times New Roman" w:hAnsi="Times New Roman"/>
                <w:b/>
                <w:bCs/>
              </w:rPr>
              <w:t>8</w:t>
            </w:r>
            <w:r>
              <w:rPr>
                <w:rFonts w:hint="eastAsia" w:ascii="Times New Roman" w:hAnsi="Times New Roman"/>
                <w:b/>
                <w:bCs/>
              </w:rPr>
              <w:fldChar w:fldCharType="end"/>
            </w:r>
            <w:bookmarkEnd w:id="691"/>
            <w:r>
              <w:rPr>
                <w:rFonts w:hint="eastAsia" w:ascii="Times New Roman" w:hAnsi="Times New Roman"/>
                <w:b/>
                <w:bCs/>
              </w:rPr>
              <w:t xml:space="preserve"> 架空输电线路工程施工期的产污节点图</w:t>
            </w:r>
          </w:p>
          <w:p w14:paraId="6BE4B25D">
            <w:pPr>
              <w:pStyle w:val="11"/>
              <w:numPr>
                <w:ilvl w:val="0"/>
                <w:numId w:val="15"/>
              </w:numPr>
              <w:ind w:firstLineChars="0"/>
              <w:rPr>
                <w:b/>
                <w:color w:val="000000"/>
                <w:kern w:val="0"/>
                <w:szCs w:val="21"/>
              </w:rPr>
            </w:pPr>
            <w:r>
              <w:rPr>
                <w:rFonts w:hint="eastAsia"/>
                <w:b/>
                <w:color w:val="000000"/>
                <w:kern w:val="0"/>
                <w:szCs w:val="21"/>
              </w:rPr>
              <w:t>污染源</w:t>
            </w:r>
            <w:r>
              <w:rPr>
                <w:b/>
                <w:color w:val="000000"/>
                <w:kern w:val="0"/>
                <w:szCs w:val="21"/>
              </w:rPr>
              <w:t>分析</w:t>
            </w:r>
          </w:p>
          <w:p w14:paraId="4A933B1C">
            <w:pPr>
              <w:pStyle w:val="11"/>
              <w:rPr>
                <w:color w:val="000000"/>
              </w:rPr>
            </w:pPr>
            <w:r>
              <w:rPr>
                <w:color w:val="000000"/>
              </w:rPr>
              <w:t>本工程施工期对环境产生的影响如下：</w:t>
            </w:r>
          </w:p>
          <w:p w14:paraId="38A77A1B">
            <w:pPr>
              <w:pStyle w:val="11"/>
              <w:rPr>
                <w:color w:val="000000"/>
              </w:rPr>
            </w:pPr>
            <w:r>
              <w:rPr>
                <w:color w:val="000000"/>
              </w:rPr>
              <w:t>（1）生态环境：工程永久占地及施工场地、牵张场、临时施工道路等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14:paraId="30903130">
            <w:pPr>
              <w:pStyle w:val="11"/>
              <w:rPr>
                <w:color w:val="000000"/>
              </w:rPr>
            </w:pPr>
            <w:r>
              <w:rPr>
                <w:color w:val="000000"/>
              </w:rPr>
              <w:t>（2）施工噪声：施工机械产生。</w:t>
            </w:r>
          </w:p>
          <w:p w14:paraId="152491B9">
            <w:pPr>
              <w:pStyle w:val="11"/>
              <w:rPr>
                <w:color w:val="000000"/>
              </w:rPr>
            </w:pPr>
            <w:r>
              <w:rPr>
                <w:color w:val="000000"/>
              </w:rPr>
              <w:t>（3）施工扬尘：基础开挖、土方调运以及设备运输过程中产生。</w:t>
            </w:r>
          </w:p>
          <w:p w14:paraId="6AA68ECA">
            <w:pPr>
              <w:pStyle w:val="11"/>
              <w:rPr>
                <w:color w:val="000000"/>
              </w:rPr>
            </w:pPr>
            <w:r>
              <w:rPr>
                <w:color w:val="000000"/>
              </w:rPr>
              <w:t>（4）施工废污水：施工废水及施工人员的生活污水。</w:t>
            </w:r>
          </w:p>
          <w:p w14:paraId="71648FA0">
            <w:pPr>
              <w:pStyle w:val="11"/>
              <w:rPr>
                <w:b/>
                <w:color w:val="000000"/>
                <w:kern w:val="0"/>
                <w:szCs w:val="21"/>
              </w:rPr>
            </w:pPr>
            <w:r>
              <w:rPr>
                <w:color w:val="000000"/>
              </w:rPr>
              <w:t>（5）固体废物：施工过程中可能产生的建筑垃圾、弃土弃渣及生活垃圾等。</w:t>
            </w:r>
          </w:p>
          <w:p w14:paraId="70479050">
            <w:pPr>
              <w:pStyle w:val="11"/>
              <w:numPr>
                <w:ilvl w:val="0"/>
                <w:numId w:val="15"/>
              </w:numPr>
              <w:ind w:firstLineChars="0"/>
              <w:rPr>
                <w:b/>
                <w:color w:val="000000"/>
                <w:kern w:val="0"/>
                <w:szCs w:val="21"/>
              </w:rPr>
            </w:pPr>
            <w:r>
              <w:rPr>
                <w:rFonts w:hint="eastAsia"/>
                <w:b/>
                <w:color w:val="000000"/>
                <w:kern w:val="0"/>
                <w:szCs w:val="21"/>
              </w:rPr>
              <w:t>工程环保特点</w:t>
            </w:r>
          </w:p>
          <w:p w14:paraId="04A5C567">
            <w:pPr>
              <w:pStyle w:val="11"/>
              <w:rPr>
                <w:color w:val="000000"/>
              </w:rPr>
            </w:pPr>
            <w:r>
              <w:rPr>
                <w:color w:val="000000"/>
              </w:rPr>
              <w:t>本工程为</w:t>
            </w:r>
            <w:r>
              <w:rPr>
                <w:rFonts w:hint="eastAsia"/>
                <w:color w:val="000000"/>
                <w:lang w:val="en-US" w:eastAsia="zh-CN"/>
              </w:rPr>
              <w:t>11</w:t>
            </w:r>
            <w:r>
              <w:rPr>
                <w:color w:val="000000"/>
              </w:rPr>
              <w:t>0kV输变电工程，施工期可能产生一定的生态环境</w:t>
            </w:r>
            <w:r>
              <w:rPr>
                <w:rFonts w:hint="eastAsia"/>
                <w:color w:val="000000"/>
              </w:rPr>
              <w:t>、声环境</w:t>
            </w:r>
            <w:r>
              <w:rPr>
                <w:color w:val="000000"/>
              </w:rPr>
              <w:t>、环境空气、水环境、固体废物等影响，但施工期的环境影响是</w:t>
            </w:r>
            <w:r>
              <w:rPr>
                <w:rFonts w:hint="eastAsia"/>
                <w:color w:val="000000"/>
              </w:rPr>
              <w:t>短暂</w:t>
            </w:r>
            <w:r>
              <w:rPr>
                <w:color w:val="000000"/>
              </w:rPr>
              <w:t>的</w:t>
            </w:r>
            <w:r>
              <w:rPr>
                <w:rFonts w:hint="eastAsia"/>
                <w:color w:val="000000"/>
              </w:rPr>
              <w:t>、</w:t>
            </w:r>
            <w:r>
              <w:rPr>
                <w:color w:val="000000"/>
              </w:rPr>
              <w:t>可逆的，并可在一定时间内得到恢复。</w:t>
            </w:r>
          </w:p>
          <w:p w14:paraId="036AFFA7">
            <w:pPr>
              <w:pStyle w:val="11"/>
              <w:numPr>
                <w:ilvl w:val="0"/>
                <w:numId w:val="15"/>
              </w:numPr>
              <w:ind w:firstLineChars="0"/>
              <w:rPr>
                <w:b/>
                <w:color w:val="000000"/>
                <w:kern w:val="0"/>
                <w:szCs w:val="21"/>
              </w:rPr>
            </w:pPr>
            <w:r>
              <w:rPr>
                <w:rFonts w:hint="eastAsia"/>
                <w:b/>
                <w:color w:val="000000"/>
                <w:kern w:val="0"/>
                <w:szCs w:val="21"/>
              </w:rPr>
              <w:t>施工期各环境要素影响分析</w:t>
            </w:r>
          </w:p>
          <w:p w14:paraId="1880C273">
            <w:pPr>
              <w:pStyle w:val="11"/>
              <w:numPr>
                <w:ilvl w:val="1"/>
                <w:numId w:val="15"/>
              </w:numPr>
              <w:ind w:firstLineChars="0"/>
              <w:rPr>
                <w:b/>
                <w:color w:val="000000"/>
                <w:kern w:val="0"/>
                <w:szCs w:val="21"/>
              </w:rPr>
            </w:pPr>
            <w:r>
              <w:rPr>
                <w:rFonts w:hint="eastAsia"/>
                <w:b/>
                <w:color w:val="000000"/>
                <w:kern w:val="0"/>
                <w:szCs w:val="21"/>
              </w:rPr>
              <w:t>施工期生态环境影响分析</w:t>
            </w:r>
          </w:p>
          <w:p w14:paraId="172D3721">
            <w:pPr>
              <w:pStyle w:val="11"/>
              <w:rPr>
                <w:color w:val="000000"/>
                <w:u w:val="wave"/>
              </w:rPr>
            </w:pPr>
            <w:r>
              <w:rPr>
                <w:color w:val="000000"/>
              </w:rPr>
              <w:t>施工期对生态环境的影响主要表现在施工</w:t>
            </w:r>
            <w:r>
              <w:rPr>
                <w:rFonts w:hint="eastAsia"/>
                <w:color w:val="000000"/>
              </w:rPr>
              <w:t>开挖</w:t>
            </w:r>
            <w:r>
              <w:rPr>
                <w:color w:val="000000"/>
              </w:rPr>
              <w:t>、占地和施工活动对土地的扰动、地表植被破坏和区域内野生动物活动</w:t>
            </w:r>
            <w:r>
              <w:rPr>
                <w:rFonts w:hint="eastAsia"/>
                <w:color w:val="000000"/>
              </w:rPr>
              <w:t>的</w:t>
            </w:r>
            <w:r>
              <w:rPr>
                <w:color w:val="000000"/>
              </w:rPr>
              <w:t>影响。</w:t>
            </w:r>
          </w:p>
          <w:p w14:paraId="27E4C722">
            <w:pPr>
              <w:pStyle w:val="11"/>
              <w:numPr>
                <w:ilvl w:val="2"/>
                <w:numId w:val="15"/>
              </w:numPr>
              <w:ind w:firstLineChars="0"/>
              <w:rPr>
                <w:b/>
                <w:color w:val="000000"/>
                <w:kern w:val="0"/>
                <w:szCs w:val="21"/>
              </w:rPr>
            </w:pPr>
            <w:r>
              <w:rPr>
                <w:rFonts w:hint="eastAsia"/>
                <w:b/>
                <w:color w:val="000000"/>
                <w:kern w:val="0"/>
                <w:szCs w:val="21"/>
              </w:rPr>
              <w:t>土地占用影响分析</w:t>
            </w:r>
          </w:p>
          <w:p w14:paraId="041BE044">
            <w:pPr>
              <w:pStyle w:val="11"/>
            </w:pPr>
            <w:r>
              <w:rPr>
                <w:rFonts w:hint="eastAsia"/>
              </w:rPr>
              <w:t>本期变电站间隔扩建工程的建设在变电站围墙内预留区域进行，站外不新增永久占地。</w:t>
            </w:r>
          </w:p>
          <w:p w14:paraId="70683271">
            <w:pPr>
              <w:pStyle w:val="11"/>
              <w:rPr>
                <w:szCs w:val="24"/>
              </w:rPr>
            </w:pPr>
            <w:r>
              <w:rPr>
                <w:rFonts w:hint="eastAsia"/>
                <w:szCs w:val="24"/>
              </w:rPr>
              <w:t>架空输电线路单个杆塔的永久占地面积很小且分散，塔基永久占地区域外会产生一定范围的临时占地以及一定数量的</w:t>
            </w:r>
            <w:r>
              <w:rPr>
                <w:szCs w:val="24"/>
              </w:rPr>
              <w:t>牵张场区、施工临时道路区等</w:t>
            </w:r>
            <w:r>
              <w:rPr>
                <w:rFonts w:hint="eastAsia"/>
                <w:szCs w:val="24"/>
              </w:rPr>
              <w:t>其他</w:t>
            </w:r>
            <w:r>
              <w:rPr>
                <w:szCs w:val="24"/>
              </w:rPr>
              <w:t>临时施工占地</w:t>
            </w:r>
            <w:r>
              <w:rPr>
                <w:rFonts w:hint="eastAsia"/>
                <w:szCs w:val="24"/>
              </w:rPr>
              <w:t>，通过合理划定临时占地面积和采取施工限界围挡措施，铁塔施工对区域土地资源的压占影响程度十分有限，施工期结束后随着采取一定的迹地清理和土地整治措施</w:t>
            </w:r>
            <w:r>
              <w:rPr>
                <w:szCs w:val="24"/>
              </w:rPr>
              <w:t>可将</w:t>
            </w:r>
            <w:r>
              <w:rPr>
                <w:rFonts w:hint="eastAsia"/>
                <w:szCs w:val="24"/>
              </w:rPr>
              <w:t>对占用土地功能的</w:t>
            </w:r>
            <w:r>
              <w:rPr>
                <w:szCs w:val="24"/>
              </w:rPr>
              <w:t>影响降到最低，</w:t>
            </w:r>
            <w:r>
              <w:rPr>
                <w:rFonts w:hint="eastAsia"/>
                <w:szCs w:val="24"/>
              </w:rPr>
              <w:t>甚至恢复其原有使用功能，因此工程建设不会导致评价区的土地使用功能发生明显变化。</w:t>
            </w:r>
          </w:p>
          <w:p w14:paraId="3284019C">
            <w:pPr>
              <w:pStyle w:val="11"/>
              <w:numPr>
                <w:ilvl w:val="2"/>
                <w:numId w:val="15"/>
              </w:numPr>
              <w:ind w:firstLineChars="0"/>
              <w:rPr>
                <w:b/>
                <w:color w:val="000000"/>
                <w:kern w:val="0"/>
                <w:szCs w:val="21"/>
              </w:rPr>
            </w:pPr>
            <w:r>
              <w:rPr>
                <w:b/>
                <w:color w:val="000000"/>
                <w:kern w:val="0"/>
                <w:szCs w:val="21"/>
              </w:rPr>
              <w:t>植被影响分析</w:t>
            </w:r>
          </w:p>
          <w:p w14:paraId="2ECB9889">
            <w:pPr>
              <w:pStyle w:val="11"/>
              <w:rPr>
                <w:rFonts w:hint="eastAsia"/>
                <w:lang w:val="en-US" w:eastAsia="zh-CN"/>
              </w:rPr>
            </w:pPr>
            <w:r>
              <w:rPr>
                <w:rFonts w:hint="eastAsia"/>
              </w:rPr>
              <w:t>本期变电站间隔扩建工程</w:t>
            </w:r>
            <w:r>
              <w:rPr>
                <w:rFonts w:hint="eastAsia"/>
                <w:lang w:val="en-US" w:eastAsia="zh-CN"/>
              </w:rPr>
              <w:t>的建设在站内进行，无新增征地，且站内无植被分布，变电站间隔扩建工程对植被影响较小。</w:t>
            </w:r>
          </w:p>
          <w:p w14:paraId="0185F870">
            <w:pPr>
              <w:pStyle w:val="11"/>
              <w:rPr>
                <w:szCs w:val="24"/>
              </w:rPr>
            </w:pPr>
            <w:r>
              <w:rPr>
                <w:rFonts w:hint="eastAsia"/>
                <w:szCs w:val="24"/>
              </w:rPr>
              <w:t>架空输电线路单个铁塔的永久占地面积很小且分散，塔基永久占地区域外会产生一定范围的临时占地，通过合理划定临时占地面积和采取施工限界围挡措施，可以有效限制施工活动对塔基周围地表植被的破坏，结合施工结束后及时采取一定的植被恢复措施</w:t>
            </w:r>
            <w:r>
              <w:rPr>
                <w:szCs w:val="24"/>
              </w:rPr>
              <w:t>可将</w:t>
            </w:r>
            <w:r>
              <w:rPr>
                <w:rFonts w:hint="eastAsia"/>
                <w:szCs w:val="24"/>
              </w:rPr>
              <w:t>对地表植被的</w:t>
            </w:r>
            <w:r>
              <w:rPr>
                <w:szCs w:val="24"/>
              </w:rPr>
              <w:t>影响降到最低，</w:t>
            </w:r>
            <w:r>
              <w:rPr>
                <w:rFonts w:hint="eastAsia"/>
                <w:szCs w:val="24"/>
              </w:rPr>
              <w:t>因此工程建设不会导致评价区的植物种类和生物量的明显降低。</w:t>
            </w:r>
          </w:p>
          <w:p w14:paraId="1161726B">
            <w:pPr>
              <w:pStyle w:val="11"/>
              <w:numPr>
                <w:ilvl w:val="2"/>
                <w:numId w:val="15"/>
              </w:numPr>
              <w:ind w:firstLineChars="0"/>
              <w:rPr>
                <w:b/>
                <w:color w:val="000000"/>
                <w:kern w:val="0"/>
                <w:szCs w:val="21"/>
              </w:rPr>
            </w:pPr>
            <w:r>
              <w:rPr>
                <w:b/>
                <w:color w:val="000000"/>
                <w:kern w:val="0"/>
                <w:szCs w:val="21"/>
              </w:rPr>
              <w:t>动物影响分析</w:t>
            </w:r>
          </w:p>
          <w:p w14:paraId="1371DEB3">
            <w:pPr>
              <w:pStyle w:val="11"/>
              <w:rPr>
                <w:color w:val="000000"/>
              </w:rPr>
            </w:pPr>
            <w:r>
              <w:rPr>
                <w:color w:val="000000"/>
              </w:rPr>
              <w:t>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14:paraId="01BD90CC">
            <w:pPr>
              <w:pStyle w:val="11"/>
              <w:rPr>
                <w:color w:val="000000"/>
              </w:rPr>
            </w:pPr>
            <w:r>
              <w:rPr>
                <w:color w:val="000000"/>
              </w:rPr>
              <w:t>本工程塔基占地为空间线性方式，施工</w:t>
            </w:r>
            <w:r>
              <w:rPr>
                <w:rFonts w:hint="eastAsia"/>
                <w:color w:val="000000"/>
              </w:rPr>
              <w:t>方式</w:t>
            </w:r>
            <w:r>
              <w:rPr>
                <w:color w:val="000000"/>
              </w:rPr>
              <w:t>为间断性的，施工</w:t>
            </w:r>
            <w:r>
              <w:rPr>
                <w:rFonts w:hint="eastAsia"/>
                <w:color w:val="000000"/>
              </w:rPr>
              <w:t>便道</w:t>
            </w:r>
            <w:r>
              <w:rPr>
                <w:color w:val="000000"/>
              </w:rPr>
              <w:t>则利用</w:t>
            </w:r>
            <w:r>
              <w:rPr>
                <w:rFonts w:hint="eastAsia"/>
                <w:color w:val="000000"/>
              </w:rPr>
              <w:t>已有道路</w:t>
            </w:r>
            <w:r>
              <w:rPr>
                <w:color w:val="000000"/>
              </w:rPr>
              <w:t>，土建施工局部工作量较小</w:t>
            </w:r>
            <w:r>
              <w:rPr>
                <w:rFonts w:hint="eastAsia"/>
                <w:color w:val="000000"/>
              </w:rPr>
              <w:t>，</w:t>
            </w:r>
            <w:r>
              <w:rPr>
                <w:color w:val="000000"/>
              </w:rPr>
              <w:t>且施工人员的生活区</w:t>
            </w:r>
            <w:r>
              <w:rPr>
                <w:rFonts w:hint="eastAsia"/>
              </w:rPr>
              <w:t>租用附近村镇公屋、民房作为施工营地</w:t>
            </w:r>
            <w:r>
              <w:rPr>
                <w:color w:val="000000"/>
              </w:rPr>
              <w:t>。因此本工程施工对野生动物的影响为间断性、暂时性的。施工完成后，部分野生动物仍可以到原栖息地附近区域栖息。</w:t>
            </w:r>
          </w:p>
          <w:p w14:paraId="2664906A">
            <w:pPr>
              <w:pStyle w:val="11"/>
              <w:numPr>
                <w:ilvl w:val="1"/>
                <w:numId w:val="15"/>
              </w:numPr>
              <w:ind w:firstLineChars="0"/>
              <w:rPr>
                <w:b/>
                <w:color w:val="000000"/>
                <w:kern w:val="0"/>
                <w:szCs w:val="21"/>
              </w:rPr>
            </w:pPr>
            <w:r>
              <w:rPr>
                <w:b/>
                <w:color w:val="000000"/>
                <w:kern w:val="0"/>
                <w:szCs w:val="21"/>
              </w:rPr>
              <w:t>施工期环境空气影响分析</w:t>
            </w:r>
          </w:p>
          <w:p w14:paraId="75682E9B">
            <w:pPr>
              <w:pStyle w:val="11"/>
              <w:numPr>
                <w:ilvl w:val="2"/>
                <w:numId w:val="15"/>
              </w:numPr>
              <w:ind w:firstLineChars="0"/>
              <w:rPr>
                <w:b/>
                <w:color w:val="000000"/>
                <w:kern w:val="0"/>
                <w:szCs w:val="21"/>
              </w:rPr>
            </w:pPr>
            <w:r>
              <w:rPr>
                <w:b/>
                <w:color w:val="000000"/>
                <w:kern w:val="0"/>
                <w:szCs w:val="21"/>
              </w:rPr>
              <w:t>环境空气污染源</w:t>
            </w:r>
          </w:p>
          <w:p w14:paraId="7F37F22B">
            <w:pPr>
              <w:pStyle w:val="11"/>
              <w:rPr>
                <w:color w:val="000000"/>
              </w:rPr>
            </w:pPr>
            <w:r>
              <w:rPr>
                <w:color w:val="000000"/>
              </w:rPr>
              <w:t>空气污染源主要是施工扬尘，施工扬尘主要来自变电站基础开挖、塔基土建施工的场地平整、基础开挖等土石方工程、设备材料的运输装卸、施工现场内车辆行驶</w:t>
            </w:r>
            <w:r>
              <w:rPr>
                <w:rFonts w:hint="eastAsia"/>
                <w:color w:val="000000"/>
              </w:rPr>
              <w:t>产生</w:t>
            </w:r>
            <w:r>
              <w:rPr>
                <w:color w:val="000000"/>
              </w:rPr>
              <w:t>道路扬尘等。由于扬尘源多且分散，源高一般在1.5m以下，属无组织排放。受施工方式、设备、气候等因素制约，产生的随机性和波动性较大。</w:t>
            </w:r>
          </w:p>
          <w:p w14:paraId="7E3E882C">
            <w:pPr>
              <w:pStyle w:val="11"/>
              <w:rPr>
                <w:color w:val="000000"/>
              </w:rPr>
            </w:pPr>
            <w:r>
              <w:rPr>
                <w:color w:val="000000"/>
              </w:rPr>
              <w:t>施工阶段，尤其是施工初期，输电线路的基础开挖和土石方运输都会产生扬尘污染，特别是若遇久旱无雨的大风天气，扬尘污染更为突出。施工开挖、车辆运输等产生的粉尘短期内将使局部区域内空气中的总悬浮颗粒物</w:t>
            </w:r>
            <w:r>
              <w:rPr>
                <w:rFonts w:hint="eastAsia"/>
                <w:color w:val="000000"/>
              </w:rPr>
              <w:t>（</w:t>
            </w:r>
            <w:r>
              <w:rPr>
                <w:color w:val="000000"/>
              </w:rPr>
              <w:t>TSP</w:t>
            </w:r>
            <w:r>
              <w:rPr>
                <w:rFonts w:hint="eastAsia"/>
                <w:color w:val="000000"/>
              </w:rPr>
              <w:t>）</w:t>
            </w:r>
            <w:r>
              <w:rPr>
                <w:color w:val="000000"/>
              </w:rPr>
              <w:t>明显增加。</w:t>
            </w:r>
          </w:p>
          <w:p w14:paraId="429DD207">
            <w:pPr>
              <w:pStyle w:val="11"/>
              <w:numPr>
                <w:ilvl w:val="2"/>
                <w:numId w:val="15"/>
              </w:numPr>
              <w:ind w:firstLineChars="0"/>
              <w:rPr>
                <w:b/>
                <w:color w:val="000000"/>
                <w:kern w:val="0"/>
                <w:szCs w:val="21"/>
              </w:rPr>
            </w:pPr>
            <w:r>
              <w:rPr>
                <w:b/>
                <w:color w:val="000000"/>
                <w:kern w:val="0"/>
                <w:szCs w:val="21"/>
              </w:rPr>
              <w:t>施工期扬尘影响分析</w:t>
            </w:r>
          </w:p>
          <w:p w14:paraId="67134BB1">
            <w:pPr>
              <w:pStyle w:val="11"/>
              <w:rPr>
                <w:color w:val="000000"/>
              </w:rPr>
            </w:pPr>
            <w:r>
              <w:rPr>
                <w:color w:val="000000"/>
              </w:rPr>
              <w:t>（1）变电站工程</w:t>
            </w:r>
          </w:p>
          <w:p w14:paraId="1C070EE8">
            <w:pPr>
              <w:pStyle w:val="11"/>
              <w:rPr>
                <w:color w:val="000000"/>
              </w:rPr>
            </w:pPr>
            <w:r>
              <w:rPr>
                <w:rFonts w:hint="eastAsia"/>
                <w:color w:val="000000"/>
              </w:rPr>
              <w:t>变电站间隔扩建</w:t>
            </w:r>
            <w:r>
              <w:rPr>
                <w:color w:val="000000"/>
              </w:rPr>
              <w:t>施工时，由于土石方的开挖造成土地裸露，产生局部二次扬尘，可能对周围50m以内的局部地区产生暂时影响，但施工扬尘的影响是短时间的，在土建工程结束后即可恢复。此外，在建设期间，大件设备及其他设备材料的运输，可能会使所经道路产生扬尘问题，但该扬尘问题只是暂时的和流动的，当建设期结束，此问题亦会消失。</w:t>
            </w:r>
          </w:p>
          <w:p w14:paraId="4D0B7A0D">
            <w:pPr>
              <w:pStyle w:val="11"/>
            </w:pPr>
            <w:r>
              <w:rPr>
                <w:rFonts w:hint="eastAsia"/>
              </w:rPr>
              <w:t>（2）输电线路工程</w:t>
            </w:r>
          </w:p>
          <w:p w14:paraId="18FE15BF">
            <w:pPr>
              <w:pStyle w:val="11"/>
              <w:rPr>
                <w:rFonts w:hint="eastAsia"/>
              </w:rPr>
            </w:pPr>
            <w:r>
              <w:rPr>
                <w:rFonts w:hint="eastAsia"/>
                <w:lang w:val="en-US" w:eastAsia="zh-CN"/>
              </w:rPr>
              <w:t>11</w:t>
            </w:r>
            <w:r>
              <w:t>0</w:t>
            </w:r>
            <w:r>
              <w:rPr>
                <w:rFonts w:hint="eastAsia"/>
              </w:rPr>
              <w:t>k</w:t>
            </w:r>
            <w:r>
              <w:t>V</w:t>
            </w:r>
            <w:r>
              <w:rPr>
                <w:rFonts w:hint="eastAsia"/>
              </w:rPr>
              <w:t>线路塔基开挖面和土石方开挖量较小，单个塔基施工周期短，施工扬尘的影响范围和影响程度小，通过采取场地周围设置硬质拦挡、避开大风天气施工、开挖临时堆土及时采取表面苫盖等有效措施，可进一步降低施工扬尘污染风险。</w:t>
            </w:r>
          </w:p>
          <w:p w14:paraId="42FA5692">
            <w:pPr>
              <w:pStyle w:val="11"/>
              <w:numPr>
                <w:ilvl w:val="2"/>
                <w:numId w:val="15"/>
              </w:numPr>
              <w:ind w:firstLineChars="0"/>
              <w:rPr>
                <w:b/>
                <w:color w:val="000000"/>
                <w:kern w:val="0"/>
                <w:szCs w:val="21"/>
                <w:u w:val="none"/>
              </w:rPr>
            </w:pPr>
            <w:r>
              <w:rPr>
                <w:rFonts w:hint="eastAsia"/>
                <w:b/>
                <w:color w:val="000000"/>
                <w:kern w:val="0"/>
                <w:szCs w:val="21"/>
                <w:u w:val="none"/>
              </w:rPr>
              <w:t>牵张场施工环境空气影响</w:t>
            </w:r>
            <w:r>
              <w:rPr>
                <w:rFonts w:hint="eastAsia"/>
                <w:b/>
                <w:color w:val="000000"/>
                <w:kern w:val="0"/>
                <w:szCs w:val="21"/>
                <w:u w:val="none"/>
                <w:lang w:val="en-US" w:eastAsia="zh-CN"/>
              </w:rPr>
              <w:t>分析</w:t>
            </w:r>
          </w:p>
          <w:p w14:paraId="09180E25">
            <w:pPr>
              <w:pStyle w:val="1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u w:val="none"/>
                <w:lang w:val="en-US" w:eastAsia="zh-CN"/>
              </w:rPr>
            </w:pPr>
            <w:r>
              <w:rPr>
                <w:rFonts w:hint="eastAsia"/>
                <w:u w:val="none"/>
                <w:lang w:eastAsia="zh-CN"/>
              </w:rPr>
              <w:t>（</w:t>
            </w:r>
            <w:r>
              <w:rPr>
                <w:rFonts w:hint="eastAsia"/>
                <w:u w:val="none"/>
                <w:lang w:val="en-US" w:eastAsia="zh-CN"/>
              </w:rPr>
              <w:t>1）</w:t>
            </w:r>
            <w:r>
              <w:rPr>
                <w:rFonts w:hint="eastAsia"/>
                <w:u w:val="none"/>
              </w:rPr>
              <w:t>扬尘污染：牵张场施工过程中，场地平整、基础开挖等作业会使地表土壤裸露，在机械和车辆的扰动下，容易产生扬尘，尤其是在干燥、多风的天气条件下，扬尘问题更为严重，会对周边空气环境造成污染，降低空气质量</w:t>
            </w:r>
            <w:r>
              <w:rPr>
                <w:rFonts w:hint="eastAsia"/>
                <w:u w:val="none"/>
                <w:lang w:eastAsia="zh-CN"/>
              </w:rPr>
              <w:t>；</w:t>
            </w:r>
          </w:p>
          <w:p w14:paraId="12214069">
            <w:pPr>
              <w:pStyle w:val="11"/>
              <w:rPr>
                <w:rFonts w:hint="eastAsia" w:eastAsia="宋体"/>
                <w:u w:val="none"/>
                <w:lang w:val="en-US" w:eastAsia="zh-CN"/>
              </w:rPr>
            </w:pPr>
            <w:r>
              <w:rPr>
                <w:rFonts w:hint="eastAsia"/>
                <w:u w:val="none"/>
                <w:lang w:eastAsia="zh-CN"/>
              </w:rPr>
              <w:t>（</w:t>
            </w:r>
            <w:r>
              <w:rPr>
                <w:rFonts w:hint="eastAsia"/>
                <w:u w:val="none"/>
                <w:lang w:val="en-US" w:eastAsia="zh-CN"/>
              </w:rPr>
              <w:t>2）</w:t>
            </w:r>
            <w:r>
              <w:rPr>
                <w:rFonts w:hint="eastAsia"/>
                <w:u w:val="none"/>
              </w:rPr>
              <w:t>施工机械尾气：施工过程中使用的各类燃油机械设备，如挖掘机、装载机、牵引设备等，在运行过程中会排放大量的尾气，其中含有二氧化碳、氮氧化物、颗粒物等污染物，这些尾气排放会增加空气中污染物的浓度，对环境空气质量产生负面影响</w:t>
            </w:r>
            <w:r>
              <w:rPr>
                <w:rFonts w:hint="eastAsia"/>
                <w:u w:val="none"/>
                <w:lang w:eastAsia="zh-CN"/>
              </w:rPr>
              <w:t>；</w:t>
            </w:r>
          </w:p>
          <w:p w14:paraId="2C629C19">
            <w:pPr>
              <w:pStyle w:val="11"/>
              <w:rPr>
                <w:rFonts w:hint="eastAsia"/>
              </w:rPr>
            </w:pPr>
            <w:r>
              <w:rPr>
                <w:rFonts w:hint="eastAsia"/>
                <w:u w:val="none"/>
                <w:lang w:eastAsia="zh-CN"/>
              </w:rPr>
              <w:t>（</w:t>
            </w:r>
            <w:r>
              <w:rPr>
                <w:rFonts w:hint="eastAsia"/>
                <w:u w:val="none"/>
                <w:lang w:val="en-US" w:eastAsia="zh-CN"/>
              </w:rPr>
              <w:t>3）</w:t>
            </w:r>
            <w:r>
              <w:rPr>
                <w:rFonts w:hint="eastAsia"/>
                <w:b w:val="0"/>
                <w:bCs w:val="0"/>
                <w:u w:val="none"/>
              </w:rPr>
              <w:t>物料运输扬尘</w:t>
            </w:r>
            <w:r>
              <w:rPr>
                <w:rFonts w:hint="eastAsia"/>
                <w:u w:val="none"/>
              </w:rPr>
              <w:t>：运输砂石、水泥等建筑材料的车辆在进出牵张场时，如果未采取有效的防尘措施，如车辆未进行清洗、物料未进行覆盖等，会在运输过程中产生大量的扬尘，对沿途的空气环境造成污染</w:t>
            </w:r>
            <w:r>
              <w:rPr>
                <w:rFonts w:hint="eastAsia"/>
                <w:u w:val="none"/>
                <w:lang w:eastAsia="zh-CN"/>
              </w:rPr>
              <w:t>。</w:t>
            </w:r>
          </w:p>
          <w:p w14:paraId="647AB355">
            <w:pPr>
              <w:pStyle w:val="11"/>
              <w:numPr>
                <w:ilvl w:val="1"/>
                <w:numId w:val="15"/>
              </w:numPr>
              <w:ind w:firstLineChars="0"/>
              <w:rPr>
                <w:b/>
                <w:color w:val="000000"/>
                <w:kern w:val="0"/>
                <w:szCs w:val="21"/>
              </w:rPr>
            </w:pPr>
            <w:r>
              <w:rPr>
                <w:b/>
                <w:color w:val="000000"/>
                <w:kern w:val="0"/>
                <w:szCs w:val="21"/>
              </w:rPr>
              <w:t>施工期废污水环境影响分析</w:t>
            </w:r>
          </w:p>
          <w:p w14:paraId="1A959DD1">
            <w:pPr>
              <w:pStyle w:val="11"/>
              <w:numPr>
                <w:ilvl w:val="2"/>
                <w:numId w:val="15"/>
              </w:numPr>
              <w:ind w:firstLineChars="0"/>
              <w:rPr>
                <w:b/>
                <w:color w:val="000000"/>
                <w:kern w:val="0"/>
                <w:szCs w:val="21"/>
              </w:rPr>
            </w:pPr>
            <w:r>
              <w:rPr>
                <w:b/>
                <w:color w:val="000000"/>
                <w:kern w:val="0"/>
                <w:szCs w:val="21"/>
              </w:rPr>
              <w:t>废污水污染源</w:t>
            </w:r>
          </w:p>
          <w:p w14:paraId="78295821">
            <w:pPr>
              <w:pStyle w:val="11"/>
              <w:rPr>
                <w:color w:val="000000"/>
              </w:rPr>
            </w:pPr>
            <w:r>
              <w:rPr>
                <w:color w:val="000000"/>
              </w:rPr>
              <w:t>本工程施工污水主要来自施工人员的生活污水和少量施工废水。</w:t>
            </w:r>
          </w:p>
          <w:p w14:paraId="7485ED9B">
            <w:pPr>
              <w:pStyle w:val="11"/>
              <w:numPr>
                <w:ilvl w:val="2"/>
                <w:numId w:val="15"/>
              </w:numPr>
              <w:ind w:firstLineChars="0"/>
              <w:rPr>
                <w:b/>
                <w:color w:val="000000"/>
                <w:kern w:val="0"/>
                <w:szCs w:val="21"/>
              </w:rPr>
            </w:pPr>
            <w:r>
              <w:rPr>
                <w:b/>
                <w:color w:val="000000"/>
                <w:kern w:val="0"/>
                <w:szCs w:val="21"/>
              </w:rPr>
              <w:t>废污水影响分析</w:t>
            </w:r>
          </w:p>
          <w:p w14:paraId="061D2425">
            <w:pPr>
              <w:pStyle w:val="11"/>
              <w:rPr>
                <w:color w:val="000000"/>
                <w:shd w:val="clear" w:color="auto" w:fill="FFFFFF"/>
              </w:rPr>
            </w:pPr>
            <w:r>
              <w:rPr>
                <w:rFonts w:ascii="宋体" w:hAnsi="宋体"/>
                <w:color w:val="000000"/>
                <w:shd w:val="clear" w:color="auto" w:fill="FFFFFF"/>
              </w:rPr>
              <w:t>本工程变电站</w:t>
            </w:r>
            <w:r>
              <w:rPr>
                <w:rFonts w:hint="eastAsia" w:ascii="宋体" w:hAnsi="宋体"/>
                <w:color w:val="000000"/>
                <w:shd w:val="clear" w:color="auto" w:fill="FFFFFF"/>
              </w:rPr>
              <w:t>间隔扩建工程利用站内已有的污水处理装置对施工期的生活污水进行处理。</w:t>
            </w:r>
          </w:p>
          <w:p w14:paraId="0D73543D">
            <w:pPr>
              <w:pStyle w:val="11"/>
              <w:rPr>
                <w:shd w:val="clear" w:color="auto" w:fill="FFFFFF"/>
              </w:rPr>
            </w:pPr>
            <w:r>
              <w:rPr>
                <w:rFonts w:ascii="宋体" w:hAnsi="宋体"/>
                <w:color w:val="000000"/>
                <w:shd w:val="clear" w:color="auto" w:fill="FFFFFF"/>
              </w:rPr>
              <w:t>输电线路施工人员就近租用民房，</w:t>
            </w:r>
            <w:r>
              <w:rPr>
                <w:color w:val="000000"/>
              </w:rPr>
              <w:t>不设置施工营地，</w:t>
            </w:r>
            <w:r>
              <w:rPr>
                <w:rFonts w:hint="eastAsia"/>
                <w:color w:val="000000"/>
                <w:lang w:val="en-US" w:eastAsia="zh-CN"/>
              </w:rPr>
              <w:t>沿线设置移动式环保厕所，</w:t>
            </w:r>
            <w:r>
              <w:rPr>
                <w:rFonts w:hint="eastAsia"/>
                <w:color w:val="000000"/>
              </w:rPr>
              <w:t>施工期生活污水通过移动环保厕所处置，并定期清运至就近生活污水处理厂</w:t>
            </w:r>
            <w:r>
              <w:rPr>
                <w:rFonts w:ascii="宋体" w:hAnsi="宋体"/>
                <w:color w:val="000000"/>
                <w:shd w:val="clear" w:color="auto" w:fill="FFFFFF"/>
              </w:rPr>
              <w:t>，不会对周围水环境产生影响。</w:t>
            </w:r>
            <w:r>
              <w:rPr>
                <w:rFonts w:ascii="宋体" w:hAnsi="宋体"/>
                <w:shd w:val="clear" w:color="auto" w:fill="FFFFFF"/>
              </w:rPr>
              <w:t>本工程施工期产生的少量施工废水经</w:t>
            </w:r>
            <w:r>
              <w:rPr>
                <w:rFonts w:hint="eastAsia" w:ascii="宋体" w:hAnsi="宋体"/>
                <w:shd w:val="clear" w:color="auto" w:fill="FFFFFF"/>
              </w:rPr>
              <w:t>沉砂沉淀处理后，</w:t>
            </w:r>
            <w:r>
              <w:rPr>
                <w:rFonts w:ascii="宋体" w:hAnsi="宋体"/>
                <w:shd w:val="clear" w:color="auto" w:fill="FFFFFF"/>
              </w:rPr>
              <w:t>回用于施工场地喷洒抑尘，不</w:t>
            </w:r>
            <w:r>
              <w:rPr>
                <w:rFonts w:hint="eastAsia" w:ascii="宋体" w:hAnsi="宋体"/>
                <w:shd w:val="clear" w:color="auto" w:fill="FFFFFF"/>
              </w:rPr>
              <w:t>直接</w:t>
            </w:r>
            <w:r>
              <w:rPr>
                <w:rFonts w:ascii="宋体" w:hAnsi="宋体"/>
                <w:shd w:val="clear" w:color="auto" w:fill="FFFFFF"/>
              </w:rPr>
              <w:t>外排，不会对周围水环境产生不良影响。</w:t>
            </w:r>
          </w:p>
          <w:p w14:paraId="5D641308">
            <w:pPr>
              <w:pStyle w:val="11"/>
              <w:numPr>
                <w:ilvl w:val="1"/>
                <w:numId w:val="15"/>
              </w:numPr>
              <w:ind w:firstLineChars="0"/>
              <w:rPr>
                <w:b/>
                <w:color w:val="000000"/>
                <w:kern w:val="0"/>
                <w:szCs w:val="21"/>
              </w:rPr>
            </w:pPr>
            <w:r>
              <w:rPr>
                <w:b/>
                <w:color w:val="000000"/>
                <w:kern w:val="0"/>
                <w:szCs w:val="21"/>
              </w:rPr>
              <w:t>施工期固体废弃物环境影响分析</w:t>
            </w:r>
          </w:p>
          <w:p w14:paraId="5840A305">
            <w:pPr>
              <w:pStyle w:val="11"/>
              <w:numPr>
                <w:ilvl w:val="2"/>
                <w:numId w:val="15"/>
              </w:numPr>
              <w:ind w:firstLineChars="0"/>
              <w:rPr>
                <w:b/>
                <w:color w:val="000000"/>
                <w:kern w:val="0"/>
                <w:szCs w:val="21"/>
              </w:rPr>
            </w:pPr>
            <w:r>
              <w:rPr>
                <w:b/>
                <w:color w:val="000000"/>
                <w:kern w:val="0"/>
                <w:szCs w:val="21"/>
              </w:rPr>
              <w:t>施工固废污染源</w:t>
            </w:r>
          </w:p>
          <w:p w14:paraId="42A973A8">
            <w:pPr>
              <w:pStyle w:val="11"/>
            </w:pPr>
            <w:r>
              <w:rPr>
                <w:rFonts w:hint="eastAsia" w:ascii="宋体" w:hAnsi="宋体"/>
                <w:shd w:val="clear" w:color="auto" w:fill="FFFFFF"/>
              </w:rPr>
              <w:t>变电站间隔扩建</w:t>
            </w:r>
            <w:r>
              <w:rPr>
                <w:rFonts w:hint="eastAsia"/>
                <w:szCs w:val="24"/>
              </w:rPr>
              <w:t>工程施工过程中可能会产生少量的材料包装垃圾等固体废物。</w:t>
            </w:r>
          </w:p>
          <w:p w14:paraId="7F868163">
            <w:pPr>
              <w:pStyle w:val="11"/>
            </w:pPr>
            <w:r>
              <w:t>输电线路工程施工期固体废物主要为</w:t>
            </w:r>
            <w:r>
              <w:rPr>
                <w:rFonts w:hint="eastAsia"/>
              </w:rPr>
              <w:t>铁塔</w:t>
            </w:r>
            <w:r>
              <w:t>基础</w:t>
            </w:r>
            <w:r>
              <w:rPr>
                <w:rFonts w:hint="eastAsia"/>
              </w:rPr>
              <w:t>施工产生的余土弃渣、建筑材料外包装以及少量的施工人员生活垃圾。</w:t>
            </w:r>
          </w:p>
          <w:p w14:paraId="7529671E">
            <w:pPr>
              <w:pStyle w:val="11"/>
              <w:numPr>
                <w:ilvl w:val="2"/>
                <w:numId w:val="15"/>
              </w:numPr>
              <w:ind w:firstLineChars="0"/>
              <w:rPr>
                <w:b/>
                <w:color w:val="000000"/>
                <w:kern w:val="0"/>
                <w:szCs w:val="21"/>
              </w:rPr>
            </w:pPr>
            <w:r>
              <w:rPr>
                <w:b/>
                <w:color w:val="000000"/>
                <w:kern w:val="0"/>
                <w:szCs w:val="21"/>
              </w:rPr>
              <w:t>施工期固体废弃物环境影响分析</w:t>
            </w:r>
          </w:p>
          <w:p w14:paraId="5FCD568F">
            <w:pPr>
              <w:pStyle w:val="11"/>
              <w:rPr>
                <w:color w:val="000000"/>
              </w:rPr>
            </w:pPr>
            <w:r>
              <w:rPr>
                <w:rFonts w:hint="eastAsia"/>
              </w:rPr>
              <w:t>本工程</w:t>
            </w:r>
            <w:r>
              <w:rPr>
                <w:rFonts w:hint="eastAsia" w:ascii="宋体" w:hAnsi="宋体"/>
                <w:shd w:val="clear" w:color="auto" w:fill="FFFFFF"/>
              </w:rPr>
              <w:t>变电站间隔扩建工程</w:t>
            </w:r>
            <w:r>
              <w:rPr>
                <w:rFonts w:hint="eastAsia"/>
              </w:rPr>
              <w:t>施工产生的少量固体废物利用站内已有收集装置集中收集。输电线路施工人员产生的少量生活垃圾现场随产随收，避免随意丢弃处置。因此，本工程施工期固体废物对周围环境影响较小</w:t>
            </w:r>
            <w:r>
              <w:rPr>
                <w:rFonts w:hint="eastAsia"/>
                <w:color w:val="000000"/>
              </w:rPr>
              <w:t>。</w:t>
            </w:r>
          </w:p>
          <w:p w14:paraId="2033EC20">
            <w:pPr>
              <w:pStyle w:val="11"/>
              <w:numPr>
                <w:ilvl w:val="1"/>
                <w:numId w:val="15"/>
              </w:numPr>
              <w:ind w:firstLineChars="0"/>
              <w:rPr>
                <w:b/>
                <w:color w:val="000000"/>
                <w:kern w:val="0"/>
                <w:szCs w:val="21"/>
              </w:rPr>
            </w:pPr>
            <w:r>
              <w:rPr>
                <w:b/>
                <w:color w:val="000000"/>
                <w:kern w:val="0"/>
                <w:szCs w:val="21"/>
              </w:rPr>
              <w:t>施工期声环境影响分析</w:t>
            </w:r>
          </w:p>
          <w:p w14:paraId="5AD8D95C">
            <w:pPr>
              <w:pStyle w:val="11"/>
              <w:numPr>
                <w:ilvl w:val="2"/>
                <w:numId w:val="15"/>
              </w:numPr>
              <w:ind w:firstLineChars="0"/>
              <w:rPr>
                <w:b/>
                <w:color w:val="000000"/>
                <w:kern w:val="0"/>
                <w:szCs w:val="21"/>
              </w:rPr>
            </w:pPr>
            <w:r>
              <w:rPr>
                <w:b/>
                <w:color w:val="000000"/>
                <w:kern w:val="0"/>
                <w:szCs w:val="21"/>
              </w:rPr>
              <w:t>噪声源</w:t>
            </w:r>
          </w:p>
          <w:p w14:paraId="6474F7FF">
            <w:pPr>
              <w:pStyle w:val="11"/>
              <w:rPr>
                <w:color w:val="000000"/>
              </w:rPr>
            </w:pPr>
            <w:r>
              <w:rPr>
                <w:color w:val="000000"/>
              </w:rPr>
              <w:t>变电站施工期在挖填方、基础施工、设备安装等阶段中，可能产生施工噪声对环境的影响。噪声源主要来源于各类施工机械的运转噪声，如挖掘机、混凝土搅拌机、汽车等，噪声水平为70dB</w:t>
            </w:r>
            <w:r>
              <w:rPr>
                <w:rFonts w:hint="eastAsia"/>
                <w:color w:val="000000"/>
              </w:rPr>
              <w:t>(</w:t>
            </w:r>
            <w:r>
              <w:rPr>
                <w:color w:val="000000"/>
              </w:rPr>
              <w:t>A</w:t>
            </w:r>
            <w:r>
              <w:rPr>
                <w:rFonts w:hint="eastAsia"/>
                <w:color w:val="000000"/>
              </w:rPr>
              <w:t>)</w:t>
            </w:r>
            <w:r>
              <w:rPr>
                <w:color w:val="000000"/>
              </w:rPr>
              <w:t>～85dB</w:t>
            </w:r>
            <w:r>
              <w:rPr>
                <w:rFonts w:hint="eastAsia"/>
                <w:color w:val="000000"/>
              </w:rPr>
              <w:t>(</w:t>
            </w:r>
            <w:r>
              <w:rPr>
                <w:color w:val="000000"/>
              </w:rPr>
              <w:t>A</w:t>
            </w:r>
            <w:r>
              <w:rPr>
                <w:rFonts w:hint="eastAsia"/>
                <w:color w:val="000000"/>
              </w:rPr>
              <w:t>)</w:t>
            </w:r>
            <w:r>
              <w:rPr>
                <w:color w:val="000000"/>
              </w:rPr>
              <w:t>。</w:t>
            </w:r>
          </w:p>
          <w:p w14:paraId="13D7EB29">
            <w:pPr>
              <w:pStyle w:val="11"/>
              <w:rPr>
                <w:color w:val="000000"/>
              </w:rPr>
            </w:pPr>
            <w:r>
              <w:t>输电线路工程塔基基础施工、铁塔组立和架线活动过程中，挖掘机、牵张机、绞磨机等机械施工噪声亦可能会对线路附近的敏感点产生影响。另外，在架线过程中，各牵张场内的牵张机、绞磨机等设备也产生一定的机械噪声，线路施工噪声源声级值一般为70</w:t>
            </w:r>
            <w:r>
              <w:rPr>
                <w:color w:val="000000"/>
              </w:rPr>
              <w:t>dB</w:t>
            </w:r>
            <w:r>
              <w:rPr>
                <w:rFonts w:hint="eastAsia"/>
                <w:color w:val="000000"/>
              </w:rPr>
              <w:t>(</w:t>
            </w:r>
            <w:r>
              <w:rPr>
                <w:color w:val="000000"/>
              </w:rPr>
              <w:t>A</w:t>
            </w:r>
            <w:r>
              <w:rPr>
                <w:rFonts w:hint="eastAsia"/>
                <w:color w:val="000000"/>
              </w:rPr>
              <w:t>)</w:t>
            </w:r>
            <w:r>
              <w:t>～80dB(A)</w:t>
            </w:r>
            <w:r>
              <w:rPr>
                <w:color w:val="000000"/>
              </w:rPr>
              <w:t>。</w:t>
            </w:r>
          </w:p>
          <w:p w14:paraId="3AA71C13">
            <w:pPr>
              <w:pStyle w:val="11"/>
              <w:numPr>
                <w:ilvl w:val="2"/>
                <w:numId w:val="15"/>
              </w:numPr>
              <w:ind w:firstLineChars="0"/>
              <w:rPr>
                <w:b/>
                <w:color w:val="000000"/>
                <w:kern w:val="0"/>
                <w:szCs w:val="21"/>
              </w:rPr>
            </w:pPr>
            <w:r>
              <w:rPr>
                <w:b/>
                <w:color w:val="000000"/>
                <w:kern w:val="0"/>
                <w:szCs w:val="21"/>
              </w:rPr>
              <w:t>施工期声环境影响分析</w:t>
            </w:r>
          </w:p>
          <w:p w14:paraId="5562D2F7">
            <w:pPr>
              <w:pStyle w:val="11"/>
              <w:rPr>
                <w:color w:val="000000"/>
              </w:rPr>
            </w:pPr>
            <w:r>
              <w:rPr>
                <w:color w:val="000000"/>
              </w:rPr>
              <w:t>（1）变电站工程声环境影响分析</w:t>
            </w:r>
          </w:p>
          <w:p w14:paraId="03D6D247">
            <w:pPr>
              <w:pStyle w:val="11"/>
              <w:rPr>
                <w:color w:val="000000"/>
              </w:rPr>
            </w:pPr>
            <w:r>
              <w:rPr>
                <w:color w:val="000000"/>
              </w:rPr>
              <w:t>施工期噪声预测计算公式如下：</w:t>
            </w:r>
          </w:p>
          <w:p w14:paraId="3D026DDE">
            <w:pPr>
              <w:pStyle w:val="11"/>
              <w:jc w:val="center"/>
              <w:rPr>
                <w:color w:val="000000"/>
              </w:rPr>
            </w:pPr>
            <w:r>
              <w:rPr>
                <w:color w:val="000000"/>
              </w:rPr>
              <w:object>
                <v:shape id="_x0000_i1025" o:spt="75" type="#_x0000_t75" style="height:37.5pt;width:82.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14:paraId="3AB516A9">
            <w:pPr>
              <w:pStyle w:val="11"/>
              <w:rPr>
                <w:color w:val="000000"/>
              </w:rPr>
            </w:pPr>
            <w:r>
              <w:rPr>
                <w:color w:val="000000"/>
              </w:rPr>
              <w:t>式中，L</w:t>
            </w:r>
            <w:r>
              <w:rPr>
                <w:color w:val="000000"/>
                <w:vertAlign w:val="subscript"/>
              </w:rPr>
              <w:t>1</w:t>
            </w:r>
            <w:r>
              <w:rPr>
                <w:color w:val="000000"/>
              </w:rPr>
              <w:t>、L</w:t>
            </w:r>
            <w:r>
              <w:rPr>
                <w:color w:val="000000"/>
                <w:vertAlign w:val="subscript"/>
              </w:rPr>
              <w:t>2</w:t>
            </w:r>
            <w:r>
              <w:rPr>
                <w:color w:val="000000"/>
              </w:rPr>
              <w:t>－为与声源相距r</w:t>
            </w:r>
            <w:r>
              <w:rPr>
                <w:color w:val="000000"/>
                <w:vertAlign w:val="subscript"/>
              </w:rPr>
              <w:t>1</w:t>
            </w:r>
            <w:r>
              <w:rPr>
                <w:color w:val="000000"/>
              </w:rPr>
              <w:t>、r</w:t>
            </w:r>
            <w:r>
              <w:rPr>
                <w:color w:val="000000"/>
                <w:vertAlign w:val="subscript"/>
              </w:rPr>
              <w:t>2</w:t>
            </w:r>
            <w:r>
              <w:rPr>
                <w:color w:val="000000"/>
              </w:rPr>
              <w:t>处的施工噪声级，dB</w:t>
            </w:r>
            <w:r>
              <w:rPr>
                <w:rFonts w:hint="eastAsia"/>
                <w:color w:val="000000"/>
              </w:rPr>
              <w:t>(</w:t>
            </w:r>
            <w:r>
              <w:rPr>
                <w:color w:val="000000"/>
              </w:rPr>
              <w:t>A</w:t>
            </w:r>
            <w:r>
              <w:rPr>
                <w:rFonts w:hint="eastAsia"/>
                <w:color w:val="000000"/>
              </w:rPr>
              <w:t>)</w:t>
            </w:r>
            <w:r>
              <w:rPr>
                <w:color w:val="000000"/>
              </w:rPr>
              <w:t>。</w:t>
            </w:r>
          </w:p>
          <w:p w14:paraId="1AEF0495">
            <w:pPr>
              <w:pStyle w:val="11"/>
              <w:rPr>
                <w:rFonts w:hint="eastAsia"/>
                <w:color w:val="000000"/>
              </w:rPr>
            </w:pPr>
            <w:r>
              <w:rPr>
                <w:color w:val="000000"/>
              </w:rPr>
              <w:t>取最大施工噪声源值85dB</w:t>
            </w:r>
            <w:r>
              <w:rPr>
                <w:rFonts w:hint="eastAsia"/>
                <w:color w:val="000000"/>
              </w:rPr>
              <w:t>(</w:t>
            </w:r>
            <w:r>
              <w:rPr>
                <w:color w:val="000000"/>
              </w:rPr>
              <w:t>A</w:t>
            </w:r>
            <w:r>
              <w:rPr>
                <w:rFonts w:hint="eastAsia"/>
                <w:color w:val="000000"/>
              </w:rPr>
              <w:t>)</w:t>
            </w:r>
            <w:r>
              <w:rPr>
                <w:color w:val="000000"/>
              </w:rPr>
              <w:t>对变电站施工场界噪声环境贡献值进行预测，预测结果见</w:t>
            </w:r>
            <w:r>
              <w:rPr>
                <w:b w:val="0"/>
                <w:bCs w:val="0"/>
                <w:color w:val="000000"/>
                <w:szCs w:val="24"/>
              </w:rPr>
              <w:fldChar w:fldCharType="begin"/>
            </w:r>
            <w:r>
              <w:rPr>
                <w:b w:val="0"/>
                <w:bCs w:val="0"/>
                <w:color w:val="000000"/>
                <w:szCs w:val="24"/>
              </w:rPr>
              <w:instrText xml:space="preserve"> REF _Ref183011017 \h </w:instrText>
            </w:r>
            <w:r>
              <w:rPr>
                <w:b w:val="0"/>
                <w:bCs w:val="0"/>
                <w:color w:val="000000"/>
                <w:szCs w:val="24"/>
              </w:rPr>
              <w:fldChar w:fldCharType="separate"/>
            </w:r>
            <w:r>
              <w:rPr>
                <w:rFonts w:hint="eastAsia" w:ascii="Times New Roman" w:hAnsi="Times New Roman"/>
                <w:b w:val="0"/>
                <w:bCs w:val="0"/>
              </w:rPr>
              <w:t>表 19</w:t>
            </w:r>
            <w:r>
              <w:rPr>
                <w:b w:val="0"/>
                <w:bCs w:val="0"/>
                <w:color w:val="000000"/>
                <w:szCs w:val="24"/>
              </w:rPr>
              <w:fldChar w:fldCharType="end"/>
            </w:r>
            <w:r>
              <w:rPr>
                <w:rFonts w:hint="eastAsia"/>
                <w:color w:val="000000"/>
              </w:rPr>
              <w:t>。</w:t>
            </w:r>
          </w:p>
          <w:p w14:paraId="401ABF51">
            <w:pPr>
              <w:pStyle w:val="11"/>
              <w:rPr>
                <w:rFonts w:hint="eastAsia"/>
                <w:color w:val="000000"/>
              </w:rPr>
            </w:pPr>
          </w:p>
          <w:p w14:paraId="4DAF9334">
            <w:pPr>
              <w:pStyle w:val="9"/>
              <w:jc w:val="left"/>
              <w:rPr>
                <w:rFonts w:ascii="黑体" w:hAnsi="黑体"/>
                <w:color w:val="000000"/>
              </w:rPr>
            </w:pPr>
            <w:bookmarkStart w:id="692" w:name="_Ref183011017"/>
            <w:r>
              <w:rPr>
                <w:rFonts w:hint="eastAsia" w:ascii="Times New Roman" w:hAnsi="Times New Roman"/>
                <w:b/>
                <w:bCs/>
              </w:rPr>
              <w:t xml:space="preserve">表 </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SEQ 表 \* ARABIC</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19</w:t>
            </w:r>
            <w:r>
              <w:rPr>
                <w:rFonts w:ascii="Times New Roman" w:hAnsi="Times New Roman"/>
                <w:b/>
                <w:bCs/>
              </w:rPr>
              <w:fldChar w:fldCharType="end"/>
            </w:r>
            <w:bookmarkEnd w:id="692"/>
            <w:r>
              <w:rPr>
                <w:rFonts w:hint="eastAsia" w:ascii="Times New Roman" w:hAnsi="Times New Roman"/>
                <w:b/>
                <w:bCs/>
              </w:rPr>
              <w:t xml:space="preserve">                 </w:t>
            </w:r>
            <w:r>
              <w:rPr>
                <w:rFonts w:ascii="Times New Roman" w:hAnsi="Times New Roman"/>
                <w:b/>
                <w:bCs/>
                <w:color w:val="000000"/>
              </w:rPr>
              <w:t>施工噪声源对变电站施工场界噪声贡献值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9"/>
              <w:gridCol w:w="654"/>
              <w:gridCol w:w="656"/>
              <w:gridCol w:w="656"/>
              <w:gridCol w:w="656"/>
              <w:gridCol w:w="656"/>
              <w:gridCol w:w="673"/>
              <w:gridCol w:w="642"/>
            </w:tblGrid>
            <w:tr w14:paraId="7C9E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14:paraId="2FA74224">
                  <w:pPr>
                    <w:pStyle w:val="73"/>
                    <w:rPr>
                      <w:color w:val="000000"/>
                      <w:szCs w:val="21"/>
                    </w:rPr>
                  </w:pPr>
                  <w:r>
                    <w:rPr>
                      <w:color w:val="000000"/>
                      <w:szCs w:val="21"/>
                    </w:rPr>
                    <w:t>距变电站场界外距离(m)</w:t>
                  </w:r>
                </w:p>
              </w:tc>
              <w:tc>
                <w:tcPr>
                  <w:tcW w:w="655" w:type="dxa"/>
                  <w:vAlign w:val="center"/>
                </w:tcPr>
                <w:p w14:paraId="0CF6826B">
                  <w:pPr>
                    <w:pStyle w:val="73"/>
                    <w:rPr>
                      <w:color w:val="000000"/>
                      <w:szCs w:val="21"/>
                    </w:rPr>
                  </w:pPr>
                  <w:r>
                    <w:rPr>
                      <w:rFonts w:hint="eastAsia"/>
                      <w:color w:val="000000"/>
                      <w:szCs w:val="21"/>
                    </w:rPr>
                    <w:t>1</w:t>
                  </w:r>
                </w:p>
              </w:tc>
              <w:tc>
                <w:tcPr>
                  <w:tcW w:w="656" w:type="dxa"/>
                  <w:vAlign w:val="center"/>
                </w:tcPr>
                <w:p w14:paraId="1C3BF59A">
                  <w:pPr>
                    <w:pStyle w:val="73"/>
                    <w:rPr>
                      <w:color w:val="000000"/>
                      <w:szCs w:val="21"/>
                    </w:rPr>
                  </w:pPr>
                  <w:r>
                    <w:rPr>
                      <w:color w:val="000000"/>
                      <w:szCs w:val="21"/>
                    </w:rPr>
                    <w:t>10</w:t>
                  </w:r>
                </w:p>
              </w:tc>
              <w:tc>
                <w:tcPr>
                  <w:tcW w:w="656" w:type="dxa"/>
                  <w:vAlign w:val="center"/>
                </w:tcPr>
                <w:p w14:paraId="636CBFF7">
                  <w:pPr>
                    <w:pStyle w:val="73"/>
                    <w:rPr>
                      <w:color w:val="000000"/>
                      <w:szCs w:val="21"/>
                    </w:rPr>
                  </w:pPr>
                  <w:r>
                    <w:rPr>
                      <w:color w:val="000000"/>
                      <w:szCs w:val="21"/>
                    </w:rPr>
                    <w:t>15</w:t>
                  </w:r>
                </w:p>
              </w:tc>
              <w:tc>
                <w:tcPr>
                  <w:tcW w:w="656" w:type="dxa"/>
                  <w:vAlign w:val="center"/>
                </w:tcPr>
                <w:p w14:paraId="69A19FDF">
                  <w:pPr>
                    <w:pStyle w:val="73"/>
                    <w:rPr>
                      <w:color w:val="000000"/>
                      <w:szCs w:val="21"/>
                    </w:rPr>
                  </w:pPr>
                  <w:r>
                    <w:rPr>
                      <w:color w:val="000000"/>
                      <w:szCs w:val="21"/>
                    </w:rPr>
                    <w:t>30</w:t>
                  </w:r>
                </w:p>
              </w:tc>
              <w:tc>
                <w:tcPr>
                  <w:tcW w:w="656" w:type="dxa"/>
                  <w:vAlign w:val="center"/>
                </w:tcPr>
                <w:p w14:paraId="41E3EAA1">
                  <w:pPr>
                    <w:pStyle w:val="73"/>
                    <w:rPr>
                      <w:color w:val="000000"/>
                      <w:szCs w:val="21"/>
                    </w:rPr>
                  </w:pPr>
                  <w:r>
                    <w:rPr>
                      <w:color w:val="000000"/>
                      <w:szCs w:val="21"/>
                    </w:rPr>
                    <w:t>80</w:t>
                  </w:r>
                </w:p>
              </w:tc>
              <w:tc>
                <w:tcPr>
                  <w:tcW w:w="673" w:type="dxa"/>
                  <w:vAlign w:val="center"/>
                </w:tcPr>
                <w:p w14:paraId="0AB96B81">
                  <w:pPr>
                    <w:pStyle w:val="73"/>
                    <w:rPr>
                      <w:color w:val="000000"/>
                      <w:szCs w:val="21"/>
                    </w:rPr>
                  </w:pPr>
                  <w:r>
                    <w:rPr>
                      <w:color w:val="000000"/>
                      <w:szCs w:val="21"/>
                    </w:rPr>
                    <w:t>100</w:t>
                  </w:r>
                </w:p>
              </w:tc>
              <w:tc>
                <w:tcPr>
                  <w:tcW w:w="642" w:type="dxa"/>
                  <w:vAlign w:val="center"/>
                </w:tcPr>
                <w:p w14:paraId="2AD9458B">
                  <w:pPr>
                    <w:pStyle w:val="73"/>
                    <w:rPr>
                      <w:color w:val="000000"/>
                      <w:szCs w:val="21"/>
                    </w:rPr>
                  </w:pPr>
                  <w:r>
                    <w:rPr>
                      <w:color w:val="000000"/>
                      <w:szCs w:val="21"/>
                    </w:rPr>
                    <w:t>150</w:t>
                  </w:r>
                </w:p>
              </w:tc>
            </w:tr>
            <w:tr w14:paraId="15EA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14:paraId="06653B40">
                  <w:pPr>
                    <w:pStyle w:val="73"/>
                    <w:rPr>
                      <w:color w:val="000000"/>
                      <w:szCs w:val="21"/>
                    </w:rPr>
                  </w:pPr>
                  <w:r>
                    <w:rPr>
                      <w:color w:val="000000"/>
                      <w:szCs w:val="21"/>
                    </w:rPr>
                    <w:t>设置拦挡设施噪声贡献值dB(A)</w:t>
                  </w:r>
                </w:p>
              </w:tc>
              <w:tc>
                <w:tcPr>
                  <w:tcW w:w="655" w:type="dxa"/>
                  <w:vAlign w:val="center"/>
                </w:tcPr>
                <w:p w14:paraId="77974AA8">
                  <w:pPr>
                    <w:pStyle w:val="73"/>
                    <w:rPr>
                      <w:color w:val="000000"/>
                      <w:szCs w:val="21"/>
                    </w:rPr>
                  </w:pPr>
                  <w:r>
                    <w:rPr>
                      <w:rFonts w:hint="eastAsia"/>
                      <w:color w:val="000000"/>
                      <w:szCs w:val="21"/>
                    </w:rPr>
                    <w:t>64</w:t>
                  </w:r>
                </w:p>
              </w:tc>
              <w:tc>
                <w:tcPr>
                  <w:tcW w:w="656" w:type="dxa"/>
                  <w:vAlign w:val="center"/>
                </w:tcPr>
                <w:p w14:paraId="24ECB075">
                  <w:pPr>
                    <w:pStyle w:val="73"/>
                    <w:rPr>
                      <w:color w:val="000000"/>
                      <w:szCs w:val="21"/>
                    </w:rPr>
                  </w:pPr>
                  <w:r>
                    <w:rPr>
                      <w:color w:val="000000"/>
                      <w:szCs w:val="21"/>
                    </w:rPr>
                    <w:t>56</w:t>
                  </w:r>
                </w:p>
              </w:tc>
              <w:tc>
                <w:tcPr>
                  <w:tcW w:w="656" w:type="dxa"/>
                  <w:vAlign w:val="center"/>
                </w:tcPr>
                <w:p w14:paraId="6AC79CB7">
                  <w:pPr>
                    <w:pStyle w:val="73"/>
                    <w:rPr>
                      <w:color w:val="000000"/>
                      <w:szCs w:val="21"/>
                    </w:rPr>
                  </w:pPr>
                  <w:r>
                    <w:rPr>
                      <w:color w:val="000000"/>
                      <w:szCs w:val="21"/>
                    </w:rPr>
                    <w:t>54</w:t>
                  </w:r>
                </w:p>
              </w:tc>
              <w:tc>
                <w:tcPr>
                  <w:tcW w:w="656" w:type="dxa"/>
                  <w:vAlign w:val="center"/>
                </w:tcPr>
                <w:p w14:paraId="7B762DBF">
                  <w:pPr>
                    <w:pStyle w:val="73"/>
                    <w:rPr>
                      <w:color w:val="000000"/>
                      <w:szCs w:val="21"/>
                    </w:rPr>
                  </w:pPr>
                  <w:r>
                    <w:rPr>
                      <w:color w:val="000000"/>
                      <w:szCs w:val="21"/>
                    </w:rPr>
                    <w:t>49</w:t>
                  </w:r>
                </w:p>
              </w:tc>
              <w:tc>
                <w:tcPr>
                  <w:tcW w:w="656" w:type="dxa"/>
                  <w:vAlign w:val="center"/>
                </w:tcPr>
                <w:p w14:paraId="3CF5F1AD">
                  <w:pPr>
                    <w:pStyle w:val="73"/>
                    <w:rPr>
                      <w:color w:val="000000"/>
                      <w:szCs w:val="21"/>
                    </w:rPr>
                  </w:pPr>
                  <w:r>
                    <w:rPr>
                      <w:color w:val="000000"/>
                      <w:szCs w:val="21"/>
                    </w:rPr>
                    <w:t>41</w:t>
                  </w:r>
                </w:p>
              </w:tc>
              <w:tc>
                <w:tcPr>
                  <w:tcW w:w="673" w:type="dxa"/>
                  <w:vAlign w:val="center"/>
                </w:tcPr>
                <w:p w14:paraId="3384FFB9">
                  <w:pPr>
                    <w:pStyle w:val="73"/>
                    <w:rPr>
                      <w:color w:val="000000"/>
                      <w:szCs w:val="21"/>
                    </w:rPr>
                  </w:pPr>
                  <w:r>
                    <w:rPr>
                      <w:color w:val="000000"/>
                      <w:szCs w:val="21"/>
                    </w:rPr>
                    <w:t>40</w:t>
                  </w:r>
                </w:p>
              </w:tc>
              <w:tc>
                <w:tcPr>
                  <w:tcW w:w="642" w:type="dxa"/>
                  <w:vAlign w:val="center"/>
                </w:tcPr>
                <w:p w14:paraId="4CA4AC5D">
                  <w:pPr>
                    <w:pStyle w:val="73"/>
                    <w:rPr>
                      <w:color w:val="000000"/>
                      <w:szCs w:val="21"/>
                    </w:rPr>
                  </w:pPr>
                  <w:r>
                    <w:rPr>
                      <w:color w:val="000000"/>
                      <w:szCs w:val="21"/>
                    </w:rPr>
                    <w:t>36</w:t>
                  </w:r>
                </w:p>
              </w:tc>
            </w:tr>
            <w:tr w14:paraId="6586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14:paraId="2465012E">
                  <w:pPr>
                    <w:pStyle w:val="73"/>
                    <w:rPr>
                      <w:color w:val="000000"/>
                      <w:szCs w:val="21"/>
                    </w:rPr>
                  </w:pPr>
                  <w:r>
                    <w:rPr>
                      <w:color w:val="000000"/>
                      <w:szCs w:val="21"/>
                    </w:rPr>
                    <w:t>施工场界噪声标准dB(A)</w:t>
                  </w:r>
                </w:p>
              </w:tc>
              <w:tc>
                <w:tcPr>
                  <w:tcW w:w="4594" w:type="dxa"/>
                  <w:gridSpan w:val="7"/>
                  <w:vAlign w:val="center"/>
                </w:tcPr>
                <w:p w14:paraId="59E42955">
                  <w:pPr>
                    <w:pStyle w:val="73"/>
                    <w:rPr>
                      <w:color w:val="000000"/>
                      <w:szCs w:val="21"/>
                    </w:rPr>
                  </w:pPr>
                  <w:r>
                    <w:rPr>
                      <w:color w:val="000000"/>
                      <w:szCs w:val="21"/>
                    </w:rPr>
                    <w:t>昼间70，夜间55</w:t>
                  </w:r>
                </w:p>
              </w:tc>
            </w:tr>
          </w:tbl>
          <w:p w14:paraId="48E85F09">
            <w:pPr>
              <w:pStyle w:val="9"/>
              <w:rPr>
                <w:rFonts w:ascii="Times New Roman" w:hAnsi="Times New Roman" w:eastAsia="宋体"/>
                <w:color w:val="000000"/>
              </w:rPr>
            </w:pPr>
            <w:r>
              <w:rPr>
                <w:rFonts w:ascii="Times New Roman" w:hAnsi="Times New Roman" w:eastAsia="宋体"/>
                <w:color w:val="000000"/>
              </w:rPr>
              <w:t>注：按最不利情况假设施工设备距场界5m。</w:t>
            </w:r>
          </w:p>
          <w:p w14:paraId="1C9A5762">
            <w:pPr>
              <w:pStyle w:val="11"/>
              <w:spacing w:before="120" w:beforeLines="50"/>
              <w:rPr>
                <w:color w:val="000000"/>
              </w:rPr>
            </w:pPr>
            <w:r>
              <w:rPr>
                <w:rFonts w:hint="eastAsia"/>
              </w:rPr>
              <w:t>由</w:t>
            </w:r>
            <w:r>
              <w:rPr>
                <w:b w:val="0"/>
                <w:bCs w:val="0"/>
              </w:rPr>
              <w:fldChar w:fldCharType="begin"/>
            </w:r>
            <w:r>
              <w:rPr>
                <w:b w:val="0"/>
                <w:bCs w:val="0"/>
              </w:rPr>
              <w:instrText xml:space="preserve"> </w:instrText>
            </w:r>
            <w:r>
              <w:rPr>
                <w:rFonts w:hint="eastAsia"/>
                <w:b w:val="0"/>
                <w:bCs w:val="0"/>
              </w:rPr>
              <w:instrText xml:space="preserve">REF _Ref183011017 \h</w:instrText>
            </w:r>
            <w:r>
              <w:rPr>
                <w:b w:val="0"/>
                <w:bCs w:val="0"/>
              </w:rPr>
              <w:instrText xml:space="preserve"> </w:instrText>
            </w:r>
            <w:r>
              <w:rPr>
                <w:b w:val="0"/>
                <w:bCs w:val="0"/>
              </w:rPr>
              <w:fldChar w:fldCharType="separate"/>
            </w:r>
            <w:r>
              <w:rPr>
                <w:rFonts w:hint="eastAsia" w:ascii="Times New Roman" w:hAnsi="Times New Roman"/>
                <w:b w:val="0"/>
                <w:bCs w:val="0"/>
              </w:rPr>
              <w:t>表 19</w:t>
            </w:r>
            <w:r>
              <w:rPr>
                <w:b w:val="0"/>
                <w:bCs w:val="0"/>
              </w:rPr>
              <w:fldChar w:fldCharType="end"/>
            </w:r>
            <w:r>
              <w:rPr>
                <w:rFonts w:hint="eastAsia"/>
              </w:rPr>
              <w:t>可知，</w:t>
            </w:r>
            <w:r>
              <w:rPr>
                <w:rFonts w:hint="eastAsia"/>
                <w:color w:val="000000"/>
              </w:rPr>
              <w:t>施工区设置围墙后，施工活动对场界噪声贡献值可降至64dB(A)，满足《建筑施工场界环境噪声排放标准》（GB12523-2011）中建筑施工场界环境噪声排放限值昼间70dB(A)排放限值的要求，但夜间均不能满足55dB(A)排放限值的要求。根据《中华人民共和国噪声污染防治法》第四十一条：在噪声敏感建筑物集中区域施工作业，应当优先使用低噪声施工工艺和设备</w:t>
            </w:r>
            <w:r>
              <w:rPr>
                <w:rFonts w:hint="eastAsia"/>
                <w:color w:val="000000"/>
                <w:lang w:eastAsia="zh-CN"/>
              </w:rPr>
              <w:t>；</w:t>
            </w:r>
            <w:r>
              <w:rPr>
                <w:rFonts w:hint="eastAsia"/>
                <w:color w:val="000000"/>
              </w:rPr>
              <w:t>第四十三条：在噪声敏感建筑物集中区域，禁止夜间进行产生噪声的建筑施工作业，但抢修、抢险施工作业，因生产工艺要求或者其他特殊需要必须连续施工作业的除外。因特殊需要必须连续施工作业的，应当取得区住房城乡建设部门发放的《建设工程夜间施工证明》，并在施工现场显著位置公示或者以其他方式公告附近居民。施工过程中应采取必要的噪声防护措施，如合理安排施工时间，尽量避免夜间施工等，减少对外环境的影响。一旦施工活动结束，施工噪声影响也就随之消除，变电站施工对站址周围的声环境影响是短暂的、可逆的，随着施工期的结束，其对环境的影响也将随之消失。</w:t>
            </w:r>
          </w:p>
          <w:p w14:paraId="00A1AE2C">
            <w:pPr>
              <w:pStyle w:val="11"/>
            </w:pPr>
            <w:r>
              <w:rPr>
                <w:rFonts w:hint="eastAsia"/>
              </w:rPr>
              <w:t>（2）</w:t>
            </w:r>
            <w:r>
              <w:rPr>
                <w:color w:val="000000"/>
              </w:rPr>
              <w:t>输电线路声环境影响分析</w:t>
            </w:r>
          </w:p>
          <w:p w14:paraId="4C3F56DC">
            <w:pPr>
              <w:pStyle w:val="11"/>
              <w:rPr>
                <w:color w:val="000000"/>
              </w:rPr>
            </w:pPr>
            <w:r>
              <w:t>输电线路工程塔基基础施工、铁塔组立和架线活动过程中，挖掘机、牵张机、绞磨机等机械施工噪声亦可能会对线路附近的敏感点产生影响。但由于本工程塔基占地分散、单塔面积小、开挖量小，施工时间短，且夜间一般不进行施工作业，对环境的影响是小范围的、短暂的，并随着施工期的结束，其对环境的影响也将随之消失，故对声环境影响较小</w:t>
            </w:r>
            <w:r>
              <w:rPr>
                <w:color w:val="000000"/>
              </w:rPr>
              <w:t>。</w:t>
            </w:r>
          </w:p>
          <w:p w14:paraId="51725913">
            <w:pPr>
              <w:pStyle w:val="11"/>
              <w:numPr>
                <w:ilvl w:val="1"/>
                <w:numId w:val="15"/>
              </w:numPr>
              <w:ind w:firstLineChars="0"/>
              <w:rPr>
                <w:b/>
                <w:color w:val="000000"/>
                <w:kern w:val="0"/>
                <w:szCs w:val="21"/>
              </w:rPr>
            </w:pPr>
            <w:r>
              <w:rPr>
                <w:b/>
                <w:color w:val="000000"/>
                <w:kern w:val="0"/>
                <w:szCs w:val="21"/>
              </w:rPr>
              <w:t>施工期环境影响分析小结</w:t>
            </w:r>
          </w:p>
          <w:p w14:paraId="175DB90D">
            <w:pPr>
              <w:pStyle w:val="11"/>
              <w:rPr>
                <w:color w:val="000000"/>
                <w:highlight w:val="yellow"/>
              </w:rPr>
            </w:pPr>
            <w:r>
              <w:rPr>
                <w:color w:val="000000"/>
              </w:rPr>
              <w:t>综上所述，本工程在施工期的环境影响是短暂的、可逆的，随着施工期的结束而消失，工程施工期对周围环境的影响可以接受。</w:t>
            </w:r>
          </w:p>
        </w:tc>
      </w:tr>
      <w:tr w14:paraId="75747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97" w:type="dxa"/>
            <w:vAlign w:val="center"/>
          </w:tcPr>
          <w:p w14:paraId="1BF7735C">
            <w:pPr>
              <w:pStyle w:val="31"/>
              <w:adjustRightInd w:val="0"/>
              <w:snapToGrid w:val="0"/>
              <w:spacing w:before="0" w:beforeAutospacing="0" w:after="0" w:afterAutospacing="0"/>
              <w:jc w:val="center"/>
              <w:rPr>
                <w:rFonts w:ascii="Times New Roman" w:hAnsi="Times New Roman"/>
                <w:b/>
                <w:bCs/>
                <w:color w:val="000000"/>
                <w:kern w:val="2"/>
                <w:sz w:val="21"/>
                <w:szCs w:val="21"/>
                <w:highlight w:val="yellow"/>
              </w:rPr>
            </w:pPr>
            <w:r>
              <w:rPr>
                <w:rFonts w:ascii="Times New Roman" w:hAnsi="Times New Roman"/>
                <w:b/>
                <w:bCs/>
                <w:color w:val="000000"/>
                <w:spacing w:val="10"/>
                <w:kern w:val="2"/>
                <w:szCs w:val="24"/>
              </w:rPr>
              <w:t>运行期生态环境影响分析</w:t>
            </w:r>
          </w:p>
        </w:tc>
        <w:tc>
          <w:tcPr>
            <w:tcW w:w="8528" w:type="dxa"/>
          </w:tcPr>
          <w:p w14:paraId="1EF8F01E">
            <w:pPr>
              <w:pStyle w:val="11"/>
              <w:numPr>
                <w:ilvl w:val="0"/>
                <w:numId w:val="16"/>
              </w:numPr>
              <w:ind w:firstLineChars="0"/>
              <w:rPr>
                <w:b/>
                <w:color w:val="000000"/>
                <w:kern w:val="0"/>
                <w:szCs w:val="21"/>
              </w:rPr>
            </w:pPr>
            <w:r>
              <w:rPr>
                <w:rFonts w:hint="eastAsia"/>
                <w:b/>
                <w:color w:val="000000"/>
                <w:kern w:val="0"/>
                <w:szCs w:val="21"/>
              </w:rPr>
              <w:t>产污</w:t>
            </w:r>
            <w:r>
              <w:rPr>
                <w:b/>
                <w:color w:val="000000"/>
                <w:kern w:val="0"/>
                <w:szCs w:val="21"/>
              </w:rPr>
              <w:t>环节分析</w:t>
            </w:r>
          </w:p>
          <w:p w14:paraId="3EF9BACE">
            <w:pPr>
              <w:pStyle w:val="11"/>
              <w:rPr>
                <w:color w:val="000000"/>
              </w:rPr>
            </w:pPr>
            <w:r>
              <w:rPr>
                <w:color w:val="000000"/>
              </w:rPr>
              <w:t>输变电工程运行期只是进行电能电压的转变和电能的输送，其产生的污染影响因子主要为工频电场、工频磁场以及噪声</w:t>
            </w:r>
            <w:r>
              <w:rPr>
                <w:rFonts w:hint="eastAsia"/>
                <w:color w:val="000000"/>
              </w:rPr>
              <w:t>；</w:t>
            </w:r>
            <w:r>
              <w:rPr>
                <w:color w:val="000000"/>
              </w:rPr>
              <w:t>同时变电站主变事故、检修产生的废油可能造成漏油环境风险。</w:t>
            </w:r>
            <w:r>
              <w:rPr>
                <w:rFonts w:hint="eastAsia"/>
                <w:color w:val="000000"/>
              </w:rPr>
              <w:t>变电站</w:t>
            </w:r>
            <w:r>
              <w:rPr>
                <w:color w:val="000000"/>
              </w:rPr>
              <w:t>运行期产污环节见</w:t>
            </w:r>
            <w:r>
              <w:rPr>
                <w:color w:val="000000"/>
              </w:rPr>
              <w:fldChar w:fldCharType="begin"/>
            </w:r>
            <w:r>
              <w:rPr>
                <w:color w:val="000000"/>
              </w:rPr>
              <w:instrText xml:space="preserve"> REF _Ref15194 \h  \* MERGEFORMAT </w:instrText>
            </w:r>
            <w:r>
              <w:rPr>
                <w:color w:val="000000"/>
              </w:rPr>
              <w:fldChar w:fldCharType="separate"/>
            </w:r>
            <w:r>
              <w:rPr>
                <w:color w:val="000000"/>
              </w:rPr>
              <w:t>图 9</w:t>
            </w:r>
            <w:r>
              <w:rPr>
                <w:color w:val="000000"/>
              </w:rPr>
              <w:fldChar w:fldCharType="end"/>
            </w:r>
            <w:r>
              <w:rPr>
                <w:color w:val="000000"/>
              </w:rPr>
              <w:t>，架空输电线路运行期产污环节参见</w:t>
            </w:r>
            <w:r>
              <w:rPr>
                <w:color w:val="000000"/>
              </w:rPr>
              <w:fldChar w:fldCharType="begin"/>
            </w:r>
            <w:r>
              <w:rPr>
                <w:color w:val="000000"/>
              </w:rPr>
              <w:instrText xml:space="preserve"> REF _Ref157204921 \h  \* MERGEFORMAT </w:instrText>
            </w:r>
            <w:r>
              <w:rPr>
                <w:color w:val="000000"/>
              </w:rPr>
              <w:fldChar w:fldCharType="separate"/>
            </w:r>
            <w:r>
              <w:rPr>
                <w:color w:val="000000"/>
              </w:rPr>
              <w:t>图 10</w:t>
            </w:r>
            <w:r>
              <w:rPr>
                <w:color w:val="000000"/>
              </w:rPr>
              <w:fldChar w:fldCharType="end"/>
            </w:r>
            <w:r>
              <w:rPr>
                <w:rFonts w:hint="eastAsia"/>
                <w:color w:val="000000"/>
              </w:rPr>
              <w:t>。</w:t>
            </w:r>
          </w:p>
          <w:p w14:paraId="4B6591C1">
            <w:pPr>
              <w:pStyle w:val="11"/>
              <w:spacing w:line="240" w:lineRule="auto"/>
              <w:ind w:firstLine="0" w:firstLineChars="0"/>
              <w:jc w:val="center"/>
              <w:rPr>
                <w:color w:val="000000"/>
              </w:rPr>
            </w:pPr>
            <w:r>
              <w:drawing>
                <wp:inline distT="0" distB="0" distL="0" distR="0">
                  <wp:extent cx="2580005" cy="2758440"/>
                  <wp:effectExtent l="0" t="0" r="10795" b="3810"/>
                  <wp:docPr id="214041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1110" name="图片 1"/>
                          <pic:cNvPicPr>
                            <a:picLocks noChangeAspect="1"/>
                          </pic:cNvPicPr>
                        </pic:nvPicPr>
                        <pic:blipFill>
                          <a:blip r:embed="rId24"/>
                          <a:srcRect l="26482" t="14132" r="21329" b="17319"/>
                          <a:stretch>
                            <a:fillRect/>
                          </a:stretch>
                        </pic:blipFill>
                        <pic:spPr>
                          <a:xfrm>
                            <a:off x="0" y="0"/>
                            <a:ext cx="2580005" cy="2758440"/>
                          </a:xfrm>
                          <a:prstGeom prst="rect">
                            <a:avLst/>
                          </a:prstGeom>
                        </pic:spPr>
                      </pic:pic>
                    </a:graphicData>
                  </a:graphic>
                </wp:inline>
              </w:drawing>
            </w:r>
          </w:p>
          <w:p w14:paraId="5C2ED3AB">
            <w:pPr>
              <w:pStyle w:val="9"/>
              <w:jc w:val="center"/>
              <w:rPr>
                <w:rFonts w:ascii="Times New Roman" w:hAnsi="Times New Roman"/>
                <w:b/>
              </w:rPr>
            </w:pPr>
            <w:bookmarkStart w:id="693" w:name="_Ref15194"/>
            <w:r>
              <w:rPr>
                <w:rFonts w:ascii="Times New Roman" w:hAnsi="Times New Roman"/>
                <w:b/>
              </w:rPr>
              <w:t xml:space="preserve">图 </w:t>
            </w:r>
            <w:r>
              <w:rPr>
                <w:rFonts w:ascii="Times New Roman" w:hAnsi="Times New Roman"/>
                <w:b/>
              </w:rPr>
              <w:fldChar w:fldCharType="begin"/>
            </w:r>
            <w:r>
              <w:rPr>
                <w:rFonts w:ascii="Times New Roman" w:hAnsi="Times New Roman"/>
                <w:b/>
              </w:rPr>
              <w:instrText xml:space="preserve"> SEQ 图 \* ARABIC </w:instrText>
            </w:r>
            <w:r>
              <w:rPr>
                <w:rFonts w:ascii="Times New Roman" w:hAnsi="Times New Roman"/>
                <w:b/>
              </w:rPr>
              <w:fldChar w:fldCharType="separate"/>
            </w:r>
            <w:r>
              <w:rPr>
                <w:rFonts w:ascii="Times New Roman" w:hAnsi="Times New Roman"/>
                <w:b/>
              </w:rPr>
              <w:t>9</w:t>
            </w:r>
            <w:r>
              <w:rPr>
                <w:rFonts w:ascii="Times New Roman" w:hAnsi="Times New Roman"/>
                <w:b/>
              </w:rPr>
              <w:fldChar w:fldCharType="end"/>
            </w:r>
            <w:bookmarkEnd w:id="693"/>
            <w:r>
              <w:rPr>
                <w:rFonts w:hint="eastAsia" w:ascii="Times New Roman" w:hAnsi="Times New Roman"/>
                <w:b/>
              </w:rPr>
              <w:t xml:space="preserve"> </w:t>
            </w:r>
            <w:r>
              <w:rPr>
                <w:rFonts w:ascii="Times New Roman" w:hAnsi="Times New Roman"/>
                <w:b/>
              </w:rPr>
              <w:t>本工程变电站运行期产污节点图</w:t>
            </w:r>
          </w:p>
          <w:p w14:paraId="7AC905CE">
            <w:pPr>
              <w:pStyle w:val="11"/>
              <w:keepNext/>
              <w:spacing w:line="240" w:lineRule="auto"/>
              <w:ind w:firstLine="0" w:firstLineChars="0"/>
              <w:jc w:val="center"/>
            </w:pPr>
            <w:r>
              <w:rPr>
                <w:color w:val="000000"/>
              </w:rPr>
              <w:drawing>
                <wp:inline distT="0" distB="0" distL="0" distR="0">
                  <wp:extent cx="4661535" cy="2304415"/>
                  <wp:effectExtent l="0" t="0" r="5715" b="63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61535" cy="2304415"/>
                          </a:xfrm>
                          <a:prstGeom prst="rect">
                            <a:avLst/>
                          </a:prstGeom>
                          <a:noFill/>
                          <a:ln>
                            <a:noFill/>
                          </a:ln>
                          <a:effectLst/>
                        </pic:spPr>
                      </pic:pic>
                    </a:graphicData>
                  </a:graphic>
                </wp:inline>
              </w:drawing>
            </w:r>
          </w:p>
          <w:p w14:paraId="33C3AE40">
            <w:pPr>
              <w:pStyle w:val="9"/>
              <w:jc w:val="center"/>
              <w:rPr>
                <w:rFonts w:ascii="黑体" w:hAnsi="黑体"/>
                <w:bCs/>
                <w:color w:val="000000"/>
                <w:highlight w:val="yellow"/>
              </w:rPr>
            </w:pPr>
            <w:bookmarkStart w:id="694" w:name="_Ref157204921"/>
            <w:r>
              <w:rPr>
                <w:rFonts w:ascii="Times New Roman" w:hAnsi="Times New Roman"/>
                <w:b/>
              </w:rPr>
              <w:t xml:space="preserve">图 </w:t>
            </w:r>
            <w:r>
              <w:rPr>
                <w:rFonts w:ascii="Times New Roman" w:hAnsi="Times New Roman"/>
                <w:b/>
              </w:rPr>
              <w:fldChar w:fldCharType="begin"/>
            </w:r>
            <w:r>
              <w:rPr>
                <w:rFonts w:ascii="Times New Roman" w:hAnsi="Times New Roman"/>
                <w:b/>
              </w:rPr>
              <w:instrText xml:space="preserve"> SEQ 图 \* ARABIC </w:instrText>
            </w:r>
            <w:r>
              <w:rPr>
                <w:rFonts w:ascii="Times New Roman" w:hAnsi="Times New Roman"/>
                <w:b/>
              </w:rPr>
              <w:fldChar w:fldCharType="separate"/>
            </w:r>
            <w:r>
              <w:rPr>
                <w:rFonts w:ascii="Times New Roman" w:hAnsi="Times New Roman"/>
                <w:b/>
              </w:rPr>
              <w:t>10</w:t>
            </w:r>
            <w:r>
              <w:rPr>
                <w:rFonts w:ascii="Times New Roman" w:hAnsi="Times New Roman"/>
                <w:b/>
              </w:rPr>
              <w:fldChar w:fldCharType="end"/>
            </w:r>
            <w:bookmarkEnd w:id="694"/>
            <w:r>
              <w:rPr>
                <w:rFonts w:ascii="Times New Roman" w:hAnsi="Times New Roman"/>
                <w:b/>
              </w:rPr>
              <w:t xml:space="preserve"> </w:t>
            </w:r>
            <w:r>
              <w:rPr>
                <w:rFonts w:hint="eastAsia" w:ascii="Times New Roman" w:hAnsi="Times New Roman"/>
                <w:b/>
              </w:rPr>
              <w:t xml:space="preserve"> </w:t>
            </w:r>
            <w:r>
              <w:rPr>
                <w:rFonts w:ascii="Times New Roman" w:hAnsi="Times New Roman"/>
                <w:b/>
              </w:rPr>
              <w:t>本工程架空输电线路运行期产污节点图</w:t>
            </w:r>
          </w:p>
          <w:p w14:paraId="74B55CD3">
            <w:pPr>
              <w:pStyle w:val="11"/>
              <w:numPr>
                <w:ilvl w:val="0"/>
                <w:numId w:val="16"/>
              </w:numPr>
              <w:ind w:firstLineChars="0"/>
              <w:rPr>
                <w:b/>
                <w:color w:val="000000"/>
                <w:kern w:val="0"/>
                <w:szCs w:val="21"/>
              </w:rPr>
            </w:pPr>
            <w:r>
              <w:rPr>
                <w:rFonts w:hint="eastAsia"/>
                <w:b/>
                <w:color w:val="000000"/>
                <w:kern w:val="0"/>
                <w:szCs w:val="21"/>
              </w:rPr>
              <w:t>污染源分析</w:t>
            </w:r>
          </w:p>
          <w:p w14:paraId="20B174C9">
            <w:pPr>
              <w:pStyle w:val="11"/>
              <w:rPr>
                <w:color w:val="000000"/>
              </w:rPr>
            </w:pPr>
            <w:r>
              <w:rPr>
                <w:color w:val="000000"/>
              </w:rPr>
              <w:t>（1）工频电场、工频磁场</w:t>
            </w:r>
          </w:p>
          <w:p w14:paraId="14A5F3BF">
            <w:pPr>
              <w:pStyle w:val="11"/>
              <w:rPr>
                <w:color w:val="000000"/>
              </w:rPr>
            </w:pPr>
            <w:r>
              <w:t>工频是指交流电力系统的发电、输电、变电与配电设备以及工业与民用交流电气设备采用的额定频率</w:t>
            </w:r>
            <w:r>
              <w:rPr>
                <w:rFonts w:hint="eastAsia"/>
              </w:rPr>
              <w:t>。我国输变电设备</w:t>
            </w:r>
            <w:r>
              <w:t>工频电场、工频磁场即指50Hz频率下产生的电场和磁场。输电线路在运行时，电压产生工频电场，电流产生工频磁场，对环境的影响主要为工频电场、工频磁场</w:t>
            </w:r>
            <w:r>
              <w:rPr>
                <w:color w:val="000000"/>
              </w:rPr>
              <w:t>。</w:t>
            </w:r>
          </w:p>
          <w:p w14:paraId="0F3BA7D9">
            <w:pPr>
              <w:pStyle w:val="11"/>
              <w:rPr>
                <w:color w:val="000000"/>
              </w:rPr>
            </w:pPr>
            <w:r>
              <w:rPr>
                <w:color w:val="000000"/>
              </w:rPr>
              <w:t>变电站主要设备及母线线路和输电线路在运行时，电压产生工频电场，电流产生工频磁场，对环境的影响主要为工频电场、工频磁场。</w:t>
            </w:r>
          </w:p>
          <w:p w14:paraId="2D911F21">
            <w:pPr>
              <w:pStyle w:val="11"/>
              <w:rPr>
                <w:color w:val="000000"/>
              </w:rPr>
            </w:pPr>
            <w:r>
              <w:rPr>
                <w:color w:val="000000"/>
              </w:rPr>
              <w:t>（2）噪声</w:t>
            </w:r>
          </w:p>
          <w:p w14:paraId="7621733A">
            <w:pPr>
              <w:pStyle w:val="11"/>
              <w:rPr>
                <w:color w:val="000000"/>
              </w:rPr>
            </w:pPr>
            <w:r>
              <w:rPr>
                <w:color w:val="000000"/>
              </w:rPr>
              <w:t>变电站内的变压器及其冷却风扇运行会产生连续电磁性和机械性噪声，断路器、火花及电晕放电等会产生暂态的电磁性噪声。</w:t>
            </w:r>
          </w:p>
          <w:p w14:paraId="5731D9D0">
            <w:pPr>
              <w:pStyle w:val="11"/>
              <w:rPr>
                <w:color w:val="000000"/>
              </w:rPr>
            </w:pPr>
            <w:r>
              <w:rPr>
                <w:color w:val="000000"/>
              </w:rPr>
              <w:t>输电线路发生电晕时产生的噪声，可能对声环境及附近居民生活产生影响。</w:t>
            </w:r>
          </w:p>
          <w:p w14:paraId="428D2778">
            <w:pPr>
              <w:pStyle w:val="11"/>
              <w:rPr>
                <w:color w:val="000000"/>
              </w:rPr>
            </w:pPr>
            <w:r>
              <w:rPr>
                <w:color w:val="000000"/>
              </w:rPr>
              <w:t>（3）</w:t>
            </w:r>
            <w:r>
              <w:rPr>
                <w:rFonts w:hint="eastAsia"/>
                <w:color w:val="000000"/>
              </w:rPr>
              <w:t>废污水</w:t>
            </w:r>
          </w:p>
          <w:p w14:paraId="6251A64F">
            <w:pPr>
              <w:adjustRightInd w:val="0"/>
              <w:snapToGrid w:val="0"/>
              <w:spacing w:line="360" w:lineRule="auto"/>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变电站为无人值班有人值守变电站，正常工况下，站内无工业废水产生，变电站内的废污水主要为值守人员产生的少量生活污水。站区生活污水经</w:t>
            </w:r>
            <w:r>
              <w:rPr>
                <w:rFonts w:hint="eastAsia" w:cs="Times New Roman"/>
                <w:color w:val="000000"/>
                <w:sz w:val="24"/>
                <w:szCs w:val="20"/>
                <w:lang w:val="en-US" w:eastAsia="zh-CN"/>
              </w:rPr>
              <w:t>污水处理设施处理</w:t>
            </w:r>
            <w:r>
              <w:rPr>
                <w:rFonts w:hint="eastAsia" w:ascii="Times New Roman" w:hAnsi="Times New Roman" w:eastAsia="宋体" w:cs="Times New Roman"/>
                <w:color w:val="000000"/>
                <w:sz w:val="24"/>
                <w:szCs w:val="20"/>
              </w:rPr>
              <w:t>，不外排。</w:t>
            </w:r>
          </w:p>
          <w:p w14:paraId="4654A49B">
            <w:pPr>
              <w:pStyle w:val="11"/>
              <w:rPr>
                <w:color w:val="000000"/>
              </w:rPr>
            </w:pPr>
            <w:r>
              <w:rPr>
                <w:rFonts w:hint="eastAsia"/>
                <w:color w:val="000000"/>
              </w:rPr>
              <w:t>输电线路运行期不产生废污水，不会对线路沿线水环境造成污染影响。</w:t>
            </w:r>
          </w:p>
          <w:p w14:paraId="7706DAE5">
            <w:pPr>
              <w:pStyle w:val="11"/>
              <w:rPr>
                <w:color w:val="000000"/>
              </w:rPr>
            </w:pPr>
            <w:r>
              <w:rPr>
                <w:color w:val="000000"/>
              </w:rPr>
              <w:t>（4）固体废物</w:t>
            </w:r>
          </w:p>
          <w:p w14:paraId="40B86444">
            <w:pPr>
              <w:adjustRightInd w:val="0"/>
              <w:snapToGrid w:val="0"/>
              <w:spacing w:line="360" w:lineRule="auto"/>
              <w:ind w:firstLine="480" w:firstLineChars="200"/>
              <w:rPr>
                <w:color w:val="000000"/>
                <w:sz w:val="24"/>
              </w:rPr>
            </w:pPr>
            <w:r>
              <w:rPr>
                <w:color w:val="000000"/>
                <w:sz w:val="24"/>
              </w:rPr>
              <w:t>本工程变电站运行固体废物主要为变电站检修人员产生的少量生活垃圾以及废</w:t>
            </w:r>
            <w:r>
              <w:rPr>
                <w:rFonts w:hint="eastAsia"/>
                <w:color w:val="000000"/>
                <w:sz w:val="24"/>
              </w:rPr>
              <w:t>旧</w:t>
            </w:r>
            <w:r>
              <w:rPr>
                <w:color w:val="000000"/>
                <w:sz w:val="24"/>
              </w:rPr>
              <w:t>铅酸蓄电池。</w:t>
            </w:r>
          </w:p>
          <w:p w14:paraId="1DB81693">
            <w:pPr>
              <w:adjustRightInd w:val="0"/>
              <w:snapToGrid w:val="0"/>
              <w:spacing w:line="360" w:lineRule="auto"/>
              <w:ind w:firstLine="480" w:firstLineChars="200"/>
              <w:rPr>
                <w:color w:val="000000"/>
                <w:sz w:val="24"/>
              </w:rPr>
            </w:pPr>
            <w:r>
              <w:rPr>
                <w:color w:val="000000"/>
                <w:sz w:val="24"/>
              </w:rPr>
              <w:t>输电线路在运行期无固体废物产生。</w:t>
            </w:r>
          </w:p>
          <w:p w14:paraId="5EEA4985">
            <w:pPr>
              <w:pStyle w:val="11"/>
              <w:rPr>
                <w:color w:val="000000"/>
              </w:rPr>
            </w:pPr>
            <w:r>
              <w:rPr>
                <w:rFonts w:hint="eastAsia"/>
                <w:color w:val="000000"/>
              </w:rPr>
              <w:t>（5）事故</w:t>
            </w:r>
            <w:r>
              <w:rPr>
                <w:color w:val="000000"/>
              </w:rPr>
              <w:t>漏油风险</w:t>
            </w:r>
          </w:p>
          <w:p w14:paraId="00590A06">
            <w:pPr>
              <w:pStyle w:val="11"/>
              <w:rPr>
                <w:color w:val="000000"/>
              </w:rPr>
            </w:pPr>
            <w:r>
              <w:rPr>
                <w:color w:val="000000"/>
              </w:rPr>
              <w:t>变电站主变压器等电气设备为了绝缘和冷却的需要，其外壳内装有变压器油，正常情况下变压器油不外排，在事故和检修过程中的失控状态下可能造成变压器油的泄漏。</w:t>
            </w:r>
          </w:p>
          <w:p w14:paraId="7B33A7F4">
            <w:pPr>
              <w:pStyle w:val="11"/>
              <w:numPr>
                <w:ilvl w:val="0"/>
                <w:numId w:val="16"/>
              </w:numPr>
              <w:ind w:firstLineChars="0"/>
              <w:rPr>
                <w:b/>
                <w:color w:val="000000"/>
                <w:kern w:val="0"/>
                <w:szCs w:val="21"/>
              </w:rPr>
            </w:pPr>
            <w:r>
              <w:rPr>
                <w:rFonts w:hint="eastAsia"/>
                <w:b/>
                <w:color w:val="000000"/>
                <w:kern w:val="0"/>
                <w:szCs w:val="21"/>
              </w:rPr>
              <w:t>工程环保特点</w:t>
            </w:r>
          </w:p>
          <w:p w14:paraId="6985D8D6">
            <w:pPr>
              <w:pStyle w:val="11"/>
              <w:rPr>
                <w:color w:val="000000"/>
              </w:rPr>
            </w:pPr>
            <w:r>
              <w:rPr>
                <w:color w:val="000000"/>
              </w:rPr>
              <w:t>本工程为</w:t>
            </w:r>
            <w:r>
              <w:rPr>
                <w:rFonts w:hint="eastAsia"/>
                <w:color w:val="000000"/>
                <w:lang w:val="en-US" w:eastAsia="zh-CN"/>
              </w:rPr>
              <w:t>11</w:t>
            </w:r>
            <w:r>
              <w:rPr>
                <w:color w:val="000000"/>
              </w:rPr>
              <w:t>0kV输变电工程，</w:t>
            </w:r>
            <w:r>
              <w:rPr>
                <w:rFonts w:hint="eastAsia"/>
                <w:color w:val="000000"/>
              </w:rPr>
              <w:t>运行</w:t>
            </w:r>
            <w:r>
              <w:rPr>
                <w:color w:val="000000"/>
              </w:rPr>
              <w:t>期环境影响因子主要为工频电场、工频磁场及噪声。同时，还存在少量生活污水、固体废物、变压器</w:t>
            </w:r>
            <w:r>
              <w:rPr>
                <w:rFonts w:hint="eastAsia"/>
                <w:color w:val="000000"/>
              </w:rPr>
              <w:t>漏油</w:t>
            </w:r>
            <w:r>
              <w:rPr>
                <w:color w:val="000000"/>
              </w:rPr>
              <w:t>可能造成的环境影响。</w:t>
            </w:r>
          </w:p>
          <w:p w14:paraId="01E334F5">
            <w:pPr>
              <w:pStyle w:val="11"/>
              <w:numPr>
                <w:ilvl w:val="0"/>
                <w:numId w:val="16"/>
              </w:numPr>
              <w:ind w:firstLineChars="0"/>
              <w:rPr>
                <w:b/>
                <w:color w:val="000000"/>
                <w:kern w:val="0"/>
                <w:szCs w:val="21"/>
              </w:rPr>
            </w:pPr>
            <w:r>
              <w:rPr>
                <w:rFonts w:hint="eastAsia"/>
                <w:b/>
                <w:color w:val="000000"/>
                <w:kern w:val="0"/>
                <w:szCs w:val="21"/>
              </w:rPr>
              <w:t>运行期各环境要素影响分析</w:t>
            </w:r>
          </w:p>
          <w:p w14:paraId="495DE034">
            <w:pPr>
              <w:pStyle w:val="11"/>
              <w:numPr>
                <w:ilvl w:val="1"/>
                <w:numId w:val="16"/>
              </w:numPr>
              <w:ind w:firstLineChars="0"/>
              <w:rPr>
                <w:b/>
                <w:color w:val="000000"/>
                <w:kern w:val="0"/>
                <w:szCs w:val="21"/>
              </w:rPr>
            </w:pPr>
            <w:r>
              <w:rPr>
                <w:b/>
                <w:color w:val="000000"/>
                <w:kern w:val="0"/>
                <w:szCs w:val="21"/>
              </w:rPr>
              <w:t>运行期生态环境影响分析</w:t>
            </w:r>
          </w:p>
          <w:p w14:paraId="408211FF">
            <w:pPr>
              <w:pStyle w:val="11"/>
            </w:pPr>
            <w:r>
              <w:rPr>
                <w:rFonts w:hint="eastAsia"/>
              </w:rPr>
              <w:t>本工程评价范围内没有发现受国家和地方保护的珍稀野生动植物，工程的建设不会破坏生态系统完整，不会降低项目区内生物多样性，对区域的生态系统影响不大。</w:t>
            </w:r>
          </w:p>
          <w:p w14:paraId="1A7AE00B">
            <w:pPr>
              <w:pStyle w:val="11"/>
            </w:pPr>
            <w:r>
              <w:rPr>
                <w:rFonts w:hint="eastAsia"/>
              </w:rPr>
              <w:t>变电站运行期间，运行维护活动主要在站内，不影响变电站周边生态环境。</w:t>
            </w:r>
          </w:p>
          <w:p w14:paraId="23460420">
            <w:pPr>
              <w:pStyle w:val="11"/>
            </w:pPr>
            <w:r>
              <w:rPr>
                <w:rFonts w:hint="eastAsia"/>
              </w:rPr>
              <w:t>输电线路运行期间，线路巡检基本沿已有的道路进行，对周边生态环境影响较小。</w:t>
            </w:r>
          </w:p>
          <w:p w14:paraId="575F74CD">
            <w:pPr>
              <w:pStyle w:val="11"/>
              <w:rPr>
                <w:color w:val="000000"/>
              </w:rPr>
            </w:pPr>
            <w:r>
              <w:rPr>
                <w:rFonts w:hint="eastAsia"/>
              </w:rPr>
              <w:t>根据前期类似工程经验及本工程现场调查结果，未发现输变电工程投运后对周围生态产生影响。因此，可以预测本工程建成后的运行期不会对周围的生态环境造成不良影响</w:t>
            </w:r>
            <w:r>
              <w:rPr>
                <w:color w:val="000000"/>
              </w:rPr>
              <w:t>。</w:t>
            </w:r>
          </w:p>
          <w:p w14:paraId="63E77E61">
            <w:pPr>
              <w:pStyle w:val="11"/>
              <w:numPr>
                <w:ilvl w:val="1"/>
                <w:numId w:val="16"/>
              </w:numPr>
              <w:ind w:firstLineChars="0"/>
              <w:rPr>
                <w:b/>
                <w:color w:val="000000"/>
                <w:kern w:val="0"/>
                <w:szCs w:val="21"/>
              </w:rPr>
            </w:pPr>
            <w:r>
              <w:rPr>
                <w:b/>
                <w:color w:val="000000"/>
                <w:kern w:val="0"/>
                <w:szCs w:val="21"/>
              </w:rPr>
              <w:t>运行期电磁环境影响分析及评价</w:t>
            </w:r>
          </w:p>
          <w:p w14:paraId="044E2204">
            <w:pPr>
              <w:pStyle w:val="11"/>
              <w:numPr>
                <w:ilvl w:val="2"/>
                <w:numId w:val="16"/>
              </w:numPr>
              <w:ind w:firstLineChars="0"/>
              <w:rPr>
                <w:b/>
                <w:color w:val="000000"/>
                <w:kern w:val="0"/>
                <w:szCs w:val="21"/>
              </w:rPr>
            </w:pPr>
            <w:r>
              <w:rPr>
                <w:b/>
                <w:color w:val="000000"/>
                <w:kern w:val="0"/>
                <w:szCs w:val="21"/>
              </w:rPr>
              <w:t>电磁环境影响评价方法</w:t>
            </w:r>
          </w:p>
          <w:p w14:paraId="086A6237">
            <w:pPr>
              <w:pStyle w:val="11"/>
              <w:rPr>
                <w:color w:val="000000"/>
              </w:rPr>
            </w:pPr>
            <w:r>
              <w:rPr>
                <w:color w:val="000000"/>
              </w:rPr>
              <w:t>（1）</w:t>
            </w:r>
            <w:r>
              <w:rPr>
                <w:rFonts w:hint="eastAsia"/>
                <w:color w:val="000000"/>
              </w:rPr>
              <w:t>变电站间隔扩建工程：</w:t>
            </w:r>
            <w:r>
              <w:rPr>
                <w:color w:val="000000"/>
              </w:rPr>
              <w:t>采用类比监测分析方式进行电磁环境影响评价。</w:t>
            </w:r>
          </w:p>
          <w:p w14:paraId="3DBA96F7">
            <w:pPr>
              <w:pStyle w:val="11"/>
              <w:rPr>
                <w:color w:val="000000"/>
              </w:rPr>
            </w:pPr>
            <w:r>
              <w:rPr>
                <w:color w:val="000000"/>
              </w:rPr>
              <w:t>（</w:t>
            </w:r>
            <w:r>
              <w:rPr>
                <w:rFonts w:hint="eastAsia"/>
                <w:color w:val="000000"/>
              </w:rPr>
              <w:t>2</w:t>
            </w:r>
            <w:r>
              <w:rPr>
                <w:color w:val="000000"/>
              </w:rPr>
              <w:t>）线路工程：架空线路采用模式预测的</w:t>
            </w:r>
            <w:r>
              <w:rPr>
                <w:rFonts w:hint="eastAsia"/>
                <w:color w:val="000000"/>
              </w:rPr>
              <w:t>方式</w:t>
            </w:r>
            <w:r>
              <w:rPr>
                <w:color w:val="000000"/>
              </w:rPr>
              <w:t>进行预测评价。</w:t>
            </w:r>
          </w:p>
          <w:p w14:paraId="361A5ECD">
            <w:pPr>
              <w:pStyle w:val="11"/>
              <w:numPr>
                <w:ilvl w:val="2"/>
                <w:numId w:val="16"/>
              </w:numPr>
              <w:ind w:firstLineChars="0"/>
              <w:rPr>
                <w:b/>
                <w:bCs/>
                <w:color w:val="000000"/>
              </w:rPr>
            </w:pPr>
            <w:r>
              <w:rPr>
                <w:rFonts w:hint="eastAsia"/>
                <w:b/>
                <w:bCs/>
                <w:color w:val="000000"/>
                <w:lang w:eastAsia="zh-CN"/>
              </w:rPr>
              <w:t>港城变110千伏间隔扩建工程</w:t>
            </w:r>
            <w:r>
              <w:rPr>
                <w:b/>
                <w:color w:val="000000"/>
                <w:kern w:val="0"/>
                <w:szCs w:val="21"/>
              </w:rPr>
              <w:t>电磁环境影响评价结论</w:t>
            </w:r>
          </w:p>
          <w:p w14:paraId="339EC531">
            <w:pPr>
              <w:pStyle w:val="11"/>
              <w:rPr>
                <w:color w:val="000000" w:themeColor="text1"/>
                <w14:textFill>
                  <w14:solidFill>
                    <w14:schemeClr w14:val="tx1"/>
                  </w14:solidFill>
                </w14:textFill>
              </w:rPr>
            </w:pPr>
            <w:bookmarkStart w:id="695" w:name="_Hlk183083498"/>
            <w:r>
              <w:rPr>
                <w:rFonts w:hint="eastAsia"/>
                <w:color w:val="000000" w:themeColor="text1"/>
                <w:lang w:eastAsia="zh-CN"/>
                <w14:textFill>
                  <w14:solidFill>
                    <w14:schemeClr w14:val="tx1"/>
                  </w14:solidFill>
                </w14:textFill>
              </w:rPr>
              <w:t>港城110kV变电站</w:t>
            </w:r>
            <w:r>
              <w:rPr>
                <w:rFonts w:hint="eastAsia"/>
                <w:color w:val="000000" w:themeColor="text1"/>
                <w14:textFill>
                  <w14:solidFill>
                    <w14:schemeClr w14:val="tx1"/>
                  </w14:solidFill>
                </w14:textFill>
              </w:rPr>
              <w:t>本期仅扩建</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0kV出线间隔，不新增主变压器、高压电抗器等设备，电磁环境影响主要为扩建间隔出线产生的电磁影响。本次扩建工程采用</w:t>
            </w:r>
            <w:r>
              <w:rPr>
                <w:rFonts w:hint="eastAsia"/>
                <w:color w:val="000000" w:themeColor="text1"/>
                <w:lang w:eastAsia="zh-CN"/>
                <w14:textFill>
                  <w14:solidFill>
                    <w14:schemeClr w14:val="tx1"/>
                  </w14:solidFill>
                </w14:textFill>
              </w:rPr>
              <w:t>港城110kV变电站</w:t>
            </w:r>
            <w:r>
              <w:rPr>
                <w:rFonts w:hint="eastAsia"/>
                <w:color w:val="000000" w:themeColor="text1"/>
                <w14:textFill>
                  <w14:solidFill>
                    <w14:schemeClr w14:val="tx1"/>
                  </w14:solidFill>
                </w14:textFill>
              </w:rPr>
              <w:t>现有间隔的电磁现状监测作为类比对象，分析本期间隔扩建完成后变电站区域及</w:t>
            </w:r>
            <w:r>
              <w:rPr>
                <w:rFonts w:hint="eastAsia"/>
                <w:color w:val="000000" w:themeColor="text1"/>
                <w:lang w:val="en-US" w:eastAsia="zh-CN"/>
                <w14:textFill>
                  <w14:solidFill>
                    <w14:schemeClr w14:val="tx1"/>
                  </w14:solidFill>
                </w14:textFill>
              </w:rPr>
              <w:t>电磁环境敏感目标处</w:t>
            </w:r>
            <w:r>
              <w:rPr>
                <w:rFonts w:hint="eastAsia"/>
                <w:color w:val="000000" w:themeColor="text1"/>
                <w14:textFill>
                  <w14:solidFill>
                    <w14:schemeClr w14:val="tx1"/>
                  </w14:solidFill>
                </w14:textFill>
              </w:rPr>
              <w:t>的电磁环境。</w:t>
            </w:r>
          </w:p>
          <w:p w14:paraId="53C09BA2">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港城110kV变电站</w:t>
            </w:r>
            <w:r>
              <w:rPr>
                <w:rFonts w:hint="eastAsia"/>
                <w:color w:val="000000" w:themeColor="text1"/>
                <w14:textFill>
                  <w14:solidFill>
                    <w14:schemeClr w14:val="tx1"/>
                  </w14:solidFill>
                </w14:textFill>
              </w:rPr>
              <w:t>现状监测结果，变电站四侧厂界处（包括</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0kV出线间隔侧）</w:t>
            </w:r>
            <w:r>
              <w:rPr>
                <w:rFonts w:hint="eastAsia"/>
                <w:color w:val="000000" w:themeColor="text1"/>
                <w:lang w:val="en-US" w:eastAsia="zh-CN"/>
                <w14:textFill>
                  <w14:solidFill>
                    <w14:schemeClr w14:val="tx1"/>
                  </w14:solidFill>
                </w14:textFill>
              </w:rPr>
              <w:t>及电磁环境敏感目标处</w:t>
            </w:r>
            <w:r>
              <w:rPr>
                <w:rFonts w:hint="eastAsia"/>
                <w:color w:val="000000" w:themeColor="text1"/>
                <w14:textFill>
                  <w14:solidFill>
                    <w14:schemeClr w14:val="tx1"/>
                  </w14:solidFill>
                </w14:textFill>
              </w:rPr>
              <w:t>的工频电场、工频磁感应强度均能满足《电磁环境控制限值》（GB8702-2014）中4kV/m、100</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T的控制限值要求。</w:t>
            </w:r>
          </w:p>
          <w:p w14:paraId="0B3E9002">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因此可以预测，</w:t>
            </w:r>
            <w:r>
              <w:rPr>
                <w:rFonts w:hint="eastAsia"/>
                <w:color w:val="000000" w:themeColor="text1"/>
                <w:lang w:eastAsia="zh-CN"/>
                <w14:textFill>
                  <w14:solidFill>
                    <w14:schemeClr w14:val="tx1"/>
                  </w14:solidFill>
                </w14:textFill>
              </w:rPr>
              <w:t>港城110kV变电站</w:t>
            </w:r>
            <w:r>
              <w:rPr>
                <w:rFonts w:hint="eastAsia"/>
                <w:color w:val="000000" w:themeColor="text1"/>
                <w14:textFill>
                  <w14:solidFill>
                    <w14:schemeClr w14:val="tx1"/>
                  </w14:solidFill>
                </w14:textFill>
              </w:rPr>
              <w:t>本期扩建完成后，其厂界处</w:t>
            </w:r>
            <w:r>
              <w:rPr>
                <w:rFonts w:hint="eastAsia"/>
                <w:color w:val="000000" w:themeColor="text1"/>
                <w:lang w:val="en-US" w:eastAsia="zh-CN"/>
                <w14:textFill>
                  <w14:solidFill>
                    <w14:schemeClr w14:val="tx1"/>
                  </w14:solidFill>
                </w14:textFill>
              </w:rPr>
              <w:t>和电磁环境敏感目标处</w:t>
            </w:r>
            <w:r>
              <w:rPr>
                <w:rFonts w:hint="eastAsia"/>
                <w:color w:val="000000" w:themeColor="text1"/>
                <w14:textFill>
                  <w14:solidFill>
                    <w14:schemeClr w14:val="tx1"/>
                  </w14:solidFill>
                </w14:textFill>
              </w:rPr>
              <w:t>的电磁环境水平能够维持现状水平，并分别</w:t>
            </w:r>
            <w:r>
              <w:rPr>
                <w:rFonts w:hint="eastAsia"/>
                <w:color w:val="000000" w:themeColor="text1"/>
                <w:lang w:val="en-US" w:eastAsia="zh-CN"/>
                <w14:textFill>
                  <w14:solidFill>
                    <w14:schemeClr w14:val="tx1"/>
                  </w14:solidFill>
                </w14:textFill>
              </w:rPr>
              <w:t>满足</w:t>
            </w:r>
            <w:r>
              <w:rPr>
                <w:rFonts w:hint="eastAsia"/>
                <w:color w:val="000000" w:themeColor="text1"/>
                <w14:textFill>
                  <w14:solidFill>
                    <w14:schemeClr w14:val="tx1"/>
                  </w14:solidFill>
                </w14:textFill>
              </w:rPr>
              <w:t>4kV/m、100</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T的控制限值要求。</w:t>
            </w:r>
          </w:p>
          <w:bookmarkEnd w:id="695"/>
          <w:p w14:paraId="6D0B6881">
            <w:pPr>
              <w:pStyle w:val="11"/>
              <w:numPr>
                <w:ilvl w:val="2"/>
                <w:numId w:val="16"/>
              </w:numPr>
              <w:ind w:firstLineChars="0"/>
              <w:rPr>
                <w:b/>
                <w:bCs/>
                <w:color w:val="000000"/>
              </w:rPr>
            </w:pPr>
            <w:r>
              <w:rPr>
                <w:rFonts w:hint="eastAsia"/>
                <w:b/>
                <w:bCs/>
                <w:color w:val="000000"/>
                <w:lang w:eastAsia="zh-CN"/>
              </w:rPr>
              <w:t>港城~新阳110千伏线路工程</w:t>
            </w:r>
            <w:r>
              <w:rPr>
                <w:b/>
                <w:bCs/>
                <w:color w:val="000000"/>
              </w:rPr>
              <w:t>电磁环境影响评价结论</w:t>
            </w:r>
          </w:p>
          <w:p w14:paraId="1818BB23">
            <w:pPr>
              <w:pStyle w:val="11"/>
            </w:pPr>
            <w:r>
              <w:t>本工程</w:t>
            </w:r>
            <w:r>
              <w:rPr>
                <w:rFonts w:hint="eastAsia"/>
              </w:rPr>
              <w:t>架空输电线路</w:t>
            </w:r>
            <w:r>
              <w:t>电磁环境影响分析采用模式预测的</w:t>
            </w:r>
            <w:r>
              <w:rPr>
                <w:rFonts w:hint="eastAsia"/>
              </w:rPr>
              <w:t>方式</w:t>
            </w:r>
            <w:r>
              <w:t>进行</w:t>
            </w:r>
            <w:r>
              <w:rPr>
                <w:rFonts w:hint="eastAsia"/>
              </w:rPr>
              <w:t>，详细过程</w:t>
            </w:r>
            <w:r>
              <w:t>见电磁环境影响专题评价，</w:t>
            </w:r>
            <w:r>
              <w:rPr>
                <w:rFonts w:hint="eastAsia"/>
              </w:rPr>
              <w:t>相关</w:t>
            </w:r>
            <w:r>
              <w:t>结论如下：</w:t>
            </w:r>
          </w:p>
          <w:p w14:paraId="63BE1DF4">
            <w:pPr>
              <w:spacing w:line="360" w:lineRule="auto"/>
              <w:ind w:firstLine="480" w:firstLineChars="200"/>
              <w:rPr>
                <w:rFonts w:hint="default" w:eastAsia="宋体"/>
                <w:sz w:val="24"/>
                <w:szCs w:val="20"/>
                <w:lang w:val="en-US" w:eastAsia="zh-CN"/>
              </w:rPr>
            </w:pPr>
            <w:r>
              <w:rPr>
                <w:rFonts w:hint="eastAsia"/>
                <w:sz w:val="24"/>
                <w:szCs w:val="20"/>
                <w:lang w:eastAsia="zh-CN"/>
              </w:rPr>
              <w:t>（</w:t>
            </w:r>
            <w:r>
              <w:rPr>
                <w:rFonts w:hint="eastAsia"/>
                <w:sz w:val="24"/>
                <w:szCs w:val="20"/>
                <w:lang w:val="en-US" w:eastAsia="zh-CN"/>
              </w:rPr>
              <w:t>1）单回线路</w:t>
            </w:r>
          </w:p>
          <w:p w14:paraId="6F8CDB9D">
            <w:pPr>
              <w:spacing w:line="360" w:lineRule="auto"/>
              <w:ind w:firstLine="480" w:firstLineChars="200"/>
              <w:rPr>
                <w:rFonts w:hint="eastAsia"/>
                <w:color w:val="000000"/>
                <w:sz w:val="24"/>
              </w:rPr>
            </w:pPr>
            <w:r>
              <w:rPr>
                <w:rFonts w:hint="eastAsia"/>
                <w:sz w:val="24"/>
                <w:szCs w:val="20"/>
                <w:lang w:val="en-US" w:eastAsia="zh-CN"/>
              </w:rPr>
              <w:t>拟建</w:t>
            </w:r>
            <w:r>
              <w:rPr>
                <w:rFonts w:hint="eastAsia"/>
                <w:sz w:val="24"/>
                <w:szCs w:val="20"/>
              </w:rPr>
              <w:t>单回线路经过非居民区，导线弧垂最小对地距离</w:t>
            </w:r>
            <w:r>
              <w:rPr>
                <w:rFonts w:hint="eastAsia"/>
                <w:sz w:val="24"/>
                <w:szCs w:val="20"/>
                <w:lang w:eastAsia="zh-CN"/>
              </w:rPr>
              <w:t>6</w:t>
            </w:r>
            <w:r>
              <w:rPr>
                <w:rFonts w:hint="eastAsia"/>
                <w:sz w:val="24"/>
                <w:szCs w:val="20"/>
                <w:lang w:val="en-US" w:eastAsia="zh-CN"/>
              </w:rPr>
              <w:t>.0</w:t>
            </w:r>
            <w:r>
              <w:rPr>
                <w:rFonts w:hint="eastAsia"/>
                <w:sz w:val="24"/>
                <w:szCs w:val="20"/>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2.58</w:t>
            </w:r>
            <w:r>
              <w:rPr>
                <w:color w:val="000000"/>
                <w:sz w:val="24"/>
              </w:rPr>
              <w:t>kV/m</w:t>
            </w:r>
            <w:r>
              <w:rPr>
                <w:rFonts w:hint="eastAsia"/>
                <w:color w:val="000000"/>
                <w:sz w:val="24"/>
              </w:rPr>
              <w:t>、工频磁感应强度最大值为</w:t>
            </w:r>
            <w:r>
              <w:rPr>
                <w:rFonts w:hint="eastAsia"/>
                <w:color w:val="000000"/>
                <w:sz w:val="24"/>
                <w:lang w:val="en-US" w:eastAsia="zh-CN"/>
              </w:rPr>
              <w:t>27.66</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7DDB19DB">
            <w:pPr>
              <w:spacing w:line="360" w:lineRule="auto"/>
              <w:ind w:firstLine="480" w:firstLineChars="200"/>
              <w:rPr>
                <w:sz w:val="24"/>
                <w:szCs w:val="20"/>
              </w:rPr>
            </w:pPr>
            <w:r>
              <w:rPr>
                <w:rFonts w:hint="eastAsia"/>
                <w:color w:val="000000"/>
                <w:sz w:val="24"/>
                <w:lang w:val="en-US" w:eastAsia="zh-CN"/>
              </w:rPr>
              <w:t>拟建单</w:t>
            </w:r>
            <w:r>
              <w:rPr>
                <w:rFonts w:hint="eastAsia"/>
                <w:color w:val="000000"/>
                <w:sz w:val="24"/>
              </w:rPr>
              <w:t>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1.99</w:t>
            </w:r>
            <w:r>
              <w:rPr>
                <w:color w:val="000000"/>
                <w:sz w:val="24"/>
              </w:rPr>
              <w:t>kV/m</w:t>
            </w:r>
            <w:r>
              <w:rPr>
                <w:rFonts w:hint="eastAsia"/>
                <w:color w:val="000000"/>
                <w:sz w:val="24"/>
              </w:rPr>
              <w:t>、工频磁感应强度最大值为</w:t>
            </w:r>
            <w:r>
              <w:rPr>
                <w:rFonts w:hint="eastAsia"/>
                <w:color w:val="000000"/>
                <w:sz w:val="24"/>
                <w:lang w:val="en-US" w:eastAsia="zh-CN"/>
              </w:rPr>
              <w:t>21.84</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29C11A49">
            <w:pPr>
              <w:spacing w:line="360" w:lineRule="auto"/>
              <w:ind w:firstLine="480" w:firstLineChars="200"/>
              <w:rPr>
                <w:rFonts w:hint="default" w:eastAsia="宋体"/>
                <w:sz w:val="24"/>
                <w:szCs w:val="20"/>
                <w:lang w:val="en-US" w:eastAsia="zh-CN"/>
              </w:rPr>
            </w:pPr>
            <w:r>
              <w:rPr>
                <w:rFonts w:hint="eastAsia"/>
                <w:sz w:val="24"/>
                <w:szCs w:val="20"/>
                <w:lang w:eastAsia="zh-CN"/>
              </w:rPr>
              <w:t>（</w:t>
            </w:r>
            <w:r>
              <w:rPr>
                <w:rFonts w:hint="eastAsia"/>
                <w:sz w:val="24"/>
                <w:szCs w:val="20"/>
                <w:lang w:val="en-US" w:eastAsia="zh-CN"/>
              </w:rPr>
              <w:t>2）同塔双回线路</w:t>
            </w:r>
          </w:p>
          <w:p w14:paraId="5EF80AA9">
            <w:pPr>
              <w:spacing w:line="360" w:lineRule="auto"/>
              <w:ind w:firstLine="480" w:firstLineChars="200"/>
              <w:rPr>
                <w:color w:val="000000"/>
                <w:sz w:val="24"/>
              </w:rPr>
            </w:pPr>
            <w:r>
              <w:rPr>
                <w:rFonts w:hint="eastAsia"/>
                <w:color w:val="000000"/>
                <w:sz w:val="24"/>
                <w:lang w:val="en-US" w:eastAsia="zh-CN"/>
              </w:rPr>
              <w:t>拟建</w:t>
            </w:r>
            <w:r>
              <w:rPr>
                <w:rFonts w:hint="eastAsia"/>
                <w:color w:val="000000"/>
                <w:sz w:val="24"/>
              </w:rPr>
              <w:t>双回线路经过非居民区，导线对地最小距离为</w:t>
            </w:r>
            <w:r>
              <w:rPr>
                <w:color w:val="000000"/>
                <w:sz w:val="24"/>
              </w:rPr>
              <w:t>6</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2.13</w:t>
            </w:r>
            <w:r>
              <w:rPr>
                <w:color w:val="000000"/>
                <w:sz w:val="24"/>
              </w:rPr>
              <w:t>kV/m</w:t>
            </w:r>
            <w:r>
              <w:rPr>
                <w:rFonts w:hint="eastAsia"/>
                <w:color w:val="000000"/>
                <w:sz w:val="24"/>
              </w:rPr>
              <w:t>、工频磁感应强度最大值为</w:t>
            </w:r>
            <w:r>
              <w:rPr>
                <w:rFonts w:hint="eastAsia"/>
                <w:color w:val="000000"/>
                <w:sz w:val="24"/>
                <w:lang w:val="en-US" w:eastAsia="zh-CN"/>
              </w:rPr>
              <w:t>18.37</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3BA6E96B">
            <w:pPr>
              <w:spacing w:line="360" w:lineRule="auto"/>
              <w:ind w:firstLine="480" w:firstLineChars="200"/>
              <w:rPr>
                <w:rFonts w:hint="eastAsia"/>
                <w:color w:val="000000"/>
                <w:sz w:val="24"/>
              </w:rPr>
            </w:pPr>
            <w:r>
              <w:rPr>
                <w:rFonts w:hint="eastAsia"/>
                <w:color w:val="000000"/>
                <w:sz w:val="24"/>
                <w:lang w:val="en-US" w:eastAsia="zh-CN"/>
              </w:rPr>
              <w:t>拟建</w:t>
            </w:r>
            <w:r>
              <w:rPr>
                <w:rFonts w:hint="eastAsia"/>
                <w:color w:val="000000"/>
                <w:sz w:val="24"/>
              </w:rPr>
              <w:t>双回线路经过居民区，导线对地最小距离为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1.58</w:t>
            </w:r>
            <w:r>
              <w:rPr>
                <w:color w:val="000000"/>
                <w:sz w:val="24"/>
              </w:rPr>
              <w:t>kV/m</w:t>
            </w:r>
            <w:r>
              <w:rPr>
                <w:rFonts w:hint="eastAsia"/>
                <w:color w:val="000000"/>
                <w:sz w:val="24"/>
              </w:rPr>
              <w:t>、工频磁感应强度最大值为</w:t>
            </w:r>
            <w:r>
              <w:rPr>
                <w:rFonts w:hint="eastAsia"/>
                <w:color w:val="000000"/>
                <w:sz w:val="24"/>
                <w:lang w:val="en-US" w:eastAsia="zh-CN"/>
              </w:rPr>
              <w:t>14.21</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35818FD9">
            <w:pPr>
              <w:spacing w:line="360" w:lineRule="auto"/>
              <w:ind w:firstLine="480" w:firstLineChars="200"/>
              <w:rPr>
                <w:rFonts w:hint="eastAsia"/>
                <w:lang w:val="en-US" w:eastAsia="zh-CN"/>
              </w:rPr>
            </w:pPr>
            <w:r>
              <w:rPr>
                <w:rFonts w:hint="default"/>
                <w:sz w:val="24"/>
                <w:lang w:eastAsia="zh-CN"/>
              </w:rPr>
              <w:t>（</w:t>
            </w:r>
            <w:r>
              <w:rPr>
                <w:rFonts w:hint="default"/>
                <w:sz w:val="24"/>
                <w:lang w:val="en-US" w:eastAsia="zh-CN"/>
              </w:rPr>
              <w:t>3）电磁环境敏感目标</w:t>
            </w:r>
          </w:p>
          <w:p w14:paraId="2A34B688">
            <w:pPr>
              <w:pStyle w:val="105"/>
              <w:spacing w:line="360" w:lineRule="auto"/>
              <w:ind w:firstLine="480"/>
              <w:rPr>
                <w:color w:val="000000"/>
                <w:sz w:val="24"/>
                <w:highlight w:val="yellow"/>
              </w:rPr>
            </w:pPr>
            <w:r>
              <w:rPr>
                <w:rFonts w:hint="eastAsia" w:ascii="Times New Roman" w:hAnsi="Times New Roman" w:cs="Times New Roman"/>
                <w:color w:val="000000" w:themeColor="text1"/>
                <w:sz w:val="24"/>
                <w:szCs w:val="24"/>
                <w:lang w:val="en-US" w:eastAsia="zh-CN"/>
                <w14:textFill>
                  <w14:solidFill>
                    <w14:schemeClr w14:val="tx1"/>
                  </w14:solidFill>
                </w14:textFill>
              </w:rPr>
              <w:t>预测结果显示本工程拟建输电线路评价范围内电磁环境敏感目标处的</w:t>
            </w:r>
            <w:r>
              <w:rPr>
                <w:rFonts w:hint="eastAsia"/>
                <w:color w:val="000000"/>
                <w:sz w:val="24"/>
                <w:lang w:val="en-US" w:eastAsia="zh-CN"/>
              </w:rPr>
              <w:t>工频电场强度为0.03kV/m，工频磁感应强度为0.52</w:t>
            </w:r>
            <w:r>
              <w:rPr>
                <w:b w:val="0"/>
                <w:bCs/>
                <w:color w:val="auto"/>
                <w:szCs w:val="21"/>
              </w:rPr>
              <w:t>μT</w:t>
            </w:r>
            <w:r>
              <w:rPr>
                <w:rFonts w:hint="eastAsia"/>
                <w:b w:val="0"/>
                <w:bCs/>
                <w:color w:val="auto"/>
                <w:szCs w:val="21"/>
                <w:lang w:eastAsia="zh-CN"/>
              </w:rPr>
              <w:t>，</w:t>
            </w:r>
            <w:r>
              <w:rPr>
                <w:rFonts w:hint="eastAsia" w:cs="Times New Roman"/>
                <w:color w:val="000000" w:themeColor="text1"/>
                <w:sz w:val="24"/>
                <w:szCs w:val="24"/>
                <w:lang w:val="en-US" w:eastAsia="zh-CN"/>
                <w14:textFill>
                  <w14:solidFill>
                    <w14:schemeClr w14:val="tx1"/>
                  </w14:solidFill>
                </w14:textFill>
              </w:rPr>
              <w:t>工频电场强度、工频磁感应强度均满足</w:t>
            </w:r>
            <w:r>
              <w:rPr>
                <w:rFonts w:hint="eastAsia" w:ascii="Times New Roman" w:hAnsi="Times New Roman" w:eastAsia="宋体" w:cs="Times New Roman"/>
                <w:color w:val="000000" w:themeColor="text1"/>
                <w:sz w:val="24"/>
                <w:szCs w:val="24"/>
                <w14:textFill>
                  <w14:solidFill>
                    <w14:schemeClr w14:val="tx1"/>
                  </w14:solidFill>
                </w14:textFill>
              </w:rPr>
              <w:t>《电磁环境控制限值》（</w:t>
            </w:r>
            <w:r>
              <w:rPr>
                <w:rFonts w:ascii="Times New Roman" w:hAnsi="Times New Roman" w:eastAsia="宋体" w:cs="Times New Roman"/>
                <w:color w:val="000000" w:themeColor="text1"/>
                <w:sz w:val="24"/>
                <w:szCs w:val="24"/>
                <w14:textFill>
                  <w14:solidFill>
                    <w14:schemeClr w14:val="tx1"/>
                  </w14:solidFill>
                </w14:textFill>
              </w:rPr>
              <w:t>GB8702-2014</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ascii="Times New Roman" w:hAnsi="Times New Roman" w:eastAsia="宋体" w:cs="Times New Roman"/>
                <w:color w:val="000000" w:themeColor="text1"/>
                <w:sz w:val="24"/>
                <w:szCs w:val="24"/>
                <w14:textFill>
                  <w14:solidFill>
                    <w14:schemeClr w14:val="tx1"/>
                  </w14:solidFill>
                </w14:textFill>
              </w:rPr>
              <w:t>4000V/m</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100μT</w:t>
            </w:r>
            <w:r>
              <w:rPr>
                <w:rFonts w:hint="eastAsia" w:ascii="Times New Roman" w:hAnsi="Times New Roman" w:eastAsia="宋体" w:cs="Times New Roman"/>
                <w:color w:val="000000" w:themeColor="text1"/>
                <w:sz w:val="24"/>
                <w:szCs w:val="24"/>
                <w14:textFill>
                  <w14:solidFill>
                    <w14:schemeClr w14:val="tx1"/>
                  </w14:solidFill>
                </w14:textFill>
              </w:rPr>
              <w:t>的标准限值</w:t>
            </w:r>
            <w:r>
              <w:rPr>
                <w:rFonts w:hint="eastAsia" w:cs="Times New Roman"/>
                <w:color w:val="000000" w:themeColor="text1"/>
                <w:sz w:val="24"/>
                <w:szCs w:val="24"/>
                <w:lang w:val="en-US" w:eastAsia="zh-CN"/>
                <w14:textFill>
                  <w14:solidFill>
                    <w14:schemeClr w14:val="tx1"/>
                  </w14:solidFill>
                </w14:textFill>
              </w:rPr>
              <w:t>要求</w:t>
            </w:r>
            <w:r>
              <w:rPr>
                <w:rFonts w:hint="eastAsia"/>
                <w:color w:val="000000"/>
                <w:sz w:val="24"/>
              </w:rPr>
              <w:t>。</w:t>
            </w:r>
          </w:p>
          <w:p w14:paraId="4E475315">
            <w:pPr>
              <w:pStyle w:val="11"/>
              <w:numPr>
                <w:ilvl w:val="1"/>
                <w:numId w:val="16"/>
              </w:numPr>
              <w:ind w:firstLineChars="0"/>
              <w:rPr>
                <w:b/>
                <w:color w:val="000000"/>
                <w:kern w:val="0"/>
                <w:szCs w:val="21"/>
              </w:rPr>
            </w:pPr>
            <w:r>
              <w:rPr>
                <w:b/>
                <w:color w:val="000000"/>
                <w:kern w:val="0"/>
                <w:szCs w:val="21"/>
              </w:rPr>
              <w:t>运行期声环境影响分析</w:t>
            </w:r>
          </w:p>
          <w:p w14:paraId="3EEB918F">
            <w:pPr>
              <w:pStyle w:val="11"/>
              <w:numPr>
                <w:ilvl w:val="2"/>
                <w:numId w:val="16"/>
              </w:numPr>
              <w:ind w:firstLineChars="0"/>
              <w:rPr>
                <w:b/>
                <w:color w:val="000000"/>
                <w:kern w:val="0"/>
                <w:szCs w:val="21"/>
              </w:rPr>
            </w:pPr>
            <w:r>
              <w:rPr>
                <w:b/>
                <w:color w:val="000000"/>
                <w:kern w:val="0"/>
                <w:szCs w:val="21"/>
              </w:rPr>
              <w:t>声环境影响评价方法</w:t>
            </w:r>
          </w:p>
          <w:p w14:paraId="1BB3005E">
            <w:pPr>
              <w:pStyle w:val="11"/>
              <w:rPr>
                <w:color w:val="000000"/>
              </w:rPr>
            </w:pPr>
            <w:r>
              <w:rPr>
                <w:color w:val="000000"/>
              </w:rPr>
              <w:t>（1）变电站</w:t>
            </w:r>
            <w:r>
              <w:rPr>
                <w:rFonts w:hint="eastAsia"/>
                <w:color w:val="000000"/>
              </w:rPr>
              <w:t>间隔扩建</w:t>
            </w:r>
            <w:r>
              <w:rPr>
                <w:color w:val="000000"/>
              </w:rPr>
              <w:t>工程：</w:t>
            </w:r>
            <w:r>
              <w:rPr>
                <w:rFonts w:hint="eastAsia"/>
                <w:color w:val="000000"/>
              </w:rPr>
              <w:t>简要分析</w:t>
            </w:r>
            <w:r>
              <w:rPr>
                <w:color w:val="000000"/>
              </w:rPr>
              <w:t>评价。</w:t>
            </w:r>
          </w:p>
          <w:p w14:paraId="6C130201">
            <w:pPr>
              <w:adjustRightInd w:val="0"/>
              <w:snapToGrid w:val="0"/>
              <w:spacing w:line="360" w:lineRule="auto"/>
              <w:ind w:firstLine="480"/>
              <w:jc w:val="left"/>
              <w:rPr>
                <w:color w:val="000000"/>
                <w:sz w:val="24"/>
              </w:rPr>
            </w:pPr>
            <w:r>
              <w:rPr>
                <w:color w:val="000000"/>
                <w:sz w:val="24"/>
              </w:rPr>
              <w:t>（2）线路工程：类比监测分析评价。</w:t>
            </w:r>
          </w:p>
          <w:p w14:paraId="09BF4C8F">
            <w:pPr>
              <w:pStyle w:val="11"/>
              <w:numPr>
                <w:ilvl w:val="2"/>
                <w:numId w:val="16"/>
              </w:numPr>
              <w:ind w:firstLineChars="0"/>
              <w:rPr>
                <w:b/>
                <w:color w:val="000000"/>
                <w:kern w:val="0"/>
                <w:szCs w:val="21"/>
              </w:rPr>
            </w:pPr>
            <w:r>
              <w:rPr>
                <w:rFonts w:hint="eastAsia"/>
                <w:b/>
                <w:bCs/>
                <w:color w:val="000000"/>
                <w:lang w:eastAsia="zh-CN"/>
              </w:rPr>
              <w:t>港城变110千伏间隔扩建工程</w:t>
            </w:r>
            <w:r>
              <w:rPr>
                <w:b/>
                <w:color w:val="000000"/>
                <w:kern w:val="0"/>
                <w:szCs w:val="21"/>
              </w:rPr>
              <w:t>声环境影响分析</w:t>
            </w:r>
          </w:p>
          <w:p w14:paraId="3FC7D41A">
            <w:pPr>
              <w:spacing w:line="360" w:lineRule="auto"/>
              <w:ind w:firstLine="480" w:firstLineChars="200"/>
              <w:rPr>
                <w:color w:val="000000"/>
                <w:sz w:val="24"/>
              </w:rPr>
            </w:pPr>
            <w:r>
              <w:rPr>
                <w:rFonts w:hint="eastAsia"/>
                <w:color w:val="000000"/>
                <w:sz w:val="24"/>
                <w:lang w:eastAsia="zh-CN"/>
              </w:rPr>
              <w:t>港城110kV变电站</w:t>
            </w:r>
            <w:r>
              <w:rPr>
                <w:rFonts w:hint="eastAsia"/>
                <w:color w:val="000000"/>
                <w:sz w:val="24"/>
              </w:rPr>
              <w:t>本期扩建</w:t>
            </w:r>
            <w:r>
              <w:rPr>
                <w:rFonts w:hint="eastAsia"/>
                <w:color w:val="000000"/>
                <w:sz w:val="24"/>
                <w:lang w:val="en-US" w:eastAsia="zh-CN"/>
              </w:rPr>
              <w:t>1</w:t>
            </w:r>
            <w:r>
              <w:rPr>
                <w:rFonts w:hint="eastAsia"/>
                <w:color w:val="000000"/>
                <w:sz w:val="24"/>
              </w:rPr>
              <w:t>个</w:t>
            </w:r>
            <w:r>
              <w:rPr>
                <w:rFonts w:hint="eastAsia"/>
                <w:color w:val="000000"/>
                <w:sz w:val="24"/>
                <w:lang w:val="en-US" w:eastAsia="zh-CN"/>
              </w:rPr>
              <w:t>11</w:t>
            </w:r>
            <w:r>
              <w:rPr>
                <w:rFonts w:hint="eastAsia"/>
                <w:color w:val="000000"/>
                <w:sz w:val="24"/>
              </w:rPr>
              <w:t>0kV出线间隔，不增加主变压器、电抗器等主要声源设备，本期扩建不会对变电站噪声水平产生明显影响。</w:t>
            </w:r>
          </w:p>
          <w:p w14:paraId="210ECFA0">
            <w:pPr>
              <w:pStyle w:val="11"/>
              <w:rPr>
                <w:color w:val="000000"/>
              </w:rPr>
            </w:pPr>
            <w:r>
              <w:rPr>
                <w:rFonts w:hint="eastAsia"/>
                <w:color w:val="000000"/>
              </w:rPr>
              <w:t>由</w:t>
            </w:r>
            <w:r>
              <w:rPr>
                <w:rFonts w:hint="eastAsia"/>
                <w:color w:val="000000"/>
                <w:lang w:eastAsia="zh-CN"/>
              </w:rPr>
              <w:t>港城110kV变电站</w:t>
            </w:r>
            <w:r>
              <w:rPr>
                <w:rFonts w:hint="eastAsia"/>
                <w:color w:val="000000"/>
              </w:rPr>
              <w:t>厂界现状噪声监测结果及其分析可知，</w:t>
            </w:r>
            <w:r>
              <w:rPr>
                <w:rFonts w:hint="eastAsia"/>
                <w:color w:val="000000"/>
                <w:lang w:eastAsia="zh-CN"/>
              </w:rPr>
              <w:t>港城110kV变电站</w:t>
            </w:r>
            <w:r>
              <w:rPr>
                <w:rFonts w:hint="eastAsia"/>
                <w:color w:val="000000"/>
              </w:rPr>
              <w:t>声环境现状能够满足《工业企业厂界环境噪声排放标准》（GB12348-2008）</w:t>
            </w:r>
            <w:r>
              <w:rPr>
                <w:rFonts w:hint="eastAsia"/>
                <w:color w:val="000000"/>
                <w:lang w:val="en-US" w:eastAsia="zh-CN"/>
              </w:rPr>
              <w:t>2</w:t>
            </w:r>
            <w:r>
              <w:rPr>
                <w:rFonts w:hint="eastAsia"/>
                <w:color w:val="000000"/>
              </w:rPr>
              <w:t>类标准限值要求。本期扩建完成后，变电站厂界外声环境水平与其现状水平相当，扩建后的噪声影响亦能够满足《工业企业厂界环境噪声排放标准》（GB12348-2008）</w:t>
            </w:r>
            <w:r>
              <w:rPr>
                <w:rFonts w:hint="eastAsia"/>
                <w:color w:val="000000"/>
                <w:lang w:val="en-US" w:eastAsia="zh-CN"/>
              </w:rPr>
              <w:t>2</w:t>
            </w:r>
            <w:r>
              <w:rPr>
                <w:rFonts w:hint="eastAsia"/>
                <w:color w:val="000000"/>
              </w:rPr>
              <w:t>类标准限值要求。</w:t>
            </w:r>
          </w:p>
          <w:p w14:paraId="764E1CFD">
            <w:pPr>
              <w:pStyle w:val="11"/>
              <w:rPr>
                <w:color w:val="000000"/>
              </w:rPr>
            </w:pPr>
            <w:r>
              <w:rPr>
                <w:rFonts w:hint="eastAsia"/>
                <w:color w:val="000000"/>
              </w:rPr>
              <w:t>现状监测结果表明</w:t>
            </w:r>
            <w:r>
              <w:rPr>
                <w:rFonts w:hint="eastAsia"/>
                <w:color w:val="000000"/>
                <w:lang w:eastAsia="zh-CN"/>
              </w:rPr>
              <w:t>港城110kV变电站</w:t>
            </w:r>
            <w:r>
              <w:rPr>
                <w:rFonts w:hint="eastAsia"/>
                <w:color w:val="000000"/>
              </w:rPr>
              <w:t>评价范围内声环境保护目标处声环境现状满足《声环境质量标准》（GB3096-2008）</w:t>
            </w:r>
            <w:r>
              <w:rPr>
                <w:rFonts w:hint="eastAsia"/>
                <w:color w:val="000000"/>
                <w:lang w:val="en-US" w:eastAsia="zh-CN"/>
              </w:rPr>
              <w:t>2</w:t>
            </w:r>
            <w:r>
              <w:rPr>
                <w:rFonts w:hint="eastAsia"/>
                <w:color w:val="000000"/>
              </w:rPr>
              <w:t>类标准要求，因此可以预测本期扩建完成后，变电站评价范围内声环境保护目标处噪声能够满足</w:t>
            </w:r>
            <w:r>
              <w:rPr>
                <w:rFonts w:hint="eastAsia"/>
              </w:rPr>
              <w:t>《声环境质量标准》（GB3096-2008）</w:t>
            </w:r>
            <w:r>
              <w:rPr>
                <w:rFonts w:hint="eastAsia"/>
                <w:lang w:val="en-US" w:eastAsia="zh-CN"/>
              </w:rPr>
              <w:t>2</w:t>
            </w:r>
            <w:r>
              <w:rPr>
                <w:rFonts w:hint="eastAsia"/>
              </w:rPr>
              <w:t>类标准限值要求。</w:t>
            </w:r>
          </w:p>
          <w:p w14:paraId="4615844E">
            <w:pPr>
              <w:pStyle w:val="11"/>
              <w:numPr>
                <w:ilvl w:val="2"/>
                <w:numId w:val="16"/>
              </w:numPr>
              <w:ind w:firstLineChars="0"/>
              <w:rPr>
                <w:b/>
                <w:color w:val="000000"/>
                <w:kern w:val="0"/>
                <w:szCs w:val="21"/>
              </w:rPr>
            </w:pPr>
            <w:r>
              <w:rPr>
                <w:b/>
                <w:color w:val="000000"/>
                <w:kern w:val="0"/>
                <w:szCs w:val="21"/>
              </w:rPr>
              <w:t>输电线路声环境影响分析</w:t>
            </w:r>
          </w:p>
          <w:p w14:paraId="3DE98CAE">
            <w:pPr>
              <w:pStyle w:val="11"/>
              <w:rPr>
                <w:color w:val="000000"/>
              </w:rPr>
            </w:pPr>
            <w:r>
              <w:rPr>
                <w:color w:val="000000"/>
              </w:rPr>
              <w:t>架空线路声环境影响评价采用类比分析的方法进行。</w:t>
            </w:r>
          </w:p>
          <w:p w14:paraId="6C0A1193">
            <w:pPr>
              <w:pStyle w:val="11"/>
              <w:numPr>
                <w:ilvl w:val="3"/>
                <w:numId w:val="16"/>
              </w:numPr>
              <w:ind w:firstLineChars="0"/>
              <w:rPr>
                <w:b/>
                <w:color w:val="000000"/>
                <w:kern w:val="0"/>
                <w:szCs w:val="21"/>
              </w:rPr>
            </w:pPr>
            <w:r>
              <w:rPr>
                <w:rFonts w:hint="eastAsia"/>
                <w:b/>
                <w:color w:val="000000"/>
                <w:kern w:val="0"/>
                <w:szCs w:val="21"/>
                <w:lang w:val="en-US" w:eastAsia="zh-CN"/>
              </w:rPr>
              <w:t>单回</w:t>
            </w:r>
            <w:r>
              <w:rPr>
                <w:b/>
                <w:color w:val="000000"/>
                <w:kern w:val="0"/>
                <w:szCs w:val="21"/>
              </w:rPr>
              <w:t>输电线路声环境影响分析</w:t>
            </w:r>
          </w:p>
          <w:p w14:paraId="74780C4A">
            <w:pPr>
              <w:pStyle w:val="11"/>
              <w:shd w:val="clear" w:color="auto" w:fill="FFFFFF"/>
              <w:adjustRightInd w:val="0"/>
              <w:snapToGrid w:val="0"/>
              <w:ind w:firstLineChars="0"/>
              <w:outlineLvl w:val="4"/>
              <w:rPr>
                <w:rFonts w:eastAsia="楷体_GB2312"/>
                <w:b/>
                <w:bCs/>
                <w:u w:val="none"/>
              </w:rPr>
            </w:pPr>
            <w:r>
              <w:rPr>
                <w:rFonts w:eastAsia="楷体_GB2312"/>
                <w:b/>
                <w:bCs/>
                <w:u w:val="none"/>
              </w:rPr>
              <w:t>（1）类比对象</w:t>
            </w:r>
          </w:p>
          <w:p w14:paraId="439DBEF5">
            <w:pPr>
              <w:spacing w:line="360" w:lineRule="auto"/>
              <w:ind w:firstLine="480" w:firstLineChars="200"/>
              <w:rPr>
                <w:color w:val="000000"/>
                <w:kern w:val="0"/>
                <w:sz w:val="24"/>
                <w:shd w:val="clear" w:color="auto" w:fill="FFFFFF"/>
              </w:rPr>
            </w:pPr>
            <w:r>
              <w:rPr>
                <w:rFonts w:hint="eastAsia"/>
                <w:kern w:val="0"/>
                <w:sz w:val="24"/>
                <w:shd w:val="clear" w:color="auto" w:fill="FFFFFF"/>
                <w:lang w:eastAsia="zh-CN"/>
              </w:rPr>
              <w:t>本工程</w:t>
            </w:r>
            <w:r>
              <w:rPr>
                <w:rFonts w:hint="eastAsia"/>
                <w:kern w:val="0"/>
                <w:sz w:val="24"/>
                <w:shd w:val="clear" w:color="auto" w:fill="FFFFFF"/>
              </w:rPr>
              <w:t>新建</w:t>
            </w:r>
            <w:r>
              <w:rPr>
                <w:rFonts w:hint="eastAsia"/>
                <w:kern w:val="0"/>
                <w:sz w:val="24"/>
                <w:shd w:val="clear" w:color="auto" w:fill="FFFFFF"/>
                <w:lang w:val="en-US" w:eastAsia="zh-CN"/>
              </w:rPr>
              <w:t>11</w:t>
            </w:r>
            <w:r>
              <w:rPr>
                <w:kern w:val="0"/>
                <w:sz w:val="24"/>
                <w:shd w:val="clear" w:color="auto" w:fill="FFFFFF"/>
              </w:rPr>
              <w:t>0kV</w:t>
            </w:r>
            <w:r>
              <w:rPr>
                <w:rFonts w:hint="eastAsia"/>
                <w:kern w:val="0"/>
                <w:sz w:val="24"/>
                <w:shd w:val="clear" w:color="auto" w:fill="FFFFFF"/>
              </w:rPr>
              <w:t>线路（</w:t>
            </w:r>
            <w:r>
              <w:rPr>
                <w:rFonts w:hint="eastAsia"/>
                <w:kern w:val="0"/>
                <w:sz w:val="24"/>
                <w:shd w:val="clear" w:color="auto" w:fill="FFFFFF"/>
                <w:lang w:val="en-US" w:eastAsia="zh-CN"/>
              </w:rPr>
              <w:t>单</w:t>
            </w:r>
            <w:r>
              <w:rPr>
                <w:rFonts w:hint="eastAsia"/>
                <w:kern w:val="0"/>
                <w:sz w:val="24"/>
                <w:shd w:val="clear" w:color="auto" w:fill="FFFFFF"/>
              </w:rPr>
              <w:t>回架设段）选择已运行的“110kV海天红风一线”作为类比对象。类比线路与</w:t>
            </w:r>
            <w:r>
              <w:rPr>
                <w:rFonts w:hint="eastAsia"/>
                <w:kern w:val="0"/>
                <w:sz w:val="24"/>
                <w:shd w:val="clear" w:color="auto" w:fill="FFFFFF"/>
                <w:lang w:eastAsia="zh-CN"/>
              </w:rPr>
              <w:t>本工程</w:t>
            </w:r>
            <w:r>
              <w:rPr>
                <w:rFonts w:hint="eastAsia"/>
                <w:kern w:val="0"/>
                <w:sz w:val="24"/>
                <w:shd w:val="clear" w:color="auto" w:fill="FFFFFF"/>
              </w:rPr>
              <w:t>线路主要技术指标对照表见</w:t>
            </w:r>
            <w:r>
              <w:rPr>
                <w:rFonts w:hint="eastAsia"/>
                <w:b w:val="0"/>
                <w:bCs w:val="0"/>
                <w:kern w:val="0"/>
                <w:sz w:val="24"/>
                <w:szCs w:val="24"/>
                <w:shd w:val="clear" w:color="auto" w:fill="FFFFFF"/>
                <w:lang w:eastAsia="zh-CN"/>
              </w:rPr>
              <w:fldChar w:fldCharType="begin"/>
            </w:r>
            <w:r>
              <w:rPr>
                <w:rFonts w:hint="eastAsia"/>
                <w:b w:val="0"/>
                <w:bCs w:val="0"/>
                <w:kern w:val="0"/>
                <w:sz w:val="24"/>
                <w:szCs w:val="24"/>
                <w:shd w:val="clear" w:color="auto" w:fill="FFFFFF"/>
                <w:lang w:eastAsia="zh-CN"/>
              </w:rPr>
              <w:instrText xml:space="preserve"> REF _Ref9001 \h </w:instrText>
            </w:r>
            <w:r>
              <w:rPr>
                <w:rFonts w:hint="eastAsia"/>
                <w:b w:val="0"/>
                <w:bCs w:val="0"/>
                <w:kern w:val="0"/>
                <w:sz w:val="24"/>
                <w:szCs w:val="24"/>
                <w:shd w:val="clear" w:color="auto" w:fill="FFFFFF"/>
                <w:lang w:eastAsia="zh-CN"/>
              </w:rPr>
              <w:fldChar w:fldCharType="separate"/>
            </w:r>
            <w:r>
              <w:rPr>
                <w:rFonts w:hint="eastAsia" w:ascii="Times New Roman" w:hAnsi="Times New Roman"/>
                <w:b w:val="0"/>
                <w:bCs w:val="0"/>
                <w:sz w:val="24"/>
                <w:szCs w:val="24"/>
                <w:shd w:val="clear" w:color="auto" w:fill="FFFFFF"/>
              </w:rPr>
              <w:t>表 20</w:t>
            </w:r>
            <w:r>
              <w:rPr>
                <w:rFonts w:hint="eastAsia"/>
                <w:b w:val="0"/>
                <w:bCs w:val="0"/>
                <w:kern w:val="0"/>
                <w:sz w:val="24"/>
                <w:szCs w:val="24"/>
                <w:shd w:val="clear" w:color="auto" w:fill="FFFFFF"/>
                <w:lang w:eastAsia="zh-CN"/>
              </w:rPr>
              <w:fldChar w:fldCharType="end"/>
            </w:r>
            <w:r>
              <w:rPr>
                <w:rFonts w:hint="eastAsia"/>
                <w:kern w:val="0"/>
                <w:sz w:val="24"/>
                <w:shd w:val="clear" w:color="auto" w:fill="FFFFFF"/>
              </w:rPr>
              <w:t>。</w:t>
            </w:r>
          </w:p>
          <w:p w14:paraId="03C0575D">
            <w:pPr>
              <w:pStyle w:val="9"/>
              <w:rPr>
                <w:rFonts w:ascii="Times New Roman" w:hAnsi="Times New Roman"/>
                <w:b/>
                <w:bCs/>
                <w:szCs w:val="21"/>
                <w:shd w:val="clear" w:color="auto" w:fill="FFFFFF"/>
              </w:rPr>
            </w:pPr>
            <w:bookmarkStart w:id="696" w:name="_Ref9001"/>
            <w:r>
              <w:rPr>
                <w:rFonts w:hint="eastAsia" w:ascii="Times New Roman" w:hAnsi="Times New Roman"/>
                <w:b/>
                <w:bCs/>
                <w:szCs w:val="21"/>
                <w:shd w:val="clear" w:color="auto" w:fill="FFFFFF"/>
              </w:rPr>
              <w:t xml:space="preserve">表 </w:t>
            </w:r>
            <w:r>
              <w:rPr>
                <w:rFonts w:ascii="Times New Roman" w:hAnsi="Times New Roman"/>
                <w:b/>
                <w:bCs/>
                <w:szCs w:val="21"/>
                <w:shd w:val="clear" w:color="auto" w:fill="FFFFFF"/>
              </w:rPr>
              <w:fldChar w:fldCharType="begin"/>
            </w:r>
            <w:r>
              <w:rPr>
                <w:rFonts w:ascii="Times New Roman" w:hAnsi="Times New Roman"/>
                <w:b/>
                <w:bCs/>
                <w:szCs w:val="21"/>
                <w:shd w:val="clear" w:color="auto" w:fill="FFFFFF"/>
              </w:rPr>
              <w:instrText xml:space="preserve"> </w:instrText>
            </w:r>
            <w:r>
              <w:rPr>
                <w:rFonts w:hint="eastAsia" w:ascii="Times New Roman" w:hAnsi="Times New Roman"/>
                <w:b/>
                <w:bCs/>
                <w:szCs w:val="21"/>
                <w:shd w:val="clear" w:color="auto" w:fill="FFFFFF"/>
              </w:rPr>
              <w:instrText xml:space="preserve">SEQ 表 \* ARABIC</w:instrText>
            </w:r>
            <w:r>
              <w:rPr>
                <w:rFonts w:ascii="Times New Roman" w:hAnsi="Times New Roman"/>
                <w:b/>
                <w:bCs/>
                <w:szCs w:val="21"/>
                <w:shd w:val="clear" w:color="auto" w:fill="FFFFFF"/>
              </w:rPr>
              <w:instrText xml:space="preserve"> </w:instrText>
            </w:r>
            <w:r>
              <w:rPr>
                <w:rFonts w:ascii="Times New Roman" w:hAnsi="Times New Roman"/>
                <w:b/>
                <w:bCs/>
                <w:szCs w:val="21"/>
                <w:shd w:val="clear" w:color="auto" w:fill="FFFFFF"/>
              </w:rPr>
              <w:fldChar w:fldCharType="separate"/>
            </w:r>
            <w:r>
              <w:rPr>
                <w:rFonts w:hint="eastAsia" w:ascii="Times New Roman" w:hAnsi="Times New Roman"/>
                <w:b/>
                <w:bCs/>
                <w:szCs w:val="21"/>
                <w:shd w:val="clear" w:color="auto" w:fill="FFFFFF"/>
              </w:rPr>
              <w:t>20</w:t>
            </w:r>
            <w:r>
              <w:rPr>
                <w:rFonts w:ascii="Times New Roman" w:hAnsi="Times New Roman"/>
                <w:b/>
                <w:bCs/>
                <w:szCs w:val="21"/>
                <w:shd w:val="clear" w:color="auto" w:fill="FFFFFF"/>
              </w:rPr>
              <w:fldChar w:fldCharType="end"/>
            </w:r>
            <w:bookmarkEnd w:id="696"/>
            <w:r>
              <w:rPr>
                <w:rFonts w:hint="eastAsia" w:ascii="Times New Roman" w:hAnsi="Times New Roman"/>
                <w:b/>
                <w:bCs/>
                <w:szCs w:val="21"/>
                <w:shd w:val="clear" w:color="auto" w:fill="FFFFFF"/>
              </w:rPr>
              <w:t xml:space="preserve">           </w:t>
            </w:r>
            <w:r>
              <w:rPr>
                <w:rFonts w:hint="eastAsia" w:ascii="Times New Roman" w:hAnsi="Times New Roman"/>
                <w:b/>
                <w:bCs/>
                <w:szCs w:val="21"/>
                <w:shd w:val="clear" w:color="auto" w:fill="FFFFFF"/>
                <w:lang w:val="en-US" w:eastAsia="zh-CN"/>
              </w:rPr>
              <w:t xml:space="preserve"> </w:t>
            </w:r>
            <w:r>
              <w:rPr>
                <w:rFonts w:hint="eastAsia" w:ascii="Times New Roman" w:hAnsi="Times New Roman"/>
                <w:b/>
                <w:bCs/>
                <w:szCs w:val="21"/>
                <w:shd w:val="clear" w:color="auto" w:fill="FFFFFF"/>
              </w:rPr>
              <w:t xml:space="preserve">   类比线路与</w:t>
            </w:r>
            <w:r>
              <w:rPr>
                <w:rFonts w:hint="eastAsia" w:ascii="Times New Roman" w:hAnsi="Times New Roman"/>
                <w:b/>
                <w:bCs/>
                <w:szCs w:val="21"/>
                <w:shd w:val="clear" w:color="auto" w:fill="FFFFFF"/>
                <w:lang w:eastAsia="zh-CN"/>
              </w:rPr>
              <w:t>本工程</w:t>
            </w:r>
            <w:r>
              <w:rPr>
                <w:rFonts w:hint="eastAsia" w:ascii="Times New Roman" w:hAnsi="Times New Roman"/>
                <w:b/>
                <w:bCs/>
                <w:szCs w:val="21"/>
                <w:shd w:val="clear" w:color="auto" w:fill="FFFFFF"/>
              </w:rPr>
              <w:t>线路（</w:t>
            </w:r>
            <w:r>
              <w:rPr>
                <w:rFonts w:hint="eastAsia" w:ascii="Times New Roman" w:hAnsi="Times New Roman"/>
                <w:b/>
                <w:bCs/>
                <w:szCs w:val="21"/>
                <w:shd w:val="clear" w:color="auto" w:fill="FFFFFF"/>
                <w:lang w:val="en-US" w:eastAsia="zh-CN"/>
              </w:rPr>
              <w:t>单</w:t>
            </w:r>
            <w:r>
              <w:rPr>
                <w:rFonts w:hint="eastAsia" w:ascii="Times New Roman" w:hAnsi="Times New Roman"/>
                <w:b/>
                <w:bCs/>
                <w:szCs w:val="21"/>
                <w:shd w:val="clear" w:color="auto" w:fill="FFFFFF"/>
              </w:rPr>
              <w:t>回）技术指标对照表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5"/>
              <w:gridCol w:w="3212"/>
              <w:gridCol w:w="3212"/>
            </w:tblGrid>
            <w:tr w14:paraId="7F6CF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3300DFB6">
                  <w:pPr>
                    <w:jc w:val="center"/>
                    <w:rPr>
                      <w:bCs/>
                      <w:szCs w:val="21"/>
                    </w:rPr>
                  </w:pPr>
                  <w:r>
                    <w:rPr>
                      <w:szCs w:val="21"/>
                    </w:rPr>
                    <w:t>主要指标</w:t>
                  </w:r>
                </w:p>
              </w:tc>
              <w:tc>
                <w:tcPr>
                  <w:tcW w:w="3212" w:type="dxa"/>
                  <w:tcBorders>
                    <w:top w:val="single" w:color="auto" w:sz="6" w:space="0"/>
                    <w:left w:val="single" w:color="auto" w:sz="6" w:space="0"/>
                    <w:bottom w:val="single" w:color="auto" w:sz="6" w:space="0"/>
                    <w:right w:val="single" w:color="auto" w:sz="6" w:space="0"/>
                  </w:tcBorders>
                  <w:vAlign w:val="center"/>
                </w:tcPr>
                <w:p w14:paraId="37D41331">
                  <w:pPr>
                    <w:jc w:val="center"/>
                    <w:rPr>
                      <w:bCs/>
                      <w:szCs w:val="21"/>
                    </w:rPr>
                  </w:pPr>
                  <w:r>
                    <w:rPr>
                      <w:rFonts w:hint="eastAsia"/>
                      <w:szCs w:val="21"/>
                    </w:rPr>
                    <w:t>110kV海天红风一线</w:t>
                  </w:r>
                </w:p>
              </w:tc>
              <w:tc>
                <w:tcPr>
                  <w:tcW w:w="3212" w:type="dxa"/>
                  <w:tcBorders>
                    <w:top w:val="single" w:color="auto" w:sz="6" w:space="0"/>
                    <w:left w:val="single" w:color="auto" w:sz="6" w:space="0"/>
                    <w:bottom w:val="single" w:color="auto" w:sz="6" w:space="0"/>
                    <w:right w:val="single" w:color="auto" w:sz="6" w:space="0"/>
                  </w:tcBorders>
                  <w:vAlign w:val="center"/>
                </w:tcPr>
                <w:p w14:paraId="01878457">
                  <w:pPr>
                    <w:jc w:val="center"/>
                    <w:rPr>
                      <w:bCs/>
                      <w:szCs w:val="21"/>
                    </w:rPr>
                  </w:pPr>
                  <w:r>
                    <w:rPr>
                      <w:rFonts w:hint="eastAsia"/>
                      <w:szCs w:val="21"/>
                      <w:lang w:eastAsia="zh-CN"/>
                    </w:rPr>
                    <w:t>本工程</w:t>
                  </w:r>
                  <w:r>
                    <w:rPr>
                      <w:rFonts w:hint="eastAsia"/>
                      <w:szCs w:val="21"/>
                    </w:rPr>
                    <w:t>新建线路</w:t>
                  </w:r>
                </w:p>
              </w:tc>
            </w:tr>
            <w:tr w14:paraId="5666E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0C996477">
                  <w:pPr>
                    <w:spacing w:before="48" w:beforeLines="20" w:after="48" w:afterLines="20"/>
                    <w:jc w:val="center"/>
                    <w:rPr>
                      <w:szCs w:val="21"/>
                    </w:rPr>
                  </w:pPr>
                  <w:r>
                    <w:rPr>
                      <w:szCs w:val="21"/>
                    </w:rPr>
                    <w:t>电压等级</w:t>
                  </w:r>
                </w:p>
              </w:tc>
              <w:tc>
                <w:tcPr>
                  <w:tcW w:w="3212" w:type="dxa"/>
                  <w:tcBorders>
                    <w:top w:val="single" w:color="auto" w:sz="6" w:space="0"/>
                    <w:left w:val="single" w:color="auto" w:sz="6" w:space="0"/>
                    <w:bottom w:val="single" w:color="auto" w:sz="6" w:space="0"/>
                    <w:right w:val="single" w:color="auto" w:sz="6" w:space="0"/>
                  </w:tcBorders>
                  <w:vAlign w:val="center"/>
                </w:tcPr>
                <w:p w14:paraId="4D5FE580">
                  <w:pPr>
                    <w:jc w:val="center"/>
                    <w:rPr>
                      <w:szCs w:val="21"/>
                    </w:rPr>
                  </w:pPr>
                  <w:r>
                    <w:rPr>
                      <w:rFonts w:hint="eastAsia"/>
                      <w:szCs w:val="21"/>
                      <w:lang w:val="en-US" w:eastAsia="zh-CN"/>
                    </w:rPr>
                    <w:t>11</w:t>
                  </w:r>
                  <w:r>
                    <w:rPr>
                      <w:rFonts w:hint="eastAsia"/>
                      <w:szCs w:val="21"/>
                    </w:rPr>
                    <w:t>0kV</w:t>
                  </w:r>
                </w:p>
              </w:tc>
              <w:tc>
                <w:tcPr>
                  <w:tcW w:w="3212" w:type="dxa"/>
                  <w:tcBorders>
                    <w:top w:val="single" w:color="auto" w:sz="6" w:space="0"/>
                    <w:left w:val="single" w:color="auto" w:sz="6" w:space="0"/>
                    <w:bottom w:val="single" w:color="auto" w:sz="6" w:space="0"/>
                    <w:right w:val="single" w:color="auto" w:sz="6" w:space="0"/>
                  </w:tcBorders>
                  <w:vAlign w:val="center"/>
                </w:tcPr>
                <w:p w14:paraId="35F9D6D3">
                  <w:pPr>
                    <w:jc w:val="center"/>
                    <w:rPr>
                      <w:szCs w:val="21"/>
                    </w:rPr>
                  </w:pPr>
                  <w:r>
                    <w:rPr>
                      <w:rFonts w:hint="eastAsia"/>
                      <w:szCs w:val="21"/>
                      <w:lang w:val="en-US" w:eastAsia="zh-CN"/>
                    </w:rPr>
                    <w:t>110</w:t>
                  </w:r>
                  <w:r>
                    <w:rPr>
                      <w:szCs w:val="21"/>
                    </w:rPr>
                    <w:t>kV</w:t>
                  </w:r>
                </w:p>
              </w:tc>
            </w:tr>
            <w:tr w14:paraId="5F1CA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15551C15">
                  <w:pPr>
                    <w:spacing w:before="48" w:beforeLines="20" w:after="48" w:afterLines="20"/>
                    <w:jc w:val="center"/>
                    <w:rPr>
                      <w:szCs w:val="21"/>
                    </w:rPr>
                  </w:pPr>
                  <w:r>
                    <w:rPr>
                      <w:szCs w:val="21"/>
                    </w:rPr>
                    <w:t>架设型式</w:t>
                  </w:r>
                </w:p>
              </w:tc>
              <w:tc>
                <w:tcPr>
                  <w:tcW w:w="3212" w:type="dxa"/>
                  <w:tcBorders>
                    <w:top w:val="single" w:color="auto" w:sz="6" w:space="0"/>
                    <w:left w:val="single" w:color="auto" w:sz="6" w:space="0"/>
                    <w:bottom w:val="single" w:color="auto" w:sz="6" w:space="0"/>
                    <w:right w:val="single" w:color="auto" w:sz="6" w:space="0"/>
                  </w:tcBorders>
                  <w:vAlign w:val="center"/>
                </w:tcPr>
                <w:p w14:paraId="4D68A27E">
                  <w:pPr>
                    <w:jc w:val="center"/>
                    <w:rPr>
                      <w:szCs w:val="21"/>
                    </w:rPr>
                  </w:pPr>
                  <w:r>
                    <w:rPr>
                      <w:rFonts w:hint="eastAsia"/>
                      <w:szCs w:val="21"/>
                      <w:lang w:val="en-US" w:eastAsia="zh-CN"/>
                    </w:rPr>
                    <w:t>单回路</w:t>
                  </w:r>
                  <w:r>
                    <w:rPr>
                      <w:szCs w:val="21"/>
                    </w:rPr>
                    <w:t>架设</w:t>
                  </w:r>
                </w:p>
              </w:tc>
              <w:tc>
                <w:tcPr>
                  <w:tcW w:w="3212" w:type="dxa"/>
                  <w:tcBorders>
                    <w:top w:val="single" w:color="auto" w:sz="6" w:space="0"/>
                    <w:left w:val="single" w:color="auto" w:sz="6" w:space="0"/>
                    <w:bottom w:val="single" w:color="auto" w:sz="6" w:space="0"/>
                    <w:right w:val="single" w:color="auto" w:sz="6" w:space="0"/>
                  </w:tcBorders>
                  <w:vAlign w:val="center"/>
                </w:tcPr>
                <w:p w14:paraId="1152FD6B">
                  <w:pPr>
                    <w:jc w:val="center"/>
                    <w:rPr>
                      <w:szCs w:val="21"/>
                    </w:rPr>
                  </w:pPr>
                  <w:r>
                    <w:rPr>
                      <w:rFonts w:hint="eastAsia"/>
                      <w:szCs w:val="21"/>
                      <w:lang w:val="en-US" w:eastAsia="zh-CN"/>
                    </w:rPr>
                    <w:t>单回路</w:t>
                  </w:r>
                  <w:r>
                    <w:rPr>
                      <w:szCs w:val="21"/>
                    </w:rPr>
                    <w:t>架设</w:t>
                  </w:r>
                </w:p>
              </w:tc>
            </w:tr>
            <w:tr w14:paraId="27351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405CE0E2">
                  <w:pPr>
                    <w:spacing w:before="48" w:beforeLines="20" w:after="48" w:afterLines="20"/>
                    <w:jc w:val="center"/>
                    <w:rPr>
                      <w:szCs w:val="21"/>
                    </w:rPr>
                  </w:pPr>
                  <w:r>
                    <w:rPr>
                      <w:rFonts w:hint="eastAsia"/>
                      <w:szCs w:val="21"/>
                    </w:rPr>
                    <w:t>排列方式</w:t>
                  </w:r>
                </w:p>
              </w:tc>
              <w:tc>
                <w:tcPr>
                  <w:tcW w:w="3212" w:type="dxa"/>
                  <w:tcBorders>
                    <w:top w:val="single" w:color="auto" w:sz="6" w:space="0"/>
                    <w:left w:val="single" w:color="auto" w:sz="6" w:space="0"/>
                    <w:bottom w:val="single" w:color="auto" w:sz="6" w:space="0"/>
                    <w:right w:val="single" w:color="auto" w:sz="6" w:space="0"/>
                  </w:tcBorders>
                  <w:vAlign w:val="center"/>
                </w:tcPr>
                <w:p w14:paraId="60FCBF21">
                  <w:pPr>
                    <w:jc w:val="center"/>
                    <w:rPr>
                      <w:szCs w:val="21"/>
                    </w:rPr>
                  </w:pPr>
                  <w:r>
                    <w:rPr>
                      <w:rFonts w:hint="eastAsia"/>
                      <w:szCs w:val="21"/>
                      <w:lang w:val="en-US" w:eastAsia="zh-CN"/>
                    </w:rPr>
                    <w:t>水平</w:t>
                  </w:r>
                  <w:r>
                    <w:rPr>
                      <w:rFonts w:hint="eastAsia"/>
                      <w:szCs w:val="21"/>
                    </w:rPr>
                    <w:t>排列</w:t>
                  </w:r>
                </w:p>
              </w:tc>
              <w:tc>
                <w:tcPr>
                  <w:tcW w:w="3212" w:type="dxa"/>
                  <w:tcBorders>
                    <w:top w:val="single" w:color="auto" w:sz="6" w:space="0"/>
                    <w:left w:val="single" w:color="auto" w:sz="6" w:space="0"/>
                    <w:bottom w:val="single" w:color="auto" w:sz="6" w:space="0"/>
                    <w:right w:val="single" w:color="auto" w:sz="6" w:space="0"/>
                  </w:tcBorders>
                  <w:vAlign w:val="center"/>
                </w:tcPr>
                <w:p w14:paraId="38FD4A91">
                  <w:pPr>
                    <w:jc w:val="center"/>
                    <w:rPr>
                      <w:rFonts w:hint="eastAsia" w:eastAsia="宋体"/>
                      <w:szCs w:val="21"/>
                      <w:lang w:eastAsia="zh-CN"/>
                    </w:rPr>
                  </w:pPr>
                  <w:r>
                    <w:rPr>
                      <w:rFonts w:hint="eastAsia"/>
                      <w:szCs w:val="21"/>
                      <w:lang w:val="en-US" w:eastAsia="zh-CN"/>
                    </w:rPr>
                    <w:t>水平排列</w:t>
                  </w:r>
                </w:p>
              </w:tc>
            </w:tr>
            <w:tr w14:paraId="2AB22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57EADF91">
                  <w:pPr>
                    <w:spacing w:before="48" w:beforeLines="20" w:after="48" w:afterLines="20"/>
                    <w:jc w:val="center"/>
                    <w:rPr>
                      <w:szCs w:val="21"/>
                    </w:rPr>
                  </w:pPr>
                  <w:r>
                    <w:rPr>
                      <w:rFonts w:hint="eastAsia"/>
                      <w:szCs w:val="21"/>
                    </w:rPr>
                    <w:t>导线型号</w:t>
                  </w:r>
                </w:p>
              </w:tc>
              <w:tc>
                <w:tcPr>
                  <w:tcW w:w="3212" w:type="dxa"/>
                  <w:tcBorders>
                    <w:top w:val="single" w:color="auto" w:sz="6" w:space="0"/>
                    <w:left w:val="single" w:color="auto" w:sz="6" w:space="0"/>
                    <w:bottom w:val="single" w:color="auto" w:sz="6" w:space="0"/>
                    <w:right w:val="single" w:color="auto" w:sz="6" w:space="0"/>
                  </w:tcBorders>
                  <w:vAlign w:val="center"/>
                </w:tcPr>
                <w:p w14:paraId="6253AD87">
                  <w:pPr>
                    <w:jc w:val="center"/>
                    <w:rPr>
                      <w:szCs w:val="21"/>
                    </w:rPr>
                  </w:pPr>
                  <w:r>
                    <w:rPr>
                      <w:rFonts w:hint="eastAsia"/>
                      <w:szCs w:val="21"/>
                    </w:rPr>
                    <w:t>JL3/G1A-240/40</w:t>
                  </w:r>
                </w:p>
              </w:tc>
              <w:tc>
                <w:tcPr>
                  <w:tcW w:w="3212" w:type="dxa"/>
                  <w:tcBorders>
                    <w:top w:val="single" w:color="auto" w:sz="6" w:space="0"/>
                    <w:left w:val="single" w:color="auto" w:sz="6" w:space="0"/>
                    <w:bottom w:val="single" w:color="auto" w:sz="6" w:space="0"/>
                    <w:right w:val="single" w:color="auto" w:sz="6" w:space="0"/>
                  </w:tcBorders>
                  <w:vAlign w:val="center"/>
                </w:tcPr>
                <w:p w14:paraId="781E51BF">
                  <w:pPr>
                    <w:jc w:val="center"/>
                    <w:rPr>
                      <w:szCs w:val="21"/>
                    </w:rPr>
                  </w:pPr>
                  <w:r>
                    <w:rPr>
                      <w:rFonts w:hint="eastAsia" w:ascii="Times New Roman" w:hAnsi="Times New Roman"/>
                      <w:caps w:val="0"/>
                      <w:highlight w:val="none"/>
                    </w:rPr>
                    <w:t>JL3/G1A-240/30</w:t>
                  </w:r>
                </w:p>
              </w:tc>
            </w:tr>
            <w:tr w14:paraId="46B79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624D2069">
                  <w:pPr>
                    <w:spacing w:before="48" w:beforeLines="20" w:after="48" w:afterLines="20"/>
                    <w:jc w:val="center"/>
                    <w:rPr>
                      <w:rFonts w:hint="eastAsia" w:ascii="Times New Roman" w:hAnsi="Times New Roman" w:eastAsia="宋体" w:cs="Times New Roman"/>
                      <w:kern w:val="2"/>
                      <w:sz w:val="21"/>
                      <w:szCs w:val="21"/>
                      <w:lang w:val="en-US" w:eastAsia="zh-CN" w:bidi="ar-SA"/>
                    </w:rPr>
                  </w:pPr>
                  <w:r>
                    <w:rPr>
                      <w:rFonts w:hint="eastAsia"/>
                      <w:szCs w:val="21"/>
                    </w:rPr>
                    <w:t>导线外径</w:t>
                  </w:r>
                </w:p>
              </w:tc>
              <w:tc>
                <w:tcPr>
                  <w:tcW w:w="3212" w:type="dxa"/>
                  <w:tcBorders>
                    <w:top w:val="single" w:color="auto" w:sz="6" w:space="0"/>
                    <w:left w:val="single" w:color="auto" w:sz="6" w:space="0"/>
                    <w:bottom w:val="single" w:color="auto" w:sz="6" w:space="0"/>
                    <w:right w:val="single" w:color="auto" w:sz="6" w:space="0"/>
                  </w:tcBorders>
                  <w:vAlign w:val="center"/>
                </w:tcPr>
                <w:p w14:paraId="183BFFB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21.7</w:t>
                  </w:r>
                  <w:r>
                    <w:rPr>
                      <w:rFonts w:hint="eastAsia"/>
                      <w:szCs w:val="21"/>
                    </w:rPr>
                    <w:t>mm</w:t>
                  </w:r>
                </w:p>
              </w:tc>
              <w:tc>
                <w:tcPr>
                  <w:tcW w:w="3212" w:type="dxa"/>
                  <w:tcBorders>
                    <w:top w:val="single" w:color="auto" w:sz="6" w:space="0"/>
                    <w:left w:val="single" w:color="auto" w:sz="6" w:space="0"/>
                    <w:bottom w:val="single" w:color="auto" w:sz="6" w:space="0"/>
                    <w:right w:val="single" w:color="auto" w:sz="6" w:space="0"/>
                  </w:tcBorders>
                  <w:vAlign w:val="center"/>
                </w:tcPr>
                <w:p w14:paraId="5421476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21.6</w:t>
                  </w:r>
                  <w:r>
                    <w:rPr>
                      <w:szCs w:val="21"/>
                    </w:rPr>
                    <w:t>mm</w:t>
                  </w:r>
                </w:p>
              </w:tc>
            </w:tr>
            <w:tr w14:paraId="7E099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7FF53C0E">
                  <w:pPr>
                    <w:spacing w:before="48" w:beforeLines="20" w:after="48" w:afterLines="20"/>
                    <w:jc w:val="center"/>
                    <w:rPr>
                      <w:rFonts w:hint="eastAsia" w:eastAsia="宋体"/>
                      <w:szCs w:val="21"/>
                      <w:lang w:val="en-US" w:eastAsia="zh-CN"/>
                    </w:rPr>
                  </w:pPr>
                  <w:r>
                    <w:rPr>
                      <w:rFonts w:hint="eastAsia"/>
                      <w:szCs w:val="21"/>
                      <w:lang w:val="en-US" w:eastAsia="zh-CN"/>
                    </w:rPr>
                    <w:t>环境条件</w:t>
                  </w:r>
                </w:p>
              </w:tc>
              <w:tc>
                <w:tcPr>
                  <w:tcW w:w="3212" w:type="dxa"/>
                  <w:tcBorders>
                    <w:top w:val="single" w:color="auto" w:sz="6" w:space="0"/>
                    <w:left w:val="single" w:color="auto" w:sz="6" w:space="0"/>
                    <w:bottom w:val="single" w:color="auto" w:sz="6" w:space="0"/>
                    <w:right w:val="single" w:color="auto" w:sz="6" w:space="0"/>
                  </w:tcBorders>
                  <w:vAlign w:val="center"/>
                </w:tcPr>
                <w:p w14:paraId="2DB86962">
                  <w:pPr>
                    <w:jc w:val="center"/>
                    <w:rPr>
                      <w:rFonts w:hint="eastAsia"/>
                      <w:lang w:val="en-US" w:eastAsia="zh-CN"/>
                    </w:rPr>
                  </w:pPr>
                  <w:r>
                    <w:rPr>
                      <w:rFonts w:hint="eastAsia"/>
                      <w:lang w:val="en-US" w:eastAsia="zh-CN"/>
                    </w:rPr>
                    <w:t>昌吉回族自治州奇台县</w:t>
                  </w:r>
                </w:p>
                <w:p w14:paraId="7A837F6F">
                  <w:pPr>
                    <w:rPr>
                      <w:rFonts w:hint="default"/>
                      <w:lang w:val="en-US" w:eastAsia="zh-CN"/>
                    </w:rPr>
                  </w:pPr>
                  <w:r>
                    <w:rPr>
                      <w:rFonts w:hint="eastAsia"/>
                    </w:rPr>
                    <w:t>中温带大陆性半荒漠干旱性气候</w:t>
                  </w:r>
                </w:p>
              </w:tc>
              <w:tc>
                <w:tcPr>
                  <w:tcW w:w="3212" w:type="dxa"/>
                  <w:tcBorders>
                    <w:top w:val="single" w:color="auto" w:sz="6" w:space="0"/>
                    <w:left w:val="single" w:color="auto" w:sz="6" w:space="0"/>
                    <w:bottom w:val="single" w:color="auto" w:sz="6" w:space="0"/>
                    <w:right w:val="single" w:color="auto" w:sz="6" w:space="0"/>
                  </w:tcBorders>
                  <w:vAlign w:val="center"/>
                </w:tcPr>
                <w:p w14:paraId="3E02DD59">
                  <w:pPr>
                    <w:jc w:val="center"/>
                    <w:rPr>
                      <w:rFonts w:hint="eastAsia"/>
                      <w:lang w:val="en-US" w:eastAsia="zh-CN"/>
                    </w:rPr>
                  </w:pPr>
                  <w:r>
                    <w:rPr>
                      <w:rFonts w:hint="eastAsia"/>
                      <w:lang w:val="en-US" w:eastAsia="zh-CN"/>
                    </w:rPr>
                    <w:t>吐鲁番市高昌区</w:t>
                  </w:r>
                </w:p>
                <w:p w14:paraId="2B154A10">
                  <w:pPr>
                    <w:jc w:val="center"/>
                    <w:rPr>
                      <w:rFonts w:hint="default"/>
                      <w:lang w:val="en-US" w:eastAsia="zh-CN"/>
                    </w:rPr>
                  </w:pPr>
                  <w:r>
                    <w:rPr>
                      <w:rFonts w:hint="eastAsia" w:cs="宋体"/>
                      <w:szCs w:val="24"/>
                    </w:rPr>
                    <w:t>暖温带大陆性荒漠气候</w:t>
                  </w:r>
                </w:p>
              </w:tc>
            </w:tr>
            <w:tr w14:paraId="79B4B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5" w:type="dxa"/>
                  <w:tcBorders>
                    <w:top w:val="single" w:color="auto" w:sz="6" w:space="0"/>
                    <w:left w:val="single" w:color="auto" w:sz="6" w:space="0"/>
                    <w:bottom w:val="single" w:color="auto" w:sz="6" w:space="0"/>
                    <w:right w:val="single" w:color="auto" w:sz="6" w:space="0"/>
                  </w:tcBorders>
                  <w:vAlign w:val="center"/>
                </w:tcPr>
                <w:p w14:paraId="7E5048B1">
                  <w:pPr>
                    <w:spacing w:before="48" w:beforeLines="20" w:after="48" w:afterLines="20"/>
                    <w:jc w:val="center"/>
                    <w:rPr>
                      <w:szCs w:val="21"/>
                    </w:rPr>
                  </w:pPr>
                  <w:r>
                    <w:rPr>
                      <w:rFonts w:hint="eastAsia"/>
                      <w:szCs w:val="21"/>
                    </w:rPr>
                    <w:t>导线高度</w:t>
                  </w:r>
                </w:p>
              </w:tc>
              <w:tc>
                <w:tcPr>
                  <w:tcW w:w="3212" w:type="dxa"/>
                  <w:tcBorders>
                    <w:top w:val="single" w:color="auto" w:sz="6" w:space="0"/>
                    <w:left w:val="single" w:color="auto" w:sz="6" w:space="0"/>
                    <w:bottom w:val="single" w:color="auto" w:sz="6" w:space="0"/>
                    <w:right w:val="single" w:color="auto" w:sz="6" w:space="0"/>
                  </w:tcBorders>
                  <w:vAlign w:val="center"/>
                </w:tcPr>
                <w:p w14:paraId="051AD44C">
                  <w:pPr>
                    <w:jc w:val="center"/>
                    <w:rPr>
                      <w:rFonts w:hint="default" w:eastAsia="宋体"/>
                      <w:szCs w:val="21"/>
                      <w:lang w:val="en-US" w:eastAsia="zh-CN"/>
                    </w:rPr>
                  </w:pPr>
                  <w:r>
                    <w:rPr>
                      <w:rFonts w:hint="eastAsia"/>
                      <w:szCs w:val="21"/>
                      <w:lang w:val="en-US" w:eastAsia="zh-CN"/>
                    </w:rPr>
                    <w:t>11m</w:t>
                  </w:r>
                </w:p>
              </w:tc>
              <w:tc>
                <w:tcPr>
                  <w:tcW w:w="3212" w:type="dxa"/>
                  <w:tcBorders>
                    <w:top w:val="single" w:color="auto" w:sz="6" w:space="0"/>
                    <w:left w:val="single" w:color="auto" w:sz="6" w:space="0"/>
                    <w:bottom w:val="single" w:color="auto" w:sz="6" w:space="0"/>
                    <w:right w:val="single" w:color="auto" w:sz="6" w:space="0"/>
                  </w:tcBorders>
                  <w:vAlign w:val="center"/>
                </w:tcPr>
                <w:p w14:paraId="659B0408">
                  <w:pPr>
                    <w:jc w:val="center"/>
                  </w:pPr>
                  <w:r>
                    <w:rPr>
                      <w:rFonts w:hint="eastAsia"/>
                    </w:rPr>
                    <w:t>非居民区不低于6.</w:t>
                  </w:r>
                  <w:r>
                    <w:rPr>
                      <w:rFonts w:hint="eastAsia"/>
                      <w:lang w:val="en-US" w:eastAsia="zh-CN"/>
                    </w:rPr>
                    <w:t>0</w:t>
                  </w:r>
                  <w:r>
                    <w:rPr>
                      <w:rFonts w:hint="eastAsia"/>
                    </w:rPr>
                    <w:t>m</w:t>
                  </w:r>
                </w:p>
                <w:p w14:paraId="2E7F18EF">
                  <w:pPr>
                    <w:jc w:val="center"/>
                  </w:pPr>
                  <w:r>
                    <w:rPr>
                      <w:rFonts w:hint="eastAsia"/>
                    </w:rPr>
                    <w:t>居民区不低于7.</w:t>
                  </w:r>
                  <w:r>
                    <w:rPr>
                      <w:rFonts w:hint="eastAsia"/>
                      <w:lang w:val="en-US" w:eastAsia="zh-CN"/>
                    </w:rPr>
                    <w:t>0</w:t>
                  </w:r>
                  <w:r>
                    <w:rPr>
                      <w:rFonts w:hint="eastAsia"/>
                    </w:rPr>
                    <w:t>m</w:t>
                  </w:r>
                </w:p>
              </w:tc>
            </w:tr>
          </w:tbl>
          <w:p w14:paraId="5F7343DB">
            <w:pPr>
              <w:pStyle w:val="11"/>
              <w:shd w:val="clear" w:color="auto" w:fill="FFFFFF"/>
              <w:adjustRightInd w:val="0"/>
              <w:snapToGrid w:val="0"/>
              <w:ind w:firstLineChars="0"/>
              <w:outlineLvl w:val="4"/>
              <w:rPr>
                <w:rFonts w:eastAsia="楷体_GB2312"/>
                <w:b/>
                <w:bCs/>
              </w:rPr>
            </w:pPr>
            <w:r>
              <w:rPr>
                <w:rFonts w:ascii="楷体_GB2312" w:eastAsia="楷体_GB2312"/>
                <w:b/>
                <w:bCs/>
              </w:rPr>
              <w:t>（2）</w:t>
            </w:r>
            <w:r>
              <w:rPr>
                <w:rFonts w:hint="eastAsia" w:ascii="楷体_GB2312" w:eastAsia="楷体_GB2312"/>
                <w:b/>
                <w:bCs/>
              </w:rPr>
              <w:t>类比对象可行性分析</w:t>
            </w:r>
          </w:p>
          <w:p w14:paraId="725F5FB8">
            <w:pPr>
              <w:spacing w:line="360" w:lineRule="auto"/>
              <w:ind w:firstLine="480" w:firstLineChars="200"/>
              <w:rPr>
                <w:color w:val="000000" w:themeColor="text1"/>
                <w:sz w:val="24"/>
                <w:u w:val="none"/>
                <w14:textFill>
                  <w14:solidFill>
                    <w14:schemeClr w14:val="tx1"/>
                  </w14:solidFill>
                </w14:textFill>
              </w:rPr>
            </w:pPr>
            <w:r>
              <w:rPr>
                <w:rFonts w:hint="eastAsia"/>
                <w:sz w:val="24"/>
                <w:u w:val="none"/>
              </w:rPr>
              <w:t>选取的类比线路电压等级、架设型式、排列方式等与本工程线路基本一致，</w:t>
            </w:r>
            <w:r>
              <w:rPr>
                <w:color w:val="000000" w:themeColor="text1"/>
                <w:sz w:val="24"/>
                <w:u w:val="none"/>
                <w14:textFill>
                  <w14:solidFill>
                    <w14:schemeClr w14:val="tx1"/>
                  </w14:solidFill>
                </w14:textFill>
              </w:rPr>
              <w:t>架设高度与本工程输电线路存在一定差异，即类比线路架设高度为实际架设高度，环评阶段本工程输电线路高度为《110kV～750kV架空输电线路设计规范》（GB</w:t>
            </w:r>
            <w:r>
              <w:rPr>
                <w:rFonts w:hint="eastAsia"/>
                <w:color w:val="000000" w:themeColor="text1"/>
                <w:sz w:val="24"/>
                <w:u w:val="none"/>
                <w:lang w:val="en-US" w:eastAsia="zh-CN"/>
                <w14:textFill>
                  <w14:solidFill>
                    <w14:schemeClr w14:val="tx1"/>
                  </w14:solidFill>
                </w14:textFill>
              </w:rPr>
              <w:t xml:space="preserve"> </w:t>
            </w:r>
            <w:r>
              <w:rPr>
                <w:color w:val="000000" w:themeColor="text1"/>
                <w:sz w:val="24"/>
                <w:u w:val="none"/>
                <w14:textFill>
                  <w14:solidFill>
                    <w14:schemeClr w14:val="tx1"/>
                  </w14:solidFill>
                </w14:textFill>
              </w:rPr>
              <w:t>50545-2010）中规定的导线对地最低理论高度。实际架设时，结合沿线地形条件实际架设高度一般会大于最低理论高度，可与类比线路导线对地高度相当</w:t>
            </w:r>
            <w:r>
              <w:rPr>
                <w:rFonts w:hint="eastAsia"/>
                <w:color w:val="000000" w:themeColor="text1"/>
                <w:sz w:val="24"/>
                <w:u w:val="none"/>
                <w14:textFill>
                  <w14:solidFill>
                    <w14:schemeClr w14:val="tx1"/>
                  </w14:solidFill>
                </w14:textFill>
              </w:rPr>
              <w:t>，满足类比要求</w:t>
            </w:r>
            <w:r>
              <w:rPr>
                <w:color w:val="000000" w:themeColor="text1"/>
                <w:sz w:val="24"/>
                <w:u w:val="none"/>
                <w14:textFill>
                  <w14:solidFill>
                    <w14:schemeClr w14:val="tx1"/>
                  </w14:solidFill>
                </w14:textFill>
              </w:rPr>
              <w:t>。</w:t>
            </w:r>
          </w:p>
          <w:p w14:paraId="48DD82CD">
            <w:pPr>
              <w:spacing w:line="360" w:lineRule="auto"/>
              <w:ind w:firstLine="480" w:firstLineChars="200"/>
              <w:rPr>
                <w:sz w:val="24"/>
              </w:rPr>
            </w:pPr>
            <w:r>
              <w:rPr>
                <w:rFonts w:hint="eastAsia"/>
                <w:color w:val="000000" w:themeColor="text1"/>
                <w:kern w:val="0"/>
                <w:sz w:val="24"/>
                <w:u w:val="none"/>
                <w:shd w:val="clear" w:color="auto" w:fill="FFFFFF"/>
                <w14:textFill>
                  <w14:solidFill>
                    <w14:schemeClr w14:val="tx1"/>
                  </w14:solidFill>
                </w14:textFill>
              </w:rPr>
              <w:t>监测期间类比线路运行正常，故本次环评将</w:t>
            </w:r>
            <w:r>
              <w:rPr>
                <w:rFonts w:hint="eastAsia"/>
                <w:kern w:val="0"/>
                <w:sz w:val="24"/>
                <w:shd w:val="clear" w:color="auto" w:fill="FFFFFF"/>
              </w:rPr>
              <w:t>110kV海天红风一线</w:t>
            </w:r>
            <w:r>
              <w:rPr>
                <w:rFonts w:hint="eastAsia"/>
                <w:color w:val="000000" w:themeColor="text1"/>
                <w:kern w:val="0"/>
                <w:sz w:val="24"/>
                <w:shd w:val="clear" w:color="auto" w:fill="FFFFFF"/>
                <w14:textFill>
                  <w14:solidFill>
                    <w14:schemeClr w14:val="tx1"/>
                  </w14:solidFill>
                </w14:textFill>
              </w:rPr>
              <w:t>作为本工程新建线路的类比对象是可行的，</w:t>
            </w:r>
            <w:r>
              <w:rPr>
                <w:color w:val="000000" w:themeColor="text1"/>
                <w:sz w:val="24"/>
                <w14:textFill>
                  <w14:solidFill>
                    <w14:schemeClr w14:val="tx1"/>
                  </w14:solidFill>
                </w14:textFill>
              </w:rPr>
              <w:t>类比线路的声环境监测结果能反映本工程输电线路运行后可能产生的声环境影响水平</w:t>
            </w:r>
            <w:r>
              <w:rPr>
                <w:rFonts w:hint="eastAsia"/>
                <w:color w:val="000000" w:themeColor="text1"/>
                <w:sz w:val="24"/>
                <w14:textFill>
                  <w14:solidFill>
                    <w14:schemeClr w14:val="tx1"/>
                  </w14:solidFill>
                </w14:textFill>
              </w:rPr>
              <w:t>。</w:t>
            </w:r>
          </w:p>
          <w:p w14:paraId="63F2EF20">
            <w:pPr>
              <w:shd w:val="clear" w:color="auto" w:fill="FFFFFF"/>
              <w:adjustRightInd w:val="0"/>
              <w:snapToGrid w:val="0"/>
              <w:spacing w:line="360" w:lineRule="auto"/>
              <w:ind w:firstLine="422" w:firstLineChars="200"/>
              <w:outlineLvl w:val="4"/>
              <w:rPr>
                <w:rFonts w:eastAsia="楷体_GB2312"/>
                <w:b/>
              </w:rPr>
            </w:pPr>
            <w:r>
              <w:rPr>
                <w:rFonts w:eastAsia="楷体_GB2312"/>
                <w:b/>
              </w:rPr>
              <w:t>（3）</w:t>
            </w:r>
            <w:r>
              <w:rPr>
                <w:rFonts w:hint="eastAsia" w:eastAsia="楷体_GB2312"/>
                <w:b/>
              </w:rPr>
              <w:t>类比</w:t>
            </w:r>
            <w:r>
              <w:rPr>
                <w:rFonts w:eastAsia="楷体_GB2312"/>
                <w:b/>
              </w:rPr>
              <w:t>监测</w:t>
            </w:r>
            <w:r>
              <w:rPr>
                <w:rFonts w:hint="eastAsia" w:eastAsia="楷体_GB2312"/>
                <w:b/>
              </w:rPr>
              <w:t>点</w:t>
            </w:r>
          </w:p>
          <w:p w14:paraId="1DE02C81">
            <w:pPr>
              <w:spacing w:line="360" w:lineRule="auto"/>
              <w:ind w:firstLine="482"/>
              <w:rPr>
                <w:kern w:val="0"/>
                <w:sz w:val="24"/>
                <w:shd w:val="clear" w:color="auto" w:fill="FFFFFF"/>
              </w:rPr>
            </w:pPr>
            <w:r>
              <w:rPr>
                <w:rFonts w:hint="eastAsia"/>
                <w:kern w:val="0"/>
                <w:sz w:val="24"/>
                <w:shd w:val="clear" w:color="auto" w:fill="FFFFFF"/>
              </w:rPr>
              <w:t>以110kV海天红风一线</w:t>
            </w:r>
            <w:r>
              <w:rPr>
                <w:rFonts w:hint="eastAsia"/>
                <w:kern w:val="0"/>
                <w:sz w:val="24"/>
                <w:shd w:val="clear" w:color="auto" w:fill="FFFFFF"/>
                <w:lang w:val="en-US" w:eastAsia="zh-CN"/>
              </w:rPr>
              <w:t>25</w:t>
            </w:r>
            <w:r>
              <w:rPr>
                <w:rFonts w:hint="eastAsia"/>
                <w:kern w:val="0"/>
                <w:sz w:val="24"/>
                <w:shd w:val="clear" w:color="auto" w:fill="FFFFFF"/>
              </w:rPr>
              <w:t>#～</w:t>
            </w:r>
            <w:r>
              <w:rPr>
                <w:rFonts w:hint="eastAsia"/>
                <w:kern w:val="0"/>
                <w:sz w:val="24"/>
                <w:shd w:val="clear" w:color="auto" w:fill="FFFFFF"/>
                <w:lang w:val="en-US" w:eastAsia="zh-CN"/>
              </w:rPr>
              <w:t>26</w:t>
            </w:r>
            <w:r>
              <w:rPr>
                <w:rFonts w:hint="eastAsia"/>
                <w:kern w:val="0"/>
                <w:sz w:val="24"/>
                <w:shd w:val="clear" w:color="auto" w:fill="FFFFFF"/>
              </w:rPr>
              <w:t>#杆塔导线弧垂最大处线路中心的地面投影为监测原点，沿垂直于线路方向进行断面监测。</w:t>
            </w:r>
          </w:p>
          <w:p w14:paraId="6FFD7269">
            <w:pPr>
              <w:pStyle w:val="11"/>
              <w:shd w:val="clear" w:color="auto" w:fill="FFFFFF"/>
              <w:adjustRightInd w:val="0"/>
              <w:snapToGrid w:val="0"/>
              <w:ind w:left="420" w:firstLine="0" w:firstLineChars="0"/>
              <w:outlineLvl w:val="4"/>
              <w:rPr>
                <w:rFonts w:eastAsia="楷体_GB2312"/>
                <w:b/>
              </w:rPr>
            </w:pPr>
            <w:r>
              <w:rPr>
                <w:rFonts w:eastAsia="楷体_GB2312"/>
                <w:b/>
              </w:rPr>
              <w:t>（4）</w:t>
            </w:r>
            <w:r>
              <w:rPr>
                <w:rFonts w:hint="eastAsia" w:eastAsia="楷体_GB2312"/>
                <w:b/>
              </w:rPr>
              <w:t>类比</w:t>
            </w:r>
            <w:r>
              <w:rPr>
                <w:rFonts w:eastAsia="楷体_GB2312"/>
                <w:b/>
              </w:rPr>
              <w:t>监测内容</w:t>
            </w:r>
          </w:p>
          <w:p w14:paraId="66D978AB">
            <w:pPr>
              <w:spacing w:line="360" w:lineRule="auto"/>
              <w:ind w:firstLine="482"/>
              <w:rPr>
                <w:kern w:val="0"/>
                <w:sz w:val="24"/>
                <w:shd w:val="clear" w:color="auto" w:fill="FFFFFF"/>
              </w:rPr>
            </w:pPr>
            <w:r>
              <w:rPr>
                <w:rFonts w:hint="eastAsia"/>
                <w:kern w:val="0"/>
                <w:sz w:val="24"/>
                <w:shd w:val="clear" w:color="auto" w:fill="FFFFFF"/>
              </w:rPr>
              <w:t>等效连续</w:t>
            </w:r>
            <w:r>
              <w:rPr>
                <w:kern w:val="0"/>
                <w:sz w:val="24"/>
                <w:shd w:val="clear" w:color="auto" w:fill="FFFFFF"/>
              </w:rPr>
              <w:t>A</w:t>
            </w:r>
            <w:r>
              <w:rPr>
                <w:rFonts w:hint="eastAsia"/>
                <w:kern w:val="0"/>
                <w:sz w:val="24"/>
                <w:shd w:val="clear" w:color="auto" w:fill="FFFFFF"/>
              </w:rPr>
              <w:t>声级。</w:t>
            </w:r>
          </w:p>
          <w:p w14:paraId="3E3AB4A4">
            <w:pPr>
              <w:pStyle w:val="11"/>
              <w:shd w:val="clear" w:color="auto" w:fill="FFFFFF"/>
              <w:adjustRightInd w:val="0"/>
              <w:snapToGrid w:val="0"/>
              <w:ind w:left="420" w:firstLine="0" w:firstLineChars="0"/>
              <w:outlineLvl w:val="4"/>
              <w:rPr>
                <w:rFonts w:eastAsia="楷体_GB2312"/>
                <w:b/>
              </w:rPr>
            </w:pPr>
            <w:r>
              <w:rPr>
                <w:rFonts w:eastAsia="楷体_GB2312"/>
                <w:b/>
              </w:rPr>
              <w:t>（5）</w:t>
            </w:r>
            <w:r>
              <w:rPr>
                <w:rFonts w:hint="eastAsia" w:eastAsia="楷体_GB2312"/>
                <w:b/>
              </w:rPr>
              <w:t>类比</w:t>
            </w:r>
            <w:r>
              <w:rPr>
                <w:rFonts w:eastAsia="楷体_GB2312"/>
                <w:b/>
              </w:rPr>
              <w:t>监测</w:t>
            </w:r>
            <w:r>
              <w:rPr>
                <w:rFonts w:hint="eastAsia" w:eastAsia="楷体_GB2312"/>
                <w:b/>
              </w:rPr>
              <w:t>方法</w:t>
            </w:r>
            <w:r>
              <w:rPr>
                <w:rFonts w:eastAsia="楷体_GB2312"/>
                <w:b/>
              </w:rPr>
              <w:t>及频次</w:t>
            </w:r>
          </w:p>
          <w:p w14:paraId="4FBC32ED">
            <w:pPr>
              <w:spacing w:line="360" w:lineRule="auto"/>
              <w:ind w:firstLine="482"/>
              <w:rPr>
                <w:sz w:val="24"/>
              </w:rPr>
            </w:pPr>
            <w:r>
              <w:rPr>
                <w:rFonts w:hint="eastAsia"/>
                <w:kern w:val="0"/>
                <w:sz w:val="24"/>
                <w:shd w:val="clear" w:color="auto" w:fill="FFFFFF"/>
              </w:rPr>
              <w:t>类比监测按《声环境质量标准》（</w:t>
            </w:r>
            <w:r>
              <w:rPr>
                <w:kern w:val="0"/>
                <w:sz w:val="24"/>
                <w:shd w:val="clear" w:color="auto" w:fill="FFFFFF"/>
              </w:rPr>
              <w:t>GB3096-2008</w:t>
            </w:r>
            <w:r>
              <w:rPr>
                <w:rFonts w:hint="eastAsia"/>
                <w:kern w:val="0"/>
                <w:sz w:val="24"/>
                <w:shd w:val="clear" w:color="auto" w:fill="FFFFFF"/>
              </w:rPr>
              <w:t>）中的规定监测方法进行监测，监测方法也符合《工业企业厂界环境噪声排放标准》（GB12348-2008）中监测要求。</w:t>
            </w:r>
          </w:p>
          <w:p w14:paraId="1DBDA75A">
            <w:pPr>
              <w:pStyle w:val="11"/>
              <w:shd w:val="clear" w:color="auto" w:fill="FFFFFF"/>
              <w:adjustRightInd w:val="0"/>
              <w:snapToGrid w:val="0"/>
              <w:ind w:left="420" w:firstLine="0" w:firstLineChars="0"/>
              <w:outlineLvl w:val="4"/>
              <w:rPr>
                <w:rFonts w:eastAsia="楷体_GB2312"/>
                <w:b/>
              </w:rPr>
            </w:pPr>
            <w:r>
              <w:rPr>
                <w:rFonts w:eastAsia="楷体_GB2312"/>
                <w:b/>
              </w:rPr>
              <w:t>（6）</w:t>
            </w:r>
            <w:r>
              <w:rPr>
                <w:rFonts w:hint="eastAsia" w:eastAsia="楷体_GB2312"/>
                <w:b/>
              </w:rPr>
              <w:t>类比</w:t>
            </w:r>
            <w:r>
              <w:rPr>
                <w:rFonts w:eastAsia="楷体_GB2312"/>
                <w:b/>
              </w:rPr>
              <w:t>监测</w:t>
            </w:r>
            <w:r>
              <w:rPr>
                <w:rFonts w:hint="eastAsia" w:eastAsia="楷体_GB2312"/>
                <w:b/>
              </w:rPr>
              <w:t>单位</w:t>
            </w:r>
            <w:r>
              <w:rPr>
                <w:rFonts w:eastAsia="楷体_GB2312"/>
                <w:b/>
              </w:rPr>
              <w:t>及</w:t>
            </w:r>
            <w:r>
              <w:rPr>
                <w:rFonts w:hint="eastAsia" w:eastAsia="楷体_GB2312"/>
                <w:b/>
              </w:rPr>
              <w:t>测量</w:t>
            </w:r>
            <w:r>
              <w:rPr>
                <w:rFonts w:eastAsia="楷体_GB2312"/>
                <w:b/>
              </w:rPr>
              <w:t>仪器</w:t>
            </w:r>
          </w:p>
          <w:p w14:paraId="6D4DB6BD">
            <w:pPr>
              <w:adjustRightInd w:val="0"/>
              <w:snapToGrid w:val="0"/>
              <w:spacing w:line="360" w:lineRule="auto"/>
              <w:ind w:firstLine="480" w:firstLineChars="200"/>
              <w:rPr>
                <w:rFonts w:hint="default" w:eastAsia="宋体"/>
                <w:kern w:val="0"/>
                <w:sz w:val="24"/>
                <w:shd w:val="clear" w:color="auto" w:fill="FFFFFF"/>
                <w:lang w:val="en-US" w:eastAsia="zh-CN"/>
              </w:rPr>
            </w:pPr>
            <w:r>
              <w:rPr>
                <w:rFonts w:hint="eastAsia"/>
                <w:kern w:val="0"/>
                <w:sz w:val="24"/>
                <w:shd w:val="clear" w:color="auto" w:fill="FFFFFF"/>
              </w:rPr>
              <w:t>监测单位：</w:t>
            </w:r>
            <w:r>
              <w:rPr>
                <w:rFonts w:hint="eastAsia" w:ascii="宋体" w:hAnsi="宋体"/>
                <w:sz w:val="24"/>
                <w:lang w:val="en-US" w:eastAsia="zh-CN"/>
              </w:rPr>
              <w:t>武汉中电工程检测有限公司</w:t>
            </w:r>
          </w:p>
          <w:p w14:paraId="5DA5F530">
            <w:pPr>
              <w:adjustRightInd w:val="0"/>
              <w:snapToGrid w:val="0"/>
              <w:spacing w:line="360" w:lineRule="auto"/>
              <w:ind w:firstLine="480" w:firstLineChars="200"/>
              <w:rPr>
                <w:kern w:val="0"/>
                <w:sz w:val="24"/>
                <w:shd w:val="clear" w:color="auto" w:fill="FFFFFF"/>
              </w:rPr>
            </w:pPr>
            <w:r>
              <w:rPr>
                <w:rFonts w:hint="eastAsia"/>
                <w:kern w:val="0"/>
                <w:sz w:val="24"/>
                <w:shd w:val="clear" w:color="auto" w:fill="FFFFFF"/>
              </w:rPr>
              <w:t>监测仪器：AWA6228+声级计</w:t>
            </w:r>
          </w:p>
          <w:p w14:paraId="71797253">
            <w:pPr>
              <w:pStyle w:val="11"/>
              <w:shd w:val="clear" w:color="auto" w:fill="FFFFFF"/>
              <w:adjustRightInd w:val="0"/>
              <w:snapToGrid w:val="0"/>
              <w:ind w:left="420" w:firstLine="0" w:firstLineChars="0"/>
              <w:outlineLvl w:val="4"/>
              <w:rPr>
                <w:rFonts w:eastAsia="楷体_GB2312"/>
                <w:b/>
              </w:rPr>
            </w:pPr>
            <w:r>
              <w:rPr>
                <w:rFonts w:eastAsia="楷体_GB2312"/>
                <w:b/>
              </w:rPr>
              <w:t>（7）</w:t>
            </w:r>
            <w:r>
              <w:rPr>
                <w:rFonts w:hint="eastAsia" w:eastAsia="楷体_GB2312"/>
                <w:b/>
              </w:rPr>
              <w:t>类比</w:t>
            </w:r>
            <w:r>
              <w:rPr>
                <w:rFonts w:eastAsia="楷体_GB2312"/>
                <w:b/>
              </w:rPr>
              <w:t>监测</w:t>
            </w:r>
            <w:r>
              <w:rPr>
                <w:rFonts w:hint="eastAsia" w:eastAsia="楷体_GB2312"/>
                <w:b/>
              </w:rPr>
              <w:t>时间</w:t>
            </w:r>
            <w:r>
              <w:rPr>
                <w:rFonts w:eastAsia="楷体_GB2312"/>
                <w:b/>
              </w:rPr>
              <w:t>、</w:t>
            </w:r>
            <w:r>
              <w:rPr>
                <w:rFonts w:hint="eastAsia" w:eastAsia="楷体_GB2312"/>
                <w:b/>
              </w:rPr>
              <w:t>监测</w:t>
            </w:r>
            <w:r>
              <w:rPr>
                <w:rFonts w:eastAsia="楷体_GB2312"/>
                <w:b/>
              </w:rPr>
              <w:t>环境</w:t>
            </w:r>
          </w:p>
          <w:p w14:paraId="0F379F7E">
            <w:pPr>
              <w:adjustRightInd w:val="0"/>
              <w:snapToGrid w:val="0"/>
              <w:spacing w:line="360" w:lineRule="auto"/>
              <w:ind w:firstLine="480" w:firstLineChars="200"/>
              <w:rPr>
                <w:kern w:val="0"/>
                <w:sz w:val="24"/>
                <w:shd w:val="clear" w:color="auto" w:fill="FFFFFF"/>
              </w:rPr>
            </w:pPr>
            <w:r>
              <w:rPr>
                <w:kern w:val="0"/>
                <w:sz w:val="24"/>
                <w:shd w:val="clear" w:color="auto" w:fill="FFFFFF"/>
              </w:rPr>
              <w:t>测量时间：</w:t>
            </w:r>
            <w:r>
              <w:rPr>
                <w:rFonts w:hint="eastAsia"/>
                <w:kern w:val="0"/>
                <w:sz w:val="24"/>
                <w:shd w:val="clear" w:color="auto" w:fill="FFFFFF"/>
              </w:rPr>
              <w:t>20</w:t>
            </w:r>
            <w:r>
              <w:rPr>
                <w:rFonts w:hint="eastAsia"/>
                <w:kern w:val="0"/>
                <w:sz w:val="24"/>
                <w:shd w:val="clear" w:color="auto" w:fill="FFFFFF"/>
                <w:lang w:val="en-US" w:eastAsia="zh-CN"/>
              </w:rPr>
              <w:t>25</w:t>
            </w:r>
            <w:r>
              <w:rPr>
                <w:rFonts w:hint="eastAsia"/>
                <w:kern w:val="0"/>
                <w:sz w:val="24"/>
                <w:shd w:val="clear" w:color="auto" w:fill="FFFFFF"/>
              </w:rPr>
              <w:t>年</w:t>
            </w:r>
            <w:r>
              <w:rPr>
                <w:rFonts w:hint="eastAsia"/>
                <w:kern w:val="0"/>
                <w:sz w:val="24"/>
                <w:shd w:val="clear" w:color="auto" w:fill="FFFFFF"/>
                <w:lang w:val="en-US" w:eastAsia="zh-CN"/>
              </w:rPr>
              <w:t>1</w:t>
            </w:r>
            <w:r>
              <w:rPr>
                <w:rFonts w:hint="eastAsia"/>
                <w:kern w:val="0"/>
                <w:sz w:val="24"/>
                <w:shd w:val="clear" w:color="auto" w:fill="FFFFFF"/>
              </w:rPr>
              <w:t>月</w:t>
            </w:r>
            <w:r>
              <w:rPr>
                <w:rFonts w:hint="eastAsia"/>
                <w:kern w:val="0"/>
                <w:sz w:val="24"/>
                <w:shd w:val="clear" w:color="auto" w:fill="FFFFFF"/>
                <w:lang w:val="en-US" w:eastAsia="zh-CN"/>
              </w:rPr>
              <w:t>7</w:t>
            </w:r>
            <w:r>
              <w:rPr>
                <w:rFonts w:hint="eastAsia"/>
                <w:kern w:val="0"/>
                <w:sz w:val="24"/>
                <w:shd w:val="clear" w:color="auto" w:fill="FFFFFF"/>
              </w:rPr>
              <w:t>日</w:t>
            </w:r>
          </w:p>
          <w:p w14:paraId="497D29B2">
            <w:pPr>
              <w:adjustRightInd w:val="0"/>
              <w:snapToGrid w:val="0"/>
              <w:spacing w:line="360" w:lineRule="auto"/>
              <w:ind w:firstLine="480" w:firstLineChars="200"/>
              <w:rPr>
                <w:kern w:val="0"/>
                <w:sz w:val="24"/>
                <w:shd w:val="clear" w:color="auto" w:fill="FFFFFF"/>
              </w:rPr>
            </w:pPr>
            <w:r>
              <w:rPr>
                <w:kern w:val="0"/>
                <w:sz w:val="24"/>
                <w:shd w:val="clear" w:color="auto" w:fill="FFFFFF"/>
              </w:rPr>
              <w:t>气象条件：</w:t>
            </w:r>
            <w:r>
              <w:rPr>
                <w:rFonts w:hint="eastAsia"/>
                <w:kern w:val="0"/>
                <w:sz w:val="24"/>
                <w:shd w:val="clear" w:color="auto" w:fill="FFFFFF"/>
              </w:rPr>
              <w:t>晴，温度</w:t>
            </w:r>
            <w:r>
              <w:rPr>
                <w:rFonts w:hint="eastAsia"/>
                <w:kern w:val="0"/>
                <w:sz w:val="24"/>
                <w:shd w:val="clear" w:color="auto" w:fill="FFFFFF"/>
                <w:lang w:val="en-US" w:eastAsia="zh-CN"/>
              </w:rPr>
              <w:t>-17.7</w:t>
            </w:r>
            <w:r>
              <w:rPr>
                <w:kern w:val="0"/>
                <w:sz w:val="24"/>
                <w:shd w:val="clear" w:color="auto" w:fill="FFFFFF"/>
              </w:rPr>
              <w:t>℃</w:t>
            </w:r>
            <w:r>
              <w:rPr>
                <w:rFonts w:hint="eastAsia"/>
                <w:kern w:val="0"/>
                <w:sz w:val="24"/>
                <w:shd w:val="clear" w:color="auto" w:fill="FFFFFF"/>
              </w:rPr>
              <w:t>～</w:t>
            </w:r>
            <w:r>
              <w:rPr>
                <w:rFonts w:hint="eastAsia"/>
                <w:kern w:val="0"/>
                <w:sz w:val="24"/>
                <w:shd w:val="clear" w:color="auto" w:fill="FFFFFF"/>
                <w:lang w:val="en-US" w:eastAsia="zh-CN"/>
              </w:rPr>
              <w:t>-3.2</w:t>
            </w:r>
            <w:r>
              <w:rPr>
                <w:kern w:val="0"/>
                <w:sz w:val="24"/>
                <w:shd w:val="clear" w:color="auto" w:fill="FFFFFF"/>
              </w:rPr>
              <w:t>℃</w:t>
            </w:r>
            <w:r>
              <w:rPr>
                <w:rFonts w:hint="eastAsia"/>
                <w:kern w:val="0"/>
                <w:sz w:val="24"/>
                <w:shd w:val="clear" w:color="auto" w:fill="FFFFFF"/>
              </w:rPr>
              <w:t>，湿度</w:t>
            </w:r>
            <w:r>
              <w:rPr>
                <w:rFonts w:hint="eastAsia"/>
                <w:kern w:val="0"/>
                <w:sz w:val="24"/>
                <w:shd w:val="clear" w:color="auto" w:fill="FFFFFF"/>
                <w:lang w:val="en-US" w:eastAsia="zh-CN"/>
              </w:rPr>
              <w:t>25.7</w:t>
            </w:r>
            <w:r>
              <w:rPr>
                <w:rFonts w:hint="eastAsia"/>
                <w:kern w:val="0"/>
                <w:sz w:val="24"/>
                <w:shd w:val="clear" w:color="auto" w:fill="FFFFFF"/>
              </w:rPr>
              <w:t>%～</w:t>
            </w:r>
            <w:r>
              <w:rPr>
                <w:rFonts w:hint="eastAsia"/>
                <w:kern w:val="0"/>
                <w:sz w:val="24"/>
                <w:shd w:val="clear" w:color="auto" w:fill="FFFFFF"/>
                <w:lang w:val="en-US" w:eastAsia="zh-CN"/>
              </w:rPr>
              <w:t>38.7</w:t>
            </w:r>
            <w:r>
              <w:rPr>
                <w:rFonts w:hint="eastAsia"/>
                <w:kern w:val="0"/>
                <w:sz w:val="24"/>
                <w:shd w:val="clear" w:color="auto" w:fill="FFFFFF"/>
              </w:rPr>
              <w:t>%，风速</w:t>
            </w:r>
            <w:r>
              <w:rPr>
                <w:rFonts w:hint="eastAsia"/>
                <w:kern w:val="0"/>
                <w:sz w:val="24"/>
                <w:shd w:val="clear" w:color="auto" w:fill="FFFFFF"/>
                <w:lang w:val="en-US" w:eastAsia="zh-CN"/>
              </w:rPr>
              <w:t>2.8</w:t>
            </w:r>
            <w:r>
              <w:rPr>
                <w:rFonts w:hint="eastAsia"/>
                <w:kern w:val="0"/>
                <w:sz w:val="24"/>
                <w:shd w:val="clear" w:color="auto" w:fill="FFFFFF"/>
              </w:rPr>
              <w:t>m/s～</w:t>
            </w:r>
            <w:r>
              <w:rPr>
                <w:rFonts w:hint="eastAsia"/>
                <w:kern w:val="0"/>
                <w:sz w:val="24"/>
                <w:shd w:val="clear" w:color="auto" w:fill="FFFFFF"/>
                <w:lang w:val="en-US" w:eastAsia="zh-CN"/>
              </w:rPr>
              <w:t>3.6</w:t>
            </w:r>
            <w:r>
              <w:rPr>
                <w:rFonts w:hint="eastAsia"/>
                <w:kern w:val="0"/>
                <w:sz w:val="24"/>
                <w:shd w:val="clear" w:color="auto" w:fill="FFFFFF"/>
              </w:rPr>
              <w:t>m/s</w:t>
            </w:r>
            <w:r>
              <w:rPr>
                <w:kern w:val="0"/>
                <w:sz w:val="24"/>
                <w:shd w:val="clear" w:color="auto" w:fill="FFFFFF"/>
              </w:rPr>
              <w:t>。</w:t>
            </w:r>
          </w:p>
          <w:p w14:paraId="7F048C61">
            <w:pPr>
              <w:adjustRightInd w:val="0"/>
              <w:snapToGrid w:val="0"/>
              <w:spacing w:line="360" w:lineRule="auto"/>
              <w:ind w:firstLine="480" w:firstLineChars="200"/>
              <w:rPr>
                <w:kern w:val="0"/>
                <w:sz w:val="24"/>
                <w:shd w:val="clear" w:color="auto" w:fill="FFFFFF"/>
              </w:rPr>
            </w:pPr>
            <w:r>
              <w:rPr>
                <w:kern w:val="0"/>
                <w:sz w:val="24"/>
                <w:shd w:val="clear" w:color="auto" w:fill="FFFFFF"/>
              </w:rPr>
              <w:t>监测时工况：</w:t>
            </w:r>
            <w:r>
              <w:rPr>
                <w:rFonts w:hint="eastAsia"/>
                <w:kern w:val="0"/>
                <w:sz w:val="24"/>
                <w:shd w:val="clear" w:color="auto" w:fill="FFFFFF"/>
              </w:rPr>
              <w:t>110kV海天红风一线</w:t>
            </w:r>
            <w:r>
              <w:rPr>
                <w:rFonts w:hint="eastAsia"/>
                <w:sz w:val="24"/>
              </w:rPr>
              <w:t>运行电压</w:t>
            </w:r>
            <w:r>
              <w:rPr>
                <w:rFonts w:hint="eastAsia"/>
                <w:sz w:val="24"/>
                <w:lang w:val="en-US" w:eastAsia="zh-CN"/>
              </w:rPr>
              <w:t>118.7</w:t>
            </w:r>
            <w:r>
              <w:rPr>
                <w:rFonts w:hint="eastAsia"/>
                <w:sz w:val="24"/>
              </w:rPr>
              <w:t>kV</w:t>
            </w:r>
            <w:r>
              <w:rPr>
                <w:rFonts w:hint="eastAsia"/>
                <w:sz w:val="24"/>
                <w:lang w:val="en-US" w:eastAsia="zh-CN"/>
              </w:rPr>
              <w:t>~119.6kV</w:t>
            </w:r>
            <w:r>
              <w:rPr>
                <w:rFonts w:hint="eastAsia"/>
                <w:sz w:val="24"/>
              </w:rPr>
              <w:t>，运行电流为</w:t>
            </w:r>
            <w:r>
              <w:rPr>
                <w:rFonts w:hint="eastAsia"/>
                <w:sz w:val="24"/>
                <w:lang w:val="en-US" w:eastAsia="zh-CN"/>
              </w:rPr>
              <w:t>386.3A~435.7</w:t>
            </w:r>
            <w:r>
              <w:rPr>
                <w:rFonts w:hint="eastAsia"/>
                <w:sz w:val="24"/>
              </w:rPr>
              <w:t>A</w:t>
            </w:r>
            <w:r>
              <w:rPr>
                <w:rFonts w:ascii="宋体" w:hAnsi="宋体"/>
                <w:sz w:val="24"/>
              </w:rPr>
              <w:t>。</w:t>
            </w:r>
          </w:p>
          <w:p w14:paraId="1E4F8031">
            <w:pPr>
              <w:pStyle w:val="11"/>
              <w:shd w:val="clear" w:color="auto" w:fill="FFFFFF"/>
              <w:adjustRightInd w:val="0"/>
              <w:snapToGrid w:val="0"/>
              <w:ind w:left="420" w:firstLine="0" w:firstLineChars="0"/>
              <w:outlineLvl w:val="4"/>
              <w:rPr>
                <w:rFonts w:eastAsia="楷体_GB2312"/>
                <w:b/>
              </w:rPr>
            </w:pPr>
            <w:r>
              <w:rPr>
                <w:rFonts w:eastAsia="楷体_GB2312"/>
                <w:b/>
              </w:rPr>
              <w:t>（8）</w:t>
            </w:r>
            <w:r>
              <w:rPr>
                <w:rFonts w:hint="eastAsia" w:eastAsia="楷体_GB2312"/>
                <w:b/>
              </w:rPr>
              <w:t>类比监测</w:t>
            </w:r>
            <w:r>
              <w:rPr>
                <w:rFonts w:eastAsia="楷体_GB2312"/>
                <w:b/>
              </w:rPr>
              <w:t>结果</w:t>
            </w:r>
          </w:p>
          <w:p w14:paraId="1B791299">
            <w:pPr>
              <w:spacing w:line="360" w:lineRule="auto"/>
              <w:ind w:firstLine="480" w:firstLineChars="200"/>
              <w:rPr>
                <w:color w:val="000000"/>
                <w:kern w:val="0"/>
                <w:sz w:val="24"/>
                <w:shd w:val="clear" w:color="auto" w:fill="FFFFFF"/>
              </w:rPr>
            </w:pPr>
            <w:r>
              <w:rPr>
                <w:rFonts w:hint="eastAsia"/>
                <w:kern w:val="0"/>
                <w:sz w:val="24"/>
                <w:shd w:val="clear" w:color="auto" w:fill="FFFFFF"/>
              </w:rPr>
              <w:t>110kV海天红风一线噪声监测结果见</w:t>
            </w:r>
            <w:r>
              <w:rPr>
                <w:rFonts w:hint="eastAsia"/>
                <w:b w:val="0"/>
                <w:bCs w:val="0"/>
                <w:kern w:val="0"/>
                <w:sz w:val="24"/>
                <w:szCs w:val="24"/>
                <w:shd w:val="clear" w:color="auto" w:fill="FFFFFF"/>
                <w:lang w:eastAsia="zh-CN"/>
              </w:rPr>
              <w:fldChar w:fldCharType="begin"/>
            </w:r>
            <w:r>
              <w:rPr>
                <w:rFonts w:hint="eastAsia"/>
                <w:b w:val="0"/>
                <w:bCs w:val="0"/>
                <w:kern w:val="0"/>
                <w:sz w:val="24"/>
                <w:szCs w:val="24"/>
                <w:shd w:val="clear" w:color="auto" w:fill="FFFFFF"/>
                <w:lang w:eastAsia="zh-CN"/>
              </w:rPr>
              <w:instrText xml:space="preserve"> REF _Ref9167 \h </w:instrText>
            </w:r>
            <w:r>
              <w:rPr>
                <w:rFonts w:hint="eastAsia"/>
                <w:b w:val="0"/>
                <w:bCs w:val="0"/>
                <w:kern w:val="0"/>
                <w:sz w:val="24"/>
                <w:szCs w:val="24"/>
                <w:shd w:val="clear" w:color="auto" w:fill="FFFFFF"/>
                <w:lang w:eastAsia="zh-CN"/>
              </w:rPr>
              <w:fldChar w:fldCharType="separate"/>
            </w:r>
            <w:r>
              <w:rPr>
                <w:rFonts w:hint="eastAsia" w:ascii="Times New Roman" w:hAnsi="Times New Roman"/>
                <w:b w:val="0"/>
                <w:bCs w:val="0"/>
                <w:sz w:val="24"/>
                <w:szCs w:val="24"/>
              </w:rPr>
              <w:t>表 21</w:t>
            </w:r>
            <w:r>
              <w:rPr>
                <w:rFonts w:hint="eastAsia"/>
                <w:b w:val="0"/>
                <w:bCs w:val="0"/>
                <w:kern w:val="0"/>
                <w:sz w:val="24"/>
                <w:szCs w:val="24"/>
                <w:shd w:val="clear" w:color="auto" w:fill="FFFFFF"/>
                <w:lang w:eastAsia="zh-CN"/>
              </w:rPr>
              <w:fldChar w:fldCharType="end"/>
            </w:r>
            <w:r>
              <w:rPr>
                <w:rFonts w:hint="eastAsia"/>
                <w:kern w:val="0"/>
                <w:sz w:val="24"/>
                <w:shd w:val="clear" w:color="auto" w:fill="FFFFFF"/>
              </w:rPr>
              <w:t>。</w:t>
            </w:r>
          </w:p>
          <w:p w14:paraId="6CB34124">
            <w:pPr>
              <w:pStyle w:val="9"/>
              <w:rPr>
                <w:rFonts w:ascii="Times New Roman" w:hAnsi="Times New Roman"/>
                <w:b/>
                <w:bCs/>
                <w:szCs w:val="21"/>
              </w:rPr>
            </w:pPr>
            <w:bookmarkStart w:id="697" w:name="_Ref9167"/>
            <w:r>
              <w:rPr>
                <w:rFonts w:hint="eastAsia" w:ascii="Times New Roman" w:hAnsi="Times New Roman"/>
                <w:b/>
                <w:bCs/>
              </w:rPr>
              <w:t xml:space="preserve">表 </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SEQ 表 \* ARABIC</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21</w:t>
            </w:r>
            <w:r>
              <w:rPr>
                <w:rFonts w:ascii="Times New Roman" w:hAnsi="Times New Roman"/>
                <w:b/>
                <w:bCs/>
              </w:rPr>
              <w:fldChar w:fldCharType="end"/>
            </w:r>
            <w:bookmarkEnd w:id="697"/>
            <w:r>
              <w:rPr>
                <w:rFonts w:hint="eastAsia" w:ascii="Times New Roman" w:hAnsi="Times New Roman"/>
                <w:b/>
                <w:bCs/>
              </w:rPr>
              <w:t xml:space="preserve">    </w:t>
            </w:r>
            <w:r>
              <w:rPr>
                <w:rFonts w:hint="eastAsia" w:ascii="Times New Roman" w:hAnsi="Times New Roman"/>
                <w:b/>
                <w:bCs/>
                <w:lang w:val="en-US" w:eastAsia="zh-CN"/>
              </w:rPr>
              <w:t xml:space="preserve">        </w:t>
            </w:r>
            <w:r>
              <w:rPr>
                <w:rFonts w:hint="eastAsia" w:ascii="Times New Roman" w:hAnsi="Times New Roman"/>
                <w:b/>
                <w:bCs/>
                <w:szCs w:val="21"/>
              </w:rPr>
              <w:t>110kV海天红风一线噪声</w:t>
            </w:r>
            <w:r>
              <w:rPr>
                <w:rFonts w:ascii="Times New Roman" w:hAnsi="Times New Roman"/>
                <w:b/>
                <w:bCs/>
                <w:szCs w:val="21"/>
              </w:rPr>
              <w:t>类比监测结果</w:t>
            </w:r>
            <w:r>
              <w:rPr>
                <w:rFonts w:hint="eastAsia" w:ascii="Times New Roman" w:hAnsi="Times New Roman"/>
                <w:b/>
                <w:bCs/>
                <w:szCs w:val="21"/>
              </w:rPr>
              <w:t xml:space="preserve">   </w:t>
            </w:r>
            <w:r>
              <w:rPr>
                <w:rFonts w:hint="eastAsia" w:ascii="Times New Roman" w:hAnsi="Times New Roman"/>
                <w:b/>
                <w:bCs/>
                <w:szCs w:val="21"/>
                <w:lang w:val="en-US" w:eastAsia="zh-CN"/>
              </w:rPr>
              <w:t xml:space="preserve">         </w:t>
            </w:r>
            <w:r>
              <w:rPr>
                <w:rFonts w:hint="eastAsia" w:ascii="Times New Roman" w:hAnsi="Times New Roman"/>
                <w:b/>
                <w:bCs/>
                <w:szCs w:val="21"/>
              </w:rPr>
              <w:t xml:space="preserve">   单位</w:t>
            </w:r>
            <w:r>
              <w:rPr>
                <w:rFonts w:ascii="Times New Roman" w:hAnsi="Times New Roman"/>
                <w:b/>
                <w:bCs/>
                <w:szCs w:val="21"/>
              </w:rPr>
              <w:t>：</w:t>
            </w:r>
            <w:r>
              <w:rPr>
                <w:rFonts w:hint="eastAsia" w:ascii="Times New Roman" w:hAnsi="Times New Roman"/>
                <w:b/>
                <w:bCs/>
                <w:szCs w:val="21"/>
              </w:rPr>
              <w:t>dB(</w:t>
            </w:r>
            <w:r>
              <w:rPr>
                <w:rFonts w:ascii="Times New Roman" w:hAnsi="Times New Roman"/>
                <w:b/>
                <w:bCs/>
                <w:szCs w:val="21"/>
              </w:rPr>
              <w:t>A</w:t>
            </w:r>
            <w:r>
              <w:rPr>
                <w:rFonts w:hint="eastAsia" w:ascii="Times New Roman" w:hAnsi="Times New Roman"/>
                <w:b/>
                <w:bCs/>
                <w:szCs w:val="21"/>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3965"/>
              <w:gridCol w:w="1787"/>
              <w:gridCol w:w="1790"/>
            </w:tblGrid>
            <w:tr w14:paraId="54A9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vAlign w:val="center"/>
                </w:tcPr>
                <w:p w14:paraId="6C176E4A">
                  <w:pPr>
                    <w:adjustRightInd w:val="0"/>
                    <w:snapToGrid w:val="0"/>
                    <w:jc w:val="center"/>
                    <w:rPr>
                      <w:rFonts w:ascii="Times New Roman" w:hAnsi="Times New Roman" w:eastAsia="宋体" w:cs="宋体"/>
                      <w:b/>
                      <w:szCs w:val="21"/>
                    </w:rPr>
                  </w:pPr>
                  <w:r>
                    <w:rPr>
                      <w:rFonts w:hint="eastAsia" w:ascii="Times New Roman" w:hAnsi="Times New Roman" w:eastAsia="宋体" w:cs="宋体"/>
                      <w:b/>
                      <w:szCs w:val="21"/>
                      <w:lang w:bidi="ar"/>
                    </w:rPr>
                    <w:t>序号</w:t>
                  </w:r>
                </w:p>
              </w:tc>
              <w:tc>
                <w:tcPr>
                  <w:tcW w:w="2411" w:type="pct"/>
                  <w:vMerge w:val="restart"/>
                  <w:vAlign w:val="center"/>
                </w:tcPr>
                <w:p w14:paraId="29E46A6F">
                  <w:pPr>
                    <w:adjustRightInd w:val="0"/>
                    <w:snapToGrid w:val="0"/>
                    <w:jc w:val="center"/>
                    <w:rPr>
                      <w:rFonts w:ascii="Times New Roman" w:hAnsi="Times New Roman" w:eastAsia="宋体" w:cs="宋体"/>
                      <w:b/>
                      <w:szCs w:val="21"/>
                    </w:rPr>
                  </w:pPr>
                  <w:r>
                    <w:rPr>
                      <w:rFonts w:hint="eastAsia" w:ascii="Times New Roman" w:hAnsi="Times New Roman" w:eastAsia="宋体" w:cs="宋体"/>
                      <w:b/>
                      <w:szCs w:val="21"/>
                      <w:lang w:bidi="ar"/>
                    </w:rPr>
                    <w:t>监测点</w:t>
                  </w:r>
                </w:p>
              </w:tc>
              <w:tc>
                <w:tcPr>
                  <w:tcW w:w="2175" w:type="pct"/>
                  <w:gridSpan w:val="2"/>
                  <w:vAlign w:val="center"/>
                </w:tcPr>
                <w:p w14:paraId="655C78E5">
                  <w:pPr>
                    <w:adjustRightInd w:val="0"/>
                    <w:snapToGrid w:val="0"/>
                    <w:jc w:val="center"/>
                    <w:rPr>
                      <w:rFonts w:ascii="Times New Roman" w:hAnsi="Times New Roman" w:eastAsia="宋体" w:cs="宋体"/>
                      <w:b/>
                      <w:szCs w:val="21"/>
                    </w:rPr>
                  </w:pPr>
                  <w:r>
                    <w:rPr>
                      <w:rFonts w:hint="eastAsia" w:ascii="Times New Roman" w:hAnsi="Times New Roman" w:eastAsia="宋体" w:cs="宋体"/>
                      <w:b/>
                      <w:szCs w:val="21"/>
                      <w:lang w:bidi="ar"/>
                    </w:rPr>
                    <w:t>等效声级</w:t>
                  </w:r>
                  <w:r>
                    <w:rPr>
                      <w:rFonts w:hint="default" w:ascii="Times New Roman" w:hAnsi="Times New Roman" w:eastAsia="宋体" w:cs="Times New Roman"/>
                      <w:b/>
                      <w:szCs w:val="21"/>
                      <w:lang w:bidi="ar"/>
                    </w:rPr>
                    <w:t>dB(A)</w:t>
                  </w:r>
                </w:p>
              </w:tc>
            </w:tr>
            <w:tr w14:paraId="3C8F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vAlign w:val="center"/>
                </w:tcPr>
                <w:p w14:paraId="25A02D03">
                  <w:pPr>
                    <w:rPr>
                      <w:rFonts w:ascii="Times New Roman" w:hAnsi="Times New Roman" w:eastAsia="宋体"/>
                      <w:sz w:val="20"/>
                      <w:szCs w:val="20"/>
                    </w:rPr>
                  </w:pPr>
                </w:p>
              </w:tc>
              <w:tc>
                <w:tcPr>
                  <w:tcW w:w="2411" w:type="pct"/>
                  <w:vMerge w:val="continue"/>
                  <w:vAlign w:val="center"/>
                </w:tcPr>
                <w:p w14:paraId="1985C956">
                  <w:pPr>
                    <w:rPr>
                      <w:rFonts w:ascii="Times New Roman" w:hAnsi="Times New Roman" w:eastAsia="宋体"/>
                      <w:sz w:val="20"/>
                      <w:szCs w:val="20"/>
                    </w:rPr>
                  </w:pPr>
                </w:p>
              </w:tc>
              <w:tc>
                <w:tcPr>
                  <w:tcW w:w="1087" w:type="pct"/>
                  <w:vAlign w:val="center"/>
                </w:tcPr>
                <w:p w14:paraId="6D7E0017">
                  <w:pPr>
                    <w:adjustRightInd w:val="0"/>
                    <w:snapToGrid w:val="0"/>
                    <w:jc w:val="center"/>
                    <w:rPr>
                      <w:rFonts w:ascii="Times New Roman" w:hAnsi="Times New Roman" w:eastAsia="宋体" w:cs="宋体"/>
                      <w:b/>
                      <w:bCs/>
                      <w:szCs w:val="21"/>
                    </w:rPr>
                  </w:pPr>
                  <w:r>
                    <w:rPr>
                      <w:rFonts w:hint="eastAsia" w:ascii="Times New Roman" w:hAnsi="Times New Roman" w:eastAsia="宋体" w:cs="宋体"/>
                      <w:b/>
                      <w:bCs/>
                      <w:szCs w:val="21"/>
                      <w:lang w:bidi="ar"/>
                    </w:rPr>
                    <w:t>昼间</w:t>
                  </w:r>
                </w:p>
              </w:tc>
              <w:tc>
                <w:tcPr>
                  <w:tcW w:w="1087" w:type="pct"/>
                  <w:vAlign w:val="center"/>
                </w:tcPr>
                <w:p w14:paraId="69EDCDBA">
                  <w:pPr>
                    <w:adjustRightInd w:val="0"/>
                    <w:snapToGrid w:val="0"/>
                    <w:jc w:val="center"/>
                    <w:rPr>
                      <w:rFonts w:ascii="Times New Roman" w:hAnsi="Times New Roman" w:eastAsia="宋体" w:cs="宋体"/>
                      <w:b/>
                      <w:bCs/>
                      <w:szCs w:val="21"/>
                    </w:rPr>
                  </w:pPr>
                  <w:r>
                    <w:rPr>
                      <w:rFonts w:hint="eastAsia" w:ascii="Times New Roman" w:hAnsi="Times New Roman" w:eastAsia="宋体" w:cs="宋体"/>
                      <w:b/>
                      <w:bCs/>
                      <w:szCs w:val="21"/>
                      <w:lang w:bidi="ar"/>
                    </w:rPr>
                    <w:t>夜间</w:t>
                  </w:r>
                </w:p>
              </w:tc>
            </w:tr>
            <w:tr w14:paraId="7472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1FD6E75F">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1</w:t>
                  </w:r>
                </w:p>
              </w:tc>
              <w:tc>
                <w:tcPr>
                  <w:tcW w:w="2411" w:type="pct"/>
                  <w:vAlign w:val="center"/>
                </w:tcPr>
                <w:p w14:paraId="2FB258DB">
                  <w:pPr>
                    <w:autoSpaceDE w:val="0"/>
                    <w:autoSpaceDN w:val="0"/>
                    <w:snapToGrid w:val="0"/>
                    <w:spacing w:line="280" w:lineRule="exact"/>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与线路中心投影0m</w:t>
                  </w:r>
                </w:p>
              </w:tc>
              <w:tc>
                <w:tcPr>
                  <w:tcW w:w="1087" w:type="pct"/>
                  <w:vAlign w:val="center"/>
                </w:tcPr>
                <w:p w14:paraId="5425E873">
                  <w:pPr>
                    <w:widowControl/>
                    <w:snapToGrid w:val="0"/>
                    <w:jc w:val="center"/>
                    <w:rPr>
                      <w:rFonts w:hint="default" w:ascii="Times New Roman" w:hAnsi="Times New Roman" w:eastAsia="宋体" w:cs="宋体"/>
                      <w:kern w:val="0"/>
                      <w:szCs w:val="21"/>
                      <w:lang w:val="en-US" w:eastAsia="zh-CN"/>
                    </w:rPr>
                  </w:pPr>
                  <w:r>
                    <w:rPr>
                      <w:rFonts w:hint="eastAsia" w:ascii="Times New Roman" w:hAnsi="Times New Roman" w:eastAsia="宋体" w:cs="宋体"/>
                      <w:kern w:val="0"/>
                      <w:szCs w:val="21"/>
                      <w:lang w:val="en-US" w:eastAsia="zh-CN"/>
                    </w:rPr>
                    <w:t>42</w:t>
                  </w:r>
                </w:p>
              </w:tc>
              <w:tc>
                <w:tcPr>
                  <w:tcW w:w="1087" w:type="pct"/>
                  <w:vAlign w:val="center"/>
                </w:tcPr>
                <w:p w14:paraId="00DD2099">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42</w:t>
                  </w:r>
                </w:p>
              </w:tc>
            </w:tr>
            <w:tr w14:paraId="2C3B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3E89EF1A">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2</w:t>
                  </w:r>
                </w:p>
              </w:tc>
              <w:tc>
                <w:tcPr>
                  <w:tcW w:w="2411" w:type="pct"/>
                  <w:vAlign w:val="center"/>
                </w:tcPr>
                <w:p w14:paraId="7DE9751F">
                  <w:pPr>
                    <w:autoSpaceDE w:val="0"/>
                    <w:autoSpaceDN w:val="0"/>
                    <w:snapToGrid w:val="0"/>
                    <w:spacing w:line="280" w:lineRule="exact"/>
                    <w:jc w:val="center"/>
                    <w:rPr>
                      <w:rFonts w:hint="default" w:ascii="Times New Roman" w:hAnsi="Times New Roman" w:eastAsia="宋体" w:cs="宋体"/>
                      <w:szCs w:val="21"/>
                      <w:lang w:val="en-US"/>
                    </w:rPr>
                  </w:pPr>
                  <w:r>
                    <w:rPr>
                      <w:rFonts w:hint="eastAsia" w:ascii="Times New Roman" w:hAnsi="Times New Roman" w:eastAsia="宋体" w:cs="宋体"/>
                      <w:szCs w:val="21"/>
                      <w:lang w:val="en-US" w:eastAsia="zh-CN"/>
                    </w:rPr>
                    <w:t>与线路中心投影5m（边导线下）</w:t>
                  </w:r>
                </w:p>
              </w:tc>
              <w:tc>
                <w:tcPr>
                  <w:tcW w:w="1087" w:type="pct"/>
                  <w:vAlign w:val="center"/>
                </w:tcPr>
                <w:p w14:paraId="7C8D353F">
                  <w:pPr>
                    <w:snapToGrid w:val="0"/>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42</w:t>
                  </w:r>
                </w:p>
              </w:tc>
              <w:tc>
                <w:tcPr>
                  <w:tcW w:w="1087" w:type="pct"/>
                  <w:vAlign w:val="center"/>
                </w:tcPr>
                <w:p w14:paraId="22886D17">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r>
            <w:tr w14:paraId="6EB8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4A28791A">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3</w:t>
                  </w:r>
                </w:p>
              </w:tc>
              <w:tc>
                <w:tcPr>
                  <w:tcW w:w="2411" w:type="pct"/>
                  <w:vAlign w:val="center"/>
                </w:tcPr>
                <w:p w14:paraId="2DDFA92E">
                  <w:pPr>
                    <w:autoSpaceDE w:val="0"/>
                    <w:autoSpaceDN w:val="0"/>
                    <w:snapToGrid w:val="0"/>
                    <w:spacing w:line="280" w:lineRule="exact"/>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边导线外5m</w:t>
                  </w:r>
                </w:p>
              </w:tc>
              <w:tc>
                <w:tcPr>
                  <w:tcW w:w="1087" w:type="pct"/>
                  <w:vAlign w:val="center"/>
                </w:tcPr>
                <w:p w14:paraId="00D5BC70">
                  <w:pPr>
                    <w:snapToGrid w:val="0"/>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42</w:t>
                  </w:r>
                </w:p>
              </w:tc>
              <w:tc>
                <w:tcPr>
                  <w:tcW w:w="1087" w:type="pct"/>
                  <w:vAlign w:val="center"/>
                </w:tcPr>
                <w:p w14:paraId="4381BE76">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r>
            <w:tr w14:paraId="6348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73953422">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4</w:t>
                  </w:r>
                </w:p>
              </w:tc>
              <w:tc>
                <w:tcPr>
                  <w:tcW w:w="2411" w:type="pct"/>
                  <w:vAlign w:val="center"/>
                </w:tcPr>
                <w:p w14:paraId="457FC21B">
                  <w:pPr>
                    <w:autoSpaceDE w:val="0"/>
                    <w:autoSpaceDN w:val="0"/>
                    <w:snapToGrid w:val="0"/>
                    <w:spacing w:line="280" w:lineRule="exact"/>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边导线外10m</w:t>
                  </w:r>
                </w:p>
              </w:tc>
              <w:tc>
                <w:tcPr>
                  <w:tcW w:w="1087" w:type="pct"/>
                  <w:vAlign w:val="center"/>
                </w:tcPr>
                <w:p w14:paraId="590C445B">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42</w:t>
                  </w:r>
                </w:p>
              </w:tc>
              <w:tc>
                <w:tcPr>
                  <w:tcW w:w="1087" w:type="pct"/>
                  <w:vAlign w:val="center"/>
                </w:tcPr>
                <w:p w14:paraId="0A6CEBB9">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41</w:t>
                  </w:r>
                </w:p>
              </w:tc>
            </w:tr>
            <w:tr w14:paraId="4B31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7F89911B">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5</w:t>
                  </w:r>
                </w:p>
              </w:tc>
              <w:tc>
                <w:tcPr>
                  <w:tcW w:w="2411" w:type="pct"/>
                  <w:vAlign w:val="center"/>
                </w:tcPr>
                <w:p w14:paraId="38BE9B14">
                  <w:pPr>
                    <w:autoSpaceDE w:val="0"/>
                    <w:autoSpaceDN w:val="0"/>
                    <w:snapToGrid w:val="0"/>
                    <w:spacing w:line="280" w:lineRule="exact"/>
                    <w:jc w:val="center"/>
                    <w:rPr>
                      <w:rFonts w:ascii="Times New Roman" w:hAnsi="Times New Roman" w:eastAsia="宋体" w:cs="宋体"/>
                      <w:szCs w:val="21"/>
                    </w:rPr>
                  </w:pPr>
                  <w:r>
                    <w:rPr>
                      <w:rFonts w:hint="eastAsia" w:ascii="Times New Roman" w:hAnsi="Times New Roman" w:eastAsia="宋体" w:cs="宋体"/>
                      <w:szCs w:val="21"/>
                      <w:lang w:val="en-US" w:eastAsia="zh-CN"/>
                    </w:rPr>
                    <w:t>边导线外15m</w:t>
                  </w:r>
                </w:p>
              </w:tc>
              <w:tc>
                <w:tcPr>
                  <w:tcW w:w="1087" w:type="pct"/>
                  <w:vAlign w:val="center"/>
                </w:tcPr>
                <w:p w14:paraId="4F1AD12C">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05F679D6">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r w14:paraId="6E57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3C8CCA96">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6</w:t>
                  </w:r>
                </w:p>
              </w:tc>
              <w:tc>
                <w:tcPr>
                  <w:tcW w:w="2411" w:type="pct"/>
                  <w:vAlign w:val="center"/>
                </w:tcPr>
                <w:p w14:paraId="541CE38B">
                  <w:pPr>
                    <w:autoSpaceDE w:val="0"/>
                    <w:autoSpaceDN w:val="0"/>
                    <w:snapToGrid w:val="0"/>
                    <w:spacing w:line="280" w:lineRule="exact"/>
                    <w:jc w:val="center"/>
                    <w:rPr>
                      <w:rFonts w:ascii="Times New Roman" w:hAnsi="Times New Roman" w:eastAsia="宋体" w:cs="宋体"/>
                      <w:szCs w:val="21"/>
                    </w:rPr>
                  </w:pPr>
                  <w:r>
                    <w:rPr>
                      <w:rFonts w:hint="eastAsia" w:ascii="Times New Roman" w:hAnsi="Times New Roman" w:eastAsia="宋体" w:cs="宋体"/>
                      <w:szCs w:val="21"/>
                      <w:lang w:val="en-US" w:eastAsia="zh-CN"/>
                    </w:rPr>
                    <w:t>边导线外20m</w:t>
                  </w:r>
                </w:p>
              </w:tc>
              <w:tc>
                <w:tcPr>
                  <w:tcW w:w="1087" w:type="pct"/>
                  <w:vAlign w:val="center"/>
                </w:tcPr>
                <w:p w14:paraId="376962E3">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06008F14">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r w14:paraId="2B01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279EB21C">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7</w:t>
                  </w:r>
                </w:p>
              </w:tc>
              <w:tc>
                <w:tcPr>
                  <w:tcW w:w="2411" w:type="pct"/>
                  <w:vAlign w:val="center"/>
                </w:tcPr>
                <w:p w14:paraId="12B336C6">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边导线外25m</w:t>
                  </w:r>
                </w:p>
              </w:tc>
              <w:tc>
                <w:tcPr>
                  <w:tcW w:w="1087" w:type="pct"/>
                  <w:vAlign w:val="center"/>
                </w:tcPr>
                <w:p w14:paraId="3774BF5E">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42</w:t>
                  </w:r>
                </w:p>
              </w:tc>
              <w:tc>
                <w:tcPr>
                  <w:tcW w:w="1087" w:type="pct"/>
                  <w:vAlign w:val="center"/>
                </w:tcPr>
                <w:p w14:paraId="4B9FD856">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41</w:t>
                  </w:r>
                </w:p>
              </w:tc>
            </w:tr>
            <w:tr w14:paraId="7D1D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71E0D7FD">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8</w:t>
                  </w:r>
                </w:p>
              </w:tc>
              <w:tc>
                <w:tcPr>
                  <w:tcW w:w="2411" w:type="pct"/>
                  <w:vAlign w:val="center"/>
                </w:tcPr>
                <w:p w14:paraId="678EB3D9">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边导线外30m</w:t>
                  </w:r>
                </w:p>
              </w:tc>
              <w:tc>
                <w:tcPr>
                  <w:tcW w:w="1087" w:type="pct"/>
                  <w:vAlign w:val="center"/>
                </w:tcPr>
                <w:p w14:paraId="7EC91E3B">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6B8F8508">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r w14:paraId="7693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62D98EE0">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9</w:t>
                  </w:r>
                </w:p>
              </w:tc>
              <w:tc>
                <w:tcPr>
                  <w:tcW w:w="2411" w:type="pct"/>
                  <w:vAlign w:val="center"/>
                </w:tcPr>
                <w:p w14:paraId="21542D2D">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边导线外35m</w:t>
                  </w:r>
                </w:p>
              </w:tc>
              <w:tc>
                <w:tcPr>
                  <w:tcW w:w="1087" w:type="pct"/>
                  <w:vAlign w:val="center"/>
                </w:tcPr>
                <w:p w14:paraId="3BD62043">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0EC99297">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r w14:paraId="22BF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48F8528B">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10</w:t>
                  </w:r>
                </w:p>
              </w:tc>
              <w:tc>
                <w:tcPr>
                  <w:tcW w:w="2411" w:type="pct"/>
                  <w:vAlign w:val="center"/>
                </w:tcPr>
                <w:p w14:paraId="31CBA6C1">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边导线外40m</w:t>
                  </w:r>
                </w:p>
              </w:tc>
              <w:tc>
                <w:tcPr>
                  <w:tcW w:w="1087" w:type="pct"/>
                  <w:vAlign w:val="center"/>
                </w:tcPr>
                <w:p w14:paraId="7ADA0F2C">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42</w:t>
                  </w:r>
                </w:p>
              </w:tc>
              <w:tc>
                <w:tcPr>
                  <w:tcW w:w="1087" w:type="pct"/>
                  <w:vAlign w:val="center"/>
                </w:tcPr>
                <w:p w14:paraId="596836A3">
                  <w:pPr>
                    <w:widowControl/>
                    <w:snapToGrid w:val="0"/>
                    <w:jc w:val="center"/>
                    <w:rPr>
                      <w:rFonts w:hint="default"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lang w:val="en-US" w:eastAsia="zh-CN"/>
                    </w:rPr>
                    <w:t>41</w:t>
                  </w:r>
                </w:p>
              </w:tc>
            </w:tr>
            <w:tr w14:paraId="5335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5AC5DABB">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11</w:t>
                  </w:r>
                </w:p>
              </w:tc>
              <w:tc>
                <w:tcPr>
                  <w:tcW w:w="2411" w:type="pct"/>
                  <w:vAlign w:val="center"/>
                </w:tcPr>
                <w:p w14:paraId="6A3B001C">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边导线外45m</w:t>
                  </w:r>
                </w:p>
              </w:tc>
              <w:tc>
                <w:tcPr>
                  <w:tcW w:w="1087" w:type="pct"/>
                  <w:vAlign w:val="center"/>
                </w:tcPr>
                <w:p w14:paraId="0616C840">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71EDE97E">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r w14:paraId="0E01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7EE84B43">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lang w:bidi="ar"/>
                    </w:rPr>
                    <w:t>12</w:t>
                  </w:r>
                </w:p>
              </w:tc>
              <w:tc>
                <w:tcPr>
                  <w:tcW w:w="2411" w:type="pct"/>
                  <w:vAlign w:val="center"/>
                </w:tcPr>
                <w:p w14:paraId="2DB3B7DF">
                  <w:pPr>
                    <w:autoSpaceDE w:val="0"/>
                    <w:autoSpaceDN w:val="0"/>
                    <w:snapToGrid w:val="0"/>
                    <w:spacing w:line="280" w:lineRule="exact"/>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边导线外50m</w:t>
                  </w:r>
                </w:p>
              </w:tc>
              <w:tc>
                <w:tcPr>
                  <w:tcW w:w="1087" w:type="pct"/>
                  <w:vAlign w:val="center"/>
                </w:tcPr>
                <w:p w14:paraId="546DD279">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42</w:t>
                  </w:r>
                </w:p>
              </w:tc>
              <w:tc>
                <w:tcPr>
                  <w:tcW w:w="1087" w:type="pct"/>
                  <w:vAlign w:val="center"/>
                </w:tcPr>
                <w:p w14:paraId="2F39EE02">
                  <w:pPr>
                    <w:snapToGrid w:val="0"/>
                    <w:jc w:val="center"/>
                    <w:rPr>
                      <w:rFonts w:hint="default"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41</w:t>
                  </w:r>
                </w:p>
              </w:tc>
            </w:tr>
          </w:tbl>
          <w:p w14:paraId="66F1EAC5">
            <w:pPr>
              <w:pStyle w:val="11"/>
              <w:spacing w:before="157" w:beforeLines="50"/>
              <w:rPr>
                <w:rFonts w:hint="eastAsia"/>
                <w:kern w:val="0"/>
                <w:shd w:val="clear" w:color="auto" w:fill="FFFFFF"/>
              </w:rPr>
            </w:pPr>
            <w:r>
              <w:rPr>
                <w:rFonts w:hint="eastAsia"/>
                <w:kern w:val="0"/>
                <w:shd w:val="clear" w:color="auto" w:fill="FFFFFF"/>
              </w:rPr>
              <w:t>由</w:t>
            </w:r>
            <w:r>
              <w:rPr>
                <w:rFonts w:hint="eastAsia"/>
                <w:b w:val="0"/>
                <w:bCs w:val="0"/>
                <w:kern w:val="0"/>
                <w:shd w:val="clear" w:color="auto" w:fill="FFFFFF"/>
                <w:lang w:eastAsia="zh-CN"/>
              </w:rPr>
              <w:fldChar w:fldCharType="begin"/>
            </w:r>
            <w:r>
              <w:rPr>
                <w:rFonts w:hint="eastAsia"/>
                <w:b w:val="0"/>
                <w:bCs w:val="0"/>
                <w:kern w:val="0"/>
                <w:shd w:val="clear" w:color="auto" w:fill="FFFFFF"/>
                <w:lang w:eastAsia="zh-CN"/>
              </w:rPr>
              <w:instrText xml:space="preserve"> REF _Ref9167 \h </w:instrText>
            </w:r>
            <w:r>
              <w:rPr>
                <w:rFonts w:hint="eastAsia"/>
                <w:b w:val="0"/>
                <w:bCs w:val="0"/>
                <w:kern w:val="0"/>
                <w:shd w:val="clear" w:color="auto" w:fill="FFFFFF"/>
                <w:lang w:eastAsia="zh-CN"/>
              </w:rPr>
              <w:fldChar w:fldCharType="separate"/>
            </w:r>
            <w:r>
              <w:rPr>
                <w:rFonts w:hint="eastAsia" w:ascii="Times New Roman" w:hAnsi="Times New Roman"/>
                <w:b w:val="0"/>
                <w:bCs w:val="0"/>
              </w:rPr>
              <w:t>表 21</w:t>
            </w:r>
            <w:r>
              <w:rPr>
                <w:rFonts w:hint="eastAsia"/>
                <w:b w:val="0"/>
                <w:bCs w:val="0"/>
                <w:kern w:val="0"/>
                <w:shd w:val="clear" w:color="auto" w:fill="FFFFFF"/>
                <w:lang w:eastAsia="zh-CN"/>
              </w:rPr>
              <w:fldChar w:fldCharType="end"/>
            </w:r>
            <w:r>
              <w:rPr>
                <w:rFonts w:hint="eastAsia"/>
                <w:kern w:val="0"/>
                <w:shd w:val="clear" w:color="auto" w:fill="FFFFFF"/>
              </w:rPr>
              <w:t>可知，</w:t>
            </w:r>
            <w:r>
              <w:rPr>
                <w:rFonts w:hint="eastAsia"/>
                <w:kern w:val="0"/>
                <w:sz w:val="24"/>
                <w:shd w:val="clear" w:color="auto" w:fill="FFFFFF"/>
              </w:rPr>
              <w:t>110kV海天红风一线</w:t>
            </w:r>
            <w:r>
              <w:rPr>
                <w:rFonts w:hint="eastAsia"/>
                <w:kern w:val="0"/>
                <w:shd w:val="clear" w:color="auto" w:fill="FFFFFF"/>
              </w:rPr>
              <w:t>50m范围内</w:t>
            </w:r>
            <w:r>
              <w:rPr>
                <w:rFonts w:hint="eastAsia"/>
                <w:kern w:val="0"/>
                <w:shd w:val="clear" w:color="auto" w:fill="FFFFFF"/>
                <w:lang w:val="en-US" w:eastAsia="zh-CN"/>
              </w:rPr>
              <w:t>昼间</w:t>
            </w:r>
            <w:r>
              <w:rPr>
                <w:rFonts w:hint="eastAsia"/>
                <w:kern w:val="0"/>
                <w:shd w:val="clear" w:color="auto" w:fill="FFFFFF"/>
              </w:rPr>
              <w:t>噪声监测值为4</w:t>
            </w:r>
            <w:r>
              <w:rPr>
                <w:rFonts w:hint="eastAsia"/>
                <w:kern w:val="0"/>
                <w:shd w:val="clear" w:color="auto" w:fill="FFFFFF"/>
                <w:lang w:val="en-US" w:eastAsia="zh-CN"/>
              </w:rPr>
              <w:t>2</w:t>
            </w:r>
            <w:r>
              <w:rPr>
                <w:rFonts w:hint="eastAsia"/>
                <w:kern w:val="0"/>
                <w:shd w:val="clear" w:color="auto" w:fill="FFFFFF"/>
              </w:rPr>
              <w:t>dB(A)，夜间噪声监测值</w:t>
            </w:r>
            <w:r>
              <w:rPr>
                <w:rFonts w:hint="eastAsia"/>
                <w:kern w:val="0"/>
                <w:shd w:val="clear" w:color="auto" w:fill="FFFFFF"/>
                <w:lang w:val="en-US" w:eastAsia="zh-CN"/>
              </w:rPr>
              <w:t>范围</w:t>
            </w:r>
            <w:r>
              <w:rPr>
                <w:rFonts w:hint="eastAsia"/>
                <w:kern w:val="0"/>
                <w:shd w:val="clear" w:color="auto" w:fill="FFFFFF"/>
              </w:rPr>
              <w:t>为</w:t>
            </w:r>
            <w:r>
              <w:rPr>
                <w:rFonts w:hint="eastAsia"/>
                <w:kern w:val="0"/>
                <w:shd w:val="clear" w:color="auto" w:fill="FFFFFF"/>
                <w:lang w:val="en-US" w:eastAsia="zh-CN"/>
              </w:rPr>
              <w:t>41</w:t>
            </w:r>
            <w:r>
              <w:rPr>
                <w:rFonts w:hint="eastAsia"/>
                <w:kern w:val="0"/>
                <w:shd w:val="clear" w:color="auto" w:fill="FFFFFF"/>
              </w:rPr>
              <w:t>dB(A)~4</w:t>
            </w:r>
            <w:r>
              <w:rPr>
                <w:rFonts w:hint="eastAsia"/>
                <w:kern w:val="0"/>
                <w:shd w:val="clear" w:color="auto" w:fill="FFFFFF"/>
                <w:lang w:val="en-US" w:eastAsia="zh-CN"/>
              </w:rPr>
              <w:t>2</w:t>
            </w:r>
            <w:r>
              <w:rPr>
                <w:rFonts w:hint="eastAsia"/>
                <w:kern w:val="0"/>
                <w:shd w:val="clear" w:color="auto" w:fill="FFFFFF"/>
              </w:rPr>
              <w:t>dB(A)，</w:t>
            </w:r>
            <w:r>
              <w:rPr>
                <w:rFonts w:hint="eastAsia"/>
                <w:kern w:val="0"/>
                <w:shd w:val="clear" w:color="auto" w:fill="FFFFFF"/>
                <w:lang w:val="en-US" w:eastAsia="zh-CN"/>
              </w:rPr>
              <w:t>0m~</w:t>
            </w:r>
            <w:r>
              <w:rPr>
                <w:rFonts w:hint="eastAsia"/>
                <w:kern w:val="0"/>
                <w:shd w:val="clear" w:color="auto" w:fill="FFFFFF"/>
              </w:rPr>
              <w:t>50m范围内噪声监测值随机波动、随距离变化趋势不明显，线路运行噪声对周围环境噪声基本不构成增量贡献。</w:t>
            </w:r>
          </w:p>
          <w:p w14:paraId="4653F42E">
            <w:pPr>
              <w:pStyle w:val="11"/>
              <w:spacing w:before="0" w:beforeLines="0"/>
              <w:rPr>
                <w:rFonts w:hint="eastAsia"/>
                <w:kern w:val="0"/>
                <w:shd w:val="clear" w:color="auto" w:fill="FFFFFF"/>
              </w:rPr>
            </w:pPr>
            <w:r>
              <w:rPr>
                <w:rFonts w:hint="eastAsia"/>
                <w:kern w:val="0"/>
                <w:shd w:val="clear" w:color="auto" w:fill="FFFFFF"/>
              </w:rPr>
              <w:t>由类比线路产生的噪声可知，本工程</w:t>
            </w:r>
            <w:r>
              <w:rPr>
                <w:rFonts w:hint="eastAsia"/>
                <w:kern w:val="0"/>
                <w:shd w:val="clear" w:color="auto" w:fill="FFFFFF"/>
                <w:lang w:val="en-US" w:eastAsia="zh-CN"/>
              </w:rPr>
              <w:t>拟建单</w:t>
            </w:r>
            <w:r>
              <w:rPr>
                <w:rFonts w:hint="eastAsia"/>
                <w:kern w:val="0"/>
                <w:shd w:val="clear" w:color="auto" w:fill="FFFFFF"/>
              </w:rPr>
              <w:t>回输电线路运行时产生噪声不会对周边声环境造成明显影响，本工程输电线路建成投运前后周围声环境水平保持同一水平，可以满足</w:t>
            </w:r>
            <w:r>
              <w:rPr>
                <w:color w:val="000000"/>
                <w:kern w:val="0"/>
                <w:shd w:val="clear" w:color="auto" w:fill="FFFFFF"/>
              </w:rPr>
              <w:t>《声环境质量标准》</w:t>
            </w:r>
            <w:r>
              <w:rPr>
                <w:rFonts w:hint="eastAsia"/>
                <w:color w:val="000000"/>
                <w:kern w:val="0"/>
                <w:shd w:val="clear" w:color="auto" w:fill="FFFFFF"/>
              </w:rPr>
              <w:t>（</w:t>
            </w:r>
            <w:r>
              <w:rPr>
                <w:color w:val="000000"/>
                <w:kern w:val="0"/>
                <w:shd w:val="clear" w:color="auto" w:fill="FFFFFF"/>
              </w:rPr>
              <w:t>GB3096-2008</w:t>
            </w:r>
            <w:r>
              <w:rPr>
                <w:rFonts w:hint="eastAsia"/>
                <w:color w:val="000000"/>
                <w:kern w:val="0"/>
                <w:shd w:val="clear" w:color="auto" w:fill="FFFFFF"/>
              </w:rPr>
              <w:t>）</w:t>
            </w:r>
            <w:r>
              <w:rPr>
                <w:rFonts w:hint="eastAsia"/>
                <w:kern w:val="0"/>
                <w:shd w:val="clear" w:color="auto" w:fill="FFFFFF"/>
                <w:lang w:val="en-US" w:eastAsia="zh-CN"/>
              </w:rPr>
              <w:t>2</w:t>
            </w:r>
            <w:r>
              <w:rPr>
                <w:rFonts w:hint="eastAsia"/>
                <w:kern w:val="0"/>
                <w:shd w:val="clear" w:color="auto" w:fill="FFFFFF"/>
              </w:rPr>
              <w:t>类标准限值要求。</w:t>
            </w:r>
          </w:p>
          <w:p w14:paraId="215D30EC">
            <w:pPr>
              <w:pStyle w:val="11"/>
              <w:spacing w:before="0" w:beforeLines="0"/>
              <w:rPr>
                <w:rFonts w:hint="eastAsia"/>
                <w:kern w:val="0"/>
                <w:shd w:val="clear" w:color="auto" w:fill="FFFFFF"/>
              </w:rPr>
            </w:pPr>
          </w:p>
          <w:p w14:paraId="5A3AFB59">
            <w:pPr>
              <w:pStyle w:val="11"/>
              <w:numPr>
                <w:ilvl w:val="3"/>
                <w:numId w:val="16"/>
              </w:numPr>
              <w:ind w:firstLineChars="0"/>
              <w:rPr>
                <w:b/>
                <w:color w:val="000000"/>
                <w:kern w:val="0"/>
                <w:szCs w:val="21"/>
              </w:rPr>
            </w:pPr>
            <w:r>
              <w:rPr>
                <w:rFonts w:hint="eastAsia"/>
                <w:b/>
                <w:color w:val="000000"/>
                <w:kern w:val="0"/>
                <w:szCs w:val="21"/>
                <w:lang w:val="en-US" w:eastAsia="zh-CN"/>
              </w:rPr>
              <w:t>双回</w:t>
            </w:r>
            <w:r>
              <w:rPr>
                <w:b/>
                <w:color w:val="000000"/>
                <w:kern w:val="0"/>
                <w:szCs w:val="21"/>
              </w:rPr>
              <w:t>输电线路声环境影响分析</w:t>
            </w:r>
          </w:p>
          <w:p w14:paraId="47EF7875">
            <w:pPr>
              <w:pStyle w:val="11"/>
              <w:shd w:val="clear" w:color="auto" w:fill="FFFFFF"/>
              <w:adjustRightInd w:val="0"/>
              <w:snapToGrid w:val="0"/>
              <w:ind w:firstLineChars="0"/>
              <w:outlineLvl w:val="4"/>
              <w:rPr>
                <w:rFonts w:eastAsia="楷体_GB2312"/>
                <w:b/>
                <w:bCs/>
                <w:color w:val="000000"/>
              </w:rPr>
            </w:pPr>
            <w:r>
              <w:rPr>
                <w:rFonts w:eastAsia="楷体_GB2312"/>
                <w:b/>
                <w:bCs/>
                <w:color w:val="000000"/>
              </w:rPr>
              <w:t>（1）类比对象</w:t>
            </w:r>
          </w:p>
          <w:p w14:paraId="019AE0B2">
            <w:pPr>
              <w:spacing w:line="360" w:lineRule="auto"/>
              <w:ind w:firstLine="480" w:firstLineChars="200"/>
              <w:rPr>
                <w:color w:val="000000"/>
                <w:kern w:val="0"/>
                <w:sz w:val="24"/>
                <w:shd w:val="clear" w:color="auto" w:fill="FFFFFF"/>
              </w:rPr>
            </w:pPr>
            <w:r>
              <w:rPr>
                <w:rFonts w:hint="eastAsia"/>
                <w:kern w:val="0"/>
                <w:sz w:val="24"/>
                <w:shd w:val="clear" w:color="auto" w:fill="FFFFFF"/>
                <w:lang w:eastAsia="zh-CN"/>
              </w:rPr>
              <w:t>本工程</w:t>
            </w:r>
            <w:r>
              <w:rPr>
                <w:rFonts w:hint="eastAsia"/>
                <w:kern w:val="0"/>
                <w:sz w:val="24"/>
                <w:shd w:val="clear" w:color="auto" w:fill="FFFFFF"/>
              </w:rPr>
              <w:t>新建</w:t>
            </w:r>
            <w:r>
              <w:rPr>
                <w:rFonts w:hint="eastAsia"/>
                <w:kern w:val="0"/>
                <w:sz w:val="24"/>
                <w:shd w:val="clear" w:color="auto" w:fill="FFFFFF"/>
                <w:lang w:val="en-US" w:eastAsia="zh-CN"/>
              </w:rPr>
              <w:t>11</w:t>
            </w:r>
            <w:r>
              <w:rPr>
                <w:kern w:val="0"/>
                <w:sz w:val="24"/>
                <w:shd w:val="clear" w:color="auto" w:fill="FFFFFF"/>
              </w:rPr>
              <w:t>0kV</w:t>
            </w:r>
            <w:r>
              <w:rPr>
                <w:rFonts w:hint="eastAsia"/>
                <w:kern w:val="0"/>
                <w:sz w:val="24"/>
                <w:shd w:val="clear" w:color="auto" w:fill="FFFFFF"/>
              </w:rPr>
              <w:t>线路（双回架设段）选择已运行的“</w:t>
            </w:r>
            <w:r>
              <w:rPr>
                <w:rFonts w:hint="eastAsia"/>
                <w:sz w:val="24"/>
                <w:u w:val="none"/>
              </w:rPr>
              <w:t>110kV吉团一、二线双回线路</w:t>
            </w:r>
            <w:r>
              <w:rPr>
                <w:rFonts w:hint="eastAsia"/>
                <w:kern w:val="0"/>
                <w:sz w:val="24"/>
                <w:shd w:val="clear" w:color="auto" w:fill="FFFFFF"/>
              </w:rPr>
              <w:t>”作为类比对象。类比线路与</w:t>
            </w:r>
            <w:r>
              <w:rPr>
                <w:rFonts w:hint="eastAsia"/>
                <w:kern w:val="0"/>
                <w:sz w:val="24"/>
                <w:shd w:val="clear" w:color="auto" w:fill="FFFFFF"/>
                <w:lang w:eastAsia="zh-CN"/>
              </w:rPr>
              <w:t>本工程</w:t>
            </w:r>
            <w:r>
              <w:rPr>
                <w:rFonts w:hint="eastAsia"/>
                <w:kern w:val="0"/>
                <w:sz w:val="24"/>
                <w:shd w:val="clear" w:color="auto" w:fill="FFFFFF"/>
              </w:rPr>
              <w:t>线路主要技术指标对照表见</w:t>
            </w:r>
            <w:r>
              <w:rPr>
                <w:kern w:val="0"/>
                <w:sz w:val="24"/>
                <w:shd w:val="clear" w:color="auto" w:fill="FFFFFF"/>
              </w:rPr>
              <w:fldChar w:fldCharType="begin"/>
            </w:r>
            <w:r>
              <w:rPr>
                <w:kern w:val="0"/>
                <w:sz w:val="24"/>
                <w:shd w:val="clear" w:color="auto" w:fill="FFFFFF"/>
              </w:rPr>
              <w:instrText xml:space="preserve"> </w:instrText>
            </w:r>
            <w:r>
              <w:rPr>
                <w:rFonts w:hint="eastAsia"/>
                <w:kern w:val="0"/>
                <w:sz w:val="24"/>
                <w:shd w:val="clear" w:color="auto" w:fill="FFFFFF"/>
              </w:rPr>
              <w:instrText xml:space="preserve">REF _Ref183016161 \h</w:instrText>
            </w:r>
            <w:r>
              <w:rPr>
                <w:kern w:val="0"/>
                <w:sz w:val="24"/>
                <w:shd w:val="clear" w:color="auto" w:fill="FFFFFF"/>
              </w:rPr>
              <w:instrText xml:space="preserve">  \* MERGEFORMAT </w:instrText>
            </w:r>
            <w:r>
              <w:rPr>
                <w:kern w:val="0"/>
                <w:sz w:val="24"/>
                <w:shd w:val="clear" w:color="auto" w:fill="FFFFFF"/>
              </w:rPr>
              <w:fldChar w:fldCharType="separate"/>
            </w:r>
            <w:r>
              <w:rPr>
                <w:rFonts w:hint="eastAsia"/>
                <w:kern w:val="0"/>
                <w:sz w:val="24"/>
                <w:shd w:val="clear" w:color="auto" w:fill="FFFFFF"/>
              </w:rPr>
              <w:t>表 22</w:t>
            </w:r>
            <w:r>
              <w:rPr>
                <w:kern w:val="0"/>
                <w:sz w:val="24"/>
                <w:shd w:val="clear" w:color="auto" w:fill="FFFFFF"/>
              </w:rPr>
              <w:fldChar w:fldCharType="end"/>
            </w:r>
            <w:r>
              <w:rPr>
                <w:rFonts w:hint="eastAsia"/>
                <w:kern w:val="0"/>
                <w:sz w:val="24"/>
                <w:shd w:val="clear" w:color="auto" w:fill="FFFFFF"/>
              </w:rPr>
              <w:t>。</w:t>
            </w:r>
          </w:p>
          <w:p w14:paraId="5341ADB2">
            <w:pPr>
              <w:pStyle w:val="9"/>
              <w:rPr>
                <w:rFonts w:ascii="Times New Roman" w:hAnsi="Times New Roman"/>
                <w:b/>
                <w:bCs/>
                <w:szCs w:val="21"/>
                <w:shd w:val="clear" w:color="auto" w:fill="FFFFFF"/>
              </w:rPr>
            </w:pPr>
            <w:bookmarkStart w:id="698" w:name="_Ref183016161"/>
            <w:r>
              <w:rPr>
                <w:rFonts w:hint="eastAsia" w:ascii="Times New Roman" w:hAnsi="Times New Roman"/>
                <w:b/>
                <w:bCs/>
                <w:szCs w:val="21"/>
                <w:shd w:val="clear" w:color="auto" w:fill="FFFFFF"/>
              </w:rPr>
              <w:t xml:space="preserve">表 </w:t>
            </w:r>
            <w:r>
              <w:rPr>
                <w:rFonts w:ascii="Times New Roman" w:hAnsi="Times New Roman"/>
                <w:b/>
                <w:bCs/>
                <w:szCs w:val="21"/>
                <w:shd w:val="clear" w:color="auto" w:fill="FFFFFF"/>
              </w:rPr>
              <w:fldChar w:fldCharType="begin"/>
            </w:r>
            <w:r>
              <w:rPr>
                <w:rFonts w:ascii="Times New Roman" w:hAnsi="Times New Roman"/>
                <w:b/>
                <w:bCs/>
                <w:szCs w:val="21"/>
                <w:shd w:val="clear" w:color="auto" w:fill="FFFFFF"/>
              </w:rPr>
              <w:instrText xml:space="preserve"> </w:instrText>
            </w:r>
            <w:r>
              <w:rPr>
                <w:rFonts w:hint="eastAsia" w:ascii="Times New Roman" w:hAnsi="Times New Roman"/>
                <w:b/>
                <w:bCs/>
                <w:szCs w:val="21"/>
                <w:shd w:val="clear" w:color="auto" w:fill="FFFFFF"/>
              </w:rPr>
              <w:instrText xml:space="preserve">SEQ 表 \* ARABIC</w:instrText>
            </w:r>
            <w:r>
              <w:rPr>
                <w:rFonts w:ascii="Times New Roman" w:hAnsi="Times New Roman"/>
                <w:b/>
                <w:bCs/>
                <w:szCs w:val="21"/>
                <w:shd w:val="clear" w:color="auto" w:fill="FFFFFF"/>
              </w:rPr>
              <w:instrText xml:space="preserve"> </w:instrText>
            </w:r>
            <w:r>
              <w:rPr>
                <w:rFonts w:ascii="Times New Roman" w:hAnsi="Times New Roman"/>
                <w:b/>
                <w:bCs/>
                <w:szCs w:val="21"/>
                <w:shd w:val="clear" w:color="auto" w:fill="FFFFFF"/>
              </w:rPr>
              <w:fldChar w:fldCharType="separate"/>
            </w:r>
            <w:r>
              <w:rPr>
                <w:rFonts w:hint="eastAsia" w:ascii="Times New Roman" w:hAnsi="Times New Roman"/>
                <w:b/>
                <w:bCs/>
                <w:szCs w:val="21"/>
                <w:shd w:val="clear" w:color="auto" w:fill="FFFFFF"/>
              </w:rPr>
              <w:t>22</w:t>
            </w:r>
            <w:r>
              <w:rPr>
                <w:rFonts w:ascii="Times New Roman" w:hAnsi="Times New Roman"/>
                <w:b/>
                <w:bCs/>
                <w:szCs w:val="21"/>
                <w:shd w:val="clear" w:color="auto" w:fill="FFFFFF"/>
              </w:rPr>
              <w:fldChar w:fldCharType="end"/>
            </w:r>
            <w:bookmarkEnd w:id="698"/>
            <w:r>
              <w:rPr>
                <w:rFonts w:hint="eastAsia" w:ascii="Times New Roman" w:hAnsi="Times New Roman"/>
                <w:b/>
                <w:bCs/>
                <w:szCs w:val="21"/>
                <w:shd w:val="clear" w:color="auto" w:fill="FFFFFF"/>
              </w:rPr>
              <w:t xml:space="preserve">             </w:t>
            </w:r>
            <w:r>
              <w:rPr>
                <w:rFonts w:hint="eastAsia" w:ascii="Times New Roman" w:hAnsi="Times New Roman"/>
                <w:b/>
                <w:bCs/>
                <w:szCs w:val="21"/>
                <w:shd w:val="clear" w:color="auto" w:fill="FFFFFF"/>
                <w:lang w:val="en-US" w:eastAsia="zh-CN"/>
              </w:rPr>
              <w:t xml:space="preserve"> </w:t>
            </w:r>
            <w:r>
              <w:rPr>
                <w:rFonts w:hint="eastAsia" w:ascii="Times New Roman" w:hAnsi="Times New Roman"/>
                <w:b/>
                <w:bCs/>
                <w:szCs w:val="21"/>
                <w:shd w:val="clear" w:color="auto" w:fill="FFFFFF"/>
              </w:rPr>
              <w:t xml:space="preserve"> 类比线路与</w:t>
            </w:r>
            <w:r>
              <w:rPr>
                <w:rFonts w:hint="eastAsia" w:ascii="Times New Roman" w:hAnsi="Times New Roman"/>
                <w:b/>
                <w:bCs/>
                <w:szCs w:val="21"/>
                <w:shd w:val="clear" w:color="auto" w:fill="FFFFFF"/>
                <w:lang w:eastAsia="zh-CN"/>
              </w:rPr>
              <w:t>本工程</w:t>
            </w:r>
            <w:r>
              <w:rPr>
                <w:rFonts w:hint="eastAsia" w:ascii="Times New Roman" w:hAnsi="Times New Roman"/>
                <w:b/>
                <w:bCs/>
                <w:szCs w:val="21"/>
                <w:shd w:val="clear" w:color="auto" w:fill="FFFFFF"/>
              </w:rPr>
              <w:t>线路（双回）技术指标对照表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33"/>
              <w:gridCol w:w="3273"/>
              <w:gridCol w:w="3094"/>
            </w:tblGrid>
            <w:tr w14:paraId="2BD6D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79F6AA6F">
                  <w:pPr>
                    <w:jc w:val="center"/>
                    <w:rPr>
                      <w:b/>
                      <w:bCs/>
                      <w:szCs w:val="21"/>
                    </w:rPr>
                  </w:pPr>
                  <w:r>
                    <w:rPr>
                      <w:b/>
                      <w:bCs/>
                      <w:szCs w:val="21"/>
                    </w:rPr>
                    <w:t>主要指标</w:t>
                  </w:r>
                </w:p>
              </w:tc>
              <w:tc>
                <w:tcPr>
                  <w:tcW w:w="1995" w:type="pct"/>
                  <w:tcBorders>
                    <w:top w:val="single" w:color="auto" w:sz="6" w:space="0"/>
                    <w:left w:val="single" w:color="auto" w:sz="6" w:space="0"/>
                    <w:bottom w:val="single" w:color="auto" w:sz="6" w:space="0"/>
                    <w:right w:val="single" w:color="auto" w:sz="6" w:space="0"/>
                  </w:tcBorders>
                  <w:vAlign w:val="center"/>
                </w:tcPr>
                <w:p w14:paraId="5AFEBA6A">
                  <w:pPr>
                    <w:jc w:val="center"/>
                    <w:rPr>
                      <w:rFonts w:hint="eastAsia" w:ascii="Times New Roman" w:hAnsi="Times New Roman" w:eastAsia="宋体" w:cs="Times New Roman"/>
                      <w:bCs/>
                      <w:color w:val="000000"/>
                      <w:kern w:val="2"/>
                      <w:sz w:val="21"/>
                      <w:szCs w:val="21"/>
                      <w:u w:val="none"/>
                      <w:lang w:val="en-US" w:eastAsia="zh-CN" w:bidi="ar-SA"/>
                    </w:rPr>
                  </w:pPr>
                  <w:r>
                    <w:rPr>
                      <w:rFonts w:hint="eastAsia"/>
                      <w:color w:val="000000"/>
                      <w:szCs w:val="21"/>
                      <w:shd w:val="clear" w:color="auto" w:fill="FFFFFF"/>
                    </w:rPr>
                    <w:t>110kV吉团一、二线双回线路</w:t>
                  </w:r>
                </w:p>
              </w:tc>
              <w:tc>
                <w:tcPr>
                  <w:tcW w:w="1886" w:type="pct"/>
                  <w:tcBorders>
                    <w:top w:val="single" w:color="auto" w:sz="6" w:space="0"/>
                    <w:left w:val="single" w:color="auto" w:sz="6" w:space="0"/>
                    <w:bottom w:val="single" w:color="auto" w:sz="6" w:space="0"/>
                    <w:right w:val="single" w:color="auto" w:sz="6" w:space="0"/>
                  </w:tcBorders>
                  <w:vAlign w:val="center"/>
                </w:tcPr>
                <w:p w14:paraId="576E94F9">
                  <w:pPr>
                    <w:jc w:val="center"/>
                    <w:rPr>
                      <w:bCs/>
                      <w:szCs w:val="21"/>
                    </w:rPr>
                  </w:pPr>
                  <w:r>
                    <w:rPr>
                      <w:rFonts w:hint="eastAsia"/>
                      <w:szCs w:val="21"/>
                      <w:lang w:eastAsia="zh-CN"/>
                    </w:rPr>
                    <w:t>本工程</w:t>
                  </w:r>
                  <w:r>
                    <w:rPr>
                      <w:rFonts w:hint="eastAsia"/>
                      <w:szCs w:val="21"/>
                    </w:rPr>
                    <w:t>新建线路</w:t>
                  </w:r>
                </w:p>
              </w:tc>
            </w:tr>
            <w:tr w14:paraId="07F52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5B6F2675">
                  <w:pPr>
                    <w:spacing w:before="48" w:beforeLines="20" w:after="48" w:afterLines="20"/>
                    <w:jc w:val="center"/>
                    <w:rPr>
                      <w:b/>
                      <w:bCs/>
                      <w:szCs w:val="21"/>
                    </w:rPr>
                  </w:pPr>
                  <w:r>
                    <w:rPr>
                      <w:b/>
                      <w:bCs/>
                      <w:szCs w:val="21"/>
                    </w:rPr>
                    <w:t>电压等级</w:t>
                  </w:r>
                </w:p>
              </w:tc>
              <w:tc>
                <w:tcPr>
                  <w:tcW w:w="1995" w:type="pct"/>
                  <w:tcBorders>
                    <w:top w:val="single" w:color="auto" w:sz="6" w:space="0"/>
                    <w:left w:val="single" w:color="auto" w:sz="6" w:space="0"/>
                    <w:bottom w:val="single" w:color="auto" w:sz="6" w:space="0"/>
                    <w:right w:val="single" w:color="auto" w:sz="6" w:space="0"/>
                  </w:tcBorders>
                  <w:vAlign w:val="center"/>
                </w:tcPr>
                <w:p w14:paraId="791BA54F">
                  <w:pPr>
                    <w:jc w:val="center"/>
                    <w:rPr>
                      <w:rFonts w:hint="eastAsia" w:ascii="Times New Roman" w:hAnsi="Times New Roman" w:eastAsia="宋体" w:cs="Times New Roman"/>
                      <w:color w:val="000000"/>
                      <w:kern w:val="2"/>
                      <w:sz w:val="21"/>
                      <w:szCs w:val="21"/>
                      <w:u w:val="none"/>
                      <w:lang w:val="en-US" w:eastAsia="zh-CN" w:bidi="ar-SA"/>
                    </w:rPr>
                  </w:pPr>
                  <w:r>
                    <w:rPr>
                      <w:color w:val="000000"/>
                      <w:szCs w:val="21"/>
                      <w:u w:val="none"/>
                    </w:rPr>
                    <w:t>110kV</w:t>
                  </w:r>
                </w:p>
              </w:tc>
              <w:tc>
                <w:tcPr>
                  <w:tcW w:w="1886" w:type="pct"/>
                  <w:tcBorders>
                    <w:top w:val="single" w:color="auto" w:sz="6" w:space="0"/>
                    <w:left w:val="single" w:color="auto" w:sz="6" w:space="0"/>
                    <w:bottom w:val="single" w:color="auto" w:sz="6" w:space="0"/>
                    <w:right w:val="single" w:color="auto" w:sz="6" w:space="0"/>
                  </w:tcBorders>
                  <w:vAlign w:val="center"/>
                </w:tcPr>
                <w:p w14:paraId="46E49BB0">
                  <w:pPr>
                    <w:jc w:val="center"/>
                    <w:rPr>
                      <w:szCs w:val="21"/>
                    </w:rPr>
                  </w:pPr>
                  <w:r>
                    <w:rPr>
                      <w:rFonts w:hint="eastAsia"/>
                      <w:szCs w:val="21"/>
                      <w:lang w:val="en-US" w:eastAsia="zh-CN"/>
                    </w:rPr>
                    <w:t>11</w:t>
                  </w:r>
                  <w:r>
                    <w:rPr>
                      <w:szCs w:val="21"/>
                    </w:rPr>
                    <w:t>0kV</w:t>
                  </w:r>
                </w:p>
              </w:tc>
            </w:tr>
            <w:tr w14:paraId="55C71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1FDD3406">
                  <w:pPr>
                    <w:spacing w:before="48" w:beforeLines="20" w:after="48" w:afterLines="20"/>
                    <w:jc w:val="center"/>
                    <w:rPr>
                      <w:b/>
                      <w:bCs/>
                      <w:szCs w:val="21"/>
                    </w:rPr>
                  </w:pPr>
                  <w:r>
                    <w:rPr>
                      <w:b/>
                      <w:bCs/>
                      <w:szCs w:val="21"/>
                    </w:rPr>
                    <w:t>架设型式</w:t>
                  </w:r>
                </w:p>
              </w:tc>
              <w:tc>
                <w:tcPr>
                  <w:tcW w:w="1995" w:type="pct"/>
                  <w:tcBorders>
                    <w:top w:val="single" w:color="auto" w:sz="6" w:space="0"/>
                    <w:left w:val="single" w:color="auto" w:sz="6" w:space="0"/>
                    <w:bottom w:val="single" w:color="auto" w:sz="6" w:space="0"/>
                    <w:right w:val="single" w:color="auto" w:sz="6" w:space="0"/>
                  </w:tcBorders>
                  <w:vAlign w:val="center"/>
                </w:tcPr>
                <w:p w14:paraId="2EC3DAC5">
                  <w:pPr>
                    <w:jc w:val="center"/>
                    <w:rPr>
                      <w:rFonts w:ascii="Times New Roman" w:hAnsi="Times New Roman" w:eastAsia="宋体" w:cs="Times New Roman"/>
                      <w:color w:val="000000"/>
                      <w:kern w:val="2"/>
                      <w:sz w:val="21"/>
                      <w:szCs w:val="21"/>
                      <w:u w:val="none"/>
                      <w:lang w:val="en-US" w:eastAsia="zh-CN" w:bidi="ar-SA"/>
                    </w:rPr>
                  </w:pPr>
                  <w:r>
                    <w:rPr>
                      <w:rFonts w:hint="eastAsia"/>
                      <w:color w:val="000000"/>
                      <w:szCs w:val="21"/>
                      <w:u w:val="none"/>
                    </w:rPr>
                    <w:t>同塔</w:t>
                  </w:r>
                  <w:r>
                    <w:rPr>
                      <w:color w:val="000000"/>
                      <w:szCs w:val="21"/>
                      <w:u w:val="none"/>
                    </w:rPr>
                    <w:t>双回路架设</w:t>
                  </w:r>
                </w:p>
              </w:tc>
              <w:tc>
                <w:tcPr>
                  <w:tcW w:w="1886" w:type="pct"/>
                  <w:tcBorders>
                    <w:top w:val="single" w:color="auto" w:sz="6" w:space="0"/>
                    <w:left w:val="single" w:color="auto" w:sz="6" w:space="0"/>
                    <w:bottom w:val="single" w:color="auto" w:sz="6" w:space="0"/>
                    <w:right w:val="single" w:color="auto" w:sz="6" w:space="0"/>
                  </w:tcBorders>
                  <w:vAlign w:val="center"/>
                </w:tcPr>
                <w:p w14:paraId="21EF9D05">
                  <w:pPr>
                    <w:jc w:val="center"/>
                    <w:rPr>
                      <w:szCs w:val="21"/>
                    </w:rPr>
                  </w:pPr>
                  <w:r>
                    <w:rPr>
                      <w:rFonts w:hint="eastAsia"/>
                      <w:szCs w:val="21"/>
                      <w:lang w:val="en-US" w:eastAsia="zh-CN"/>
                    </w:rPr>
                    <w:t>同塔</w:t>
                  </w:r>
                  <w:r>
                    <w:rPr>
                      <w:szCs w:val="21"/>
                    </w:rPr>
                    <w:t>双回路架设</w:t>
                  </w:r>
                </w:p>
              </w:tc>
            </w:tr>
            <w:tr w14:paraId="522B5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4A042FEC">
                  <w:pPr>
                    <w:spacing w:before="48" w:beforeLines="20" w:after="48" w:afterLines="20"/>
                    <w:jc w:val="center"/>
                    <w:rPr>
                      <w:b/>
                      <w:bCs/>
                      <w:szCs w:val="21"/>
                    </w:rPr>
                  </w:pPr>
                  <w:r>
                    <w:rPr>
                      <w:rFonts w:hint="eastAsia"/>
                      <w:b/>
                      <w:bCs/>
                      <w:szCs w:val="21"/>
                    </w:rPr>
                    <w:t>排列方式</w:t>
                  </w:r>
                </w:p>
              </w:tc>
              <w:tc>
                <w:tcPr>
                  <w:tcW w:w="1995" w:type="pct"/>
                  <w:tcBorders>
                    <w:top w:val="single" w:color="auto" w:sz="6" w:space="0"/>
                    <w:left w:val="single" w:color="auto" w:sz="6" w:space="0"/>
                    <w:bottom w:val="single" w:color="auto" w:sz="6" w:space="0"/>
                    <w:right w:val="single" w:color="auto" w:sz="6" w:space="0"/>
                  </w:tcBorders>
                  <w:vAlign w:val="center"/>
                </w:tcPr>
                <w:p w14:paraId="4970D614">
                  <w:pPr>
                    <w:jc w:val="center"/>
                    <w:rPr>
                      <w:rFonts w:hint="eastAsia" w:ascii="Times New Roman" w:hAnsi="Times New Roman" w:eastAsia="宋体" w:cs="Times New Roman"/>
                      <w:color w:val="000000"/>
                      <w:kern w:val="2"/>
                      <w:sz w:val="21"/>
                      <w:szCs w:val="21"/>
                      <w:u w:val="none"/>
                      <w:lang w:val="en-US" w:eastAsia="zh-CN" w:bidi="ar-SA"/>
                    </w:rPr>
                  </w:pPr>
                  <w:r>
                    <w:rPr>
                      <w:color w:val="000000"/>
                      <w:szCs w:val="21"/>
                      <w:u w:val="none"/>
                    </w:rPr>
                    <w:t>架空</w:t>
                  </w:r>
                  <w:r>
                    <w:rPr>
                      <w:rFonts w:hint="eastAsia" w:ascii="宋体" w:hAnsi="宋体" w:cs="宋体"/>
                      <w:color w:val="000000"/>
                      <w:szCs w:val="21"/>
                      <w:u w:val="none"/>
                    </w:rPr>
                    <w:t>/</w:t>
                  </w:r>
                  <w:r>
                    <w:rPr>
                      <w:rFonts w:hint="eastAsia"/>
                      <w:color w:val="000000"/>
                      <w:kern w:val="0"/>
                      <w:szCs w:val="21"/>
                      <w:u w:val="none"/>
                    </w:rPr>
                    <w:t>鼓型</w:t>
                  </w:r>
                  <w:r>
                    <w:rPr>
                      <w:color w:val="000000"/>
                      <w:kern w:val="0"/>
                      <w:szCs w:val="21"/>
                      <w:u w:val="none"/>
                    </w:rPr>
                    <w:t>排列</w:t>
                  </w:r>
                </w:p>
              </w:tc>
              <w:tc>
                <w:tcPr>
                  <w:tcW w:w="1886" w:type="pct"/>
                  <w:tcBorders>
                    <w:top w:val="single" w:color="auto" w:sz="6" w:space="0"/>
                    <w:left w:val="single" w:color="auto" w:sz="6" w:space="0"/>
                    <w:bottom w:val="single" w:color="auto" w:sz="6" w:space="0"/>
                    <w:right w:val="single" w:color="auto" w:sz="6" w:space="0"/>
                  </w:tcBorders>
                  <w:vAlign w:val="center"/>
                </w:tcPr>
                <w:p w14:paraId="44E10A93">
                  <w:pPr>
                    <w:jc w:val="center"/>
                    <w:rPr>
                      <w:szCs w:val="21"/>
                    </w:rPr>
                  </w:pPr>
                  <w:r>
                    <w:rPr>
                      <w:color w:val="000000"/>
                      <w:szCs w:val="21"/>
                      <w:u w:val="none"/>
                    </w:rPr>
                    <w:t>架空</w:t>
                  </w:r>
                  <w:r>
                    <w:rPr>
                      <w:rFonts w:hint="eastAsia" w:ascii="宋体" w:hAnsi="宋体" w:cs="宋体"/>
                      <w:color w:val="000000"/>
                      <w:szCs w:val="21"/>
                      <w:u w:val="none"/>
                    </w:rPr>
                    <w:t>/</w:t>
                  </w:r>
                  <w:r>
                    <w:rPr>
                      <w:rFonts w:hint="eastAsia"/>
                      <w:szCs w:val="21"/>
                    </w:rPr>
                    <w:t>鼓形排列</w:t>
                  </w:r>
                </w:p>
              </w:tc>
            </w:tr>
            <w:tr w14:paraId="0F46D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35FC9E23">
                  <w:pPr>
                    <w:spacing w:before="48" w:beforeLines="20" w:after="48" w:afterLines="20"/>
                    <w:jc w:val="center"/>
                    <w:rPr>
                      <w:b/>
                      <w:bCs/>
                      <w:szCs w:val="21"/>
                    </w:rPr>
                  </w:pPr>
                  <w:r>
                    <w:rPr>
                      <w:rFonts w:hint="eastAsia"/>
                      <w:b/>
                      <w:bCs/>
                      <w:szCs w:val="21"/>
                    </w:rPr>
                    <w:t>导线型号</w:t>
                  </w:r>
                </w:p>
              </w:tc>
              <w:tc>
                <w:tcPr>
                  <w:tcW w:w="1995" w:type="pct"/>
                  <w:tcBorders>
                    <w:top w:val="single" w:color="auto" w:sz="6" w:space="0"/>
                    <w:left w:val="single" w:color="auto" w:sz="6" w:space="0"/>
                    <w:bottom w:val="single" w:color="auto" w:sz="6" w:space="0"/>
                    <w:right w:val="single" w:color="auto" w:sz="6" w:space="0"/>
                  </w:tcBorders>
                  <w:vAlign w:val="center"/>
                </w:tcPr>
                <w:p w14:paraId="069385DC">
                  <w:pPr>
                    <w:jc w:val="center"/>
                    <w:rPr>
                      <w:rFonts w:hint="eastAsia" w:ascii="Times New Roman" w:hAnsi="Times New Roman" w:eastAsia="宋体" w:cs="Times New Roman"/>
                      <w:color w:val="000000"/>
                      <w:kern w:val="2"/>
                      <w:sz w:val="21"/>
                      <w:szCs w:val="21"/>
                      <w:u w:val="none"/>
                      <w:lang w:val="en-US" w:eastAsia="zh-CN" w:bidi="ar-SA"/>
                    </w:rPr>
                  </w:pPr>
                  <w:r>
                    <w:rPr>
                      <w:color w:val="000000"/>
                      <w:kern w:val="0"/>
                      <w:szCs w:val="21"/>
                      <w:u w:val="none"/>
                    </w:rPr>
                    <w:t>JL</w:t>
                  </w:r>
                  <w:r>
                    <w:rPr>
                      <w:rFonts w:hint="eastAsia"/>
                      <w:color w:val="000000"/>
                      <w:kern w:val="0"/>
                      <w:szCs w:val="21"/>
                      <w:u w:val="none"/>
                      <w:lang w:val="en-US" w:eastAsia="zh-CN"/>
                    </w:rPr>
                    <w:t>3</w:t>
                  </w:r>
                  <w:r>
                    <w:rPr>
                      <w:color w:val="000000"/>
                      <w:kern w:val="0"/>
                      <w:szCs w:val="21"/>
                      <w:u w:val="none"/>
                    </w:rPr>
                    <w:t>/G1A-240/30</w:t>
                  </w:r>
                  <w:r>
                    <w:rPr>
                      <w:rFonts w:hint="eastAsia"/>
                      <w:kern w:val="0"/>
                      <w:szCs w:val="21"/>
                      <w:u w:val="none"/>
                    </w:rPr>
                    <w:t>型</w:t>
                  </w:r>
                </w:p>
              </w:tc>
              <w:tc>
                <w:tcPr>
                  <w:tcW w:w="1886" w:type="pct"/>
                  <w:tcBorders>
                    <w:top w:val="single" w:color="auto" w:sz="6" w:space="0"/>
                    <w:left w:val="single" w:color="auto" w:sz="6" w:space="0"/>
                    <w:bottom w:val="single" w:color="auto" w:sz="6" w:space="0"/>
                    <w:right w:val="single" w:color="auto" w:sz="6" w:space="0"/>
                  </w:tcBorders>
                  <w:vAlign w:val="center"/>
                </w:tcPr>
                <w:p w14:paraId="16D1BE84">
                  <w:pPr>
                    <w:jc w:val="center"/>
                    <w:rPr>
                      <w:szCs w:val="21"/>
                    </w:rPr>
                  </w:pPr>
                  <w:r>
                    <w:rPr>
                      <w:color w:val="000000"/>
                      <w:kern w:val="0"/>
                      <w:szCs w:val="21"/>
                      <w:u w:val="none"/>
                    </w:rPr>
                    <w:t>JL</w:t>
                  </w:r>
                  <w:r>
                    <w:rPr>
                      <w:rFonts w:hint="eastAsia"/>
                      <w:color w:val="000000"/>
                      <w:kern w:val="0"/>
                      <w:szCs w:val="21"/>
                      <w:u w:val="none"/>
                      <w:lang w:val="en-US" w:eastAsia="zh-CN"/>
                    </w:rPr>
                    <w:t>3</w:t>
                  </w:r>
                  <w:r>
                    <w:rPr>
                      <w:color w:val="000000"/>
                      <w:kern w:val="0"/>
                      <w:szCs w:val="21"/>
                      <w:u w:val="none"/>
                    </w:rPr>
                    <w:t>/G1A-240/30</w:t>
                  </w:r>
                  <w:r>
                    <w:rPr>
                      <w:rFonts w:hint="eastAsia"/>
                      <w:kern w:val="0"/>
                      <w:szCs w:val="21"/>
                      <w:u w:val="none"/>
                    </w:rPr>
                    <w:t>型</w:t>
                  </w:r>
                </w:p>
              </w:tc>
            </w:tr>
            <w:tr w14:paraId="52B49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37C7950A">
                  <w:pPr>
                    <w:spacing w:before="48" w:beforeLines="20" w:after="48" w:afterLines="20"/>
                    <w:jc w:val="center"/>
                    <w:rPr>
                      <w:rFonts w:hint="eastAsia" w:ascii="Times New Roman" w:hAnsi="Times New Roman" w:eastAsia="宋体" w:cs="Times New Roman"/>
                      <w:b/>
                      <w:bCs/>
                      <w:kern w:val="2"/>
                      <w:sz w:val="21"/>
                      <w:szCs w:val="21"/>
                      <w:lang w:val="en-US" w:eastAsia="zh-CN" w:bidi="ar-SA"/>
                    </w:rPr>
                  </w:pPr>
                  <w:r>
                    <w:rPr>
                      <w:rFonts w:hint="eastAsia"/>
                      <w:b/>
                      <w:bCs/>
                      <w:szCs w:val="21"/>
                    </w:rPr>
                    <w:t>导线外径</w:t>
                  </w:r>
                </w:p>
              </w:tc>
              <w:tc>
                <w:tcPr>
                  <w:tcW w:w="1995" w:type="pct"/>
                  <w:tcBorders>
                    <w:top w:val="single" w:color="auto" w:sz="6" w:space="0"/>
                    <w:left w:val="single" w:color="auto" w:sz="6" w:space="0"/>
                    <w:bottom w:val="single" w:color="auto" w:sz="6" w:space="0"/>
                    <w:right w:val="single" w:color="auto" w:sz="6" w:space="0"/>
                  </w:tcBorders>
                  <w:vAlign w:val="center"/>
                </w:tcPr>
                <w:p w14:paraId="3134FF2F">
                  <w:pPr>
                    <w:jc w:val="center"/>
                    <w:rPr>
                      <w:rFonts w:hint="eastAsia" w:ascii="Times New Roman" w:hAnsi="Times New Roman" w:eastAsia="宋体" w:cs="Times New Roman"/>
                      <w:color w:val="000000"/>
                      <w:kern w:val="2"/>
                      <w:sz w:val="21"/>
                      <w:szCs w:val="21"/>
                      <w:u w:val="none"/>
                      <w:lang w:val="en-US" w:eastAsia="zh-CN" w:bidi="ar-SA"/>
                    </w:rPr>
                  </w:pPr>
                  <w:r>
                    <w:rPr>
                      <w:color w:val="000000"/>
                      <w:szCs w:val="21"/>
                      <w:u w:val="none"/>
                    </w:rPr>
                    <w:t>21.6mm</w:t>
                  </w:r>
                </w:p>
              </w:tc>
              <w:tc>
                <w:tcPr>
                  <w:tcW w:w="1886" w:type="pct"/>
                  <w:tcBorders>
                    <w:top w:val="single" w:color="auto" w:sz="6" w:space="0"/>
                    <w:left w:val="single" w:color="auto" w:sz="6" w:space="0"/>
                    <w:bottom w:val="single" w:color="auto" w:sz="6" w:space="0"/>
                    <w:right w:val="single" w:color="auto" w:sz="6" w:space="0"/>
                  </w:tcBorders>
                  <w:vAlign w:val="center"/>
                </w:tcPr>
                <w:p w14:paraId="548B8CDA">
                  <w:pPr>
                    <w:jc w:val="center"/>
                    <w:rPr>
                      <w:rFonts w:hint="eastAsia" w:ascii="Times New Roman" w:hAnsi="Times New Roman" w:eastAsia="宋体" w:cs="Times New Roman"/>
                      <w:kern w:val="2"/>
                      <w:sz w:val="21"/>
                      <w:szCs w:val="21"/>
                      <w:lang w:val="en-US" w:eastAsia="zh-CN" w:bidi="ar-SA"/>
                    </w:rPr>
                  </w:pPr>
                  <w:r>
                    <w:rPr>
                      <w:color w:val="000000"/>
                      <w:szCs w:val="21"/>
                      <w:u w:val="none"/>
                    </w:rPr>
                    <w:t>21.6mm</w:t>
                  </w:r>
                </w:p>
              </w:tc>
            </w:tr>
            <w:tr w14:paraId="506F7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56CCEC6D">
                  <w:pPr>
                    <w:spacing w:before="48" w:beforeLines="20" w:after="48" w:afterLines="20"/>
                    <w:jc w:val="center"/>
                    <w:rPr>
                      <w:rFonts w:hint="default" w:eastAsia="宋体"/>
                      <w:b/>
                      <w:bCs/>
                      <w:szCs w:val="21"/>
                      <w:lang w:val="en-US" w:eastAsia="zh-CN"/>
                    </w:rPr>
                  </w:pPr>
                  <w:r>
                    <w:rPr>
                      <w:rFonts w:hint="eastAsia"/>
                      <w:b/>
                      <w:bCs/>
                      <w:szCs w:val="21"/>
                      <w:lang w:val="en-US" w:eastAsia="zh-CN"/>
                    </w:rPr>
                    <w:t>环境条件</w:t>
                  </w:r>
                </w:p>
              </w:tc>
              <w:tc>
                <w:tcPr>
                  <w:tcW w:w="1995" w:type="pct"/>
                  <w:tcBorders>
                    <w:top w:val="single" w:color="auto" w:sz="6" w:space="0"/>
                    <w:left w:val="single" w:color="auto" w:sz="6" w:space="0"/>
                    <w:bottom w:val="single" w:color="auto" w:sz="6" w:space="0"/>
                    <w:right w:val="single" w:color="auto" w:sz="6" w:space="0"/>
                  </w:tcBorders>
                  <w:vAlign w:val="center"/>
                </w:tcPr>
                <w:p w14:paraId="72B1E10B">
                  <w:pPr>
                    <w:jc w:val="center"/>
                    <w:rPr>
                      <w:rFonts w:hint="default"/>
                      <w:lang w:val="en-US" w:eastAsia="zh-CN"/>
                    </w:rPr>
                  </w:pPr>
                  <w:r>
                    <w:rPr>
                      <w:rFonts w:hint="eastAsia"/>
                      <w:lang w:val="en-US" w:eastAsia="zh-CN"/>
                    </w:rPr>
                    <w:t>昌吉回族自治州吉木萨尔县</w:t>
                  </w:r>
                </w:p>
                <w:p w14:paraId="76E65A46">
                  <w:pPr>
                    <w:bidi w:val="0"/>
                    <w:jc w:val="center"/>
                    <w:rPr>
                      <w:rFonts w:hint="default"/>
                      <w:lang w:val="en-US" w:eastAsia="zh-CN"/>
                    </w:rPr>
                  </w:pPr>
                  <w:r>
                    <w:rPr>
                      <w:rFonts w:hint="default"/>
                      <w:lang w:val="en-US" w:eastAsia="zh-CN"/>
                    </w:rPr>
                    <w:t>中温带大陆干旱气候</w:t>
                  </w:r>
                </w:p>
              </w:tc>
              <w:tc>
                <w:tcPr>
                  <w:tcW w:w="1886" w:type="pct"/>
                  <w:tcBorders>
                    <w:top w:val="single" w:color="auto" w:sz="6" w:space="0"/>
                    <w:left w:val="single" w:color="auto" w:sz="6" w:space="0"/>
                    <w:bottom w:val="single" w:color="auto" w:sz="6" w:space="0"/>
                    <w:right w:val="single" w:color="auto" w:sz="6" w:space="0"/>
                  </w:tcBorders>
                  <w:vAlign w:val="center"/>
                </w:tcPr>
                <w:p w14:paraId="4F724468">
                  <w:pPr>
                    <w:jc w:val="center"/>
                    <w:rPr>
                      <w:rFonts w:hint="eastAsia"/>
                      <w:lang w:val="en-US" w:eastAsia="zh-CN"/>
                    </w:rPr>
                  </w:pPr>
                  <w:r>
                    <w:rPr>
                      <w:rFonts w:hint="eastAsia"/>
                      <w:lang w:val="en-US" w:eastAsia="zh-CN"/>
                    </w:rPr>
                    <w:t>吐鲁番市高昌区</w:t>
                  </w:r>
                </w:p>
                <w:p w14:paraId="1DF4D4B4">
                  <w:pPr>
                    <w:jc w:val="center"/>
                    <w:rPr>
                      <w:rFonts w:hint="eastAsia"/>
                    </w:rPr>
                  </w:pPr>
                  <w:r>
                    <w:rPr>
                      <w:rFonts w:hint="eastAsia" w:cs="宋体"/>
                      <w:szCs w:val="24"/>
                    </w:rPr>
                    <w:t>暖温带大陆性荒漠气候</w:t>
                  </w:r>
                </w:p>
              </w:tc>
            </w:tr>
            <w:tr w14:paraId="24B24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pct"/>
                  <w:tcBorders>
                    <w:top w:val="single" w:color="auto" w:sz="6" w:space="0"/>
                    <w:left w:val="single" w:color="auto" w:sz="6" w:space="0"/>
                    <w:bottom w:val="single" w:color="auto" w:sz="6" w:space="0"/>
                    <w:right w:val="single" w:color="auto" w:sz="6" w:space="0"/>
                  </w:tcBorders>
                  <w:vAlign w:val="center"/>
                </w:tcPr>
                <w:p w14:paraId="3BFE2ACA">
                  <w:pPr>
                    <w:spacing w:before="48" w:beforeLines="20" w:after="48" w:afterLines="20"/>
                    <w:jc w:val="center"/>
                    <w:rPr>
                      <w:b/>
                      <w:bCs/>
                      <w:szCs w:val="21"/>
                    </w:rPr>
                  </w:pPr>
                  <w:r>
                    <w:rPr>
                      <w:rFonts w:hint="eastAsia"/>
                      <w:b/>
                      <w:bCs/>
                      <w:szCs w:val="21"/>
                    </w:rPr>
                    <w:t>导线高度</w:t>
                  </w:r>
                </w:p>
              </w:tc>
              <w:tc>
                <w:tcPr>
                  <w:tcW w:w="1995" w:type="pct"/>
                  <w:tcBorders>
                    <w:top w:val="single" w:color="auto" w:sz="6" w:space="0"/>
                    <w:left w:val="single" w:color="auto" w:sz="6" w:space="0"/>
                    <w:bottom w:val="single" w:color="auto" w:sz="6" w:space="0"/>
                    <w:right w:val="single" w:color="auto" w:sz="6" w:space="0"/>
                  </w:tcBorders>
                  <w:vAlign w:val="center"/>
                </w:tcPr>
                <w:p w14:paraId="47A3989F">
                  <w:pPr>
                    <w:jc w:val="center"/>
                    <w:rPr>
                      <w:rFonts w:hint="eastAsia" w:ascii="Times New Roman" w:hAnsi="Times New Roman" w:eastAsia="宋体" w:cs="Times New Roman"/>
                      <w:color w:val="000000"/>
                      <w:kern w:val="2"/>
                      <w:sz w:val="21"/>
                      <w:szCs w:val="21"/>
                      <w:u w:val="none"/>
                      <w:lang w:val="en-US" w:eastAsia="zh-CN" w:bidi="ar-SA"/>
                    </w:rPr>
                  </w:pPr>
                  <w:r>
                    <w:rPr>
                      <w:rFonts w:hint="eastAsia"/>
                      <w:color w:val="000000"/>
                      <w:szCs w:val="21"/>
                      <w:u w:val="none"/>
                      <w:lang w:eastAsia="zh-CN"/>
                    </w:rPr>
                    <w:t>1</w:t>
                  </w:r>
                  <w:r>
                    <w:rPr>
                      <w:rFonts w:hint="eastAsia"/>
                      <w:color w:val="000000"/>
                      <w:szCs w:val="21"/>
                      <w:u w:val="none"/>
                      <w:lang w:val="en-US" w:eastAsia="zh-CN"/>
                    </w:rPr>
                    <w:t>1</w:t>
                  </w:r>
                  <w:r>
                    <w:rPr>
                      <w:color w:val="000000"/>
                      <w:szCs w:val="21"/>
                      <w:u w:val="none"/>
                    </w:rPr>
                    <w:t>m</w:t>
                  </w:r>
                </w:p>
              </w:tc>
              <w:tc>
                <w:tcPr>
                  <w:tcW w:w="1886" w:type="pct"/>
                  <w:tcBorders>
                    <w:top w:val="single" w:color="auto" w:sz="6" w:space="0"/>
                    <w:left w:val="single" w:color="auto" w:sz="6" w:space="0"/>
                    <w:bottom w:val="single" w:color="auto" w:sz="6" w:space="0"/>
                    <w:right w:val="single" w:color="auto" w:sz="6" w:space="0"/>
                  </w:tcBorders>
                  <w:vAlign w:val="center"/>
                </w:tcPr>
                <w:p w14:paraId="6BEBE602">
                  <w:pPr>
                    <w:jc w:val="center"/>
                  </w:pPr>
                  <w:r>
                    <w:rPr>
                      <w:rFonts w:hint="eastAsia"/>
                    </w:rPr>
                    <w:t>非居民区不低于6.</w:t>
                  </w:r>
                  <w:r>
                    <w:rPr>
                      <w:rFonts w:hint="eastAsia"/>
                      <w:lang w:val="en-US" w:eastAsia="zh-CN"/>
                    </w:rPr>
                    <w:t>0</w:t>
                  </w:r>
                  <w:r>
                    <w:rPr>
                      <w:rFonts w:hint="eastAsia"/>
                    </w:rPr>
                    <w:t>m</w:t>
                  </w:r>
                </w:p>
                <w:p w14:paraId="0E5331DC">
                  <w:pPr>
                    <w:jc w:val="center"/>
                  </w:pPr>
                  <w:r>
                    <w:rPr>
                      <w:rFonts w:hint="eastAsia"/>
                    </w:rPr>
                    <w:t>居民区不低于7.</w:t>
                  </w:r>
                  <w:r>
                    <w:rPr>
                      <w:rFonts w:hint="eastAsia"/>
                      <w:lang w:val="en-US" w:eastAsia="zh-CN"/>
                    </w:rPr>
                    <w:t>0</w:t>
                  </w:r>
                  <w:r>
                    <w:rPr>
                      <w:rFonts w:hint="eastAsia"/>
                    </w:rPr>
                    <w:t>m</w:t>
                  </w:r>
                </w:p>
              </w:tc>
            </w:tr>
          </w:tbl>
          <w:p w14:paraId="162D7247">
            <w:pPr>
              <w:pStyle w:val="11"/>
              <w:shd w:val="clear" w:color="auto" w:fill="FFFFFF"/>
              <w:adjustRightInd w:val="0"/>
              <w:snapToGrid w:val="0"/>
              <w:ind w:firstLineChars="0"/>
              <w:outlineLvl w:val="4"/>
              <w:rPr>
                <w:rFonts w:eastAsia="楷体_GB2312"/>
                <w:b/>
                <w:bCs/>
              </w:rPr>
            </w:pPr>
            <w:r>
              <w:rPr>
                <w:rFonts w:ascii="楷体_GB2312" w:eastAsia="楷体_GB2312"/>
                <w:b/>
                <w:bCs/>
              </w:rPr>
              <w:t>（2）</w:t>
            </w:r>
            <w:r>
              <w:rPr>
                <w:rFonts w:hint="eastAsia" w:ascii="楷体_GB2312" w:eastAsia="楷体_GB2312"/>
                <w:b/>
                <w:bCs/>
              </w:rPr>
              <w:t>类比对象可行性分析</w:t>
            </w:r>
          </w:p>
          <w:p w14:paraId="10FC59AC">
            <w:pPr>
              <w:spacing w:line="360" w:lineRule="auto"/>
              <w:ind w:firstLine="480" w:firstLineChars="200"/>
              <w:rPr>
                <w:sz w:val="24"/>
              </w:rPr>
            </w:pPr>
            <w:r>
              <w:rPr>
                <w:rFonts w:hint="eastAsia"/>
                <w:sz w:val="24"/>
              </w:rPr>
              <w:t>选取的类</w:t>
            </w:r>
            <w:r>
              <w:rPr>
                <w:rFonts w:hint="eastAsia"/>
                <w:sz w:val="24"/>
                <w:u w:val="none"/>
              </w:rPr>
              <w:t>比线路电压等级、架设型式、排列方式、导线型号、导线外径等与本工程线路基本一致，</w:t>
            </w:r>
            <w:r>
              <w:rPr>
                <w:color w:val="000000" w:themeColor="text1"/>
                <w:sz w:val="24"/>
                <w:u w:val="none"/>
                <w14:textFill>
                  <w14:solidFill>
                    <w14:schemeClr w14:val="tx1"/>
                  </w14:solidFill>
                </w14:textFill>
              </w:rPr>
              <w:t>架设高度与本工程输电线路存在一定差异，即类比线路架设高度为实际架设高度，环评阶段本工程输电线路高度为《110kV～750kV架空输电线路设计规范》（GB</w:t>
            </w:r>
            <w:r>
              <w:rPr>
                <w:rFonts w:hint="eastAsia"/>
                <w:color w:val="000000" w:themeColor="text1"/>
                <w:sz w:val="24"/>
                <w:u w:val="none"/>
                <w:lang w:val="en-US" w:eastAsia="zh-CN"/>
                <w14:textFill>
                  <w14:solidFill>
                    <w14:schemeClr w14:val="tx1"/>
                  </w14:solidFill>
                </w14:textFill>
              </w:rPr>
              <w:t xml:space="preserve"> </w:t>
            </w:r>
            <w:r>
              <w:rPr>
                <w:color w:val="000000" w:themeColor="text1"/>
                <w:sz w:val="24"/>
                <w:u w:val="none"/>
                <w14:textFill>
                  <w14:solidFill>
                    <w14:schemeClr w14:val="tx1"/>
                  </w14:solidFill>
                </w14:textFill>
              </w:rPr>
              <w:t>50545-2010）中规定的导线对地最低理论高度。实际架设时，结合沿线地形条件实际架设高度一般会大于最低理论高度，可与类比线路导线对地高度相当</w:t>
            </w:r>
            <w:r>
              <w:rPr>
                <w:rFonts w:hint="eastAsia"/>
                <w:color w:val="000000" w:themeColor="text1"/>
                <w:sz w:val="24"/>
                <w:u w:val="none"/>
                <w14:textFill>
                  <w14:solidFill>
                    <w14:schemeClr w14:val="tx1"/>
                  </w14:solidFill>
                </w14:textFill>
              </w:rPr>
              <w:t>，满足类比要求</w:t>
            </w:r>
            <w:r>
              <w:rPr>
                <w:color w:val="000000" w:themeColor="text1"/>
                <w:sz w:val="24"/>
                <w:u w:val="none"/>
                <w14:textFill>
                  <w14:solidFill>
                    <w14:schemeClr w14:val="tx1"/>
                  </w14:solidFill>
                </w14:textFill>
              </w:rPr>
              <w:t>。</w:t>
            </w:r>
            <w:r>
              <w:rPr>
                <w:rFonts w:hint="eastAsia"/>
                <w:color w:val="000000" w:themeColor="text1"/>
                <w:kern w:val="0"/>
                <w:sz w:val="24"/>
                <w:u w:val="none"/>
                <w:shd w:val="clear" w:color="auto" w:fill="FFFFFF"/>
                <w14:textFill>
                  <w14:solidFill>
                    <w14:schemeClr w14:val="tx1"/>
                  </w14:solidFill>
                </w14:textFill>
              </w:rPr>
              <w:t>监测期间类比线路运行正常，故本次环评将</w:t>
            </w:r>
            <w:r>
              <w:rPr>
                <w:rFonts w:hint="eastAsia"/>
                <w:sz w:val="24"/>
                <w:u w:val="none"/>
              </w:rPr>
              <w:t>110kV吉团一、二线双回线路</w:t>
            </w:r>
            <w:r>
              <w:rPr>
                <w:rFonts w:hint="eastAsia"/>
                <w:color w:val="000000" w:themeColor="text1"/>
                <w:kern w:val="0"/>
                <w:sz w:val="24"/>
                <w:shd w:val="clear" w:color="auto" w:fill="FFFFFF"/>
                <w14:textFill>
                  <w14:solidFill>
                    <w14:schemeClr w14:val="tx1"/>
                  </w14:solidFill>
                </w14:textFill>
              </w:rPr>
              <w:t>作为本工程新建线路的类比对象是可行的，</w:t>
            </w:r>
            <w:r>
              <w:rPr>
                <w:color w:val="000000" w:themeColor="text1"/>
                <w:sz w:val="24"/>
                <w14:textFill>
                  <w14:solidFill>
                    <w14:schemeClr w14:val="tx1"/>
                  </w14:solidFill>
                </w14:textFill>
              </w:rPr>
              <w:t>类比线路的声环境监测结果能反映本工程输电线路运行后可能产生的声环境影响水平</w:t>
            </w:r>
            <w:r>
              <w:rPr>
                <w:rFonts w:hint="eastAsia"/>
                <w:color w:val="000000" w:themeColor="text1"/>
                <w:sz w:val="24"/>
                <w14:textFill>
                  <w14:solidFill>
                    <w14:schemeClr w14:val="tx1"/>
                  </w14:solidFill>
                </w14:textFill>
              </w:rPr>
              <w:t>。</w:t>
            </w:r>
          </w:p>
          <w:p w14:paraId="630BE8B1">
            <w:pPr>
              <w:shd w:val="clear" w:color="auto" w:fill="FFFFFF"/>
              <w:adjustRightInd w:val="0"/>
              <w:snapToGrid w:val="0"/>
              <w:spacing w:line="360" w:lineRule="auto"/>
              <w:ind w:firstLine="422" w:firstLineChars="200"/>
              <w:outlineLvl w:val="4"/>
              <w:rPr>
                <w:rFonts w:eastAsia="楷体_GB2312"/>
                <w:b/>
              </w:rPr>
            </w:pPr>
            <w:r>
              <w:rPr>
                <w:rFonts w:eastAsia="楷体_GB2312"/>
                <w:b/>
              </w:rPr>
              <w:t>（3）</w:t>
            </w:r>
            <w:r>
              <w:rPr>
                <w:rFonts w:hint="eastAsia" w:eastAsia="楷体_GB2312"/>
                <w:b/>
              </w:rPr>
              <w:t>类比</w:t>
            </w:r>
            <w:r>
              <w:rPr>
                <w:rFonts w:eastAsia="楷体_GB2312"/>
                <w:b/>
              </w:rPr>
              <w:t>监测</w:t>
            </w:r>
            <w:r>
              <w:rPr>
                <w:rFonts w:hint="eastAsia" w:eastAsia="楷体_GB2312"/>
                <w:b/>
              </w:rPr>
              <w:t>点</w:t>
            </w:r>
          </w:p>
          <w:p w14:paraId="3F57774C">
            <w:pPr>
              <w:spacing w:line="360" w:lineRule="auto"/>
              <w:ind w:firstLine="482"/>
              <w:rPr>
                <w:kern w:val="0"/>
                <w:sz w:val="24"/>
                <w:shd w:val="clear" w:color="auto" w:fill="FFFFFF"/>
              </w:rPr>
            </w:pPr>
            <w:r>
              <w:rPr>
                <w:rFonts w:hint="eastAsia"/>
                <w:kern w:val="0"/>
                <w:sz w:val="24"/>
                <w:shd w:val="clear" w:color="auto" w:fill="FFFFFF"/>
              </w:rPr>
              <w:t>以</w:t>
            </w:r>
            <w:r>
              <w:rPr>
                <w:rFonts w:hint="eastAsia"/>
                <w:color w:val="000000"/>
                <w:kern w:val="0"/>
                <w:sz w:val="24"/>
                <w:shd w:val="clear" w:color="auto" w:fill="FFFFFF"/>
              </w:rPr>
              <w:t>110kV吉团一线62#~63#，二线69#~70#塔线路</w:t>
            </w:r>
            <w:r>
              <w:rPr>
                <w:rFonts w:hint="eastAsia"/>
                <w:kern w:val="0"/>
                <w:sz w:val="24"/>
                <w:shd w:val="clear" w:color="auto" w:fill="FFFFFF"/>
                <w:lang w:val="en-US" w:eastAsia="zh-CN"/>
              </w:rPr>
              <w:t>之间</w:t>
            </w:r>
            <w:r>
              <w:rPr>
                <w:rFonts w:hint="eastAsia"/>
                <w:kern w:val="0"/>
                <w:sz w:val="24"/>
                <w:shd w:val="clear" w:color="auto" w:fill="FFFFFF"/>
              </w:rPr>
              <w:t>导线弧垂最大处线路中心的地面投影为监测原点，沿垂直于线路方向进行断面监测。</w:t>
            </w:r>
          </w:p>
          <w:p w14:paraId="1A04FB81">
            <w:pPr>
              <w:pStyle w:val="11"/>
              <w:shd w:val="clear" w:color="auto" w:fill="FFFFFF"/>
              <w:adjustRightInd w:val="0"/>
              <w:snapToGrid w:val="0"/>
              <w:ind w:left="420" w:firstLine="0" w:firstLineChars="0"/>
              <w:outlineLvl w:val="4"/>
              <w:rPr>
                <w:rFonts w:eastAsia="楷体_GB2312"/>
                <w:b/>
              </w:rPr>
            </w:pPr>
            <w:r>
              <w:rPr>
                <w:rFonts w:eastAsia="楷体_GB2312"/>
                <w:b/>
              </w:rPr>
              <w:t>（4）</w:t>
            </w:r>
            <w:r>
              <w:rPr>
                <w:rFonts w:hint="eastAsia" w:eastAsia="楷体_GB2312"/>
                <w:b/>
              </w:rPr>
              <w:t>类比</w:t>
            </w:r>
            <w:r>
              <w:rPr>
                <w:rFonts w:eastAsia="楷体_GB2312"/>
                <w:b/>
              </w:rPr>
              <w:t>监测内容</w:t>
            </w:r>
          </w:p>
          <w:p w14:paraId="455E8FFB">
            <w:pPr>
              <w:spacing w:line="360" w:lineRule="auto"/>
              <w:ind w:firstLine="482"/>
              <w:rPr>
                <w:kern w:val="0"/>
                <w:sz w:val="24"/>
                <w:shd w:val="clear" w:color="auto" w:fill="FFFFFF"/>
              </w:rPr>
            </w:pPr>
            <w:r>
              <w:rPr>
                <w:rFonts w:hint="eastAsia"/>
                <w:kern w:val="0"/>
                <w:sz w:val="24"/>
                <w:shd w:val="clear" w:color="auto" w:fill="FFFFFF"/>
              </w:rPr>
              <w:t>等效连续</w:t>
            </w:r>
            <w:r>
              <w:rPr>
                <w:kern w:val="0"/>
                <w:sz w:val="24"/>
                <w:shd w:val="clear" w:color="auto" w:fill="FFFFFF"/>
              </w:rPr>
              <w:t>A</w:t>
            </w:r>
            <w:r>
              <w:rPr>
                <w:rFonts w:hint="eastAsia"/>
                <w:kern w:val="0"/>
                <w:sz w:val="24"/>
                <w:shd w:val="clear" w:color="auto" w:fill="FFFFFF"/>
              </w:rPr>
              <w:t>声级。</w:t>
            </w:r>
          </w:p>
          <w:p w14:paraId="69AE5C9D">
            <w:pPr>
              <w:pStyle w:val="11"/>
              <w:shd w:val="clear" w:color="auto" w:fill="FFFFFF"/>
              <w:adjustRightInd w:val="0"/>
              <w:snapToGrid w:val="0"/>
              <w:ind w:left="420" w:firstLine="0" w:firstLineChars="0"/>
              <w:outlineLvl w:val="4"/>
              <w:rPr>
                <w:rFonts w:eastAsia="楷体_GB2312"/>
                <w:b/>
              </w:rPr>
            </w:pPr>
            <w:r>
              <w:rPr>
                <w:rFonts w:eastAsia="楷体_GB2312"/>
                <w:b/>
              </w:rPr>
              <w:t>（5）</w:t>
            </w:r>
            <w:r>
              <w:rPr>
                <w:rFonts w:hint="eastAsia" w:eastAsia="楷体_GB2312"/>
                <w:b/>
              </w:rPr>
              <w:t>类比</w:t>
            </w:r>
            <w:r>
              <w:rPr>
                <w:rFonts w:eastAsia="楷体_GB2312"/>
                <w:b/>
              </w:rPr>
              <w:t>监测</w:t>
            </w:r>
            <w:r>
              <w:rPr>
                <w:rFonts w:hint="eastAsia" w:eastAsia="楷体_GB2312"/>
                <w:b/>
              </w:rPr>
              <w:t>方法</w:t>
            </w:r>
            <w:r>
              <w:rPr>
                <w:rFonts w:eastAsia="楷体_GB2312"/>
                <w:b/>
              </w:rPr>
              <w:t>及频次</w:t>
            </w:r>
          </w:p>
          <w:p w14:paraId="59822164">
            <w:pPr>
              <w:spacing w:line="360" w:lineRule="auto"/>
              <w:ind w:firstLine="482"/>
              <w:rPr>
                <w:sz w:val="24"/>
              </w:rPr>
            </w:pPr>
            <w:r>
              <w:rPr>
                <w:rFonts w:hint="eastAsia"/>
                <w:kern w:val="0"/>
                <w:sz w:val="24"/>
                <w:shd w:val="clear" w:color="auto" w:fill="FFFFFF"/>
              </w:rPr>
              <w:t>类比监测按《声环境质量标准》（</w:t>
            </w:r>
            <w:r>
              <w:rPr>
                <w:kern w:val="0"/>
                <w:sz w:val="24"/>
                <w:shd w:val="clear" w:color="auto" w:fill="FFFFFF"/>
              </w:rPr>
              <w:t>GB3096-2008</w:t>
            </w:r>
            <w:r>
              <w:rPr>
                <w:rFonts w:hint="eastAsia"/>
                <w:kern w:val="0"/>
                <w:sz w:val="24"/>
                <w:shd w:val="clear" w:color="auto" w:fill="FFFFFF"/>
              </w:rPr>
              <w:t>）中的规定监测方法进行监测，监测方法也符合《工业企业厂界环境噪声排放标准》（GB12348-2008）中监测要求。</w:t>
            </w:r>
          </w:p>
          <w:p w14:paraId="6741E678">
            <w:pPr>
              <w:pStyle w:val="11"/>
              <w:shd w:val="clear" w:color="auto" w:fill="FFFFFF"/>
              <w:adjustRightInd w:val="0"/>
              <w:snapToGrid w:val="0"/>
              <w:ind w:left="420" w:firstLine="0" w:firstLineChars="0"/>
              <w:outlineLvl w:val="4"/>
              <w:rPr>
                <w:rFonts w:eastAsia="楷体_GB2312"/>
                <w:b/>
              </w:rPr>
            </w:pPr>
            <w:r>
              <w:rPr>
                <w:rFonts w:eastAsia="楷体_GB2312"/>
                <w:b/>
              </w:rPr>
              <w:t>（6）</w:t>
            </w:r>
            <w:r>
              <w:rPr>
                <w:rFonts w:hint="eastAsia" w:eastAsia="楷体_GB2312"/>
                <w:b/>
              </w:rPr>
              <w:t>类比</w:t>
            </w:r>
            <w:r>
              <w:rPr>
                <w:rFonts w:eastAsia="楷体_GB2312"/>
                <w:b/>
              </w:rPr>
              <w:t>监测</w:t>
            </w:r>
            <w:r>
              <w:rPr>
                <w:rFonts w:hint="eastAsia" w:eastAsia="楷体_GB2312"/>
                <w:b/>
              </w:rPr>
              <w:t>单位</w:t>
            </w:r>
            <w:r>
              <w:rPr>
                <w:rFonts w:eastAsia="楷体_GB2312"/>
                <w:b/>
              </w:rPr>
              <w:t>及</w:t>
            </w:r>
            <w:r>
              <w:rPr>
                <w:rFonts w:hint="eastAsia" w:eastAsia="楷体_GB2312"/>
                <w:b/>
              </w:rPr>
              <w:t>测量</w:t>
            </w:r>
            <w:r>
              <w:rPr>
                <w:rFonts w:eastAsia="楷体_GB2312"/>
                <w:b/>
              </w:rPr>
              <w:t>仪器</w:t>
            </w:r>
          </w:p>
          <w:p w14:paraId="7F4BD4E3">
            <w:pPr>
              <w:adjustRightInd w:val="0"/>
              <w:snapToGrid w:val="0"/>
              <w:spacing w:line="360" w:lineRule="auto"/>
              <w:ind w:firstLine="480" w:firstLineChars="200"/>
              <w:rPr>
                <w:color w:val="000000"/>
                <w:kern w:val="0"/>
                <w:sz w:val="24"/>
                <w:u w:val="none"/>
                <w:shd w:val="clear" w:color="auto" w:fill="FFFFFF"/>
              </w:rPr>
            </w:pPr>
            <w:r>
              <w:rPr>
                <w:rFonts w:hint="eastAsia"/>
                <w:kern w:val="0"/>
                <w:sz w:val="24"/>
                <w:shd w:val="clear" w:color="auto" w:fill="FFFFFF"/>
              </w:rPr>
              <w:t>监测单位：</w:t>
            </w:r>
            <w:r>
              <w:rPr>
                <w:rFonts w:hint="eastAsia"/>
                <w:sz w:val="24"/>
                <w:u w:val="none"/>
              </w:rPr>
              <w:t>武汉中电工程检测有限公司</w:t>
            </w:r>
          </w:p>
          <w:p w14:paraId="7EE4255C">
            <w:pPr>
              <w:adjustRightInd w:val="0"/>
              <w:snapToGrid w:val="0"/>
              <w:spacing w:line="360" w:lineRule="auto"/>
              <w:ind w:firstLine="480" w:firstLineChars="200"/>
              <w:rPr>
                <w:kern w:val="0"/>
                <w:sz w:val="24"/>
                <w:shd w:val="clear" w:color="auto" w:fill="FFFFFF"/>
              </w:rPr>
            </w:pPr>
            <w:r>
              <w:rPr>
                <w:rFonts w:hint="eastAsia"/>
                <w:color w:val="000000"/>
                <w:kern w:val="0"/>
                <w:sz w:val="24"/>
                <w:u w:val="none"/>
                <w:shd w:val="clear" w:color="auto" w:fill="FFFFFF"/>
              </w:rPr>
              <w:t>监测仪器：</w:t>
            </w:r>
            <w:r>
              <w:rPr>
                <w:sz w:val="24"/>
                <w:u w:val="none"/>
              </w:rPr>
              <w:t>AWA6228+</w:t>
            </w:r>
            <w:r>
              <w:rPr>
                <w:rFonts w:hint="eastAsia"/>
                <w:sz w:val="24"/>
                <w:u w:val="none"/>
              </w:rPr>
              <w:t>声级计</w:t>
            </w:r>
          </w:p>
          <w:p w14:paraId="4985BEE5">
            <w:pPr>
              <w:pStyle w:val="11"/>
              <w:shd w:val="clear" w:color="auto" w:fill="FFFFFF"/>
              <w:adjustRightInd w:val="0"/>
              <w:snapToGrid w:val="0"/>
              <w:ind w:left="420" w:firstLine="0" w:firstLineChars="0"/>
              <w:outlineLvl w:val="4"/>
              <w:rPr>
                <w:rFonts w:eastAsia="楷体_GB2312"/>
                <w:b/>
              </w:rPr>
            </w:pPr>
            <w:r>
              <w:rPr>
                <w:rFonts w:eastAsia="楷体_GB2312"/>
                <w:b/>
              </w:rPr>
              <w:t>（7）</w:t>
            </w:r>
            <w:r>
              <w:rPr>
                <w:rFonts w:hint="eastAsia" w:eastAsia="楷体_GB2312"/>
                <w:b/>
              </w:rPr>
              <w:t>类比</w:t>
            </w:r>
            <w:r>
              <w:rPr>
                <w:rFonts w:eastAsia="楷体_GB2312"/>
                <w:b/>
              </w:rPr>
              <w:t>监测</w:t>
            </w:r>
            <w:r>
              <w:rPr>
                <w:rFonts w:hint="eastAsia" w:eastAsia="楷体_GB2312"/>
                <w:b/>
              </w:rPr>
              <w:t>时间</w:t>
            </w:r>
            <w:r>
              <w:rPr>
                <w:rFonts w:eastAsia="楷体_GB2312"/>
                <w:b/>
              </w:rPr>
              <w:t>、</w:t>
            </w:r>
            <w:r>
              <w:rPr>
                <w:rFonts w:hint="eastAsia" w:eastAsia="楷体_GB2312"/>
                <w:b/>
              </w:rPr>
              <w:t>监测</w:t>
            </w:r>
            <w:r>
              <w:rPr>
                <w:rFonts w:eastAsia="楷体_GB2312"/>
                <w:b/>
              </w:rPr>
              <w:t>环境</w:t>
            </w:r>
          </w:p>
          <w:p w14:paraId="2437EDA7">
            <w:pPr>
              <w:adjustRightInd w:val="0"/>
              <w:snapToGrid w:val="0"/>
              <w:spacing w:line="360" w:lineRule="auto"/>
              <w:ind w:firstLine="480" w:firstLineChars="200"/>
              <w:rPr>
                <w:kern w:val="0"/>
                <w:sz w:val="24"/>
                <w:shd w:val="clear" w:color="auto" w:fill="FFFFFF"/>
              </w:rPr>
            </w:pPr>
            <w:r>
              <w:rPr>
                <w:kern w:val="0"/>
                <w:sz w:val="24"/>
                <w:shd w:val="clear" w:color="auto" w:fill="FFFFFF"/>
              </w:rPr>
              <w:t>测量时间：</w:t>
            </w:r>
            <w:r>
              <w:rPr>
                <w:rFonts w:hint="eastAsia"/>
                <w:sz w:val="24"/>
                <w:u w:val="none"/>
              </w:rPr>
              <w:t>20</w:t>
            </w:r>
            <w:r>
              <w:rPr>
                <w:sz w:val="24"/>
                <w:u w:val="none"/>
              </w:rPr>
              <w:t>25</w:t>
            </w:r>
            <w:r>
              <w:rPr>
                <w:rFonts w:hint="eastAsia"/>
                <w:sz w:val="24"/>
                <w:u w:val="none"/>
              </w:rPr>
              <w:t>年</w:t>
            </w:r>
            <w:r>
              <w:rPr>
                <w:sz w:val="24"/>
                <w:u w:val="none"/>
              </w:rPr>
              <w:t>1</w:t>
            </w:r>
            <w:r>
              <w:rPr>
                <w:rFonts w:hint="eastAsia"/>
                <w:sz w:val="24"/>
                <w:u w:val="none"/>
              </w:rPr>
              <w:t>月</w:t>
            </w:r>
            <w:r>
              <w:rPr>
                <w:sz w:val="24"/>
                <w:u w:val="none"/>
              </w:rPr>
              <w:t>1</w:t>
            </w:r>
            <w:r>
              <w:rPr>
                <w:rFonts w:hint="eastAsia"/>
                <w:sz w:val="24"/>
                <w:u w:val="none"/>
              </w:rPr>
              <w:t>5日</w:t>
            </w:r>
          </w:p>
          <w:p w14:paraId="5F20D728">
            <w:pPr>
              <w:adjustRightInd w:val="0"/>
              <w:snapToGrid w:val="0"/>
              <w:spacing w:line="360" w:lineRule="auto"/>
              <w:ind w:firstLine="480" w:firstLineChars="200"/>
              <w:rPr>
                <w:kern w:val="0"/>
                <w:sz w:val="24"/>
                <w:shd w:val="clear" w:color="auto" w:fill="FFFFFF"/>
              </w:rPr>
            </w:pPr>
            <w:r>
              <w:rPr>
                <w:kern w:val="0"/>
                <w:sz w:val="24"/>
                <w:shd w:val="clear" w:color="auto" w:fill="FFFFFF"/>
              </w:rPr>
              <w:t>气象条件：</w:t>
            </w:r>
            <w:r>
              <w:rPr>
                <w:rFonts w:hint="eastAsia"/>
                <w:kern w:val="0"/>
                <w:sz w:val="24"/>
                <w:u w:val="none"/>
                <w:shd w:val="clear" w:color="auto" w:fill="FFFFFF"/>
              </w:rPr>
              <w:t>晴，</w:t>
            </w:r>
            <w:r>
              <w:rPr>
                <w:color w:val="000000"/>
                <w:kern w:val="0"/>
                <w:sz w:val="24"/>
                <w:u w:val="none"/>
                <w:shd w:val="clear" w:color="auto" w:fill="FFFFFF"/>
              </w:rPr>
              <w:t>温度-18.4℃～-8.8℃，风速0.5m/s～0.8m/s</w:t>
            </w:r>
          </w:p>
          <w:p w14:paraId="3E12D0F7">
            <w:pPr>
              <w:adjustRightInd w:val="0"/>
              <w:snapToGrid w:val="0"/>
              <w:spacing w:line="360" w:lineRule="auto"/>
              <w:ind w:firstLine="480" w:firstLineChars="200"/>
              <w:rPr>
                <w:kern w:val="0"/>
                <w:sz w:val="24"/>
                <w:shd w:val="clear" w:color="auto" w:fill="FFFFFF"/>
              </w:rPr>
            </w:pPr>
            <w:r>
              <w:rPr>
                <w:kern w:val="0"/>
                <w:sz w:val="24"/>
                <w:shd w:val="clear" w:color="auto" w:fill="FFFFFF"/>
              </w:rPr>
              <w:t>监测时工况：</w:t>
            </w:r>
            <w:r>
              <w:rPr>
                <w:rFonts w:hint="eastAsia"/>
                <w:kern w:val="0"/>
                <w:sz w:val="24"/>
                <w:shd w:val="clear" w:color="auto" w:fill="FFFFFF"/>
              </w:rPr>
              <w:t>110kV吉团一线</w:t>
            </w:r>
            <w:r>
              <w:rPr>
                <w:rFonts w:hint="eastAsia"/>
                <w:sz w:val="24"/>
              </w:rPr>
              <w:t>运行电压</w:t>
            </w:r>
            <w:r>
              <w:rPr>
                <w:rFonts w:hint="eastAsia"/>
                <w:kern w:val="0"/>
                <w:sz w:val="24"/>
                <w:szCs w:val="24"/>
                <w:u w:val="none"/>
                <w:shd w:val="clear" w:color="auto" w:fill="FFFFFF"/>
                <w:vertAlign w:val="baseline"/>
                <w:lang w:val="en-US" w:eastAsia="zh-CN"/>
              </w:rPr>
              <w:t>117.21</w:t>
            </w:r>
            <w:r>
              <w:rPr>
                <w:rFonts w:hint="eastAsia"/>
                <w:sz w:val="24"/>
              </w:rPr>
              <w:t>kV</w:t>
            </w:r>
            <w:r>
              <w:rPr>
                <w:rFonts w:hint="eastAsia"/>
                <w:kern w:val="0"/>
                <w:sz w:val="24"/>
                <w:szCs w:val="24"/>
                <w:u w:val="none"/>
                <w:shd w:val="clear" w:color="auto" w:fill="FFFFFF"/>
                <w:vertAlign w:val="baseline"/>
                <w:lang w:val="en-US" w:eastAsia="zh-CN"/>
              </w:rPr>
              <w:t>~117.42</w:t>
            </w:r>
            <w:r>
              <w:rPr>
                <w:rFonts w:hint="eastAsia"/>
                <w:sz w:val="24"/>
              </w:rPr>
              <w:t>kV，运行电流为</w:t>
            </w:r>
            <w:r>
              <w:rPr>
                <w:rFonts w:hint="eastAsia"/>
                <w:kern w:val="0"/>
                <w:sz w:val="24"/>
                <w:szCs w:val="24"/>
                <w:u w:val="none"/>
                <w:shd w:val="clear" w:color="auto" w:fill="FFFFFF"/>
                <w:vertAlign w:val="baseline"/>
                <w:lang w:val="en-US" w:eastAsia="zh-CN"/>
              </w:rPr>
              <w:t>40.35A~42.44</w:t>
            </w:r>
            <w:r>
              <w:rPr>
                <w:rFonts w:hint="eastAsia"/>
                <w:sz w:val="24"/>
              </w:rPr>
              <w:t>A；110kV吉团二线运行电压116.35kV~117.01kV，运行电流为</w:t>
            </w:r>
            <w:r>
              <w:rPr>
                <w:rFonts w:hint="eastAsia"/>
                <w:kern w:val="0"/>
                <w:sz w:val="24"/>
                <w:szCs w:val="24"/>
                <w:u w:val="none"/>
                <w:shd w:val="clear" w:color="auto" w:fill="FFFFFF"/>
                <w:vertAlign w:val="baseline"/>
                <w:lang w:val="en-US" w:eastAsia="zh-CN"/>
              </w:rPr>
              <w:t>41.23A~42.03</w:t>
            </w:r>
            <w:r>
              <w:rPr>
                <w:rFonts w:hint="eastAsia"/>
                <w:sz w:val="24"/>
              </w:rPr>
              <w:t>A</w:t>
            </w:r>
            <w:r>
              <w:rPr>
                <w:rFonts w:ascii="宋体" w:hAnsi="宋体"/>
                <w:sz w:val="24"/>
              </w:rPr>
              <w:t>。</w:t>
            </w:r>
          </w:p>
          <w:p w14:paraId="7C1C5AE9">
            <w:pPr>
              <w:pStyle w:val="11"/>
              <w:shd w:val="clear" w:color="auto" w:fill="FFFFFF"/>
              <w:adjustRightInd w:val="0"/>
              <w:snapToGrid w:val="0"/>
              <w:ind w:left="420" w:firstLine="0" w:firstLineChars="0"/>
              <w:outlineLvl w:val="4"/>
              <w:rPr>
                <w:rFonts w:eastAsia="楷体_GB2312"/>
                <w:b/>
              </w:rPr>
            </w:pPr>
            <w:r>
              <w:rPr>
                <w:rFonts w:eastAsia="楷体_GB2312"/>
                <w:b/>
              </w:rPr>
              <w:t>（8）</w:t>
            </w:r>
            <w:r>
              <w:rPr>
                <w:rFonts w:hint="eastAsia" w:eastAsia="楷体_GB2312"/>
                <w:b/>
              </w:rPr>
              <w:t>类比监测</w:t>
            </w:r>
            <w:r>
              <w:rPr>
                <w:rFonts w:eastAsia="楷体_GB2312"/>
                <w:b/>
              </w:rPr>
              <w:t>结果</w:t>
            </w:r>
          </w:p>
          <w:p w14:paraId="4E5F8C59">
            <w:pPr>
              <w:spacing w:line="360" w:lineRule="auto"/>
              <w:ind w:firstLine="480" w:firstLineChars="200"/>
              <w:rPr>
                <w:color w:val="000000"/>
                <w:kern w:val="0"/>
                <w:sz w:val="24"/>
                <w:shd w:val="clear" w:color="auto" w:fill="FFFFFF"/>
              </w:rPr>
            </w:pPr>
            <w:r>
              <w:rPr>
                <w:rFonts w:hint="eastAsia"/>
                <w:sz w:val="24"/>
                <w:u w:val="none"/>
              </w:rPr>
              <w:t>110kV吉团一、二线双回线路</w:t>
            </w:r>
            <w:r>
              <w:rPr>
                <w:rFonts w:hint="eastAsia"/>
                <w:kern w:val="0"/>
                <w:sz w:val="24"/>
                <w:shd w:val="clear" w:color="auto" w:fill="FFFFFF"/>
              </w:rPr>
              <w:t>噪声监测结果见</w:t>
            </w:r>
            <w:r>
              <w:rPr>
                <w:kern w:val="0"/>
                <w:sz w:val="24"/>
                <w:shd w:val="clear" w:color="auto" w:fill="FFFFFF"/>
              </w:rPr>
              <w:fldChar w:fldCharType="begin"/>
            </w:r>
            <w:r>
              <w:rPr>
                <w:kern w:val="0"/>
                <w:sz w:val="24"/>
                <w:shd w:val="clear" w:color="auto" w:fill="FFFFFF"/>
              </w:rPr>
              <w:instrText xml:space="preserve"> </w:instrText>
            </w:r>
            <w:r>
              <w:rPr>
                <w:rFonts w:hint="eastAsia"/>
                <w:kern w:val="0"/>
                <w:sz w:val="24"/>
                <w:shd w:val="clear" w:color="auto" w:fill="FFFFFF"/>
              </w:rPr>
              <w:instrText xml:space="preserve">REF _Ref183016339 \h</w:instrText>
            </w:r>
            <w:r>
              <w:rPr>
                <w:kern w:val="0"/>
                <w:sz w:val="24"/>
                <w:shd w:val="clear" w:color="auto" w:fill="FFFFFF"/>
              </w:rPr>
              <w:instrText xml:space="preserve">  \* MERGEFORMAT </w:instrText>
            </w:r>
            <w:r>
              <w:rPr>
                <w:kern w:val="0"/>
                <w:sz w:val="24"/>
                <w:shd w:val="clear" w:color="auto" w:fill="FFFFFF"/>
              </w:rPr>
              <w:fldChar w:fldCharType="separate"/>
            </w:r>
            <w:r>
              <w:rPr>
                <w:rFonts w:hint="eastAsia"/>
                <w:kern w:val="0"/>
                <w:sz w:val="24"/>
                <w:shd w:val="clear" w:color="auto" w:fill="FFFFFF"/>
              </w:rPr>
              <w:t>表 23</w:t>
            </w:r>
            <w:r>
              <w:rPr>
                <w:kern w:val="0"/>
                <w:sz w:val="24"/>
                <w:shd w:val="clear" w:color="auto" w:fill="FFFFFF"/>
              </w:rPr>
              <w:fldChar w:fldCharType="end"/>
            </w:r>
            <w:r>
              <w:rPr>
                <w:rFonts w:hint="eastAsia"/>
                <w:kern w:val="0"/>
                <w:sz w:val="24"/>
                <w:shd w:val="clear" w:color="auto" w:fill="FFFFFF"/>
              </w:rPr>
              <w:t>。</w:t>
            </w:r>
          </w:p>
          <w:p w14:paraId="6F008109">
            <w:pPr>
              <w:pStyle w:val="9"/>
              <w:rPr>
                <w:rFonts w:ascii="Times New Roman" w:hAnsi="Times New Roman"/>
                <w:b/>
                <w:bCs/>
                <w:szCs w:val="21"/>
              </w:rPr>
            </w:pPr>
            <w:bookmarkStart w:id="699" w:name="_Ref183016339"/>
            <w:r>
              <w:rPr>
                <w:rFonts w:hint="eastAsia" w:ascii="Times New Roman" w:hAnsi="Times New Roman"/>
                <w:b/>
                <w:bCs/>
              </w:rPr>
              <w:t xml:space="preserve">表 </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SEQ 表 \* ARABIC</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23</w:t>
            </w:r>
            <w:r>
              <w:rPr>
                <w:rFonts w:ascii="Times New Roman" w:hAnsi="Times New Roman"/>
                <w:b/>
                <w:bCs/>
              </w:rPr>
              <w:fldChar w:fldCharType="end"/>
            </w:r>
            <w:bookmarkEnd w:id="699"/>
            <w:r>
              <w:rPr>
                <w:rFonts w:hint="eastAsia" w:ascii="Times New Roman" w:hAnsi="Times New Roman"/>
                <w:b/>
                <w:bCs/>
              </w:rPr>
              <w:t xml:space="preserve">   </w:t>
            </w:r>
            <w:r>
              <w:rPr>
                <w:rFonts w:hint="eastAsia" w:ascii="Times New Roman" w:hAnsi="Times New Roman"/>
                <w:b/>
                <w:bCs/>
                <w:lang w:val="en-US" w:eastAsia="zh-CN"/>
              </w:rPr>
              <w:t xml:space="preserve">      </w:t>
            </w:r>
            <w:r>
              <w:rPr>
                <w:rFonts w:hint="eastAsia" w:ascii="Times New Roman" w:hAnsi="Times New Roman"/>
                <w:b/>
                <w:bCs/>
              </w:rPr>
              <w:t xml:space="preserve"> </w:t>
            </w:r>
            <w:r>
              <w:rPr>
                <w:rFonts w:hint="eastAsia" w:ascii="Times New Roman" w:hAnsi="Times New Roman"/>
                <w:b/>
                <w:bCs/>
                <w:szCs w:val="21"/>
              </w:rPr>
              <w:t>110kV吉团一、二线双回线路噪声</w:t>
            </w:r>
            <w:r>
              <w:rPr>
                <w:rFonts w:ascii="Times New Roman" w:hAnsi="Times New Roman"/>
                <w:b/>
                <w:bCs/>
                <w:szCs w:val="21"/>
              </w:rPr>
              <w:t>类比监测结果</w:t>
            </w:r>
            <w:r>
              <w:rPr>
                <w:rFonts w:hint="eastAsia" w:ascii="Times New Roman" w:hAnsi="Times New Roman"/>
                <w:b/>
                <w:bCs/>
                <w:szCs w:val="21"/>
              </w:rPr>
              <w:t xml:space="preserve">    </w:t>
            </w:r>
            <w:r>
              <w:rPr>
                <w:rFonts w:hint="eastAsia" w:ascii="Times New Roman" w:hAnsi="Times New Roman"/>
                <w:b/>
                <w:bCs/>
                <w:szCs w:val="21"/>
                <w:lang w:val="en-US" w:eastAsia="zh-CN"/>
              </w:rPr>
              <w:t xml:space="preserve">   </w:t>
            </w:r>
            <w:r>
              <w:rPr>
                <w:rFonts w:hint="eastAsia" w:ascii="Times New Roman" w:hAnsi="Times New Roman"/>
                <w:b/>
                <w:bCs/>
                <w:szCs w:val="21"/>
              </w:rPr>
              <w:t xml:space="preserve">  单位</w:t>
            </w:r>
            <w:r>
              <w:rPr>
                <w:rFonts w:ascii="Times New Roman" w:hAnsi="Times New Roman"/>
                <w:b/>
                <w:bCs/>
                <w:szCs w:val="21"/>
              </w:rPr>
              <w:t>：</w:t>
            </w:r>
            <w:r>
              <w:rPr>
                <w:rFonts w:hint="eastAsia" w:ascii="Times New Roman" w:hAnsi="Times New Roman"/>
                <w:b/>
                <w:bCs/>
                <w:szCs w:val="21"/>
              </w:rPr>
              <w:t>dB(</w:t>
            </w:r>
            <w:r>
              <w:rPr>
                <w:rFonts w:ascii="Times New Roman" w:hAnsi="Times New Roman"/>
                <w:b/>
                <w:bCs/>
                <w:szCs w:val="21"/>
              </w:rPr>
              <w:t>A</w:t>
            </w:r>
            <w:r>
              <w:rPr>
                <w:rFonts w:hint="eastAsia" w:ascii="Times New Roman" w:hAnsi="Times New Roman"/>
                <w:b/>
                <w:bCs/>
                <w:szCs w:val="21"/>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4662"/>
              <w:gridCol w:w="1404"/>
              <w:gridCol w:w="1474"/>
            </w:tblGrid>
            <w:tr w14:paraId="259A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Merge w:val="restart"/>
                  <w:vAlign w:val="center"/>
                </w:tcPr>
                <w:p w14:paraId="5B67DEB8">
                  <w:pPr>
                    <w:adjustRightInd w:val="0"/>
                    <w:snapToGrid w:val="0"/>
                    <w:jc w:val="center"/>
                    <w:rPr>
                      <w:rFonts w:ascii="宋体" w:hAnsi="宋体" w:cs="宋体"/>
                      <w:b/>
                      <w:szCs w:val="21"/>
                    </w:rPr>
                  </w:pPr>
                  <w:r>
                    <w:rPr>
                      <w:rFonts w:hint="eastAsia" w:ascii="宋体" w:hAnsi="宋体" w:cs="宋体"/>
                      <w:b/>
                      <w:szCs w:val="21"/>
                      <w:lang w:bidi="ar"/>
                    </w:rPr>
                    <w:t>序号</w:t>
                  </w:r>
                </w:p>
              </w:tc>
              <w:tc>
                <w:tcPr>
                  <w:tcW w:w="2835" w:type="pct"/>
                  <w:vMerge w:val="restart"/>
                  <w:vAlign w:val="center"/>
                </w:tcPr>
                <w:p w14:paraId="6DC3FF6D">
                  <w:pPr>
                    <w:adjustRightInd w:val="0"/>
                    <w:snapToGrid w:val="0"/>
                    <w:jc w:val="center"/>
                    <w:rPr>
                      <w:rFonts w:ascii="宋体" w:hAnsi="宋体" w:cs="宋体"/>
                      <w:b/>
                      <w:szCs w:val="21"/>
                    </w:rPr>
                  </w:pPr>
                  <w:r>
                    <w:rPr>
                      <w:rFonts w:hint="eastAsia" w:ascii="宋体" w:hAnsi="宋体" w:cs="宋体"/>
                      <w:b/>
                      <w:szCs w:val="21"/>
                      <w:lang w:bidi="ar"/>
                    </w:rPr>
                    <w:t>监测点</w:t>
                  </w:r>
                </w:p>
              </w:tc>
              <w:tc>
                <w:tcPr>
                  <w:tcW w:w="1750" w:type="pct"/>
                  <w:gridSpan w:val="2"/>
                  <w:vAlign w:val="center"/>
                </w:tcPr>
                <w:p w14:paraId="00DCA5C8">
                  <w:pPr>
                    <w:adjustRightInd w:val="0"/>
                    <w:snapToGrid w:val="0"/>
                    <w:jc w:val="center"/>
                    <w:rPr>
                      <w:rFonts w:ascii="宋体" w:hAnsi="宋体" w:cs="宋体"/>
                      <w:b/>
                      <w:szCs w:val="21"/>
                    </w:rPr>
                  </w:pPr>
                  <w:r>
                    <w:rPr>
                      <w:rFonts w:hint="eastAsia" w:ascii="宋体" w:hAnsi="宋体" w:cs="宋体"/>
                      <w:b/>
                      <w:szCs w:val="21"/>
                      <w:lang w:bidi="ar"/>
                    </w:rPr>
                    <w:t>等效声级</w:t>
                  </w:r>
                  <w:r>
                    <w:rPr>
                      <w:rFonts w:hint="default" w:ascii="Times New Roman" w:hAnsi="Times New Roman" w:cs="Times New Roman"/>
                      <w:b/>
                      <w:szCs w:val="21"/>
                      <w:lang w:bidi="ar"/>
                    </w:rPr>
                    <w:t>dB(A)</w:t>
                  </w:r>
                </w:p>
              </w:tc>
            </w:tr>
            <w:tr w14:paraId="6874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Merge w:val="continue"/>
                  <w:vAlign w:val="center"/>
                </w:tcPr>
                <w:p w14:paraId="123C7D5E">
                  <w:pPr>
                    <w:rPr>
                      <w:sz w:val="20"/>
                      <w:szCs w:val="20"/>
                    </w:rPr>
                  </w:pPr>
                </w:p>
              </w:tc>
              <w:tc>
                <w:tcPr>
                  <w:tcW w:w="2835" w:type="pct"/>
                  <w:vMerge w:val="continue"/>
                  <w:vAlign w:val="center"/>
                </w:tcPr>
                <w:p w14:paraId="5908D14B">
                  <w:pPr>
                    <w:rPr>
                      <w:sz w:val="20"/>
                      <w:szCs w:val="20"/>
                    </w:rPr>
                  </w:pPr>
                </w:p>
              </w:tc>
              <w:tc>
                <w:tcPr>
                  <w:tcW w:w="854" w:type="pct"/>
                  <w:vAlign w:val="center"/>
                </w:tcPr>
                <w:p w14:paraId="7B81C451">
                  <w:pPr>
                    <w:adjustRightInd w:val="0"/>
                    <w:snapToGrid w:val="0"/>
                    <w:jc w:val="center"/>
                    <w:rPr>
                      <w:rFonts w:ascii="宋体" w:hAnsi="宋体" w:cs="宋体"/>
                      <w:szCs w:val="21"/>
                    </w:rPr>
                  </w:pPr>
                  <w:r>
                    <w:rPr>
                      <w:rFonts w:hint="eastAsia" w:ascii="宋体" w:hAnsi="宋体" w:cs="宋体"/>
                      <w:szCs w:val="21"/>
                      <w:lang w:bidi="ar"/>
                    </w:rPr>
                    <w:t>昼间</w:t>
                  </w:r>
                </w:p>
              </w:tc>
              <w:tc>
                <w:tcPr>
                  <w:tcW w:w="896" w:type="pct"/>
                  <w:vAlign w:val="center"/>
                </w:tcPr>
                <w:p w14:paraId="4D7F98A8">
                  <w:pPr>
                    <w:adjustRightInd w:val="0"/>
                    <w:snapToGrid w:val="0"/>
                    <w:jc w:val="center"/>
                    <w:rPr>
                      <w:rFonts w:ascii="宋体" w:hAnsi="宋体" w:cs="宋体"/>
                      <w:szCs w:val="21"/>
                    </w:rPr>
                  </w:pPr>
                  <w:r>
                    <w:rPr>
                      <w:rFonts w:hint="eastAsia" w:ascii="宋体" w:hAnsi="宋体" w:cs="宋体"/>
                      <w:szCs w:val="21"/>
                      <w:lang w:bidi="ar"/>
                    </w:rPr>
                    <w:t>夜间</w:t>
                  </w:r>
                </w:p>
              </w:tc>
            </w:tr>
            <w:tr w14:paraId="190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05D46AF3">
                  <w:pPr>
                    <w:adjustRightInd w:val="0"/>
                    <w:snapToGrid w:val="0"/>
                    <w:jc w:val="center"/>
                    <w:rPr>
                      <w:rFonts w:ascii="宋体" w:hAnsi="宋体" w:cs="宋体"/>
                      <w:szCs w:val="21"/>
                    </w:rPr>
                  </w:pPr>
                  <w:r>
                    <w:rPr>
                      <w:rFonts w:hint="eastAsia" w:ascii="宋体" w:hAnsi="宋体" w:cs="宋体"/>
                      <w:szCs w:val="21"/>
                      <w:lang w:bidi="ar"/>
                    </w:rPr>
                    <w:t>1</w:t>
                  </w:r>
                </w:p>
              </w:tc>
              <w:tc>
                <w:tcPr>
                  <w:tcW w:w="2835" w:type="pct"/>
                  <w:vAlign w:val="center"/>
                </w:tcPr>
                <w:p w14:paraId="6608F402">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中心线下</w:t>
                  </w:r>
                </w:p>
              </w:tc>
              <w:tc>
                <w:tcPr>
                  <w:tcW w:w="854" w:type="pct"/>
                  <w:vAlign w:val="center"/>
                </w:tcPr>
                <w:p w14:paraId="5B3F9535">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36.6</w:t>
                  </w:r>
                </w:p>
              </w:tc>
              <w:tc>
                <w:tcPr>
                  <w:tcW w:w="896" w:type="pct"/>
                  <w:vAlign w:val="center"/>
                </w:tcPr>
                <w:p w14:paraId="677C6611">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35.6</w:t>
                  </w:r>
                </w:p>
              </w:tc>
            </w:tr>
            <w:tr w14:paraId="2241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2A062EF8">
                  <w:pPr>
                    <w:adjustRightInd w:val="0"/>
                    <w:snapToGrid w:val="0"/>
                    <w:jc w:val="center"/>
                    <w:rPr>
                      <w:rFonts w:ascii="宋体" w:hAnsi="宋体" w:cs="宋体"/>
                      <w:szCs w:val="21"/>
                    </w:rPr>
                  </w:pPr>
                  <w:r>
                    <w:rPr>
                      <w:rFonts w:hint="eastAsia" w:ascii="宋体" w:hAnsi="宋体" w:cs="宋体"/>
                      <w:szCs w:val="21"/>
                      <w:lang w:bidi="ar"/>
                    </w:rPr>
                    <w:t>2</w:t>
                  </w:r>
                </w:p>
              </w:tc>
              <w:tc>
                <w:tcPr>
                  <w:tcW w:w="2835" w:type="pct"/>
                  <w:vAlign w:val="center"/>
                </w:tcPr>
                <w:p w14:paraId="2060AD1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边导线下</w:t>
                  </w:r>
                </w:p>
              </w:tc>
              <w:tc>
                <w:tcPr>
                  <w:tcW w:w="854" w:type="pct"/>
                  <w:vAlign w:val="center"/>
                </w:tcPr>
                <w:p w14:paraId="2931900B">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36.6</w:t>
                  </w:r>
                </w:p>
              </w:tc>
              <w:tc>
                <w:tcPr>
                  <w:tcW w:w="896" w:type="pct"/>
                  <w:vAlign w:val="center"/>
                </w:tcPr>
                <w:p w14:paraId="111072F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35.6</w:t>
                  </w:r>
                </w:p>
              </w:tc>
            </w:tr>
            <w:tr w14:paraId="50FD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06F4CC94">
                  <w:pPr>
                    <w:adjustRightInd w:val="0"/>
                    <w:snapToGrid w:val="0"/>
                    <w:jc w:val="center"/>
                    <w:rPr>
                      <w:rFonts w:ascii="宋体" w:hAnsi="宋体" w:cs="宋体"/>
                      <w:szCs w:val="21"/>
                    </w:rPr>
                  </w:pPr>
                  <w:r>
                    <w:rPr>
                      <w:rFonts w:hint="eastAsia" w:ascii="宋体" w:hAnsi="宋体" w:cs="宋体"/>
                      <w:szCs w:val="21"/>
                      <w:lang w:bidi="ar"/>
                    </w:rPr>
                    <w:t>3</w:t>
                  </w:r>
                </w:p>
              </w:tc>
              <w:tc>
                <w:tcPr>
                  <w:tcW w:w="2835" w:type="pct"/>
                  <w:vAlign w:val="center"/>
                </w:tcPr>
                <w:p w14:paraId="66F5545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边导线投影点5m处</w:t>
                  </w:r>
                </w:p>
              </w:tc>
              <w:tc>
                <w:tcPr>
                  <w:tcW w:w="854" w:type="pct"/>
                  <w:vAlign w:val="center"/>
                </w:tcPr>
                <w:p w14:paraId="6F6FFC5A">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6.4</w:t>
                  </w:r>
                </w:p>
              </w:tc>
              <w:tc>
                <w:tcPr>
                  <w:tcW w:w="896" w:type="pct"/>
                  <w:vAlign w:val="center"/>
                </w:tcPr>
                <w:p w14:paraId="3A8F5E15">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5.6</w:t>
                  </w:r>
                </w:p>
              </w:tc>
            </w:tr>
            <w:tr w14:paraId="3DF7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39B5F99F">
                  <w:pPr>
                    <w:adjustRightInd w:val="0"/>
                    <w:snapToGrid w:val="0"/>
                    <w:jc w:val="center"/>
                    <w:rPr>
                      <w:rFonts w:ascii="宋体" w:hAnsi="宋体" w:cs="宋体"/>
                      <w:szCs w:val="21"/>
                    </w:rPr>
                  </w:pPr>
                  <w:r>
                    <w:rPr>
                      <w:rFonts w:hint="eastAsia" w:ascii="宋体" w:hAnsi="宋体" w:cs="宋体"/>
                      <w:szCs w:val="21"/>
                      <w:lang w:bidi="ar"/>
                    </w:rPr>
                    <w:t>4</w:t>
                  </w:r>
                </w:p>
              </w:tc>
              <w:tc>
                <w:tcPr>
                  <w:tcW w:w="2835" w:type="pct"/>
                  <w:vAlign w:val="center"/>
                </w:tcPr>
                <w:p w14:paraId="096AEDBB">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边导线投影点10m处</w:t>
                  </w:r>
                </w:p>
              </w:tc>
              <w:tc>
                <w:tcPr>
                  <w:tcW w:w="854" w:type="pct"/>
                  <w:vAlign w:val="center"/>
                </w:tcPr>
                <w:p w14:paraId="68E49789">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6.3</w:t>
                  </w:r>
                </w:p>
              </w:tc>
              <w:tc>
                <w:tcPr>
                  <w:tcW w:w="896" w:type="pct"/>
                  <w:vAlign w:val="center"/>
                </w:tcPr>
                <w:p w14:paraId="1FFAD888">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5.5</w:t>
                  </w:r>
                </w:p>
              </w:tc>
            </w:tr>
            <w:tr w14:paraId="57A4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02A142C7">
                  <w:pPr>
                    <w:adjustRightInd w:val="0"/>
                    <w:snapToGrid w:val="0"/>
                    <w:jc w:val="center"/>
                    <w:rPr>
                      <w:rFonts w:ascii="宋体" w:hAnsi="宋体" w:cs="宋体"/>
                      <w:szCs w:val="21"/>
                    </w:rPr>
                  </w:pPr>
                  <w:r>
                    <w:rPr>
                      <w:rFonts w:hint="eastAsia" w:ascii="宋体" w:hAnsi="宋体" w:cs="宋体"/>
                      <w:szCs w:val="21"/>
                      <w:lang w:bidi="ar"/>
                    </w:rPr>
                    <w:t>5</w:t>
                  </w:r>
                </w:p>
              </w:tc>
              <w:tc>
                <w:tcPr>
                  <w:tcW w:w="2835" w:type="pct"/>
                  <w:vAlign w:val="center"/>
                </w:tcPr>
                <w:p w14:paraId="5A1536B7">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边导线投影点15m处</w:t>
                  </w:r>
                </w:p>
              </w:tc>
              <w:tc>
                <w:tcPr>
                  <w:tcW w:w="854" w:type="pct"/>
                  <w:vAlign w:val="center"/>
                </w:tcPr>
                <w:p w14:paraId="322BE06F">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6.3</w:t>
                  </w:r>
                </w:p>
              </w:tc>
              <w:tc>
                <w:tcPr>
                  <w:tcW w:w="896" w:type="pct"/>
                  <w:vAlign w:val="center"/>
                </w:tcPr>
                <w:p w14:paraId="05951E3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5.4</w:t>
                  </w:r>
                </w:p>
              </w:tc>
            </w:tr>
            <w:tr w14:paraId="699C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2D1974C5">
                  <w:pPr>
                    <w:adjustRightInd w:val="0"/>
                    <w:snapToGrid w:val="0"/>
                    <w:jc w:val="center"/>
                    <w:rPr>
                      <w:rFonts w:ascii="宋体" w:hAnsi="宋体" w:cs="宋体"/>
                      <w:szCs w:val="21"/>
                    </w:rPr>
                  </w:pPr>
                  <w:r>
                    <w:rPr>
                      <w:rFonts w:hint="eastAsia" w:ascii="宋体" w:hAnsi="宋体" w:cs="宋体"/>
                      <w:szCs w:val="21"/>
                      <w:lang w:bidi="ar"/>
                    </w:rPr>
                    <w:t>6</w:t>
                  </w:r>
                </w:p>
              </w:tc>
              <w:tc>
                <w:tcPr>
                  <w:tcW w:w="2835" w:type="pct"/>
                  <w:vAlign w:val="center"/>
                </w:tcPr>
                <w:p w14:paraId="1C30B5D1">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边导线投影点20m处</w:t>
                  </w:r>
                </w:p>
              </w:tc>
              <w:tc>
                <w:tcPr>
                  <w:tcW w:w="854" w:type="pct"/>
                  <w:vAlign w:val="center"/>
                </w:tcPr>
                <w:p w14:paraId="05C39B15">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6.1</w:t>
                  </w:r>
                </w:p>
              </w:tc>
              <w:tc>
                <w:tcPr>
                  <w:tcW w:w="896" w:type="pct"/>
                  <w:vAlign w:val="center"/>
                </w:tcPr>
                <w:p w14:paraId="4295A7FF">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5.4</w:t>
                  </w:r>
                </w:p>
              </w:tc>
            </w:tr>
            <w:tr w14:paraId="1A02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4A0DB8D0">
                  <w:pPr>
                    <w:adjustRightInd w:val="0"/>
                    <w:snapToGrid w:val="0"/>
                    <w:jc w:val="center"/>
                    <w:rPr>
                      <w:rFonts w:ascii="宋体" w:hAnsi="宋体" w:cs="宋体"/>
                      <w:szCs w:val="21"/>
                    </w:rPr>
                  </w:pPr>
                  <w:r>
                    <w:rPr>
                      <w:rFonts w:hint="eastAsia" w:ascii="宋体" w:hAnsi="宋体" w:cs="宋体"/>
                      <w:szCs w:val="21"/>
                      <w:lang w:bidi="ar"/>
                    </w:rPr>
                    <w:t>7</w:t>
                  </w:r>
                </w:p>
              </w:tc>
              <w:tc>
                <w:tcPr>
                  <w:tcW w:w="2835" w:type="pct"/>
                  <w:vAlign w:val="center"/>
                </w:tcPr>
                <w:p w14:paraId="613D4D07">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边导线投影点25m处</w:t>
                  </w:r>
                </w:p>
              </w:tc>
              <w:tc>
                <w:tcPr>
                  <w:tcW w:w="854" w:type="pct"/>
                  <w:vAlign w:val="center"/>
                </w:tcPr>
                <w:p w14:paraId="0131E1E4">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36.2</w:t>
                  </w:r>
                </w:p>
              </w:tc>
              <w:tc>
                <w:tcPr>
                  <w:tcW w:w="896" w:type="pct"/>
                  <w:vAlign w:val="center"/>
                </w:tcPr>
                <w:p w14:paraId="4D3267B1">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5.2</w:t>
                  </w:r>
                </w:p>
              </w:tc>
            </w:tr>
            <w:tr w14:paraId="083C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0E7B9DAE">
                  <w:pPr>
                    <w:adjustRightInd w:val="0"/>
                    <w:snapToGrid w:val="0"/>
                    <w:jc w:val="center"/>
                    <w:rPr>
                      <w:rFonts w:ascii="宋体" w:hAnsi="宋体" w:cs="宋体"/>
                      <w:szCs w:val="21"/>
                    </w:rPr>
                  </w:pPr>
                  <w:r>
                    <w:rPr>
                      <w:rFonts w:hint="eastAsia" w:ascii="宋体" w:hAnsi="宋体" w:cs="宋体"/>
                      <w:szCs w:val="21"/>
                      <w:lang w:bidi="ar"/>
                    </w:rPr>
                    <w:t>8</w:t>
                  </w:r>
                </w:p>
              </w:tc>
              <w:tc>
                <w:tcPr>
                  <w:tcW w:w="2835" w:type="pct"/>
                  <w:vAlign w:val="center"/>
                </w:tcPr>
                <w:p w14:paraId="3FB18CD7">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边导线投影点30m处</w:t>
                  </w:r>
                </w:p>
              </w:tc>
              <w:tc>
                <w:tcPr>
                  <w:tcW w:w="854" w:type="pct"/>
                  <w:vAlign w:val="center"/>
                </w:tcPr>
                <w:p w14:paraId="5A5F758B">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6.0</w:t>
                  </w:r>
                </w:p>
              </w:tc>
              <w:tc>
                <w:tcPr>
                  <w:tcW w:w="896" w:type="pct"/>
                  <w:vAlign w:val="center"/>
                </w:tcPr>
                <w:p w14:paraId="61A6982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5.1</w:t>
                  </w:r>
                </w:p>
              </w:tc>
            </w:tr>
            <w:tr w14:paraId="0133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62C2D6BB">
                  <w:pPr>
                    <w:adjustRightInd w:val="0"/>
                    <w:snapToGrid w:val="0"/>
                    <w:jc w:val="center"/>
                    <w:rPr>
                      <w:rFonts w:ascii="宋体" w:hAnsi="宋体" w:cs="宋体"/>
                      <w:szCs w:val="21"/>
                    </w:rPr>
                  </w:pPr>
                  <w:r>
                    <w:rPr>
                      <w:rFonts w:hint="eastAsia" w:ascii="宋体" w:hAnsi="宋体" w:cs="宋体"/>
                      <w:szCs w:val="21"/>
                      <w:lang w:bidi="ar"/>
                    </w:rPr>
                    <w:t>9</w:t>
                  </w:r>
                </w:p>
              </w:tc>
              <w:tc>
                <w:tcPr>
                  <w:tcW w:w="2835" w:type="pct"/>
                  <w:vAlign w:val="center"/>
                </w:tcPr>
                <w:p w14:paraId="7485E5E8">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边导线投影点35m处</w:t>
                  </w:r>
                </w:p>
              </w:tc>
              <w:tc>
                <w:tcPr>
                  <w:tcW w:w="854" w:type="pct"/>
                  <w:vAlign w:val="center"/>
                </w:tcPr>
                <w:p w14:paraId="6DF0E35A">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5.9</w:t>
                  </w:r>
                </w:p>
              </w:tc>
              <w:tc>
                <w:tcPr>
                  <w:tcW w:w="896" w:type="pct"/>
                  <w:vAlign w:val="center"/>
                </w:tcPr>
                <w:p w14:paraId="3D4FD75A">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kern w:val="0"/>
                      <w:szCs w:val="21"/>
                      <w:u w:val="none"/>
                    </w:rPr>
                    <w:t>35.0</w:t>
                  </w:r>
                </w:p>
              </w:tc>
            </w:tr>
            <w:tr w14:paraId="5FFA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33DF071A">
                  <w:pPr>
                    <w:adjustRightInd w:val="0"/>
                    <w:snapToGrid w:val="0"/>
                    <w:jc w:val="center"/>
                    <w:rPr>
                      <w:rFonts w:ascii="宋体" w:hAnsi="宋体" w:cs="宋体"/>
                      <w:szCs w:val="21"/>
                    </w:rPr>
                  </w:pPr>
                  <w:r>
                    <w:rPr>
                      <w:rFonts w:hint="eastAsia" w:ascii="宋体" w:hAnsi="宋体" w:cs="宋体"/>
                      <w:szCs w:val="21"/>
                      <w:lang w:bidi="ar"/>
                    </w:rPr>
                    <w:t>10</w:t>
                  </w:r>
                </w:p>
              </w:tc>
              <w:tc>
                <w:tcPr>
                  <w:tcW w:w="2835" w:type="pct"/>
                  <w:vAlign w:val="center"/>
                </w:tcPr>
                <w:p w14:paraId="422A3370">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边导线投影点40m处</w:t>
                  </w:r>
                </w:p>
              </w:tc>
              <w:tc>
                <w:tcPr>
                  <w:tcW w:w="854" w:type="pct"/>
                  <w:vAlign w:val="center"/>
                </w:tcPr>
                <w:p w14:paraId="1E31758D">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5.8</w:t>
                  </w:r>
                </w:p>
              </w:tc>
              <w:tc>
                <w:tcPr>
                  <w:tcW w:w="896" w:type="pct"/>
                  <w:vAlign w:val="center"/>
                </w:tcPr>
                <w:p w14:paraId="1D57A5E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5.0</w:t>
                  </w:r>
                </w:p>
              </w:tc>
            </w:tr>
            <w:tr w14:paraId="1884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067AD646">
                  <w:pPr>
                    <w:adjustRightInd w:val="0"/>
                    <w:snapToGrid w:val="0"/>
                    <w:jc w:val="center"/>
                    <w:rPr>
                      <w:rFonts w:ascii="宋体" w:hAnsi="宋体" w:cs="宋体"/>
                      <w:szCs w:val="21"/>
                    </w:rPr>
                  </w:pPr>
                  <w:r>
                    <w:rPr>
                      <w:rFonts w:hint="eastAsia" w:ascii="宋体" w:hAnsi="宋体" w:cs="宋体"/>
                      <w:szCs w:val="21"/>
                      <w:lang w:bidi="ar"/>
                    </w:rPr>
                    <w:t>11</w:t>
                  </w:r>
                </w:p>
              </w:tc>
              <w:tc>
                <w:tcPr>
                  <w:tcW w:w="2835" w:type="pct"/>
                  <w:vAlign w:val="center"/>
                </w:tcPr>
                <w:p w14:paraId="5D1E6922">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边导线投影点45m处</w:t>
                  </w:r>
                </w:p>
              </w:tc>
              <w:tc>
                <w:tcPr>
                  <w:tcW w:w="854" w:type="pct"/>
                  <w:vAlign w:val="center"/>
                </w:tcPr>
                <w:p w14:paraId="79538760">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5.7</w:t>
                  </w:r>
                </w:p>
              </w:tc>
              <w:tc>
                <w:tcPr>
                  <w:tcW w:w="896" w:type="pct"/>
                  <w:vAlign w:val="center"/>
                </w:tcPr>
                <w:p w14:paraId="14A1679A">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4.8</w:t>
                  </w:r>
                </w:p>
              </w:tc>
            </w:tr>
            <w:tr w14:paraId="1DE2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14:paraId="64E7B26E">
                  <w:pPr>
                    <w:adjustRightInd w:val="0"/>
                    <w:snapToGrid w:val="0"/>
                    <w:jc w:val="center"/>
                    <w:rPr>
                      <w:rFonts w:ascii="宋体" w:hAnsi="宋体" w:cs="宋体"/>
                      <w:szCs w:val="21"/>
                    </w:rPr>
                  </w:pPr>
                  <w:r>
                    <w:rPr>
                      <w:rFonts w:hint="eastAsia" w:ascii="宋体" w:hAnsi="宋体" w:cs="宋体"/>
                      <w:szCs w:val="21"/>
                      <w:lang w:bidi="ar"/>
                    </w:rPr>
                    <w:t>12</w:t>
                  </w:r>
                </w:p>
              </w:tc>
              <w:tc>
                <w:tcPr>
                  <w:tcW w:w="2835" w:type="pct"/>
                  <w:vAlign w:val="center"/>
                </w:tcPr>
                <w:p w14:paraId="68FA012F">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边导线投影点50m处</w:t>
                  </w:r>
                </w:p>
              </w:tc>
              <w:tc>
                <w:tcPr>
                  <w:tcW w:w="854" w:type="pct"/>
                  <w:vAlign w:val="center"/>
                </w:tcPr>
                <w:p w14:paraId="75069F28">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5.5</w:t>
                  </w:r>
                </w:p>
              </w:tc>
              <w:tc>
                <w:tcPr>
                  <w:tcW w:w="896" w:type="pct"/>
                  <w:vAlign w:val="center"/>
                </w:tcPr>
                <w:p w14:paraId="6C0BE1FE">
                  <w:pPr>
                    <w:adjustRightInd w:val="0"/>
                    <w:snapToGrid w:val="0"/>
                    <w:ind w:left="420" w:leftChars="0" w:hanging="420" w:firstLineChars="0"/>
                    <w:jc w:val="center"/>
                    <w:rPr>
                      <w:rFonts w:ascii="Times New Roman" w:hAnsi="Times New Roman" w:eastAsia="宋体" w:cs="Times New Roman"/>
                      <w:kern w:val="0"/>
                      <w:sz w:val="21"/>
                      <w:szCs w:val="21"/>
                      <w:u w:val="none"/>
                      <w:lang w:val="en-US" w:eastAsia="zh-CN" w:bidi="ar-SA"/>
                    </w:rPr>
                  </w:pPr>
                  <w:r>
                    <w:rPr>
                      <w:rFonts w:hint="eastAsia"/>
                      <w:kern w:val="0"/>
                      <w:szCs w:val="21"/>
                      <w:u w:val="none"/>
                    </w:rPr>
                    <w:t>3</w:t>
                  </w:r>
                  <w:r>
                    <w:rPr>
                      <w:kern w:val="0"/>
                      <w:szCs w:val="21"/>
                      <w:u w:val="none"/>
                    </w:rPr>
                    <w:t>4.7</w:t>
                  </w:r>
                </w:p>
              </w:tc>
            </w:tr>
          </w:tbl>
          <w:p w14:paraId="469E9CD6">
            <w:pPr>
              <w:pStyle w:val="11"/>
              <w:spacing w:before="120" w:beforeLines="50"/>
              <w:rPr>
                <w:rFonts w:hint="eastAsia"/>
                <w:kern w:val="0"/>
                <w:sz w:val="24"/>
                <w:u w:val="none"/>
                <w:shd w:val="clear" w:color="auto" w:fill="FFFFFF"/>
              </w:rPr>
            </w:pPr>
            <w:r>
              <w:rPr>
                <w:rFonts w:hint="eastAsia"/>
                <w:kern w:val="0"/>
                <w:shd w:val="clear" w:color="auto" w:fill="FFFFFF"/>
              </w:rPr>
              <w:t>由</w:t>
            </w:r>
            <w:r>
              <w:rPr>
                <w:rFonts w:hint="eastAsia"/>
                <w:b w:val="0"/>
                <w:bCs w:val="0"/>
                <w:kern w:val="0"/>
                <w:shd w:val="clear" w:color="auto" w:fill="FFFFFF"/>
                <w:lang w:eastAsia="zh-CN"/>
              </w:rPr>
              <w:fldChar w:fldCharType="begin"/>
            </w:r>
            <w:r>
              <w:rPr>
                <w:rFonts w:hint="eastAsia"/>
                <w:b w:val="0"/>
                <w:bCs w:val="0"/>
                <w:kern w:val="0"/>
                <w:shd w:val="clear" w:color="auto" w:fill="FFFFFF"/>
                <w:lang w:eastAsia="zh-CN"/>
              </w:rPr>
              <w:instrText xml:space="preserve"> REF _Ref183016339 \h </w:instrText>
            </w:r>
            <w:r>
              <w:rPr>
                <w:rFonts w:hint="eastAsia"/>
                <w:b w:val="0"/>
                <w:bCs w:val="0"/>
                <w:kern w:val="0"/>
                <w:shd w:val="clear" w:color="auto" w:fill="FFFFFF"/>
                <w:lang w:eastAsia="zh-CN"/>
              </w:rPr>
              <w:fldChar w:fldCharType="separate"/>
            </w:r>
            <w:r>
              <w:rPr>
                <w:rFonts w:hint="eastAsia" w:ascii="Times New Roman" w:hAnsi="Times New Roman"/>
                <w:b w:val="0"/>
                <w:bCs w:val="0"/>
              </w:rPr>
              <w:t>表 23</w:t>
            </w:r>
            <w:r>
              <w:rPr>
                <w:rFonts w:hint="eastAsia"/>
                <w:b w:val="0"/>
                <w:bCs w:val="0"/>
                <w:kern w:val="0"/>
                <w:shd w:val="clear" w:color="auto" w:fill="FFFFFF"/>
                <w:lang w:eastAsia="zh-CN"/>
              </w:rPr>
              <w:fldChar w:fldCharType="end"/>
            </w:r>
            <w:r>
              <w:rPr>
                <w:rFonts w:hint="eastAsia"/>
                <w:kern w:val="0"/>
                <w:shd w:val="clear" w:color="auto" w:fill="FFFFFF"/>
              </w:rPr>
              <w:t>可知，</w:t>
            </w:r>
            <w:r>
              <w:rPr>
                <w:rFonts w:hint="eastAsia"/>
                <w:sz w:val="24"/>
                <w:u w:val="none"/>
              </w:rPr>
              <w:t>1</w:t>
            </w:r>
            <w:r>
              <w:rPr>
                <w:rFonts w:hint="eastAsia"/>
                <w:sz w:val="24"/>
                <w:u w:val="none"/>
                <w:lang w:val="en-US" w:eastAsia="zh-CN"/>
              </w:rPr>
              <w:t>1</w:t>
            </w:r>
            <w:r>
              <w:rPr>
                <w:rFonts w:hint="eastAsia"/>
                <w:sz w:val="24"/>
                <w:u w:val="none"/>
              </w:rPr>
              <w:t>0kV吉团一、二线双回线路</w:t>
            </w:r>
            <w:r>
              <w:rPr>
                <w:rFonts w:hint="eastAsia"/>
                <w:sz w:val="24"/>
                <w:u w:val="none"/>
                <w:lang w:val="en-US" w:eastAsia="zh-CN"/>
              </w:rPr>
              <w:t>0m~</w:t>
            </w:r>
            <w:r>
              <w:rPr>
                <w:rFonts w:hint="eastAsia"/>
                <w:kern w:val="0"/>
                <w:sz w:val="24"/>
                <w:u w:val="none"/>
                <w:shd w:val="clear" w:color="auto" w:fill="FFFFFF"/>
              </w:rPr>
              <w:t>50m范围内昼间噪声为</w:t>
            </w:r>
            <w:r>
              <w:rPr>
                <w:kern w:val="0"/>
                <w:sz w:val="24"/>
                <w:u w:val="none"/>
                <w:shd w:val="clear" w:color="auto" w:fill="FFFFFF"/>
              </w:rPr>
              <w:t>35.5</w:t>
            </w:r>
            <w:r>
              <w:rPr>
                <w:rFonts w:hint="eastAsia"/>
                <w:kern w:val="0"/>
                <w:sz w:val="24"/>
                <w:u w:val="none"/>
                <w:shd w:val="clear" w:color="auto" w:fill="FFFFFF"/>
              </w:rPr>
              <w:t>dB(A)～</w:t>
            </w:r>
            <w:r>
              <w:rPr>
                <w:kern w:val="0"/>
                <w:sz w:val="24"/>
                <w:u w:val="none"/>
                <w:shd w:val="clear" w:color="auto" w:fill="FFFFFF"/>
              </w:rPr>
              <w:t>36.6</w:t>
            </w:r>
            <w:r>
              <w:rPr>
                <w:rFonts w:hint="eastAsia"/>
                <w:kern w:val="0"/>
                <w:sz w:val="24"/>
                <w:u w:val="none"/>
                <w:shd w:val="clear" w:color="auto" w:fill="FFFFFF"/>
              </w:rPr>
              <w:t>dB(A)，夜间噪声为</w:t>
            </w:r>
            <w:r>
              <w:rPr>
                <w:kern w:val="0"/>
                <w:sz w:val="24"/>
                <w:u w:val="none"/>
                <w:shd w:val="clear" w:color="auto" w:fill="FFFFFF"/>
              </w:rPr>
              <w:t>34.7</w:t>
            </w:r>
            <w:r>
              <w:rPr>
                <w:rFonts w:hint="eastAsia"/>
                <w:kern w:val="0"/>
                <w:sz w:val="24"/>
                <w:u w:val="none"/>
                <w:shd w:val="clear" w:color="auto" w:fill="FFFFFF"/>
              </w:rPr>
              <w:t>dB(A)～</w:t>
            </w:r>
            <w:r>
              <w:rPr>
                <w:kern w:val="0"/>
                <w:sz w:val="24"/>
                <w:u w:val="none"/>
                <w:shd w:val="clear" w:color="auto" w:fill="FFFFFF"/>
              </w:rPr>
              <w:t>35.6</w:t>
            </w:r>
            <w:r>
              <w:rPr>
                <w:rFonts w:hint="eastAsia"/>
                <w:kern w:val="0"/>
                <w:sz w:val="24"/>
                <w:u w:val="none"/>
                <w:shd w:val="clear" w:color="auto" w:fill="FFFFFF"/>
              </w:rPr>
              <w:t>dB(A)，线路工况稳定，产生的噪声也相对恒定，夜间噪声值受环境影响较小，能代表实际贡献值，总体线路噪声实际贡献值很小。</w:t>
            </w:r>
          </w:p>
          <w:p w14:paraId="4EA141CF">
            <w:pPr>
              <w:pStyle w:val="11"/>
              <w:spacing w:before="0" w:beforeLines="0"/>
              <w:rPr>
                <w:kern w:val="0"/>
                <w:shd w:val="clear" w:color="auto" w:fill="FFFFFF"/>
              </w:rPr>
            </w:pPr>
            <w:r>
              <w:rPr>
                <w:rFonts w:hint="eastAsia"/>
                <w:kern w:val="0"/>
                <w:sz w:val="24"/>
                <w:u w:val="none"/>
                <w:shd w:val="clear" w:color="auto" w:fill="FFFFFF"/>
              </w:rPr>
              <w:t>由类比输电线路产生的噪声可知，</w:t>
            </w:r>
            <w:r>
              <w:rPr>
                <w:rFonts w:hint="eastAsia"/>
                <w:kern w:val="0"/>
                <w:sz w:val="24"/>
                <w:u w:val="none"/>
                <w:shd w:val="clear" w:color="auto" w:fill="FFFFFF"/>
                <w:lang w:eastAsia="zh-CN"/>
              </w:rPr>
              <w:t>本工程</w:t>
            </w:r>
            <w:r>
              <w:rPr>
                <w:rFonts w:hint="eastAsia"/>
                <w:kern w:val="0"/>
                <w:sz w:val="24"/>
                <w:u w:val="none"/>
                <w:shd w:val="clear" w:color="auto" w:fill="FFFFFF"/>
              </w:rPr>
              <w:t>输电线路运行时产生的噪声不会对周边声环境造成明显影响，可以预测，本工程新建输电线路附近声环境质量满足《声环境质量标准》（GB3096-2008）</w:t>
            </w:r>
            <w:r>
              <w:rPr>
                <w:rFonts w:hint="eastAsia"/>
                <w:kern w:val="0"/>
                <w:sz w:val="24"/>
                <w:u w:val="none"/>
                <w:shd w:val="clear" w:color="auto" w:fill="FFFFFF"/>
                <w:lang w:val="en-US" w:eastAsia="zh-CN"/>
              </w:rPr>
              <w:t>2</w:t>
            </w:r>
            <w:r>
              <w:rPr>
                <w:rFonts w:hint="eastAsia"/>
                <w:kern w:val="0"/>
                <w:sz w:val="24"/>
                <w:u w:val="none"/>
                <w:shd w:val="clear" w:color="auto" w:fill="FFFFFF"/>
              </w:rPr>
              <w:t>类标准限值要求。</w:t>
            </w:r>
          </w:p>
          <w:p w14:paraId="7DD87E2A">
            <w:pPr>
              <w:pStyle w:val="11"/>
              <w:numPr>
                <w:ilvl w:val="3"/>
                <w:numId w:val="16"/>
              </w:numPr>
              <w:ind w:firstLineChars="0"/>
              <w:rPr>
                <w:b/>
                <w:color w:val="000000"/>
                <w:kern w:val="0"/>
                <w:szCs w:val="21"/>
              </w:rPr>
            </w:pPr>
            <w:r>
              <w:rPr>
                <w:rFonts w:hint="eastAsia"/>
                <w:b/>
                <w:color w:val="000000"/>
                <w:kern w:val="0"/>
                <w:szCs w:val="21"/>
              </w:rPr>
              <w:t>输电</w:t>
            </w:r>
            <w:r>
              <w:rPr>
                <w:b/>
                <w:color w:val="000000"/>
                <w:kern w:val="0"/>
                <w:szCs w:val="21"/>
              </w:rPr>
              <w:t>线路声环境影响评价结论</w:t>
            </w:r>
          </w:p>
          <w:p w14:paraId="7C90A36F">
            <w:pPr>
              <w:adjustRightInd w:val="0"/>
              <w:snapToGrid w:val="0"/>
              <w:spacing w:line="360" w:lineRule="auto"/>
              <w:ind w:firstLine="480" w:firstLineChars="200"/>
              <w:rPr>
                <w:color w:val="000000"/>
                <w:kern w:val="0"/>
                <w:sz w:val="24"/>
                <w:shd w:val="clear" w:color="auto" w:fill="FFFFFF"/>
              </w:rPr>
            </w:pPr>
            <w:r>
              <w:rPr>
                <w:color w:val="000000"/>
                <w:kern w:val="0"/>
                <w:sz w:val="24"/>
                <w:shd w:val="clear" w:color="auto" w:fill="FFFFFF"/>
              </w:rPr>
              <w:t>由类比监测结果可知，运行状态下</w:t>
            </w:r>
            <w:r>
              <w:rPr>
                <w:rFonts w:hint="eastAsia"/>
                <w:color w:val="000000"/>
                <w:kern w:val="0"/>
                <w:sz w:val="24"/>
                <w:shd w:val="clear" w:color="auto" w:fill="FFFFFF"/>
                <w:lang w:val="en-US" w:eastAsia="zh-CN"/>
              </w:rPr>
              <w:t>11</w:t>
            </w:r>
            <w:r>
              <w:rPr>
                <w:color w:val="000000"/>
                <w:kern w:val="0"/>
                <w:sz w:val="24"/>
                <w:shd w:val="clear" w:color="auto" w:fill="FFFFFF"/>
              </w:rPr>
              <w:t>0kV线路周边测点的等效连续A声级没有表现出明显的随距离增大而减小的声传播趋势，表明</w:t>
            </w:r>
            <w:r>
              <w:rPr>
                <w:rFonts w:hint="eastAsia"/>
                <w:color w:val="000000"/>
                <w:kern w:val="0"/>
                <w:sz w:val="24"/>
                <w:shd w:val="clear" w:color="auto" w:fill="FFFFFF"/>
                <w:lang w:val="en-US" w:eastAsia="zh-CN"/>
              </w:rPr>
              <w:t>11</w:t>
            </w:r>
            <w:r>
              <w:rPr>
                <w:color w:val="000000"/>
                <w:kern w:val="0"/>
                <w:sz w:val="24"/>
                <w:shd w:val="clear" w:color="auto" w:fill="FFFFFF"/>
              </w:rPr>
              <w:t>0kV输电线路电晕噪声对声环境的影响很小，各测点噪声基本为环境背景噪声；线路弧垂下方离地面1.2m高度处的噪声均满足《声环境质量标准》</w:t>
            </w:r>
            <w:r>
              <w:rPr>
                <w:rFonts w:hint="eastAsia"/>
                <w:color w:val="000000"/>
                <w:kern w:val="0"/>
                <w:sz w:val="24"/>
                <w:shd w:val="clear" w:color="auto" w:fill="FFFFFF"/>
              </w:rPr>
              <w:t>（</w:t>
            </w:r>
            <w:r>
              <w:rPr>
                <w:color w:val="000000"/>
                <w:kern w:val="0"/>
                <w:sz w:val="24"/>
                <w:shd w:val="clear" w:color="auto" w:fill="FFFFFF"/>
              </w:rPr>
              <w:t>GB3096-2008</w:t>
            </w:r>
            <w:r>
              <w:rPr>
                <w:rFonts w:hint="eastAsia"/>
                <w:color w:val="000000"/>
                <w:kern w:val="0"/>
                <w:sz w:val="24"/>
                <w:shd w:val="clear" w:color="auto" w:fill="FFFFFF"/>
              </w:rPr>
              <w:t>）</w:t>
            </w:r>
            <w:r>
              <w:rPr>
                <w:color w:val="000000"/>
                <w:kern w:val="0"/>
                <w:sz w:val="24"/>
                <w:shd w:val="clear" w:color="auto" w:fill="FFFFFF"/>
              </w:rPr>
              <w:t>中</w:t>
            </w:r>
            <w:r>
              <w:rPr>
                <w:rFonts w:hint="eastAsia"/>
                <w:color w:val="000000"/>
                <w:kern w:val="0"/>
                <w:sz w:val="24"/>
                <w:shd w:val="clear" w:color="auto" w:fill="FFFFFF"/>
              </w:rPr>
              <w:t>相应</w:t>
            </w:r>
            <w:r>
              <w:rPr>
                <w:color w:val="000000"/>
                <w:kern w:val="0"/>
                <w:sz w:val="24"/>
                <w:shd w:val="clear" w:color="auto" w:fill="FFFFFF"/>
              </w:rPr>
              <w:t>标准要求。</w:t>
            </w:r>
          </w:p>
          <w:p w14:paraId="703E2560">
            <w:pPr>
              <w:pStyle w:val="11"/>
              <w:rPr>
                <w:snapToGrid w:val="0"/>
                <w:color w:val="000000"/>
                <w:kern w:val="0"/>
              </w:rPr>
            </w:pPr>
            <w:r>
              <w:rPr>
                <w:color w:val="000000"/>
                <w:kern w:val="0"/>
                <w:shd w:val="clear" w:color="auto" w:fill="FFFFFF"/>
              </w:rPr>
              <w:t>通过上述类比监测可以预测，</w:t>
            </w:r>
            <w:r>
              <w:rPr>
                <w:rFonts w:hint="eastAsia"/>
                <w:color w:val="000000"/>
                <w:kern w:val="0"/>
                <w:shd w:val="clear" w:color="auto" w:fill="FFFFFF"/>
                <w:lang w:val="en-US" w:eastAsia="zh-CN"/>
              </w:rPr>
              <w:t>11</w:t>
            </w:r>
            <w:r>
              <w:rPr>
                <w:color w:val="000000"/>
                <w:kern w:val="0"/>
                <w:shd w:val="clear" w:color="auto" w:fill="FFFFFF"/>
              </w:rPr>
              <w:t>0kV输电线路电晕噪声对环境的影响较小，本工程线路投运后沿线声环境可基本维持建设前水平。</w:t>
            </w:r>
          </w:p>
          <w:p w14:paraId="6FF95EEF">
            <w:pPr>
              <w:pStyle w:val="11"/>
              <w:numPr>
                <w:ilvl w:val="1"/>
                <w:numId w:val="16"/>
              </w:numPr>
              <w:ind w:firstLineChars="0"/>
              <w:rPr>
                <w:b/>
                <w:color w:val="000000"/>
                <w:kern w:val="0"/>
                <w:szCs w:val="21"/>
              </w:rPr>
            </w:pPr>
            <w:r>
              <w:rPr>
                <w:b/>
                <w:color w:val="000000"/>
                <w:kern w:val="0"/>
                <w:szCs w:val="21"/>
              </w:rPr>
              <w:t>运行期水环境影响分析</w:t>
            </w:r>
          </w:p>
          <w:p w14:paraId="6920913A">
            <w:pPr>
              <w:pStyle w:val="11"/>
              <w:numPr>
                <w:ilvl w:val="2"/>
                <w:numId w:val="16"/>
              </w:numPr>
              <w:ind w:firstLineChars="0"/>
              <w:rPr>
                <w:b/>
                <w:color w:val="000000"/>
                <w:kern w:val="0"/>
                <w:szCs w:val="21"/>
              </w:rPr>
            </w:pPr>
            <w:r>
              <w:rPr>
                <w:b/>
                <w:color w:val="000000"/>
                <w:kern w:val="0"/>
                <w:szCs w:val="21"/>
              </w:rPr>
              <w:t>变电站工程</w:t>
            </w:r>
          </w:p>
          <w:p w14:paraId="4D70C438">
            <w:pPr>
              <w:pStyle w:val="11"/>
              <w:rPr>
                <w:color w:val="000000"/>
              </w:rPr>
            </w:pPr>
            <w:r>
              <w:rPr>
                <w:rFonts w:hint="eastAsia"/>
                <w:color w:val="000000"/>
                <w:lang w:eastAsia="zh-CN"/>
              </w:rPr>
              <w:t>港城110kV变电站</w:t>
            </w:r>
            <w:r>
              <w:rPr>
                <w:color w:val="000000"/>
              </w:rPr>
              <w:t>为</w:t>
            </w:r>
            <w:r>
              <w:rPr>
                <w:rFonts w:hint="eastAsia"/>
                <w:color w:val="000000"/>
              </w:rPr>
              <w:t>无人值班有人值守变电站，正常工况下，站内无工业废水产生，变电站内的废污水主要为值守人员产生的少量生活污水。</w:t>
            </w:r>
          </w:p>
          <w:p w14:paraId="6396C87B">
            <w:pPr>
              <w:pStyle w:val="11"/>
              <w:rPr>
                <w:color w:val="000000"/>
              </w:rPr>
            </w:pPr>
            <w:r>
              <w:rPr>
                <w:rFonts w:hint="eastAsia"/>
                <w:color w:val="000000"/>
              </w:rPr>
              <w:t>站区生活污水经</w:t>
            </w:r>
            <w:r>
              <w:rPr>
                <w:rFonts w:hint="eastAsia"/>
                <w:color w:val="000000"/>
                <w:lang w:val="en-US" w:eastAsia="zh-CN"/>
              </w:rPr>
              <w:t>站内已有污水处理设施处理</w:t>
            </w:r>
            <w:r>
              <w:rPr>
                <w:rFonts w:hint="eastAsia"/>
                <w:color w:val="000000"/>
                <w:szCs w:val="24"/>
              </w:rPr>
              <w:t>，不</w:t>
            </w:r>
            <w:r>
              <w:rPr>
                <w:rFonts w:hint="eastAsia"/>
                <w:color w:val="000000"/>
              </w:rPr>
              <w:t>外排。</w:t>
            </w:r>
          </w:p>
          <w:p w14:paraId="1B579B9B">
            <w:pPr>
              <w:pStyle w:val="11"/>
              <w:numPr>
                <w:ilvl w:val="2"/>
                <w:numId w:val="16"/>
              </w:numPr>
              <w:ind w:firstLineChars="0"/>
              <w:rPr>
                <w:b/>
                <w:color w:val="000000"/>
                <w:kern w:val="0"/>
                <w:szCs w:val="21"/>
              </w:rPr>
            </w:pPr>
            <w:r>
              <w:rPr>
                <w:b/>
                <w:color w:val="000000"/>
                <w:kern w:val="0"/>
                <w:szCs w:val="21"/>
              </w:rPr>
              <w:t>输电线路工程</w:t>
            </w:r>
          </w:p>
          <w:p w14:paraId="61723C86">
            <w:pPr>
              <w:pStyle w:val="11"/>
              <w:rPr>
                <w:color w:val="000000"/>
              </w:rPr>
            </w:pPr>
            <w:r>
              <w:rPr>
                <w:color w:val="000000"/>
              </w:rPr>
              <w:t>输电线路运行期无废污水产生，不会对附近水环境产生影响。</w:t>
            </w:r>
          </w:p>
          <w:p w14:paraId="42F0391B">
            <w:pPr>
              <w:pStyle w:val="11"/>
              <w:numPr>
                <w:ilvl w:val="1"/>
                <w:numId w:val="16"/>
              </w:numPr>
              <w:ind w:firstLineChars="0"/>
              <w:rPr>
                <w:b/>
                <w:color w:val="000000"/>
                <w:kern w:val="0"/>
                <w:szCs w:val="21"/>
              </w:rPr>
            </w:pPr>
            <w:r>
              <w:rPr>
                <w:b/>
                <w:color w:val="000000"/>
                <w:kern w:val="0"/>
                <w:szCs w:val="21"/>
              </w:rPr>
              <w:t>运行期</w:t>
            </w:r>
            <w:r>
              <w:rPr>
                <w:rFonts w:hint="eastAsia"/>
                <w:b/>
                <w:color w:val="000000"/>
                <w:kern w:val="0"/>
                <w:szCs w:val="21"/>
              </w:rPr>
              <w:t>环境空气</w:t>
            </w:r>
            <w:r>
              <w:rPr>
                <w:b/>
                <w:color w:val="000000"/>
                <w:kern w:val="0"/>
                <w:szCs w:val="21"/>
              </w:rPr>
              <w:t>影响分析</w:t>
            </w:r>
          </w:p>
          <w:p w14:paraId="6B3BCC7A">
            <w:pPr>
              <w:pStyle w:val="11"/>
              <w:rPr>
                <w:color w:val="000000"/>
              </w:rPr>
            </w:pPr>
            <w:r>
              <w:rPr>
                <w:color w:val="000000"/>
              </w:rPr>
              <w:t>本工程</w:t>
            </w:r>
            <w:r>
              <w:rPr>
                <w:rFonts w:hint="eastAsia"/>
                <w:color w:val="000000"/>
              </w:rPr>
              <w:t>运行期</w:t>
            </w:r>
            <w:r>
              <w:rPr>
                <w:color w:val="000000"/>
              </w:rPr>
              <w:t>无废气产生，不会对附近大气环境产生影响。</w:t>
            </w:r>
          </w:p>
          <w:p w14:paraId="5843FCB1">
            <w:pPr>
              <w:pStyle w:val="11"/>
              <w:numPr>
                <w:ilvl w:val="1"/>
                <w:numId w:val="16"/>
              </w:numPr>
              <w:ind w:firstLineChars="0"/>
              <w:rPr>
                <w:b/>
                <w:color w:val="000000"/>
                <w:kern w:val="0"/>
                <w:szCs w:val="21"/>
              </w:rPr>
            </w:pPr>
            <w:r>
              <w:rPr>
                <w:b/>
                <w:color w:val="000000"/>
                <w:kern w:val="0"/>
                <w:szCs w:val="21"/>
              </w:rPr>
              <w:t>运行期固体废物环境影响分析</w:t>
            </w:r>
          </w:p>
          <w:p w14:paraId="641E42DE">
            <w:pPr>
              <w:pStyle w:val="11"/>
              <w:numPr>
                <w:ilvl w:val="2"/>
                <w:numId w:val="16"/>
              </w:numPr>
              <w:ind w:firstLineChars="0"/>
              <w:rPr>
                <w:b/>
                <w:color w:val="000000"/>
                <w:kern w:val="0"/>
                <w:szCs w:val="21"/>
              </w:rPr>
            </w:pPr>
            <w:r>
              <w:rPr>
                <w:b/>
                <w:color w:val="000000"/>
                <w:kern w:val="0"/>
                <w:szCs w:val="21"/>
              </w:rPr>
              <w:t>变电站</w:t>
            </w:r>
            <w:r>
              <w:rPr>
                <w:rFonts w:hint="eastAsia"/>
                <w:b/>
                <w:color w:val="000000"/>
                <w:kern w:val="0"/>
                <w:szCs w:val="21"/>
              </w:rPr>
              <w:t>间隔</w:t>
            </w:r>
            <w:r>
              <w:rPr>
                <w:b/>
                <w:color w:val="000000"/>
                <w:kern w:val="0"/>
                <w:szCs w:val="21"/>
              </w:rPr>
              <w:t>扩建工程</w:t>
            </w:r>
          </w:p>
          <w:p w14:paraId="6AD7CDFB">
            <w:pPr>
              <w:pStyle w:val="11"/>
              <w:rPr>
                <w:color w:val="000000"/>
              </w:rPr>
            </w:pPr>
            <w:r>
              <w:rPr>
                <w:rFonts w:hint="eastAsia"/>
                <w:color w:val="000000"/>
                <w:lang w:eastAsia="zh-CN"/>
              </w:rPr>
              <w:t>港城110kV变电站</w:t>
            </w:r>
            <w:r>
              <w:rPr>
                <w:rFonts w:hint="eastAsia"/>
                <w:color w:val="000000"/>
              </w:rPr>
              <w:t>前期工程已建有生活垃圾收集设施，生活垃圾集中后运至当地镇区的生活垃圾转运点，交由环卫部门妥善处理。本期扩建工程不新增运行人员，不新增固体废物，对环境不会增加新的影响。</w:t>
            </w:r>
          </w:p>
          <w:p w14:paraId="43884325">
            <w:pPr>
              <w:pStyle w:val="11"/>
              <w:rPr>
                <w:color w:val="000000"/>
              </w:rPr>
            </w:pPr>
            <w:r>
              <w:rPr>
                <w:rFonts w:hint="eastAsia"/>
                <w:color w:val="000000"/>
                <w:lang w:eastAsia="zh-CN"/>
              </w:rPr>
              <w:t>港城110kV变电站</w:t>
            </w:r>
            <w:r>
              <w:rPr>
                <w:rFonts w:hint="eastAsia"/>
                <w:color w:val="000000"/>
                <w:lang w:val="en-US" w:eastAsia="zh-CN"/>
              </w:rPr>
              <w:t>站内</w:t>
            </w:r>
            <w:r>
              <w:rPr>
                <w:rFonts w:hint="eastAsia"/>
                <w:color w:val="000000"/>
              </w:rPr>
              <w:t>待蓄电池达到使用寿命或需要更换时应交由有资质单位处理，严禁随意丢弃。本期扩建不增加蓄电池使用量，不新增影响。</w:t>
            </w:r>
          </w:p>
          <w:p w14:paraId="35E6D96D">
            <w:pPr>
              <w:pStyle w:val="11"/>
              <w:numPr>
                <w:ilvl w:val="2"/>
                <w:numId w:val="16"/>
              </w:numPr>
              <w:ind w:firstLineChars="0"/>
              <w:rPr>
                <w:b/>
                <w:color w:val="000000"/>
                <w:kern w:val="0"/>
                <w:szCs w:val="21"/>
              </w:rPr>
            </w:pPr>
            <w:r>
              <w:rPr>
                <w:b/>
                <w:color w:val="000000"/>
                <w:kern w:val="0"/>
                <w:szCs w:val="21"/>
              </w:rPr>
              <w:t>输电线路工程</w:t>
            </w:r>
          </w:p>
          <w:p w14:paraId="4536E557">
            <w:pPr>
              <w:pStyle w:val="11"/>
              <w:rPr>
                <w:color w:val="000000"/>
              </w:rPr>
            </w:pPr>
            <w:r>
              <w:t>输电线路运行期</w:t>
            </w:r>
            <w:r>
              <w:rPr>
                <w:rFonts w:hint="eastAsia"/>
              </w:rPr>
              <w:t>不直接产生</w:t>
            </w:r>
            <w:r>
              <w:t>固体废物，</w:t>
            </w:r>
            <w:r>
              <w:rPr>
                <w:rFonts w:hint="eastAsia"/>
              </w:rPr>
              <w:t>运维人员对线路开展定期巡查检修过程中，产生少量淘汰下来的废旧金具、绝缘子串等安装附件均交由建设单位回收，不会对外环境产生影响</w:t>
            </w:r>
            <w:r>
              <w:rPr>
                <w:color w:val="000000"/>
              </w:rPr>
              <w:t>。</w:t>
            </w:r>
          </w:p>
          <w:p w14:paraId="13D354B2">
            <w:pPr>
              <w:pStyle w:val="11"/>
              <w:rPr>
                <w:color w:val="000000"/>
              </w:rPr>
            </w:pPr>
          </w:p>
          <w:p w14:paraId="36661236">
            <w:pPr>
              <w:pStyle w:val="11"/>
              <w:numPr>
                <w:ilvl w:val="1"/>
                <w:numId w:val="16"/>
              </w:numPr>
              <w:ind w:firstLineChars="0"/>
              <w:rPr>
                <w:b/>
                <w:color w:val="000000"/>
                <w:kern w:val="0"/>
                <w:szCs w:val="21"/>
              </w:rPr>
            </w:pPr>
            <w:r>
              <w:rPr>
                <w:b/>
                <w:color w:val="000000"/>
                <w:kern w:val="0"/>
                <w:szCs w:val="21"/>
              </w:rPr>
              <w:t>环境风险分析</w:t>
            </w:r>
          </w:p>
          <w:p w14:paraId="21EB265C">
            <w:pPr>
              <w:pStyle w:val="11"/>
              <w:rPr>
                <w:b/>
                <w:color w:val="000000"/>
              </w:rPr>
            </w:pPr>
            <w:bookmarkStart w:id="700" w:name="_Toc386904090"/>
            <w:bookmarkStart w:id="701" w:name="_Toc344398329"/>
            <w:bookmarkStart w:id="702" w:name="_Toc344400065"/>
            <w:r>
              <w:rPr>
                <w:rFonts w:hint="eastAsia"/>
              </w:rPr>
              <w:t>本工程为</w:t>
            </w:r>
            <w:r>
              <w:rPr>
                <w:rFonts w:hint="eastAsia"/>
                <w:lang w:val="en-US" w:eastAsia="zh-CN"/>
              </w:rPr>
              <w:t>11</w:t>
            </w:r>
            <w:r>
              <w:t>0kV</w:t>
            </w:r>
            <w:r>
              <w:rPr>
                <w:rFonts w:hint="eastAsia"/>
              </w:rPr>
              <w:t>变电站间隔扩建工程及</w:t>
            </w:r>
            <w:r>
              <w:rPr>
                <w:rFonts w:hint="eastAsia"/>
                <w:lang w:val="en-US" w:eastAsia="zh-CN"/>
              </w:rPr>
              <w:t>11</w:t>
            </w:r>
            <w:r>
              <w:t>0kV</w:t>
            </w:r>
            <w:r>
              <w:rPr>
                <w:rFonts w:hint="eastAsia"/>
              </w:rPr>
              <w:t>线路工程，不涉及新增变压器油设备，不涉及环境风险。</w:t>
            </w:r>
            <w:bookmarkEnd w:id="700"/>
            <w:bookmarkEnd w:id="701"/>
            <w:bookmarkEnd w:id="702"/>
          </w:p>
        </w:tc>
      </w:tr>
      <w:tr w14:paraId="5D0B7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97" w:type="dxa"/>
            <w:tcMar>
              <w:left w:w="28" w:type="dxa"/>
              <w:right w:w="28" w:type="dxa"/>
            </w:tcMar>
            <w:vAlign w:val="center"/>
          </w:tcPr>
          <w:p w14:paraId="191F7DD7">
            <w:pPr>
              <w:pStyle w:val="31"/>
              <w:adjustRightInd w:val="0"/>
              <w:snapToGrid w:val="0"/>
              <w:spacing w:before="0" w:beforeAutospacing="0" w:after="0" w:afterAutospacing="0"/>
              <w:jc w:val="center"/>
              <w:rPr>
                <w:rFonts w:ascii="Times New Roman" w:hAnsi="Times New Roman"/>
                <w:b/>
                <w:bCs/>
                <w:color w:val="000000"/>
                <w:spacing w:val="10"/>
                <w:kern w:val="2"/>
                <w:szCs w:val="24"/>
              </w:rPr>
            </w:pPr>
            <w:r>
              <w:rPr>
                <w:rFonts w:ascii="Times New Roman" w:hAnsi="Times New Roman"/>
                <w:b/>
                <w:bCs/>
                <w:color w:val="000000"/>
                <w:kern w:val="2"/>
                <w:szCs w:val="24"/>
              </w:rPr>
              <w:t>选址选线环境合理性分析</w:t>
            </w:r>
          </w:p>
        </w:tc>
        <w:tc>
          <w:tcPr>
            <w:tcW w:w="8528" w:type="dxa"/>
            <w:vAlign w:val="center"/>
          </w:tcPr>
          <w:p w14:paraId="284A873A">
            <w:pPr>
              <w:pStyle w:val="11"/>
              <w:ind w:firstLineChars="0"/>
              <w:rPr>
                <w:b/>
                <w:color w:val="000000"/>
                <w:kern w:val="0"/>
                <w:szCs w:val="21"/>
              </w:rPr>
            </w:pPr>
            <w:r>
              <w:rPr>
                <w:rFonts w:hint="eastAsia"/>
                <w:szCs w:val="32"/>
              </w:rPr>
              <w:t>本工程</w:t>
            </w:r>
            <w:r>
              <w:rPr>
                <w:rFonts w:hint="eastAsia"/>
                <w:szCs w:val="32"/>
                <w:lang w:val="en-US" w:eastAsia="zh-CN"/>
              </w:rPr>
              <w:t>不涉及变电站选址，</w:t>
            </w:r>
            <w:r>
              <w:rPr>
                <w:rFonts w:hint="eastAsia"/>
                <w:szCs w:val="32"/>
              </w:rPr>
              <w:t>新建输电线路路径较短，</w:t>
            </w:r>
            <w:r>
              <w:rPr>
                <w:szCs w:val="32"/>
              </w:rPr>
              <w:t>输电线路</w:t>
            </w:r>
            <w:r>
              <w:rPr>
                <w:rFonts w:hint="eastAsia"/>
                <w:szCs w:val="32"/>
              </w:rPr>
              <w:t>从</w:t>
            </w:r>
            <w:r>
              <w:rPr>
                <w:rFonts w:hint="eastAsia"/>
                <w:szCs w:val="32"/>
                <w:lang w:eastAsia="zh-CN"/>
              </w:rPr>
              <w:t>港城110kV变电站</w:t>
            </w:r>
            <w:r>
              <w:rPr>
                <w:rFonts w:hint="eastAsia"/>
                <w:szCs w:val="32"/>
              </w:rPr>
              <w:t>出线后，沿</w:t>
            </w:r>
            <w:r>
              <w:rPr>
                <w:rFonts w:hint="eastAsia"/>
                <w:szCs w:val="32"/>
                <w:lang w:val="en-US" w:eastAsia="zh-CN"/>
              </w:rPr>
              <w:t>G312高速</w:t>
            </w:r>
            <w:r>
              <w:rPr>
                <w:rFonts w:hint="eastAsia"/>
                <w:szCs w:val="32"/>
              </w:rPr>
              <w:t>走线，尽可能利用已有道路进行施工。</w:t>
            </w:r>
            <w:r>
              <w:rPr>
                <w:rFonts w:hint="eastAsia"/>
              </w:rPr>
              <w:t>本工程在正常运行期不产生污染物排放，在施工及运行期采取一系列环境保护措施的前提下，工程的建设对工程所在区域的环境基本不会产生污染影响。</w:t>
            </w:r>
            <w:r>
              <w:rPr>
                <w:rFonts w:hint="eastAsia"/>
                <w:szCs w:val="32"/>
              </w:rPr>
              <w:t>环评认为设计推荐的线路路径方案具有环境合理性。</w:t>
            </w:r>
          </w:p>
        </w:tc>
      </w:tr>
    </w:tbl>
    <w:p w14:paraId="66B76887">
      <w:pPr>
        <w:widowControl/>
        <w:jc w:val="left"/>
        <w:rPr>
          <w:highlight w:val="yellow"/>
        </w:rPr>
        <w:sectPr>
          <w:pgSz w:w="11906" w:h="16838"/>
          <w:pgMar w:top="1440" w:right="1797" w:bottom="1440" w:left="1797" w:header="851" w:footer="1077" w:gutter="0"/>
          <w:cols w:space="720" w:num="1"/>
          <w:docGrid w:linePitch="312" w:charSpace="0"/>
        </w:sectPr>
      </w:pPr>
    </w:p>
    <w:p w14:paraId="7DAA2935">
      <w:pPr>
        <w:rPr>
          <w:color w:val="000000"/>
          <w:highlight w:val="yellow"/>
        </w:rPr>
      </w:pPr>
    </w:p>
    <w:p w14:paraId="14189CD1">
      <w:pPr>
        <w:pStyle w:val="31"/>
        <w:jc w:val="center"/>
        <w:outlineLvl w:val="0"/>
        <w:rPr>
          <w:rFonts w:ascii="Times New Roman" w:hAnsi="Times New Roman"/>
          <w:b/>
          <w:bCs/>
          <w:snapToGrid w:val="0"/>
          <w:color w:val="000000"/>
          <w:sz w:val="32"/>
          <w:szCs w:val="32"/>
        </w:rPr>
      </w:pPr>
      <w:bookmarkStart w:id="703" w:name="_Toc111564328"/>
      <w:bookmarkStart w:id="704" w:name="_Toc27016"/>
      <w:r>
        <w:rPr>
          <w:rFonts w:ascii="Times New Roman" w:hAnsi="Times New Roman"/>
          <w:b/>
          <w:bCs/>
          <w:snapToGrid w:val="0"/>
          <w:color w:val="000000"/>
          <w:sz w:val="32"/>
          <w:szCs w:val="32"/>
        </w:rPr>
        <w:t>五、主要生态环境保护措施</w:t>
      </w:r>
      <w:bookmarkEnd w:id="703"/>
      <w:bookmarkEnd w:id="704"/>
    </w:p>
    <w:tbl>
      <w:tblPr>
        <w:tblStyle w:val="34"/>
        <w:tblW w:w="88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09"/>
      </w:tblGrid>
      <w:tr w14:paraId="0F6E0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5" w:hRule="atLeast"/>
          <w:jc w:val="center"/>
        </w:trPr>
        <w:tc>
          <w:tcPr>
            <w:tcW w:w="457" w:type="dxa"/>
            <w:tcMar>
              <w:left w:w="28" w:type="dxa"/>
              <w:right w:w="28" w:type="dxa"/>
            </w:tcMar>
            <w:vAlign w:val="center"/>
          </w:tcPr>
          <w:p w14:paraId="701CD203">
            <w:pPr>
              <w:adjustRightInd w:val="0"/>
              <w:snapToGrid w:val="0"/>
              <w:jc w:val="center"/>
              <w:rPr>
                <w:b/>
                <w:bCs/>
                <w:color w:val="000000"/>
                <w:szCs w:val="21"/>
                <w:highlight w:val="yellow"/>
              </w:rPr>
            </w:pPr>
            <w:r>
              <w:rPr>
                <w:b/>
                <w:bCs/>
                <w:color w:val="000000"/>
                <w:spacing w:val="10"/>
                <w:sz w:val="24"/>
              </w:rPr>
              <w:t>施工期生态环境保护措施</w:t>
            </w:r>
          </w:p>
        </w:tc>
        <w:tc>
          <w:tcPr>
            <w:tcW w:w="8409" w:type="dxa"/>
          </w:tcPr>
          <w:p w14:paraId="7A4EC3FF">
            <w:pPr>
              <w:numPr>
                <w:ilvl w:val="0"/>
                <w:numId w:val="17"/>
              </w:numPr>
              <w:spacing w:line="360" w:lineRule="auto"/>
              <w:rPr>
                <w:b/>
                <w:color w:val="000000"/>
                <w:kern w:val="0"/>
                <w:sz w:val="24"/>
                <w:szCs w:val="21"/>
              </w:rPr>
            </w:pPr>
            <w:r>
              <w:rPr>
                <w:rFonts w:hint="eastAsia"/>
                <w:b/>
                <w:color w:val="000000"/>
                <w:kern w:val="0"/>
                <w:sz w:val="24"/>
                <w:szCs w:val="21"/>
              </w:rPr>
              <w:t>施工期生态环境保护措施</w:t>
            </w:r>
          </w:p>
          <w:p w14:paraId="45652E01">
            <w:pPr>
              <w:pStyle w:val="33"/>
              <w:numPr>
                <w:ilvl w:val="1"/>
                <w:numId w:val="18"/>
              </w:numPr>
              <w:ind w:left="425" w:leftChars="0" w:firstLine="0"/>
              <w:jc w:val="left"/>
              <w:rPr>
                <w:b/>
                <w:color w:val="000000"/>
                <w:szCs w:val="21"/>
              </w:rPr>
            </w:pPr>
            <w:r>
              <w:rPr>
                <w:rFonts w:hint="eastAsia"/>
                <w:b/>
                <w:color w:val="000000"/>
                <w:szCs w:val="21"/>
              </w:rPr>
              <w:t>土地占用保护措施</w:t>
            </w:r>
          </w:p>
          <w:p w14:paraId="40A0E9D4">
            <w:pPr>
              <w:spacing w:line="360" w:lineRule="auto"/>
              <w:ind w:firstLine="480" w:firstLineChars="200"/>
              <w:rPr>
                <w:sz w:val="24"/>
                <w:szCs w:val="32"/>
              </w:rPr>
            </w:pPr>
            <w:r>
              <w:rPr>
                <w:rFonts w:hint="eastAsia"/>
                <w:sz w:val="24"/>
                <w:szCs w:val="32"/>
              </w:rPr>
              <w:t>（1）变电站间隔扩建工程临时占地保护措施</w:t>
            </w:r>
          </w:p>
          <w:p w14:paraId="20335208">
            <w:pPr>
              <w:spacing w:line="360" w:lineRule="auto"/>
              <w:ind w:firstLine="480" w:firstLineChars="200"/>
              <w:rPr>
                <w:sz w:val="24"/>
                <w:szCs w:val="32"/>
              </w:rPr>
            </w:pPr>
            <w:r>
              <w:rPr>
                <w:rFonts w:hint="eastAsia"/>
                <w:color w:val="000000"/>
                <w:sz w:val="24"/>
                <w:lang w:val="en-US" w:eastAsia="zh-CN"/>
              </w:rPr>
              <w:t>变电站间隔扩建工程于站内预留位置进行，本期无新增征地，</w:t>
            </w:r>
            <w:r>
              <w:rPr>
                <w:rFonts w:hint="eastAsia"/>
                <w:sz w:val="24"/>
              </w:rPr>
              <w:t>施工活动限制在站区内，尽量减少工程建设对区域土地利用及居民生活的影响。</w:t>
            </w:r>
          </w:p>
          <w:p w14:paraId="0DBBE0E2">
            <w:pPr>
              <w:spacing w:line="360" w:lineRule="auto"/>
              <w:ind w:firstLine="480" w:firstLineChars="200"/>
              <w:rPr>
                <w:sz w:val="24"/>
                <w:szCs w:val="32"/>
              </w:rPr>
            </w:pPr>
            <w:r>
              <w:rPr>
                <w:rFonts w:hint="eastAsia"/>
                <w:sz w:val="24"/>
                <w:szCs w:val="32"/>
              </w:rPr>
              <w:t>（2）</w:t>
            </w:r>
            <w:r>
              <w:rPr>
                <w:color w:val="000000"/>
                <w:sz w:val="24"/>
              </w:rPr>
              <w:t>输电线路工程土地占用保护措施</w:t>
            </w:r>
          </w:p>
          <w:p w14:paraId="4F9238D9">
            <w:pPr>
              <w:spacing w:line="360" w:lineRule="auto"/>
              <w:ind w:firstLine="480" w:firstLineChars="200"/>
              <w:rPr>
                <w:color w:val="000000"/>
                <w:sz w:val="24"/>
              </w:rPr>
            </w:pPr>
            <w:r>
              <w:rPr>
                <w:rFonts w:hint="eastAsia"/>
                <w:color w:val="000000"/>
                <w:sz w:val="24"/>
              </w:rPr>
              <w:t>1）塔基区</w:t>
            </w:r>
          </w:p>
          <w:p w14:paraId="40033FDB">
            <w:pPr>
              <w:spacing w:line="360" w:lineRule="auto"/>
              <w:ind w:firstLine="480" w:firstLineChars="200"/>
              <w:rPr>
                <w:color w:val="000000"/>
                <w:sz w:val="24"/>
              </w:rPr>
            </w:pPr>
            <w:r>
              <w:rPr>
                <w:rFonts w:hint="eastAsia"/>
                <w:color w:val="000000"/>
                <w:sz w:val="24"/>
              </w:rPr>
              <w:t>塔基区施工前开挖扰动区域进行表土剥离，剥离的表土临时堆放在塔基临时施工场地进行防护，施工过程中对临时堆土采取彩条布铺垫、密目网苫盖、编织袋拦挡、彩条旗围护等措施。施工结束后将基础余土在塔基区征地范围内平整压实，并及时采取表土回覆、土地整治措施，以利于后期进行植被恢复。</w:t>
            </w:r>
          </w:p>
          <w:p w14:paraId="44EF716C">
            <w:pPr>
              <w:spacing w:line="360" w:lineRule="auto"/>
              <w:ind w:firstLine="480" w:firstLineChars="200"/>
              <w:rPr>
                <w:color w:val="000000"/>
                <w:sz w:val="24"/>
              </w:rPr>
            </w:pPr>
            <w:r>
              <w:rPr>
                <w:rFonts w:hint="eastAsia"/>
                <w:color w:val="000000"/>
                <w:sz w:val="24"/>
              </w:rPr>
              <w:t>2）牵张场地区</w:t>
            </w:r>
          </w:p>
          <w:p w14:paraId="236DFFB0">
            <w:pPr>
              <w:spacing w:line="360" w:lineRule="auto"/>
              <w:ind w:firstLine="480" w:firstLineChars="200"/>
              <w:rPr>
                <w:color w:val="000000"/>
                <w:sz w:val="24"/>
              </w:rPr>
            </w:pPr>
            <w:r>
              <w:rPr>
                <w:rFonts w:hint="eastAsia"/>
                <w:color w:val="000000"/>
                <w:sz w:val="24"/>
              </w:rPr>
              <w:t>施工前在牵张场地内采取彩条旗围护等临时防护措施。施工完成后，压占场地进行土地整治，以利于后期进行植被恢复。</w:t>
            </w:r>
          </w:p>
          <w:p w14:paraId="1E132139">
            <w:pPr>
              <w:spacing w:line="360" w:lineRule="auto"/>
              <w:ind w:firstLine="480" w:firstLineChars="200"/>
              <w:rPr>
                <w:sz w:val="24"/>
                <w:u w:val="none"/>
              </w:rPr>
            </w:pPr>
            <w:r>
              <w:rPr>
                <w:rFonts w:hint="eastAsia"/>
                <w:sz w:val="24"/>
                <w:lang w:val="en-US" w:eastAsia="zh-CN"/>
              </w:rPr>
              <w:t>3）</w:t>
            </w:r>
            <w:r>
              <w:rPr>
                <w:rFonts w:hint="eastAsia"/>
                <w:sz w:val="24"/>
                <w:u w:val="none"/>
              </w:rPr>
              <w:t>跨越场地区</w:t>
            </w:r>
          </w:p>
          <w:p w14:paraId="2A8C1C7C">
            <w:pPr>
              <w:spacing w:line="360" w:lineRule="auto"/>
              <w:ind w:firstLine="480" w:firstLineChars="200"/>
              <w:rPr>
                <w:sz w:val="24"/>
                <w:szCs w:val="32"/>
              </w:rPr>
            </w:pPr>
            <w:r>
              <w:rPr>
                <w:rFonts w:hint="eastAsia"/>
                <w:sz w:val="24"/>
                <w:u w:val="none"/>
              </w:rPr>
              <w:t>在跨越场地区施工期间，为保护土地占用，施工前设置警示标志和围栏，剥离表土并妥善存放；施工中严格规范操作，避免对周边土地造成额外破坏，并采取临时防护措施减少土地扰动；施工结束后，及时清理场地，平整土地并回覆表土，恢复土地原貌，确保土地占用得到合理控制和有效保护。</w:t>
            </w:r>
          </w:p>
          <w:p w14:paraId="45B40C94">
            <w:pPr>
              <w:pStyle w:val="33"/>
              <w:numPr>
                <w:ilvl w:val="1"/>
                <w:numId w:val="18"/>
              </w:numPr>
              <w:ind w:left="425" w:leftChars="0" w:firstLine="0"/>
              <w:jc w:val="left"/>
              <w:rPr>
                <w:b/>
                <w:color w:val="000000"/>
                <w:szCs w:val="21"/>
              </w:rPr>
            </w:pPr>
            <w:r>
              <w:rPr>
                <w:rFonts w:hint="eastAsia"/>
                <w:b/>
                <w:color w:val="000000"/>
                <w:szCs w:val="21"/>
              </w:rPr>
              <w:t>植物</w:t>
            </w:r>
            <w:r>
              <w:rPr>
                <w:b/>
                <w:color w:val="000000"/>
                <w:szCs w:val="21"/>
              </w:rPr>
              <w:t>保护措施</w:t>
            </w:r>
          </w:p>
          <w:p w14:paraId="755366AC">
            <w:pPr>
              <w:pStyle w:val="11"/>
            </w:pPr>
            <w:r>
              <w:rPr>
                <w:rFonts w:hint="eastAsia"/>
              </w:rPr>
              <w:t>（1）合理规划、设计施工便道及场地，严格控制施工道路宽度，并要求各种机械和车辆固定行车路线，不能随意下道行驶或另开辟便道，禁止对施工区以外地区进行碾压和破坏，以保证周围</w:t>
            </w:r>
            <w:r>
              <w:rPr>
                <w:rFonts w:hint="eastAsia"/>
                <w:lang w:val="en-US" w:eastAsia="zh-CN"/>
              </w:rPr>
              <w:t>植被</w:t>
            </w:r>
            <w:r>
              <w:rPr>
                <w:rFonts w:hint="eastAsia"/>
              </w:rPr>
              <w:t>不受破坏。</w:t>
            </w:r>
          </w:p>
          <w:p w14:paraId="36587C5B">
            <w:pPr>
              <w:pStyle w:val="11"/>
            </w:pPr>
            <w:r>
              <w:rPr>
                <w:rFonts w:hint="eastAsia"/>
              </w:rPr>
              <w:t>（2）材料运输过程中对施工道路进行合理的选择，施工运输道路一般为单</w:t>
            </w:r>
            <w:r>
              <w:rPr>
                <w:rFonts w:hint="eastAsia"/>
                <w:lang w:val="en-US" w:eastAsia="zh-CN"/>
              </w:rPr>
              <w:t>车</w:t>
            </w:r>
            <w:r>
              <w:rPr>
                <w:rFonts w:hint="eastAsia"/>
              </w:rPr>
              <w:t>道，尽量避免过多扰动原地貌，避免在植被完好的地段进行道路修筑工作。对运至塔位的塔材，选择合适的位置进行堆放，减少场地的占用。</w:t>
            </w:r>
          </w:p>
          <w:p w14:paraId="53B2E483">
            <w:pPr>
              <w:pStyle w:val="11"/>
            </w:pPr>
            <w:r>
              <w:rPr>
                <w:rFonts w:hint="eastAsia"/>
              </w:rPr>
              <w:t>（3）施工时应在工期安排上合理有序，先设置围栏措施，后进行工程建设尽量减少对地表和植被的破坏，除施工必须不得不铲除或碾压植被外，不允许以其它任何理由铲除植被，以减少对生态环境的破坏。</w:t>
            </w:r>
          </w:p>
          <w:p w14:paraId="3BCD96B6">
            <w:pPr>
              <w:pStyle w:val="11"/>
            </w:pPr>
            <w:r>
              <w:rPr>
                <w:rFonts w:hint="eastAsia"/>
              </w:rPr>
              <w:t>（</w:t>
            </w:r>
            <w:r>
              <w:t>4</w:t>
            </w:r>
            <w:r>
              <w:rPr>
                <w:rFonts w:hint="eastAsia"/>
              </w:rPr>
              <w:t>）基坑开挖尽量保持坑壁成型完好，并做好临时堆土的挡护及</w:t>
            </w:r>
            <w:r>
              <w:rPr>
                <w:rFonts w:hint="eastAsia"/>
                <w:lang w:eastAsia="zh-CN"/>
              </w:rPr>
              <w:t>苫盖</w:t>
            </w:r>
            <w:r>
              <w:rPr>
                <w:rFonts w:hint="eastAsia"/>
              </w:rPr>
              <w:t>，基础坑开挖好后应尽快浇筑混凝土。</w:t>
            </w:r>
          </w:p>
          <w:p w14:paraId="553DDD60">
            <w:pPr>
              <w:pStyle w:val="11"/>
            </w:pPr>
            <w:r>
              <w:rPr>
                <w:rFonts w:hint="eastAsia"/>
              </w:rPr>
              <w:t>（5）严格控制施工范围，应尽量控制作业面，施工后期对临时占用的裸土地进行土地整治，恢复原有土地功能。</w:t>
            </w:r>
          </w:p>
          <w:p w14:paraId="271A46E3">
            <w:pPr>
              <w:pStyle w:val="11"/>
            </w:pPr>
            <w:r>
              <w:rPr>
                <w:rFonts w:hint="eastAsia"/>
              </w:rPr>
              <w:t>（6）在植被生长较好的区域施工时，地表土壤采取分层开挖，顺序回填。</w:t>
            </w:r>
          </w:p>
          <w:p w14:paraId="4820EBC4">
            <w:pPr>
              <w:pStyle w:val="33"/>
              <w:numPr>
                <w:ilvl w:val="1"/>
                <w:numId w:val="18"/>
              </w:numPr>
              <w:ind w:left="425" w:leftChars="0" w:firstLine="0"/>
              <w:jc w:val="left"/>
              <w:rPr>
                <w:b/>
                <w:color w:val="000000"/>
                <w:szCs w:val="21"/>
              </w:rPr>
            </w:pPr>
            <w:r>
              <w:rPr>
                <w:rFonts w:hint="eastAsia"/>
                <w:b/>
                <w:color w:val="000000"/>
                <w:szCs w:val="21"/>
              </w:rPr>
              <w:t>动物</w:t>
            </w:r>
            <w:r>
              <w:rPr>
                <w:b/>
                <w:color w:val="000000"/>
                <w:szCs w:val="21"/>
              </w:rPr>
              <w:t>保护措施</w:t>
            </w:r>
          </w:p>
          <w:p w14:paraId="2A6B8217">
            <w:pPr>
              <w:pStyle w:val="11"/>
              <w:rPr>
                <w:color w:val="000000"/>
              </w:rPr>
            </w:pPr>
            <w:r>
              <w:rPr>
                <w:color w:val="000000"/>
              </w:rPr>
              <w:t>（1）加强施工人员的环境保护教育，提高施工人员和相关管理人员的环保意识，严禁出现随意捕杀野生动物的行为。</w:t>
            </w:r>
          </w:p>
          <w:p w14:paraId="45EB4F0A">
            <w:pPr>
              <w:pStyle w:val="11"/>
              <w:rPr>
                <w:color w:val="000000"/>
              </w:rPr>
            </w:pPr>
            <w:r>
              <w:rPr>
                <w:color w:val="000000"/>
              </w:rPr>
              <w:t>（2）采用低噪声的机械等施工设备，禁止</w:t>
            </w:r>
            <w:r>
              <w:rPr>
                <w:rFonts w:hint="eastAsia"/>
                <w:color w:val="000000"/>
              </w:rPr>
              <w:t>夜间</w:t>
            </w:r>
            <w:r>
              <w:rPr>
                <w:color w:val="000000"/>
              </w:rPr>
              <w:t>高噪声的活动，减少施工活动噪声对野生动物的驱赶效应。</w:t>
            </w:r>
          </w:p>
          <w:p w14:paraId="52A7C8A5">
            <w:pPr>
              <w:pStyle w:val="11"/>
              <w:rPr>
                <w:color w:val="000000"/>
              </w:rPr>
            </w:pPr>
            <w:r>
              <w:rPr>
                <w:color w:val="000000"/>
              </w:rPr>
              <w:t>（3）</w:t>
            </w:r>
            <w:r>
              <w:rPr>
                <w:rFonts w:hint="eastAsia"/>
              </w:rPr>
              <w:t>塔基基坑开挖阶段应设置必要的基坑围挡或基坑盖板，防止野生动物进入施工区域后发生坠落伤害</w:t>
            </w:r>
            <w:r>
              <w:rPr>
                <w:color w:val="000000"/>
              </w:rPr>
              <w:t>。</w:t>
            </w:r>
          </w:p>
          <w:p w14:paraId="7A3F4E53">
            <w:pPr>
              <w:pStyle w:val="11"/>
              <w:rPr>
                <w:color w:val="000000"/>
              </w:rPr>
            </w:pPr>
            <w:r>
              <w:rPr>
                <w:color w:val="000000"/>
              </w:rPr>
              <w:t>（4）施工结束后，对施工扰动区域及临时占地区域进行原生态恢复，恢复野生动物生境。</w:t>
            </w:r>
          </w:p>
          <w:p w14:paraId="35CD0C8D">
            <w:pPr>
              <w:pStyle w:val="33"/>
              <w:numPr>
                <w:ilvl w:val="1"/>
                <w:numId w:val="18"/>
              </w:numPr>
              <w:ind w:left="425" w:leftChars="0" w:firstLine="0"/>
              <w:jc w:val="left"/>
              <w:rPr>
                <w:b/>
                <w:color w:val="000000"/>
              </w:rPr>
            </w:pPr>
            <w:r>
              <w:rPr>
                <w:rFonts w:hint="eastAsia"/>
                <w:b/>
                <w:color w:val="000000"/>
              </w:rPr>
              <w:t>线路经过不同生态单元施工期的主要环保措施</w:t>
            </w:r>
          </w:p>
          <w:p w14:paraId="6ECE9F8C">
            <w:pPr>
              <w:pStyle w:val="11"/>
              <w:rPr>
                <w:rFonts w:hint="eastAsia" w:eastAsia="宋体"/>
                <w:lang w:val="en-US" w:eastAsia="zh-CN"/>
              </w:rPr>
            </w:pPr>
            <w:r>
              <w:rPr>
                <w:rFonts w:hint="eastAsia"/>
              </w:rPr>
              <w:t>（1）</w:t>
            </w:r>
            <w:r>
              <w:rPr>
                <w:rFonts w:hint="eastAsia"/>
                <w:lang w:val="en-US" w:eastAsia="zh-CN"/>
              </w:rPr>
              <w:t>林地</w:t>
            </w:r>
          </w:p>
          <w:p w14:paraId="18D5E6EC">
            <w:pPr>
              <w:pStyle w:val="11"/>
              <w:rPr>
                <w:rFonts w:hint="eastAsia"/>
              </w:rPr>
            </w:pPr>
            <w:r>
              <w:rPr>
                <w:rFonts w:hint="eastAsia"/>
                <w:b w:val="0"/>
                <w:bCs/>
                <w:szCs w:val="21"/>
                <w:lang w:val="en-US" w:eastAsia="zh-CN"/>
              </w:rPr>
              <w:t>本工程占用的林地区域不涉及国家级、自治区级保护的珍稀濒危野生植物集中分布区，不涉及古树名木的生长区域，也不涉及国家一级公益林，林地占用区域的植被种类主要为区域内常见种类。</w:t>
            </w:r>
            <w:r>
              <w:t>严格控制施工范围，尽量减少地表扰动和植被损坏范围，杆塔定位选择在林区边缘地带，避免对林区造成大面积损坏，严格规范车辆行驶路线，合理设置临时占地，施工临时占地尽量利用植被少的空旷地</w:t>
            </w:r>
            <w:r>
              <w:rPr>
                <w:color w:val="000000"/>
              </w:rPr>
              <w:t>。</w:t>
            </w:r>
            <w:r>
              <w:rPr>
                <w:rFonts w:hint="eastAsia"/>
                <w:b w:val="0"/>
                <w:bCs/>
                <w:szCs w:val="21"/>
                <w:lang w:val="en-US" w:eastAsia="zh-CN"/>
              </w:rPr>
              <w:t>在施工结束后通过对临时占地区和施工扰动区裸露地表采取植被恢复措施后，工程区被破坏的植被可得到有效恢复，对土地占用影响很小。</w:t>
            </w:r>
          </w:p>
          <w:p w14:paraId="100CF8CF">
            <w:pPr>
              <w:pStyle w:val="11"/>
              <w:rPr>
                <w:rFonts w:hint="eastAsia" w:eastAsia="宋体"/>
                <w:lang w:eastAsia="zh-CN"/>
              </w:rPr>
            </w:pPr>
            <w:r>
              <w:rPr>
                <w:rFonts w:hint="eastAsia"/>
                <w:lang w:eastAsia="zh-CN"/>
              </w:rPr>
              <w:t>（</w:t>
            </w:r>
            <w:r>
              <w:rPr>
                <w:rFonts w:hint="eastAsia"/>
                <w:lang w:val="en-US" w:eastAsia="zh-CN"/>
              </w:rPr>
              <w:t>2）</w:t>
            </w:r>
            <w:r>
              <w:rPr>
                <w:rFonts w:hint="eastAsia"/>
              </w:rPr>
              <w:t>其他</w:t>
            </w:r>
            <w:r>
              <w:rPr>
                <w:rFonts w:hint="eastAsia"/>
                <w:lang w:val="en-US" w:eastAsia="zh-CN"/>
              </w:rPr>
              <w:t>土地</w:t>
            </w:r>
          </w:p>
          <w:p w14:paraId="592441D8">
            <w:pPr>
              <w:pStyle w:val="11"/>
            </w:pPr>
            <w:r>
              <w:rPr>
                <w:rFonts w:hint="eastAsia"/>
              </w:rPr>
              <w:t>①尽量利用已有</w:t>
            </w:r>
            <w:r>
              <w:rPr>
                <w:rFonts w:hint="eastAsia"/>
                <w:lang w:val="en-US" w:eastAsia="zh-CN"/>
              </w:rPr>
              <w:t>道路</w:t>
            </w:r>
            <w:r>
              <w:rPr>
                <w:rFonts w:hint="eastAsia"/>
              </w:rPr>
              <w:t>，不随意开辟新的施工便道。</w:t>
            </w:r>
          </w:p>
          <w:p w14:paraId="5593466F">
            <w:pPr>
              <w:pStyle w:val="11"/>
            </w:pPr>
            <w:r>
              <w:rPr>
                <w:rFonts w:hint="eastAsia"/>
              </w:rPr>
              <w:t>②严格按照设计的塔基占地面积、基础型式等要求开挖，避免挖土方的大量运输和回填。</w:t>
            </w:r>
          </w:p>
          <w:p w14:paraId="5750DBE9">
            <w:pPr>
              <w:pStyle w:val="11"/>
            </w:pPr>
            <w:r>
              <w:rPr>
                <w:rFonts w:hint="eastAsia"/>
              </w:rPr>
              <w:t>③控制施工扰动面积，尽量减少开挖量和开挖裸露面，施工结束后及时进行迹地恢复，减少地表裸露时间，</w:t>
            </w:r>
            <w:r>
              <w:rPr>
                <w:rFonts w:hint="eastAsia"/>
                <w:lang w:val="en-US" w:eastAsia="zh-CN"/>
              </w:rPr>
              <w:t>减轻</w:t>
            </w:r>
            <w:r>
              <w:rPr>
                <w:rFonts w:hint="eastAsia"/>
              </w:rPr>
              <w:t>水土流失，降低由此可能产生的不良水质影响。</w:t>
            </w:r>
          </w:p>
          <w:p w14:paraId="257913DE">
            <w:pPr>
              <w:pStyle w:val="11"/>
            </w:pPr>
            <w:r>
              <w:rPr>
                <w:rFonts w:hint="eastAsia"/>
              </w:rPr>
              <w:t>④在塔基基础施工完，以及杆塔立完后，应按设计要求对塔基基础、塔杆根部进行压实平整。</w:t>
            </w:r>
          </w:p>
          <w:p w14:paraId="68A02846">
            <w:pPr>
              <w:pStyle w:val="33"/>
              <w:numPr>
                <w:ilvl w:val="1"/>
                <w:numId w:val="18"/>
              </w:numPr>
              <w:ind w:left="425" w:firstLine="0"/>
              <w:jc w:val="left"/>
              <w:rPr>
                <w:rFonts w:hint="eastAsia" w:eastAsia="宋体"/>
                <w:b/>
                <w:color w:val="000000"/>
                <w:lang w:val="en-US" w:eastAsia="zh-CN"/>
              </w:rPr>
            </w:pPr>
            <w:r>
              <w:rPr>
                <w:rFonts w:hint="eastAsia"/>
                <w:b/>
                <w:color w:val="000000"/>
                <w:lang w:val="en-US" w:eastAsia="zh-CN"/>
              </w:rPr>
              <w:t>防沙固沙措施</w:t>
            </w:r>
          </w:p>
          <w:p w14:paraId="788F098D">
            <w:pPr>
              <w:pStyle w:val="11"/>
            </w:pPr>
            <w:r>
              <w:rPr>
                <w:rFonts w:hint="eastAsia"/>
              </w:rPr>
              <w:t>工程施工期，</w:t>
            </w:r>
            <w:r>
              <w:t>应特别加强塔基及施工场地区、</w:t>
            </w:r>
            <w:r>
              <w:rPr>
                <w:rFonts w:hint="eastAsia"/>
                <w:lang w:val="en-US" w:eastAsia="zh-CN"/>
              </w:rPr>
              <w:t>跨越施工场地</w:t>
            </w:r>
            <w:r>
              <w:t>区的水土流失防治。施工期间采取工程措施和临时措施相结合的方法对水土流失重点区域进行重点防护，本工程防治措施应从</w:t>
            </w:r>
            <w:r>
              <w:rPr>
                <w:rFonts w:hint="eastAsia"/>
              </w:rPr>
              <w:t>原地貌恢复</w:t>
            </w:r>
            <w:r>
              <w:t>、临时苫盖等几个主要方面入手。</w:t>
            </w:r>
          </w:p>
          <w:p w14:paraId="6DFC58EA">
            <w:pPr>
              <w:pStyle w:val="11"/>
            </w:pPr>
            <w:r>
              <w:rPr>
                <w:rFonts w:hint="eastAsia"/>
              </w:rPr>
              <w:t>（1）工程措施</w:t>
            </w:r>
          </w:p>
          <w:p w14:paraId="6A27AA07">
            <w:pPr>
              <w:pStyle w:val="11"/>
            </w:pPr>
            <w:r>
              <w:rPr>
                <w:rFonts w:hint="eastAsia"/>
              </w:rPr>
              <w:t>项目施工结束后对硬化区外区域进行土地平整，用于自然恢复。</w:t>
            </w:r>
          </w:p>
          <w:p w14:paraId="347FE31C">
            <w:pPr>
              <w:pStyle w:val="11"/>
            </w:pPr>
            <w:r>
              <w:rPr>
                <w:rFonts w:hint="eastAsia"/>
              </w:rPr>
              <w:t>（</w:t>
            </w:r>
            <w:r>
              <w:t>2</w:t>
            </w:r>
            <w:r>
              <w:rPr>
                <w:rFonts w:hint="eastAsia"/>
              </w:rPr>
              <w:t>）临时措施</w:t>
            </w:r>
          </w:p>
          <w:p w14:paraId="5F452480">
            <w:pPr>
              <w:pStyle w:val="11"/>
              <w:rPr>
                <w:color w:val="000000"/>
              </w:rPr>
            </w:pPr>
            <w:r>
              <w:rPr>
                <w:rFonts w:hint="eastAsia"/>
              </w:rPr>
              <w:t>施工过程中，基础挖出的土方临时堆放在基坑旁，由于开挖面为松散的土方，在堆放过程中若不对这些临时堆土采取相应的防护措施，在工程区多风的自然条件下会产生较大的水土流失。可以采取铺设碎石、机械压实、洒水和防尘网等临时防护措施，减少水土流失。</w:t>
            </w:r>
          </w:p>
          <w:p w14:paraId="0E8000F4">
            <w:pPr>
              <w:numPr>
                <w:ilvl w:val="0"/>
                <w:numId w:val="17"/>
              </w:numPr>
              <w:spacing w:line="360" w:lineRule="auto"/>
              <w:rPr>
                <w:b/>
                <w:color w:val="000000"/>
                <w:kern w:val="0"/>
                <w:sz w:val="24"/>
                <w:szCs w:val="21"/>
              </w:rPr>
            </w:pPr>
            <w:r>
              <w:rPr>
                <w:b/>
                <w:color w:val="000000"/>
                <w:kern w:val="0"/>
                <w:sz w:val="24"/>
                <w:szCs w:val="21"/>
              </w:rPr>
              <w:t>施工期声环境污染控制措施</w:t>
            </w:r>
          </w:p>
          <w:p w14:paraId="1EDE7D70">
            <w:pPr>
              <w:tabs>
                <w:tab w:val="left" w:pos="720"/>
              </w:tabs>
              <w:adjustRightInd w:val="0"/>
              <w:snapToGrid w:val="0"/>
              <w:spacing w:line="360" w:lineRule="auto"/>
              <w:ind w:firstLine="480" w:firstLineChars="200"/>
              <w:rPr>
                <w:color w:val="000000"/>
                <w:sz w:val="24"/>
              </w:rPr>
            </w:pPr>
            <w:r>
              <w:rPr>
                <w:rFonts w:hint="eastAsia"/>
                <w:color w:val="000000"/>
                <w:sz w:val="24"/>
              </w:rPr>
              <w:t>（1）要求施工单位文明施工，加强施工期的环境管理和环境监控工作，并接受生态环境主管部门的监督管理。</w:t>
            </w:r>
          </w:p>
          <w:p w14:paraId="20B9ED76">
            <w:pPr>
              <w:tabs>
                <w:tab w:val="left" w:pos="720"/>
              </w:tabs>
              <w:adjustRightInd w:val="0"/>
              <w:snapToGrid w:val="0"/>
              <w:spacing w:line="360" w:lineRule="auto"/>
              <w:ind w:firstLine="480" w:firstLineChars="200"/>
              <w:rPr>
                <w:color w:val="000000"/>
                <w:sz w:val="24"/>
              </w:rPr>
            </w:pPr>
            <w:r>
              <w:rPr>
                <w:rFonts w:hint="eastAsia"/>
                <w:color w:val="000000"/>
                <w:sz w:val="24"/>
              </w:rPr>
              <w:t>（2）按《中华人民共和国环境噪声污染防治法》的规定，在噪声敏感建筑物集中区域施工作业，应当优先使用低噪声施工工艺和设备。</w:t>
            </w:r>
          </w:p>
          <w:p w14:paraId="616CB9F4">
            <w:pPr>
              <w:tabs>
                <w:tab w:val="left" w:pos="720"/>
              </w:tabs>
              <w:adjustRightInd w:val="0"/>
              <w:snapToGrid w:val="0"/>
              <w:spacing w:line="360" w:lineRule="auto"/>
              <w:ind w:firstLine="480" w:firstLineChars="200"/>
              <w:rPr>
                <w:color w:val="000000"/>
                <w:sz w:val="24"/>
              </w:rPr>
            </w:pPr>
            <w:r>
              <w:rPr>
                <w:rFonts w:hint="eastAsia"/>
                <w:color w:val="000000"/>
                <w:sz w:val="24"/>
              </w:rPr>
              <w:t>（3）优化施工方案，合理安排工期，依法限制夜间施工。按《中华人民共和国噪声污染防治法》的规定，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14:paraId="1E311B97">
            <w:pPr>
              <w:tabs>
                <w:tab w:val="left" w:pos="720"/>
              </w:tabs>
              <w:adjustRightInd w:val="0"/>
              <w:snapToGrid w:val="0"/>
              <w:spacing w:line="360" w:lineRule="auto"/>
              <w:ind w:firstLine="480" w:firstLineChars="200"/>
              <w:rPr>
                <w:color w:val="000000"/>
                <w:sz w:val="24"/>
              </w:rPr>
            </w:pPr>
            <w:r>
              <w:rPr>
                <w:rFonts w:hint="eastAsia"/>
                <w:color w:val="000000"/>
                <w:sz w:val="24"/>
              </w:rPr>
              <w:t>（4）加强施工车辆在施工区附近的交通管理，当车辆途经附近居民点时，限速行驶、不高音鸣笛，以减少施工车辆行驶对沿途居民点的噪声影响。</w:t>
            </w:r>
          </w:p>
          <w:p w14:paraId="1198E601">
            <w:pPr>
              <w:tabs>
                <w:tab w:val="left" w:pos="720"/>
              </w:tabs>
              <w:adjustRightInd w:val="0"/>
              <w:snapToGrid w:val="0"/>
              <w:spacing w:line="360" w:lineRule="auto"/>
              <w:ind w:firstLine="480" w:firstLineChars="200"/>
              <w:rPr>
                <w:color w:val="000000"/>
                <w:sz w:val="24"/>
              </w:rPr>
            </w:pPr>
            <w:r>
              <w:rPr>
                <w:rFonts w:hint="eastAsia"/>
                <w:color w:val="000000"/>
                <w:sz w:val="24"/>
              </w:rPr>
              <w:t>（5）避免在同一地点安排大量动力机械设备，以避免局部声级过高。</w:t>
            </w:r>
          </w:p>
          <w:p w14:paraId="12EBBBA1">
            <w:pPr>
              <w:tabs>
                <w:tab w:val="left" w:pos="720"/>
              </w:tabs>
              <w:adjustRightInd w:val="0"/>
              <w:snapToGrid w:val="0"/>
              <w:spacing w:line="360" w:lineRule="auto"/>
              <w:ind w:firstLine="480" w:firstLineChars="200"/>
              <w:rPr>
                <w:color w:val="000000"/>
                <w:sz w:val="24"/>
              </w:rPr>
            </w:pPr>
            <w:r>
              <w:rPr>
                <w:rFonts w:hint="eastAsia"/>
                <w:color w:val="000000"/>
                <w:sz w:val="24"/>
              </w:rPr>
              <w:t>（6）对动力机械设备进行定期维修、养护，避免设备因部件松动的振动或消声器的损坏而加大其工作时声级。</w:t>
            </w:r>
          </w:p>
          <w:p w14:paraId="1A929B6F">
            <w:pPr>
              <w:numPr>
                <w:ilvl w:val="0"/>
                <w:numId w:val="17"/>
              </w:numPr>
              <w:spacing w:line="360" w:lineRule="auto"/>
              <w:rPr>
                <w:b/>
                <w:color w:val="000000"/>
                <w:kern w:val="0"/>
                <w:sz w:val="24"/>
                <w:szCs w:val="21"/>
              </w:rPr>
            </w:pPr>
            <w:r>
              <w:rPr>
                <w:b/>
                <w:color w:val="000000"/>
                <w:kern w:val="0"/>
                <w:sz w:val="24"/>
                <w:szCs w:val="21"/>
              </w:rPr>
              <w:t>施工期</w:t>
            </w:r>
            <w:r>
              <w:rPr>
                <w:rFonts w:hint="eastAsia"/>
                <w:b/>
                <w:color w:val="000000"/>
                <w:kern w:val="0"/>
                <w:sz w:val="24"/>
                <w:szCs w:val="21"/>
              </w:rPr>
              <w:t>环境</w:t>
            </w:r>
            <w:r>
              <w:rPr>
                <w:b/>
                <w:color w:val="000000"/>
                <w:kern w:val="0"/>
                <w:sz w:val="24"/>
                <w:szCs w:val="21"/>
              </w:rPr>
              <w:t>空气污染控制措施</w:t>
            </w:r>
          </w:p>
          <w:p w14:paraId="720D51BD">
            <w:pPr>
              <w:adjustRightInd w:val="0"/>
              <w:snapToGrid w:val="0"/>
              <w:spacing w:line="360" w:lineRule="auto"/>
              <w:ind w:firstLine="480" w:firstLineChars="200"/>
              <w:rPr>
                <w:color w:val="000000"/>
                <w:sz w:val="24"/>
              </w:rPr>
            </w:pPr>
            <w:r>
              <w:rPr>
                <w:color w:val="000000"/>
                <w:sz w:val="24"/>
              </w:rPr>
              <w:t>（1）施工单位应文明施工，加强施工期的环境管理和环境监控工作。</w:t>
            </w:r>
          </w:p>
          <w:p w14:paraId="2756CBB4">
            <w:pPr>
              <w:adjustRightInd w:val="0"/>
              <w:snapToGrid w:val="0"/>
              <w:spacing w:line="360" w:lineRule="auto"/>
              <w:ind w:firstLine="480" w:firstLineChars="200"/>
              <w:rPr>
                <w:color w:val="000000"/>
                <w:sz w:val="24"/>
              </w:rPr>
            </w:pPr>
            <w:r>
              <w:rPr>
                <w:color w:val="000000"/>
                <w:sz w:val="24"/>
              </w:rPr>
              <w:t>（2）施工产生的建筑垃圾等要合理堆放，应定期清运。</w:t>
            </w:r>
          </w:p>
          <w:p w14:paraId="1E8B202B">
            <w:pPr>
              <w:adjustRightInd w:val="0"/>
              <w:snapToGrid w:val="0"/>
              <w:spacing w:line="360" w:lineRule="auto"/>
              <w:ind w:firstLine="480" w:firstLineChars="200"/>
              <w:rPr>
                <w:color w:val="000000"/>
                <w:sz w:val="24"/>
              </w:rPr>
            </w:pPr>
            <w:r>
              <w:rPr>
                <w:color w:val="000000"/>
                <w:sz w:val="24"/>
              </w:rPr>
              <w:t>（3）车辆运输土方</w:t>
            </w:r>
            <w:r>
              <w:rPr>
                <w:rFonts w:hint="eastAsia"/>
                <w:color w:val="000000"/>
                <w:sz w:val="24"/>
              </w:rPr>
              <w:t>或散体材料</w:t>
            </w:r>
            <w:r>
              <w:rPr>
                <w:color w:val="000000"/>
                <w:sz w:val="24"/>
              </w:rPr>
              <w:t>时，必须密闭、包扎、覆盖，避免沿途漏撒，并且在规定的时间内按指定路段行驶，控制扬尘污染。</w:t>
            </w:r>
          </w:p>
          <w:p w14:paraId="09FE062C">
            <w:pPr>
              <w:adjustRightInd w:val="0"/>
              <w:snapToGrid w:val="0"/>
              <w:spacing w:line="360" w:lineRule="auto"/>
              <w:ind w:firstLine="480" w:firstLineChars="200"/>
              <w:rPr>
                <w:color w:val="000000"/>
                <w:sz w:val="24"/>
              </w:rPr>
            </w:pPr>
            <w:r>
              <w:rPr>
                <w:color w:val="000000"/>
                <w:sz w:val="24"/>
              </w:rPr>
              <w:t>（4）加强材料转运与使用的管理，合理装卸，规范操作。</w:t>
            </w:r>
          </w:p>
          <w:p w14:paraId="60337E04">
            <w:pPr>
              <w:adjustRightInd w:val="0"/>
              <w:snapToGrid w:val="0"/>
              <w:spacing w:line="360" w:lineRule="auto"/>
              <w:ind w:firstLine="480" w:firstLineChars="200"/>
              <w:rPr>
                <w:color w:val="000000"/>
                <w:sz w:val="24"/>
              </w:rPr>
            </w:pPr>
            <w:r>
              <w:rPr>
                <w:color w:val="000000"/>
                <w:sz w:val="24"/>
              </w:rPr>
              <w:t>（5）</w:t>
            </w:r>
            <w:r>
              <w:rPr>
                <w:rFonts w:hint="eastAsia"/>
                <w:sz w:val="24"/>
              </w:rPr>
              <w:t>对易起尘的临时堆土、运输过程中的土石方等采取密闭式防尘布（网）进行苫盖，道路及施工面集中且有条件的地方宜采取洒水抑尘等有效措施，减少易造成大气污染的施工作业</w:t>
            </w:r>
            <w:r>
              <w:rPr>
                <w:color w:val="000000"/>
                <w:sz w:val="24"/>
              </w:rPr>
              <w:t>。</w:t>
            </w:r>
          </w:p>
          <w:p w14:paraId="68AB9E40">
            <w:pPr>
              <w:adjustRightInd w:val="0"/>
              <w:snapToGrid w:val="0"/>
              <w:spacing w:line="360" w:lineRule="auto"/>
              <w:ind w:firstLine="480" w:firstLineChars="200"/>
              <w:rPr>
                <w:color w:val="000000"/>
                <w:sz w:val="24"/>
              </w:rPr>
            </w:pPr>
            <w:r>
              <w:rPr>
                <w:rFonts w:hint="eastAsia"/>
                <w:color w:val="000000"/>
                <w:sz w:val="24"/>
              </w:rPr>
              <w:t>（6）对裸露地面进行覆盖，施工现场禁止将包装物、可燃垃圾等固体废弃物就地焚烧。</w:t>
            </w:r>
          </w:p>
          <w:p w14:paraId="1275ED8F">
            <w:pPr>
              <w:pStyle w:val="4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color w:val="000000"/>
                <w:sz w:val="24"/>
              </w:rPr>
              <w:t>（7）牵张放线时控制速度，减少线路对地表的扰动。</w:t>
            </w:r>
          </w:p>
          <w:p w14:paraId="12AD9C37">
            <w:pPr>
              <w:numPr>
                <w:ilvl w:val="0"/>
                <w:numId w:val="17"/>
              </w:numPr>
              <w:spacing w:line="360" w:lineRule="auto"/>
              <w:rPr>
                <w:b/>
                <w:color w:val="000000"/>
                <w:kern w:val="0"/>
                <w:sz w:val="24"/>
                <w:szCs w:val="21"/>
              </w:rPr>
            </w:pPr>
            <w:r>
              <w:rPr>
                <w:b/>
                <w:color w:val="000000"/>
                <w:kern w:val="0"/>
                <w:sz w:val="24"/>
                <w:szCs w:val="21"/>
              </w:rPr>
              <w:t>施工期水环境污染控制措施</w:t>
            </w:r>
          </w:p>
          <w:p w14:paraId="0526C1DF">
            <w:pPr>
              <w:pStyle w:val="11"/>
              <w:rPr>
                <w:color w:val="000000"/>
              </w:rPr>
            </w:pPr>
            <w:r>
              <w:rPr>
                <w:color w:val="000000"/>
              </w:rPr>
              <w:t>（</w:t>
            </w:r>
            <w:r>
              <w:rPr>
                <w:rFonts w:hint="eastAsia"/>
                <w:color w:val="000000"/>
              </w:rPr>
              <w:t>1</w:t>
            </w:r>
            <w:r>
              <w:rPr>
                <w:color w:val="000000"/>
              </w:rPr>
              <w:t>）变电站施工时生活污水</w:t>
            </w:r>
            <w:r>
              <w:rPr>
                <w:rFonts w:hint="eastAsia"/>
                <w:color w:val="000000"/>
              </w:rPr>
              <w:t>依托站内已有</w:t>
            </w:r>
            <w:r>
              <w:rPr>
                <w:rFonts w:hint="eastAsia"/>
                <w:color w:val="000000"/>
                <w:lang w:val="en-US" w:eastAsia="zh-CN"/>
              </w:rPr>
              <w:t>污水处理设施</w:t>
            </w:r>
            <w:r>
              <w:rPr>
                <w:color w:val="000000"/>
              </w:rPr>
              <w:t>进行处理，</w:t>
            </w:r>
            <w:r>
              <w:rPr>
                <w:rFonts w:hint="eastAsia"/>
                <w:color w:val="000000"/>
              </w:rPr>
              <w:t>不外排。</w:t>
            </w:r>
          </w:p>
          <w:p w14:paraId="733656E8">
            <w:pPr>
              <w:pStyle w:val="11"/>
              <w:rPr>
                <w:color w:val="000000"/>
              </w:rPr>
            </w:pPr>
            <w:r>
              <w:rPr>
                <w:color w:val="000000"/>
              </w:rPr>
              <w:t>（</w:t>
            </w:r>
            <w:r>
              <w:rPr>
                <w:rFonts w:hint="eastAsia"/>
                <w:color w:val="000000"/>
              </w:rPr>
              <w:t>2</w:t>
            </w:r>
            <w:r>
              <w:rPr>
                <w:color w:val="000000"/>
              </w:rPr>
              <w:t>）</w:t>
            </w:r>
            <w:r>
              <w:rPr>
                <w:rFonts w:hint="eastAsia"/>
                <w:color w:val="000000"/>
              </w:rPr>
              <w:t>对于输电线路，</w:t>
            </w:r>
            <w:r>
              <w:rPr>
                <w:rFonts w:hint="eastAsia"/>
                <w:color w:val="000000"/>
                <w:lang w:val="en-US" w:eastAsia="zh-CN"/>
              </w:rPr>
              <w:t>沿线设置移动式环保厕所，</w:t>
            </w:r>
            <w:r>
              <w:rPr>
                <w:rFonts w:hint="eastAsia"/>
                <w:color w:val="000000"/>
              </w:rPr>
              <w:t>施工期生活污水通过移动环保厕所处置，并定期清运至就近生活污水处理厂</w:t>
            </w:r>
            <w:r>
              <w:rPr>
                <w:rFonts w:ascii="宋体" w:hAnsi="宋体"/>
                <w:color w:val="000000"/>
                <w:shd w:val="clear" w:color="auto" w:fill="FFFFFF"/>
              </w:rPr>
              <w:t>，不会对周围水环境产生影响。</w:t>
            </w:r>
            <w:r>
              <w:rPr>
                <w:rFonts w:ascii="宋体" w:hAnsi="宋体"/>
                <w:shd w:val="clear" w:color="auto" w:fill="FFFFFF"/>
              </w:rPr>
              <w:t>本工程施工期产生的少量施工废水经</w:t>
            </w:r>
            <w:r>
              <w:rPr>
                <w:rFonts w:hint="eastAsia" w:ascii="宋体" w:hAnsi="宋体"/>
                <w:shd w:val="clear" w:color="auto" w:fill="FFFFFF"/>
              </w:rPr>
              <w:t>沉砂沉淀处理后，</w:t>
            </w:r>
            <w:r>
              <w:rPr>
                <w:rFonts w:ascii="宋体" w:hAnsi="宋体"/>
                <w:shd w:val="clear" w:color="auto" w:fill="FFFFFF"/>
              </w:rPr>
              <w:t>回用于施工场地喷洒抑尘，不</w:t>
            </w:r>
            <w:r>
              <w:rPr>
                <w:rFonts w:hint="eastAsia" w:ascii="宋体" w:hAnsi="宋体"/>
                <w:shd w:val="clear" w:color="auto" w:fill="FFFFFF"/>
              </w:rPr>
              <w:t>直接</w:t>
            </w:r>
            <w:r>
              <w:rPr>
                <w:rFonts w:ascii="宋体" w:hAnsi="宋体"/>
                <w:shd w:val="clear" w:color="auto" w:fill="FFFFFF"/>
              </w:rPr>
              <w:t>外排。</w:t>
            </w:r>
          </w:p>
          <w:p w14:paraId="3DA7DC0E">
            <w:pPr>
              <w:pStyle w:val="11"/>
              <w:rPr>
                <w:color w:val="000000"/>
              </w:rPr>
            </w:pPr>
            <w:r>
              <w:rPr>
                <w:rFonts w:hint="eastAsia"/>
                <w:color w:val="000000"/>
              </w:rPr>
              <w:t>（3）</w:t>
            </w:r>
            <w:r>
              <w:rPr>
                <w:color w:val="000000"/>
              </w:rPr>
              <w:t>输电线路施工人员临时租用附近村庄民房或工屋，不设置施工营地。</w:t>
            </w:r>
          </w:p>
          <w:p w14:paraId="48A0607A">
            <w:pPr>
              <w:pStyle w:val="11"/>
              <w:rPr>
                <w:color w:val="000000"/>
              </w:rPr>
            </w:pPr>
            <w:r>
              <w:rPr>
                <w:rFonts w:hint="eastAsia"/>
                <w:color w:val="000000"/>
              </w:rPr>
              <w:t>（4）施工时应先设置拦挡措施，后进行工程建设；架线时采用无人机放线等先进的施工放线工艺；施工时尽可能采用商品混凝土，如在施工现场拌合混凝土，应对砂、石料冲洗废水进行处置和循环使用。</w:t>
            </w:r>
          </w:p>
          <w:p w14:paraId="31DA519B">
            <w:pPr>
              <w:pStyle w:val="11"/>
              <w:rPr>
                <w:color w:val="000000"/>
              </w:rPr>
            </w:pPr>
            <w:r>
              <w:rPr>
                <w:color w:val="000000"/>
              </w:rPr>
              <w:t>（5）</w:t>
            </w:r>
            <w:r>
              <w:rPr>
                <w:rFonts w:hint="eastAsia"/>
                <w:color w:val="000000"/>
              </w:rPr>
              <w:t>施工结束后将物料、建筑结构养护废水集中，经过沉砂处理回用</w:t>
            </w:r>
            <w:r>
              <w:rPr>
                <w:rFonts w:hint="eastAsia"/>
                <w:color w:val="000000"/>
                <w:lang w:eastAsia="zh-CN"/>
              </w:rPr>
              <w:t>。</w:t>
            </w:r>
            <w:r>
              <w:rPr>
                <w:color w:val="000000"/>
              </w:rPr>
              <w:t xml:space="preserve"> </w:t>
            </w:r>
          </w:p>
          <w:p w14:paraId="1BD0E4D0">
            <w:pPr>
              <w:pStyle w:val="11"/>
              <w:rPr>
                <w:snapToGrid w:val="0"/>
                <w:color w:val="000000"/>
                <w:kern w:val="0"/>
                <w:szCs w:val="24"/>
              </w:rPr>
            </w:pPr>
            <w:r>
              <w:rPr>
                <w:rFonts w:hint="eastAsia"/>
                <w:color w:val="000000"/>
                <w:kern w:val="0"/>
                <w:szCs w:val="24"/>
              </w:rPr>
              <w:t>（6）对线路运行维护人员进行水环境相关知识的培训，提高他们的环境保护意识，将工程运行维护过程中产生的生活垃圾等废物妥善处置，及时消除由此带来的环境影响</w:t>
            </w:r>
            <w:r>
              <w:rPr>
                <w:rFonts w:hint="eastAsia"/>
                <w:snapToGrid w:val="0"/>
                <w:color w:val="000000"/>
                <w:kern w:val="0"/>
                <w:szCs w:val="24"/>
              </w:rPr>
              <w:t>。</w:t>
            </w:r>
          </w:p>
          <w:p w14:paraId="1504B93B">
            <w:pPr>
              <w:numPr>
                <w:ilvl w:val="0"/>
                <w:numId w:val="17"/>
              </w:numPr>
              <w:spacing w:line="360" w:lineRule="auto"/>
              <w:rPr>
                <w:b/>
                <w:color w:val="000000"/>
                <w:kern w:val="0"/>
                <w:sz w:val="24"/>
                <w:szCs w:val="21"/>
              </w:rPr>
            </w:pPr>
            <w:r>
              <w:rPr>
                <w:b/>
                <w:color w:val="000000"/>
                <w:kern w:val="0"/>
                <w:sz w:val="24"/>
                <w:szCs w:val="21"/>
              </w:rPr>
              <w:t>固体废物污染控制措施</w:t>
            </w:r>
          </w:p>
          <w:p w14:paraId="473F300B">
            <w:pPr>
              <w:pStyle w:val="11"/>
            </w:pPr>
            <w:r>
              <w:t>为减小工程施工期固体废物对周围环境的影响，本环评要求施工单位在整个施工期采取如下施工期固体废物防治措施：</w:t>
            </w:r>
          </w:p>
          <w:p w14:paraId="1DCF0141">
            <w:pPr>
              <w:adjustRightInd w:val="0"/>
              <w:snapToGrid w:val="0"/>
              <w:spacing w:line="360" w:lineRule="auto"/>
              <w:ind w:firstLine="480" w:firstLineChars="200"/>
              <w:rPr>
                <w:sz w:val="24"/>
              </w:rPr>
            </w:pPr>
            <w:r>
              <w:rPr>
                <w:sz w:val="24"/>
              </w:rPr>
              <w:t>（1）明确要求施工过程中的建筑垃圾及生活垃圾应分别收集存放，及时清运。生活垃圾实行袋装化，封闭贮存；建筑垃圾分类堆存，并采取必要的防护措施（防雨、防扬尘等）。</w:t>
            </w:r>
          </w:p>
          <w:p w14:paraId="01A5F1C9">
            <w:pPr>
              <w:adjustRightInd w:val="0"/>
              <w:snapToGrid w:val="0"/>
              <w:spacing w:line="360" w:lineRule="auto"/>
              <w:ind w:firstLine="480" w:firstLineChars="200"/>
              <w:rPr>
                <w:sz w:val="24"/>
              </w:rPr>
            </w:pPr>
            <w:r>
              <w:rPr>
                <w:sz w:val="24"/>
              </w:rPr>
              <w:t>（2）新建输电线路塔基开挖多余土方应在塔基征地范围内进行平整，同时在表面进行</w:t>
            </w:r>
            <w:r>
              <w:rPr>
                <w:rFonts w:hint="eastAsia"/>
                <w:sz w:val="24"/>
              </w:rPr>
              <w:t>土地平整</w:t>
            </w:r>
            <w:r>
              <w:rPr>
                <w:sz w:val="24"/>
              </w:rPr>
              <w:t>。</w:t>
            </w:r>
          </w:p>
          <w:p w14:paraId="3C07A15A">
            <w:pPr>
              <w:tabs>
                <w:tab w:val="left" w:pos="720"/>
              </w:tabs>
              <w:adjustRightInd w:val="0"/>
              <w:snapToGrid w:val="0"/>
              <w:spacing w:line="360" w:lineRule="auto"/>
              <w:ind w:firstLine="480" w:firstLineChars="200"/>
              <w:rPr>
                <w:sz w:val="24"/>
              </w:rPr>
            </w:pPr>
            <w:r>
              <w:rPr>
                <w:rFonts w:hint="eastAsia"/>
                <w:sz w:val="24"/>
              </w:rPr>
              <w:t>（</w:t>
            </w:r>
            <w:r>
              <w:rPr>
                <w:sz w:val="24"/>
              </w:rPr>
              <w:t>3</w:t>
            </w:r>
            <w:r>
              <w:rPr>
                <w:rFonts w:hint="eastAsia"/>
                <w:sz w:val="24"/>
              </w:rPr>
              <w:t>）施工结束后对施工区域再次进行清理，做到“工完、料尽、场地清”。</w:t>
            </w:r>
          </w:p>
          <w:p w14:paraId="79354C3C">
            <w:pPr>
              <w:pStyle w:val="11"/>
            </w:pPr>
            <w:r>
              <w:t>在采取了上述固体废物防治措施后，本工程施工期产生的固体废物对环境影响很小。</w:t>
            </w:r>
          </w:p>
          <w:p w14:paraId="37F8F73E">
            <w:pPr>
              <w:pStyle w:val="11"/>
            </w:pPr>
            <w:r>
              <w:t>各项污染防治措施</w:t>
            </w:r>
            <w:r>
              <w:rPr>
                <w:rFonts w:hint="default"/>
              </w:rPr>
              <w:t>均</w:t>
            </w:r>
            <w:r>
              <w:t>根据国家环境保护要求及相关的设计规程规范提出</w:t>
            </w:r>
            <w:r>
              <w:rPr>
                <w:rFonts w:hint="default"/>
              </w:rPr>
              <w:t>和</w:t>
            </w:r>
            <w:r>
              <w:t>设计，同时结合已建成的同等级的输变电工程设计、实际运行经验确定的，因此在技术上合理、可操作性强</w:t>
            </w:r>
            <w:r>
              <w:rPr>
                <w:rFonts w:hint="default"/>
              </w:rPr>
              <w:t>，</w:t>
            </w:r>
            <w:r>
              <w:t>是可行的。</w:t>
            </w:r>
          </w:p>
          <w:p w14:paraId="619FB0A1">
            <w:pPr>
              <w:numPr>
                <w:ilvl w:val="0"/>
                <w:numId w:val="17"/>
              </w:numPr>
              <w:spacing w:line="360" w:lineRule="auto"/>
              <w:rPr>
                <w:b/>
                <w:kern w:val="0"/>
                <w:sz w:val="24"/>
                <w:szCs w:val="21"/>
                <w:u w:val="none"/>
              </w:rPr>
            </w:pPr>
            <w:r>
              <w:rPr>
                <w:rFonts w:hint="eastAsia"/>
                <w:b/>
                <w:kern w:val="0"/>
                <w:sz w:val="24"/>
                <w:szCs w:val="21"/>
                <w:u w:val="none"/>
              </w:rPr>
              <w:t>施工期生态环境保护措施及预期效果</w:t>
            </w:r>
          </w:p>
          <w:p w14:paraId="58065171">
            <w:pPr>
              <w:pStyle w:val="11"/>
              <w:rPr>
                <w:rFonts w:hint="default" w:ascii="Segoe UI" w:hAnsi="Segoe UI" w:eastAsia="Segoe UI" w:cs="Segoe UI"/>
                <w:i w:val="0"/>
                <w:iCs w:val="0"/>
                <w:caps w:val="0"/>
                <w:spacing w:val="0"/>
                <w:sz w:val="24"/>
                <w:szCs w:val="24"/>
                <w:u w:val="none"/>
                <w:shd w:val="clear" w:fill="FFFFFF"/>
                <w:lang w:val="en-US" w:eastAsia="zh-CN"/>
              </w:rPr>
            </w:pPr>
            <w:r>
              <w:rPr>
                <w:rFonts w:hint="eastAsia"/>
                <w:u w:val="none"/>
                <w:lang w:eastAsia="zh-CN"/>
              </w:rPr>
              <w:t>本工程</w:t>
            </w:r>
            <w:r>
              <w:rPr>
                <w:rFonts w:hint="eastAsia"/>
                <w:u w:val="none"/>
              </w:rPr>
              <w:t>施工期主要生态环境保护措施及预期效果，见</w:t>
            </w:r>
            <w:r>
              <w:rPr>
                <w:rFonts w:hint="eastAsia"/>
                <w:b w:val="0"/>
                <w:bCs w:val="0"/>
                <w:sz w:val="24"/>
                <w:szCs w:val="24"/>
                <w:u w:val="none"/>
                <w:lang w:eastAsia="zh-CN"/>
              </w:rPr>
              <w:fldChar w:fldCharType="begin"/>
            </w:r>
            <w:r>
              <w:rPr>
                <w:rFonts w:hint="eastAsia"/>
                <w:b w:val="0"/>
                <w:bCs w:val="0"/>
                <w:sz w:val="24"/>
                <w:szCs w:val="24"/>
                <w:u w:val="none"/>
                <w:lang w:eastAsia="zh-CN"/>
              </w:rPr>
              <w:instrText xml:space="preserve"> REF _Ref9700 \h </w:instrText>
            </w:r>
            <w:r>
              <w:rPr>
                <w:rFonts w:hint="eastAsia"/>
                <w:b w:val="0"/>
                <w:bCs w:val="0"/>
                <w:sz w:val="24"/>
                <w:szCs w:val="24"/>
                <w:u w:val="none"/>
                <w:lang w:eastAsia="zh-CN"/>
              </w:rPr>
              <w:fldChar w:fldCharType="separate"/>
            </w:r>
            <w:r>
              <w:rPr>
                <w:rFonts w:ascii="Times New Roman" w:hAnsi="Times New Roman"/>
                <w:b w:val="0"/>
                <w:bCs w:val="0"/>
                <w:sz w:val="24"/>
                <w:szCs w:val="24"/>
                <w:u w:val="none"/>
              </w:rPr>
              <w:t>表 24</w:t>
            </w:r>
            <w:r>
              <w:rPr>
                <w:rFonts w:hint="eastAsia"/>
                <w:b w:val="0"/>
                <w:bCs w:val="0"/>
                <w:sz w:val="24"/>
                <w:szCs w:val="24"/>
                <w:u w:val="none"/>
                <w:lang w:eastAsia="zh-CN"/>
              </w:rPr>
              <w:fldChar w:fldCharType="end"/>
            </w:r>
            <w:r>
              <w:rPr>
                <w:rFonts w:hint="eastAsia"/>
                <w:u w:val="none"/>
              </w:rPr>
              <w:t>。</w:t>
            </w:r>
          </w:p>
          <w:p w14:paraId="7F28FA7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u w:val="none"/>
              </w:rPr>
            </w:pPr>
            <w:bookmarkStart w:id="705" w:name="_Ref9700"/>
            <w:r>
              <w:rPr>
                <w:rFonts w:ascii="Times New Roman" w:hAnsi="Times New Roman"/>
                <w:b/>
                <w:sz w:val="21"/>
                <w:szCs w:val="16"/>
                <w:u w:val="none"/>
              </w:rPr>
              <w:t xml:space="preserve">表 </w:t>
            </w:r>
            <w:r>
              <w:rPr>
                <w:rFonts w:ascii="Times New Roman" w:hAnsi="Times New Roman"/>
                <w:b/>
                <w:sz w:val="21"/>
                <w:szCs w:val="16"/>
                <w:u w:val="none"/>
              </w:rPr>
              <w:fldChar w:fldCharType="begin"/>
            </w:r>
            <w:r>
              <w:rPr>
                <w:rFonts w:ascii="Times New Roman" w:hAnsi="Times New Roman"/>
                <w:b/>
                <w:sz w:val="21"/>
                <w:szCs w:val="16"/>
                <w:u w:val="none"/>
              </w:rPr>
              <w:instrText xml:space="preserve"> SEQ 表 \* ARABIC </w:instrText>
            </w:r>
            <w:r>
              <w:rPr>
                <w:rFonts w:ascii="Times New Roman" w:hAnsi="Times New Roman"/>
                <w:b/>
                <w:sz w:val="21"/>
                <w:szCs w:val="16"/>
                <w:u w:val="none"/>
              </w:rPr>
              <w:fldChar w:fldCharType="separate"/>
            </w:r>
            <w:r>
              <w:rPr>
                <w:rFonts w:ascii="Times New Roman" w:hAnsi="Times New Roman"/>
                <w:b/>
                <w:sz w:val="21"/>
                <w:szCs w:val="16"/>
                <w:u w:val="none"/>
              </w:rPr>
              <w:t>24</w:t>
            </w:r>
            <w:r>
              <w:rPr>
                <w:rFonts w:ascii="Times New Roman" w:hAnsi="Times New Roman"/>
                <w:b/>
                <w:sz w:val="21"/>
                <w:szCs w:val="16"/>
                <w:u w:val="none"/>
              </w:rPr>
              <w:fldChar w:fldCharType="end"/>
            </w:r>
            <w:bookmarkEnd w:id="705"/>
            <w:r>
              <w:rPr>
                <w:rFonts w:ascii="Times New Roman" w:hAnsi="Times New Roman"/>
                <w:b/>
                <w:u w:val="none"/>
              </w:rPr>
              <w:t xml:space="preserve">  </w:t>
            </w:r>
            <w:r>
              <w:rPr>
                <w:rFonts w:hint="eastAsia" w:ascii="Times New Roman" w:hAnsi="Times New Roman" w:eastAsia="黑体"/>
                <w:b/>
                <w:spacing w:val="-2"/>
                <w:sz w:val="21"/>
                <w:szCs w:val="16"/>
                <w:u w:val="none"/>
                <w:lang w:val="en-US" w:eastAsia="zh-CN"/>
              </w:rPr>
              <w:t xml:space="preserve">               </w:t>
            </w:r>
            <w:r>
              <w:rPr>
                <w:rFonts w:ascii="Times New Roman" w:hAnsi="Times New Roman" w:eastAsia="黑体"/>
                <w:b/>
                <w:spacing w:val="-2"/>
                <w:sz w:val="21"/>
                <w:szCs w:val="16"/>
                <w:u w:val="none"/>
              </w:rPr>
              <w:t>施工期生态环境保护措施及预期效果一览</w:t>
            </w:r>
            <w:r>
              <w:rPr>
                <w:rFonts w:ascii="Times New Roman" w:hAnsi="Times New Roman" w:eastAsia="黑体"/>
                <w:b/>
                <w:spacing w:val="-10"/>
                <w:sz w:val="21"/>
                <w:szCs w:val="16"/>
                <w:u w:val="none"/>
              </w:rPr>
              <w:t>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0" w:type="dxa"/>
                <w:bottom w:w="0" w:type="dxa"/>
                <w:right w:w="0" w:type="dxa"/>
              </w:tblCellMar>
            </w:tblPr>
            <w:tblGrid>
              <w:gridCol w:w="385"/>
              <w:gridCol w:w="3412"/>
              <w:gridCol w:w="522"/>
              <w:gridCol w:w="832"/>
              <w:gridCol w:w="589"/>
              <w:gridCol w:w="833"/>
              <w:gridCol w:w="1607"/>
            </w:tblGrid>
            <w:tr w14:paraId="247F86C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235" w:type="pct"/>
                  <w:tcBorders>
                    <w:bottom w:val="single" w:color="000000" w:sz="4" w:space="0"/>
                    <w:right w:val="single" w:color="000000" w:sz="4" w:space="0"/>
                  </w:tcBorders>
                  <w:vAlign w:val="center"/>
                </w:tcPr>
                <w:p w14:paraId="4E13CC55">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10"/>
                      <w:sz w:val="21"/>
                      <w:u w:val="none"/>
                    </w:rPr>
                    <w:t>序</w:t>
                  </w:r>
                </w:p>
                <w:p w14:paraId="406C39F0">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10"/>
                      <w:sz w:val="21"/>
                      <w:u w:val="none"/>
                    </w:rPr>
                    <w:t>号</w:t>
                  </w:r>
                </w:p>
              </w:tc>
              <w:tc>
                <w:tcPr>
                  <w:tcW w:w="2084" w:type="pct"/>
                  <w:tcBorders>
                    <w:left w:val="single" w:color="000000" w:sz="4" w:space="0"/>
                    <w:bottom w:val="single" w:color="000000" w:sz="4" w:space="0"/>
                    <w:right w:val="single" w:color="000000" w:sz="4" w:space="0"/>
                  </w:tcBorders>
                  <w:vAlign w:val="center"/>
                </w:tcPr>
                <w:p w14:paraId="381E6358">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4"/>
                      <w:sz w:val="21"/>
                      <w:u w:val="none"/>
                    </w:rPr>
                    <w:t>生态保护措施要求</w:t>
                  </w:r>
                </w:p>
              </w:tc>
              <w:tc>
                <w:tcPr>
                  <w:tcW w:w="319" w:type="pct"/>
                  <w:tcBorders>
                    <w:left w:val="single" w:color="000000" w:sz="4" w:space="0"/>
                    <w:bottom w:val="single" w:color="000000" w:sz="4" w:space="0"/>
                    <w:right w:val="single" w:color="000000" w:sz="4" w:space="0"/>
                  </w:tcBorders>
                  <w:vAlign w:val="center"/>
                </w:tcPr>
                <w:p w14:paraId="1921B688">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实施</w:t>
                  </w:r>
                </w:p>
                <w:p w14:paraId="5CE4C014">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部位</w:t>
                  </w:r>
                </w:p>
              </w:tc>
              <w:tc>
                <w:tcPr>
                  <w:tcW w:w="508" w:type="pct"/>
                  <w:tcBorders>
                    <w:left w:val="single" w:color="000000" w:sz="4" w:space="0"/>
                    <w:bottom w:val="single" w:color="000000" w:sz="4" w:space="0"/>
                    <w:right w:val="single" w:color="000000" w:sz="4" w:space="0"/>
                  </w:tcBorders>
                  <w:vAlign w:val="center"/>
                </w:tcPr>
                <w:p w14:paraId="4E9AD2ED">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实施</w:t>
                  </w:r>
                </w:p>
                <w:p w14:paraId="1D703F04">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时间</w:t>
                  </w:r>
                </w:p>
              </w:tc>
              <w:tc>
                <w:tcPr>
                  <w:tcW w:w="360" w:type="pct"/>
                  <w:tcBorders>
                    <w:left w:val="single" w:color="000000" w:sz="4" w:space="0"/>
                    <w:bottom w:val="single" w:color="000000" w:sz="4" w:space="0"/>
                    <w:right w:val="single" w:color="auto" w:sz="4" w:space="0"/>
                  </w:tcBorders>
                  <w:vAlign w:val="center"/>
                </w:tcPr>
                <w:p w14:paraId="6E5F3CDF">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责任</w:t>
                  </w:r>
                </w:p>
                <w:p w14:paraId="6E3787E3">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6"/>
                      <w:sz w:val="21"/>
                      <w:u w:val="none"/>
                    </w:rPr>
                    <w:t>主体</w:t>
                  </w:r>
                </w:p>
              </w:tc>
              <w:tc>
                <w:tcPr>
                  <w:tcW w:w="509" w:type="pct"/>
                  <w:tcBorders>
                    <w:top w:val="single" w:color="auto" w:sz="4" w:space="0"/>
                    <w:left w:val="single" w:color="auto" w:sz="4" w:space="0"/>
                    <w:bottom w:val="single" w:color="000000" w:sz="4" w:space="0"/>
                    <w:right w:val="single" w:color="auto" w:sz="4" w:space="0"/>
                  </w:tcBorders>
                  <w:vAlign w:val="center"/>
                </w:tcPr>
                <w:p w14:paraId="177B47EA">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5"/>
                      <w:sz w:val="21"/>
                      <w:u w:val="none"/>
                    </w:rPr>
                    <w:t>实施保</w:t>
                  </w:r>
                </w:p>
                <w:p w14:paraId="723D6F1C">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10"/>
                      <w:sz w:val="21"/>
                      <w:u w:val="none"/>
                    </w:rPr>
                    <w:t>障</w:t>
                  </w:r>
                </w:p>
              </w:tc>
              <w:tc>
                <w:tcPr>
                  <w:tcW w:w="981" w:type="pct"/>
                  <w:tcBorders>
                    <w:left w:val="single" w:color="auto" w:sz="4" w:space="0"/>
                    <w:bottom w:val="single" w:color="000000" w:sz="4" w:space="0"/>
                  </w:tcBorders>
                  <w:vAlign w:val="center"/>
                </w:tcPr>
                <w:p w14:paraId="2975FB8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b/>
                      <w:sz w:val="21"/>
                      <w:u w:val="none"/>
                    </w:rPr>
                  </w:pPr>
                  <w:r>
                    <w:rPr>
                      <w:rFonts w:ascii="Times New Roman" w:hAnsi="Times New Roman" w:eastAsia="宋体"/>
                      <w:b/>
                      <w:spacing w:val="-4"/>
                      <w:sz w:val="21"/>
                      <w:u w:val="none"/>
                    </w:rPr>
                    <w:t>实施效果</w:t>
                  </w:r>
                </w:p>
              </w:tc>
            </w:tr>
            <w:tr w14:paraId="62C07F35">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235" w:type="pct"/>
                  <w:tcBorders>
                    <w:top w:val="single" w:color="000000" w:sz="4" w:space="0"/>
                    <w:bottom w:val="single" w:color="000000" w:sz="4" w:space="0"/>
                    <w:right w:val="single" w:color="000000" w:sz="4" w:space="0"/>
                  </w:tcBorders>
                  <w:vAlign w:val="center"/>
                </w:tcPr>
                <w:p w14:paraId="207A4C77">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1</w:t>
                  </w:r>
                </w:p>
              </w:tc>
              <w:tc>
                <w:tcPr>
                  <w:tcW w:w="2084" w:type="pct"/>
                  <w:tcBorders>
                    <w:top w:val="single" w:color="000000" w:sz="4" w:space="0"/>
                    <w:left w:val="single" w:color="000000" w:sz="4" w:space="0"/>
                    <w:bottom w:val="single" w:color="000000" w:sz="4" w:space="0"/>
                    <w:right w:val="single" w:color="000000" w:sz="4" w:space="0"/>
                  </w:tcBorders>
                  <w:vAlign w:val="center"/>
                </w:tcPr>
                <w:p w14:paraId="4D047906">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3"/>
                      <w:sz w:val="21"/>
                      <w:u w:val="none"/>
                    </w:rPr>
                    <w:t>各类占地应提前办理相关</w:t>
                  </w:r>
                  <w:r>
                    <w:rPr>
                      <w:rFonts w:ascii="Times New Roman" w:hAnsi="Times New Roman" w:eastAsia="宋体"/>
                      <w:spacing w:val="-5"/>
                      <w:sz w:val="21"/>
                      <w:u w:val="none"/>
                    </w:rPr>
                    <w:t>手续。</w:t>
                  </w:r>
                </w:p>
              </w:tc>
              <w:tc>
                <w:tcPr>
                  <w:tcW w:w="319" w:type="pct"/>
                  <w:vMerge w:val="restart"/>
                  <w:tcBorders>
                    <w:top w:val="single" w:color="000000" w:sz="4" w:space="0"/>
                    <w:left w:val="single" w:color="000000" w:sz="4" w:space="0"/>
                    <w:right w:val="single" w:color="000000" w:sz="4" w:space="0"/>
                  </w:tcBorders>
                  <w:vAlign w:val="center"/>
                </w:tcPr>
                <w:p w14:paraId="31B4737F">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hint="eastAsia" w:ascii="Times New Roman" w:hAnsi="Times New Roman"/>
                      <w:spacing w:val="-6"/>
                      <w:sz w:val="21"/>
                      <w:u w:val="none"/>
                      <w:lang w:val="en-US" w:eastAsia="zh-CN"/>
                    </w:rPr>
                    <w:t>工</w:t>
                  </w:r>
                  <w:r>
                    <w:rPr>
                      <w:rFonts w:ascii="Times New Roman" w:hAnsi="Times New Roman" w:eastAsia="宋体"/>
                      <w:spacing w:val="-6"/>
                      <w:sz w:val="21"/>
                      <w:u w:val="none"/>
                    </w:rPr>
                    <w:t>程</w:t>
                  </w:r>
                  <w:r>
                    <w:rPr>
                      <w:rFonts w:ascii="Times New Roman" w:hAnsi="Times New Roman" w:eastAsia="宋体"/>
                      <w:spacing w:val="-4"/>
                      <w:sz w:val="21"/>
                      <w:u w:val="none"/>
                    </w:rPr>
                    <w:t>施工场所</w:t>
                  </w:r>
                </w:p>
              </w:tc>
              <w:tc>
                <w:tcPr>
                  <w:tcW w:w="508" w:type="pct"/>
                  <w:tcBorders>
                    <w:top w:val="single" w:color="000000" w:sz="4" w:space="0"/>
                    <w:left w:val="single" w:color="000000" w:sz="4" w:space="0"/>
                    <w:bottom w:val="single" w:color="000000" w:sz="4" w:space="0"/>
                    <w:right w:val="single" w:color="000000" w:sz="4" w:space="0"/>
                  </w:tcBorders>
                  <w:vAlign w:val="center"/>
                </w:tcPr>
                <w:p w14:paraId="607B770D">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开工</w:t>
                  </w:r>
                  <w:r>
                    <w:rPr>
                      <w:rFonts w:ascii="Times New Roman" w:hAnsi="Times New Roman" w:eastAsia="宋体"/>
                      <w:spacing w:val="-10"/>
                      <w:sz w:val="21"/>
                      <w:u w:val="none"/>
                    </w:rPr>
                    <w:t>前</w:t>
                  </w:r>
                </w:p>
              </w:tc>
              <w:tc>
                <w:tcPr>
                  <w:tcW w:w="360" w:type="pct"/>
                  <w:tcBorders>
                    <w:top w:val="single" w:color="000000" w:sz="4" w:space="0"/>
                    <w:left w:val="single" w:color="000000" w:sz="4" w:space="0"/>
                    <w:bottom w:val="single" w:color="000000" w:sz="4" w:space="0"/>
                    <w:right w:val="single" w:color="auto" w:sz="4" w:space="0"/>
                  </w:tcBorders>
                  <w:vAlign w:val="center"/>
                </w:tcPr>
                <w:p w14:paraId="2B2C6090">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建设</w:t>
                  </w:r>
                </w:p>
                <w:p w14:paraId="0596D168">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单位</w:t>
                  </w:r>
                </w:p>
              </w:tc>
              <w:tc>
                <w:tcPr>
                  <w:tcW w:w="509" w:type="pct"/>
                  <w:vMerge w:val="restart"/>
                  <w:tcBorders>
                    <w:top w:val="single" w:color="000000" w:sz="4" w:space="0"/>
                    <w:left w:val="single" w:color="auto" w:sz="4" w:space="0"/>
                    <w:right w:val="single" w:color="auto" w:sz="4" w:space="0"/>
                  </w:tcBorders>
                  <w:vAlign w:val="center"/>
                </w:tcPr>
                <w:p w14:paraId="7162E1E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9"/>
                      <w:sz w:val="21"/>
                      <w:u w:val="none"/>
                    </w:rPr>
                    <w:t>①建立</w:t>
                  </w:r>
                  <w:r>
                    <w:rPr>
                      <w:rFonts w:ascii="Times New Roman" w:hAnsi="Times New Roman" w:eastAsia="宋体"/>
                      <w:spacing w:val="-8"/>
                      <w:sz w:val="21"/>
                      <w:u w:val="none"/>
                    </w:rPr>
                    <w:t>环境管</w:t>
                  </w:r>
                  <w:r>
                    <w:rPr>
                      <w:rFonts w:ascii="Times New Roman" w:hAnsi="Times New Roman" w:eastAsia="宋体"/>
                      <w:spacing w:val="-4"/>
                      <w:sz w:val="21"/>
                      <w:u w:val="none"/>
                    </w:rPr>
                    <w:t>理机构，</w:t>
                  </w:r>
                  <w:r>
                    <w:rPr>
                      <w:rFonts w:ascii="Times New Roman" w:hAnsi="Times New Roman" w:eastAsia="宋体"/>
                      <w:spacing w:val="-8"/>
                      <w:sz w:val="21"/>
                      <w:u w:val="none"/>
                    </w:rPr>
                    <w:t>配备专职或兼</w:t>
                  </w:r>
                </w:p>
                <w:p w14:paraId="21FB5CD5">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16"/>
                      <w:sz w:val="21"/>
                      <w:u w:val="none"/>
                    </w:rPr>
                    <w:t>职环保</w:t>
                  </w:r>
                  <w:r>
                    <w:rPr>
                      <w:rFonts w:ascii="Times New Roman" w:hAnsi="Times New Roman" w:eastAsia="宋体"/>
                      <w:spacing w:val="-15"/>
                      <w:sz w:val="21"/>
                      <w:u w:val="none"/>
                    </w:rPr>
                    <w:t>管理人</w:t>
                  </w:r>
                  <w:r>
                    <w:rPr>
                      <w:rFonts w:ascii="Times New Roman" w:hAnsi="Times New Roman" w:eastAsia="宋体"/>
                      <w:spacing w:val="-6"/>
                      <w:sz w:val="21"/>
                      <w:u w:val="none"/>
                    </w:rPr>
                    <w:t>员；</w:t>
                  </w:r>
                </w:p>
                <w:p w14:paraId="46185C93">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9"/>
                      <w:sz w:val="21"/>
                      <w:u w:val="none"/>
                    </w:rPr>
                    <w:t>②制定</w:t>
                  </w:r>
                  <w:r>
                    <w:rPr>
                      <w:rFonts w:ascii="Times New Roman" w:hAnsi="Times New Roman" w:eastAsia="宋体"/>
                      <w:spacing w:val="-8"/>
                      <w:sz w:val="21"/>
                      <w:u w:val="none"/>
                    </w:rPr>
                    <w:t>相关方环境管</w:t>
                  </w:r>
                  <w:r>
                    <w:rPr>
                      <w:rFonts w:ascii="Times New Roman" w:hAnsi="Times New Roman" w:eastAsia="宋体"/>
                      <w:spacing w:val="-4"/>
                      <w:sz w:val="21"/>
                      <w:u w:val="none"/>
                    </w:rPr>
                    <w:t>理条例、</w:t>
                  </w:r>
                  <w:r>
                    <w:rPr>
                      <w:rFonts w:ascii="Times New Roman" w:hAnsi="Times New Roman" w:eastAsia="宋体"/>
                      <w:spacing w:val="-8"/>
                      <w:sz w:val="21"/>
                      <w:u w:val="none"/>
                    </w:rPr>
                    <w:t>质量管</w:t>
                  </w:r>
                  <w:r>
                    <w:rPr>
                      <w:rFonts w:ascii="Times New Roman" w:hAnsi="Times New Roman" w:eastAsia="宋体"/>
                      <w:spacing w:val="-4"/>
                      <w:sz w:val="21"/>
                      <w:u w:val="none"/>
                    </w:rPr>
                    <w:t>理规定；</w:t>
                  </w:r>
                </w:p>
                <w:p w14:paraId="5579A4E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9"/>
                      <w:sz w:val="21"/>
                      <w:u w:val="none"/>
                    </w:rPr>
                    <w:t>③加强</w:t>
                  </w:r>
                  <w:r>
                    <w:rPr>
                      <w:rFonts w:ascii="Times New Roman" w:hAnsi="Times New Roman" w:eastAsia="宋体"/>
                      <w:spacing w:val="-8"/>
                      <w:sz w:val="21"/>
                      <w:u w:val="none"/>
                    </w:rPr>
                    <w:t>环境监</w:t>
                  </w:r>
                  <w:r>
                    <w:rPr>
                      <w:rFonts w:ascii="Times New Roman" w:hAnsi="Times New Roman" w:eastAsia="宋体"/>
                      <w:spacing w:val="-19"/>
                      <w:sz w:val="21"/>
                      <w:u w:val="none"/>
                    </w:rPr>
                    <w:t>理，开展</w:t>
                  </w:r>
                  <w:r>
                    <w:rPr>
                      <w:rFonts w:ascii="Times New Roman" w:hAnsi="Times New Roman" w:eastAsia="宋体"/>
                      <w:spacing w:val="-8"/>
                      <w:sz w:val="21"/>
                      <w:u w:val="none"/>
                    </w:rPr>
                    <w:t>经常性</w:t>
                  </w:r>
                  <w:r>
                    <w:rPr>
                      <w:rFonts w:ascii="Times New Roman" w:hAnsi="Times New Roman" w:eastAsia="宋体"/>
                      <w:spacing w:val="-19"/>
                      <w:sz w:val="21"/>
                      <w:u w:val="none"/>
                    </w:rPr>
                    <w:t>检查、监督，发现</w:t>
                  </w:r>
                  <w:r>
                    <w:rPr>
                      <w:rFonts w:ascii="Times New Roman" w:hAnsi="Times New Roman" w:eastAsia="宋体"/>
                      <w:spacing w:val="-8"/>
                      <w:sz w:val="21"/>
                      <w:u w:val="none"/>
                    </w:rPr>
                    <w:t>问题及</w:t>
                  </w:r>
                  <w:r>
                    <w:rPr>
                      <w:rFonts w:ascii="Times New Roman" w:hAnsi="Times New Roman" w:eastAsia="宋体"/>
                      <w:spacing w:val="-4"/>
                      <w:sz w:val="21"/>
                      <w:u w:val="none"/>
                    </w:rPr>
                    <w:t>时解决、</w:t>
                  </w:r>
                  <w:r>
                    <w:rPr>
                      <w:rFonts w:ascii="Times New Roman" w:hAnsi="Times New Roman" w:eastAsia="宋体"/>
                      <w:spacing w:val="-6"/>
                      <w:sz w:val="21"/>
                      <w:u w:val="none"/>
                    </w:rPr>
                    <w:t>纠正</w:t>
                  </w:r>
                </w:p>
              </w:tc>
              <w:tc>
                <w:tcPr>
                  <w:tcW w:w="981" w:type="pct"/>
                  <w:tcBorders>
                    <w:top w:val="single" w:color="000000" w:sz="4" w:space="0"/>
                    <w:left w:val="single" w:color="auto" w:sz="4" w:space="0"/>
                    <w:bottom w:val="single" w:color="000000" w:sz="4" w:space="0"/>
                  </w:tcBorders>
                  <w:vAlign w:val="center"/>
                </w:tcPr>
                <w:p w14:paraId="06FA4DF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4"/>
                      <w:sz w:val="21"/>
                      <w:u w:val="none"/>
                    </w:rPr>
                    <w:t>取得征地手续</w:t>
                  </w:r>
                </w:p>
              </w:tc>
            </w:tr>
            <w:tr w14:paraId="57F9EA67">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1499" w:hRule="atLeast"/>
              </w:trPr>
              <w:tc>
                <w:tcPr>
                  <w:tcW w:w="235" w:type="pct"/>
                  <w:tcBorders>
                    <w:top w:val="single" w:color="000000" w:sz="4" w:space="0"/>
                    <w:right w:val="single" w:color="000000" w:sz="4" w:space="0"/>
                  </w:tcBorders>
                  <w:vAlign w:val="center"/>
                </w:tcPr>
                <w:p w14:paraId="74E7CACF">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p>
                <w:p w14:paraId="0EDD10B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2</w:t>
                  </w:r>
                </w:p>
              </w:tc>
              <w:tc>
                <w:tcPr>
                  <w:tcW w:w="2084" w:type="pct"/>
                  <w:tcBorders>
                    <w:top w:val="single" w:color="000000" w:sz="4" w:space="0"/>
                    <w:left w:val="single" w:color="000000" w:sz="4" w:space="0"/>
                    <w:right w:val="single" w:color="000000" w:sz="4" w:space="0"/>
                  </w:tcBorders>
                  <w:vAlign w:val="center"/>
                </w:tcPr>
                <w:p w14:paraId="061A3FD7">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2"/>
                      <w:sz w:val="21"/>
                      <w:u w:val="none"/>
                    </w:rPr>
                    <w:t>合理规划、设计施工临时道路及场地，尽量减少占地、</w:t>
                  </w:r>
                  <w:r>
                    <w:rPr>
                      <w:rFonts w:ascii="Times New Roman" w:hAnsi="Times New Roman" w:eastAsia="宋体"/>
                      <w:spacing w:val="-7"/>
                      <w:sz w:val="21"/>
                      <w:u w:val="none"/>
                    </w:rPr>
                    <w:t>控制施工范围，作业区四周</w:t>
                  </w:r>
                  <w:r>
                    <w:rPr>
                      <w:rFonts w:ascii="Times New Roman" w:hAnsi="Times New Roman" w:eastAsia="宋体"/>
                      <w:spacing w:val="-3"/>
                      <w:sz w:val="21"/>
                      <w:u w:val="none"/>
                    </w:rPr>
                    <w:t>设置彩带，控制作业范围。</w:t>
                  </w:r>
                  <w:r>
                    <w:rPr>
                      <w:rFonts w:ascii="Times New Roman" w:hAnsi="Times New Roman" w:eastAsia="宋体"/>
                      <w:spacing w:val="-2"/>
                      <w:sz w:val="21"/>
                      <w:u w:val="none"/>
                    </w:rPr>
                    <w:t>施工结束后及时对临时占</w:t>
                  </w:r>
                  <w:r>
                    <w:rPr>
                      <w:rFonts w:ascii="Times New Roman" w:hAnsi="Times New Roman" w:eastAsia="宋体"/>
                      <w:spacing w:val="-3"/>
                      <w:sz w:val="21"/>
                      <w:u w:val="none"/>
                    </w:rPr>
                    <w:t>地进行平整，便于生态恢</w:t>
                  </w:r>
                  <w:r>
                    <w:rPr>
                      <w:rFonts w:ascii="Times New Roman" w:hAnsi="Times New Roman" w:eastAsia="宋体"/>
                      <w:spacing w:val="-8"/>
                      <w:sz w:val="21"/>
                      <w:u w:val="none"/>
                    </w:rPr>
                    <w:t>复。</w:t>
                  </w:r>
                </w:p>
              </w:tc>
              <w:tc>
                <w:tcPr>
                  <w:tcW w:w="319" w:type="pct"/>
                  <w:vMerge w:val="continue"/>
                  <w:tcBorders>
                    <w:left w:val="single" w:color="000000" w:sz="4" w:space="0"/>
                    <w:right w:val="single" w:color="000000" w:sz="4" w:space="0"/>
                  </w:tcBorders>
                  <w:vAlign w:val="center"/>
                </w:tcPr>
                <w:p w14:paraId="1AC99194">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c>
                <w:tcPr>
                  <w:tcW w:w="508" w:type="pct"/>
                  <w:vMerge w:val="restart"/>
                  <w:tcBorders>
                    <w:top w:val="single" w:color="000000" w:sz="4" w:space="0"/>
                    <w:left w:val="single" w:color="000000" w:sz="4" w:space="0"/>
                    <w:right w:val="single" w:color="000000" w:sz="4" w:space="0"/>
                  </w:tcBorders>
                  <w:vAlign w:val="center"/>
                </w:tcPr>
                <w:p w14:paraId="340D307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pacing w:val="-6"/>
                      <w:sz w:val="21"/>
                      <w:u w:val="none"/>
                    </w:rPr>
                  </w:pPr>
                  <w:r>
                    <w:rPr>
                      <w:rFonts w:ascii="Times New Roman" w:hAnsi="Times New Roman" w:eastAsia="宋体"/>
                      <w:spacing w:val="-6"/>
                      <w:sz w:val="21"/>
                      <w:u w:val="none"/>
                    </w:rPr>
                    <w:t>全部施</w:t>
                  </w:r>
                </w:p>
                <w:p w14:paraId="1B782D3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工</w:t>
                  </w:r>
                  <w:r>
                    <w:rPr>
                      <w:rFonts w:ascii="Times New Roman" w:hAnsi="Times New Roman" w:eastAsia="宋体"/>
                      <w:spacing w:val="-10"/>
                      <w:sz w:val="21"/>
                      <w:u w:val="none"/>
                    </w:rPr>
                    <w:t>期</w:t>
                  </w:r>
                </w:p>
              </w:tc>
              <w:tc>
                <w:tcPr>
                  <w:tcW w:w="360" w:type="pct"/>
                  <w:vMerge w:val="restart"/>
                  <w:tcBorders>
                    <w:top w:val="single" w:color="000000" w:sz="4" w:space="0"/>
                    <w:left w:val="single" w:color="000000" w:sz="4" w:space="0"/>
                    <w:right w:val="single" w:color="auto" w:sz="4" w:space="0"/>
                  </w:tcBorders>
                  <w:vAlign w:val="center"/>
                </w:tcPr>
                <w:p w14:paraId="3CF1DC1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施工</w:t>
                  </w:r>
                  <w:r>
                    <w:rPr>
                      <w:rFonts w:ascii="Times New Roman" w:hAnsi="Times New Roman" w:eastAsia="宋体"/>
                      <w:spacing w:val="-8"/>
                      <w:sz w:val="21"/>
                      <w:u w:val="none"/>
                    </w:rPr>
                    <w:t>单位</w:t>
                  </w:r>
                </w:p>
              </w:tc>
              <w:tc>
                <w:tcPr>
                  <w:tcW w:w="509" w:type="pct"/>
                  <w:vMerge w:val="continue"/>
                  <w:tcBorders>
                    <w:left w:val="single" w:color="auto" w:sz="4" w:space="0"/>
                    <w:right w:val="single" w:color="auto" w:sz="4" w:space="0"/>
                  </w:tcBorders>
                </w:tcPr>
                <w:p w14:paraId="5A578FFF">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bottom w:val="single" w:color="000000" w:sz="4" w:space="0"/>
                  </w:tcBorders>
                  <w:vAlign w:val="center"/>
                </w:tcPr>
                <w:p w14:paraId="1E0FE0E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2"/>
                      <w:sz w:val="21"/>
                      <w:u w:val="none"/>
                    </w:rPr>
                    <w:t>划定施工作业范</w:t>
                  </w:r>
                  <w:r>
                    <w:rPr>
                      <w:rFonts w:ascii="Times New Roman" w:hAnsi="Times New Roman" w:eastAsia="宋体"/>
                      <w:spacing w:val="-10"/>
                      <w:sz w:val="21"/>
                      <w:u w:val="none"/>
                    </w:rPr>
                    <w:t>围，将施工占地控制在最小范围；施</w:t>
                  </w:r>
                  <w:r>
                    <w:rPr>
                      <w:rFonts w:ascii="Times New Roman" w:hAnsi="Times New Roman" w:eastAsia="宋体"/>
                      <w:spacing w:val="-4"/>
                      <w:sz w:val="21"/>
                      <w:u w:val="none"/>
                    </w:rPr>
                    <w:t>工迹地得以恢复。</w:t>
                  </w:r>
                </w:p>
              </w:tc>
            </w:tr>
            <w:tr w14:paraId="35AFC25E">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1413" w:hRule="atLeast"/>
              </w:trPr>
              <w:tc>
                <w:tcPr>
                  <w:tcW w:w="235" w:type="pct"/>
                  <w:tcBorders>
                    <w:top w:val="single" w:color="000000" w:sz="4" w:space="0"/>
                    <w:bottom w:val="single" w:color="000000" w:sz="4" w:space="0"/>
                    <w:right w:val="single" w:color="000000" w:sz="4" w:space="0"/>
                  </w:tcBorders>
                  <w:vAlign w:val="center"/>
                </w:tcPr>
                <w:p w14:paraId="4BE2969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p>
                <w:p w14:paraId="7BB9C4F5">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p>
                <w:p w14:paraId="700768FA">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3</w:t>
                  </w:r>
                </w:p>
              </w:tc>
              <w:tc>
                <w:tcPr>
                  <w:tcW w:w="2084" w:type="pct"/>
                  <w:tcBorders>
                    <w:top w:val="single" w:color="000000" w:sz="4" w:space="0"/>
                    <w:left w:val="single" w:color="000000" w:sz="4" w:space="0"/>
                    <w:bottom w:val="single" w:color="000000" w:sz="4" w:space="0"/>
                    <w:right w:val="single" w:color="000000" w:sz="4" w:space="0"/>
                  </w:tcBorders>
                  <w:vAlign w:val="center"/>
                </w:tcPr>
                <w:p w14:paraId="6584107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施工期间基础开挖时要将</w:t>
                  </w:r>
                  <w:r>
                    <w:rPr>
                      <w:rFonts w:ascii="Times New Roman" w:hAnsi="Times New Roman" w:eastAsia="宋体"/>
                      <w:spacing w:val="-4"/>
                      <w:sz w:val="21"/>
                      <w:u w:val="none"/>
                    </w:rPr>
                    <w:t>表层熟土分层开挖、分层回填，施工场地采取洒水降尘措施；施工结束，将施工临</w:t>
                  </w:r>
                  <w:r>
                    <w:rPr>
                      <w:rFonts w:ascii="Times New Roman" w:hAnsi="Times New Roman" w:eastAsia="宋体"/>
                      <w:spacing w:val="-2"/>
                      <w:sz w:val="21"/>
                      <w:u w:val="none"/>
                    </w:rPr>
                    <w:t>时占地范围进行清理、平</w:t>
                  </w:r>
                  <w:r>
                    <w:rPr>
                      <w:rFonts w:ascii="Times New Roman" w:hAnsi="Times New Roman" w:eastAsia="宋体"/>
                      <w:spacing w:val="-3"/>
                      <w:sz w:val="21"/>
                      <w:u w:val="none"/>
                    </w:rPr>
                    <w:t>整、压实，自然恢复</w:t>
                  </w:r>
                  <w:r>
                    <w:rPr>
                      <w:rFonts w:hint="eastAsia" w:ascii="Times New Roman" w:hAnsi="Times New Roman"/>
                      <w:spacing w:val="-3"/>
                      <w:sz w:val="21"/>
                      <w:u w:val="none"/>
                      <w:lang w:eastAsia="zh-CN"/>
                    </w:rPr>
                    <w:t>。</w:t>
                  </w:r>
                </w:p>
              </w:tc>
              <w:tc>
                <w:tcPr>
                  <w:tcW w:w="319" w:type="pct"/>
                  <w:vMerge w:val="continue"/>
                  <w:tcBorders>
                    <w:left w:val="single" w:color="000000" w:sz="4" w:space="0"/>
                    <w:right w:val="single" w:color="000000" w:sz="4" w:space="0"/>
                  </w:tcBorders>
                  <w:vAlign w:val="center"/>
                </w:tcPr>
                <w:p w14:paraId="5932AFD7">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c>
                <w:tcPr>
                  <w:tcW w:w="508" w:type="pct"/>
                  <w:vMerge w:val="continue"/>
                  <w:tcBorders>
                    <w:left w:val="single" w:color="000000" w:sz="4" w:space="0"/>
                    <w:right w:val="single" w:color="000000" w:sz="4" w:space="0"/>
                  </w:tcBorders>
                </w:tcPr>
                <w:p w14:paraId="59E7C28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
                      <w:szCs w:val="2"/>
                      <w:u w:val="none"/>
                    </w:rPr>
                  </w:pPr>
                </w:p>
              </w:tc>
              <w:tc>
                <w:tcPr>
                  <w:tcW w:w="360" w:type="pct"/>
                  <w:vMerge w:val="continue"/>
                  <w:tcBorders>
                    <w:left w:val="single" w:color="000000" w:sz="4" w:space="0"/>
                    <w:right w:val="single" w:color="auto" w:sz="4" w:space="0"/>
                  </w:tcBorders>
                  <w:vAlign w:val="center"/>
                </w:tcPr>
                <w:p w14:paraId="4D24209D">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
                      <w:szCs w:val="2"/>
                      <w:u w:val="none"/>
                    </w:rPr>
                  </w:pPr>
                </w:p>
              </w:tc>
              <w:tc>
                <w:tcPr>
                  <w:tcW w:w="509" w:type="pct"/>
                  <w:vMerge w:val="continue"/>
                  <w:tcBorders>
                    <w:left w:val="single" w:color="auto" w:sz="4" w:space="0"/>
                    <w:right w:val="single" w:color="auto" w:sz="4" w:space="0"/>
                  </w:tcBorders>
                </w:tcPr>
                <w:p w14:paraId="203889AC">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vMerge w:val="restart"/>
                  <w:tcBorders>
                    <w:top w:val="single" w:color="000000" w:sz="4" w:space="0"/>
                    <w:left w:val="single" w:color="auto" w:sz="4" w:space="0"/>
                    <w:bottom w:val="single" w:color="000000" w:sz="4" w:space="0"/>
                  </w:tcBorders>
                  <w:vAlign w:val="center"/>
                </w:tcPr>
                <w:p w14:paraId="57CF9946">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减少土壤养分的</w:t>
                  </w:r>
                  <w:r>
                    <w:rPr>
                      <w:rFonts w:ascii="Times New Roman" w:hAnsi="Times New Roman" w:eastAsia="宋体"/>
                      <w:spacing w:val="-10"/>
                      <w:sz w:val="21"/>
                      <w:u w:val="none"/>
                    </w:rPr>
                    <w:t>流失，恢复土壤肥</w:t>
                  </w:r>
                  <w:r>
                    <w:rPr>
                      <w:rFonts w:ascii="Times New Roman" w:hAnsi="Times New Roman" w:eastAsia="宋体"/>
                      <w:spacing w:val="-2"/>
                      <w:sz w:val="21"/>
                      <w:u w:val="none"/>
                    </w:rPr>
                    <w:t>力和土壤理化性</w:t>
                  </w:r>
                  <w:r>
                    <w:rPr>
                      <w:rFonts w:ascii="Times New Roman" w:hAnsi="Times New Roman" w:eastAsia="宋体"/>
                      <w:spacing w:val="-8"/>
                      <w:sz w:val="21"/>
                      <w:u w:val="none"/>
                    </w:rPr>
                    <w:t>质，使土壤、植被</w:t>
                  </w:r>
                  <w:r>
                    <w:rPr>
                      <w:rFonts w:ascii="Times New Roman" w:hAnsi="Times New Roman" w:eastAsia="宋体"/>
                      <w:spacing w:val="-2"/>
                      <w:sz w:val="21"/>
                      <w:u w:val="none"/>
                    </w:rPr>
                    <w:t>受影响程度最低</w:t>
                  </w:r>
                  <w:r>
                    <w:rPr>
                      <w:rFonts w:hint="eastAsia" w:ascii="Times New Roman" w:hAnsi="Times New Roman"/>
                      <w:spacing w:val="-2"/>
                      <w:sz w:val="21"/>
                      <w:u w:val="none"/>
                      <w:lang w:eastAsia="zh-CN"/>
                    </w:rPr>
                    <w:t>。</w:t>
                  </w:r>
                </w:p>
              </w:tc>
            </w:tr>
            <w:tr w14:paraId="613D7CD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673" w:hRule="atLeast"/>
              </w:trPr>
              <w:tc>
                <w:tcPr>
                  <w:tcW w:w="235" w:type="pct"/>
                  <w:tcBorders>
                    <w:top w:val="single" w:color="000000" w:sz="4" w:space="0"/>
                    <w:bottom w:val="single" w:color="000000" w:sz="4" w:space="0"/>
                    <w:right w:val="single" w:color="000000" w:sz="4" w:space="0"/>
                  </w:tcBorders>
                  <w:vAlign w:val="center"/>
                </w:tcPr>
                <w:p w14:paraId="4EE86B2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4</w:t>
                  </w:r>
                </w:p>
              </w:tc>
              <w:tc>
                <w:tcPr>
                  <w:tcW w:w="2084" w:type="pct"/>
                  <w:tcBorders>
                    <w:top w:val="single" w:color="000000" w:sz="4" w:space="0"/>
                    <w:left w:val="single" w:color="000000" w:sz="4" w:space="0"/>
                    <w:bottom w:val="single" w:color="000000" w:sz="4" w:space="0"/>
                    <w:right w:val="single" w:color="000000" w:sz="4" w:space="0"/>
                  </w:tcBorders>
                  <w:vAlign w:val="center"/>
                </w:tcPr>
                <w:p w14:paraId="7935961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4"/>
                      <w:sz w:val="21"/>
                      <w:u w:val="none"/>
                    </w:rPr>
                    <w:t>减少地表开挖裸露时间、避</w:t>
                  </w:r>
                  <w:r>
                    <w:rPr>
                      <w:rFonts w:ascii="Times New Roman" w:hAnsi="Times New Roman" w:eastAsia="宋体"/>
                      <w:spacing w:val="-7"/>
                      <w:sz w:val="21"/>
                      <w:u w:val="none"/>
                    </w:rPr>
                    <w:t>开雨季及大风天气施工、及</w:t>
                  </w:r>
                  <w:r>
                    <w:rPr>
                      <w:rFonts w:ascii="Times New Roman" w:hAnsi="Times New Roman" w:eastAsia="宋体"/>
                      <w:spacing w:val="-3"/>
                      <w:sz w:val="21"/>
                      <w:u w:val="none"/>
                    </w:rPr>
                    <w:t>时进行迹地恢复等。</w:t>
                  </w:r>
                </w:p>
              </w:tc>
              <w:tc>
                <w:tcPr>
                  <w:tcW w:w="319" w:type="pct"/>
                  <w:vMerge w:val="continue"/>
                  <w:tcBorders>
                    <w:left w:val="single" w:color="000000" w:sz="4" w:space="0"/>
                    <w:right w:val="single" w:color="000000" w:sz="4" w:space="0"/>
                  </w:tcBorders>
                  <w:vAlign w:val="center"/>
                </w:tcPr>
                <w:p w14:paraId="0A97907B">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c>
                <w:tcPr>
                  <w:tcW w:w="508" w:type="pct"/>
                  <w:vMerge w:val="continue"/>
                  <w:tcBorders>
                    <w:left w:val="single" w:color="000000" w:sz="4" w:space="0"/>
                    <w:bottom w:val="single" w:color="000000" w:sz="4" w:space="0"/>
                    <w:right w:val="single" w:color="000000" w:sz="4" w:space="0"/>
                  </w:tcBorders>
                </w:tcPr>
                <w:p w14:paraId="4D69CEE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
                      <w:szCs w:val="2"/>
                      <w:u w:val="none"/>
                    </w:rPr>
                  </w:pPr>
                </w:p>
              </w:tc>
              <w:tc>
                <w:tcPr>
                  <w:tcW w:w="360" w:type="pct"/>
                  <w:vMerge w:val="continue"/>
                  <w:tcBorders>
                    <w:left w:val="single" w:color="000000" w:sz="4" w:space="0"/>
                    <w:bottom w:val="single" w:color="000000" w:sz="4" w:space="0"/>
                    <w:right w:val="single" w:color="auto" w:sz="4" w:space="0"/>
                  </w:tcBorders>
                  <w:vAlign w:val="center"/>
                </w:tcPr>
                <w:p w14:paraId="2134D41C">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
                      <w:szCs w:val="2"/>
                      <w:u w:val="none"/>
                    </w:rPr>
                  </w:pPr>
                </w:p>
              </w:tc>
              <w:tc>
                <w:tcPr>
                  <w:tcW w:w="509" w:type="pct"/>
                  <w:vMerge w:val="continue"/>
                  <w:tcBorders>
                    <w:left w:val="single" w:color="auto" w:sz="4" w:space="0"/>
                    <w:right w:val="single" w:color="auto" w:sz="4" w:space="0"/>
                  </w:tcBorders>
                </w:tcPr>
                <w:p w14:paraId="709A732A">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vMerge w:val="continue"/>
                  <w:tcBorders>
                    <w:top w:val="nil"/>
                    <w:left w:val="single" w:color="auto" w:sz="4" w:space="0"/>
                    <w:bottom w:val="single" w:color="000000" w:sz="4" w:space="0"/>
                  </w:tcBorders>
                  <w:vAlign w:val="center"/>
                </w:tcPr>
                <w:p w14:paraId="1FF683DF">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r>
            <w:tr w14:paraId="00E28071">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235" w:type="pct"/>
                  <w:tcBorders>
                    <w:top w:val="single" w:color="000000" w:sz="4" w:space="0"/>
                    <w:bottom w:val="single" w:color="000000" w:sz="4" w:space="0"/>
                    <w:right w:val="single" w:color="000000" w:sz="4" w:space="0"/>
                  </w:tcBorders>
                  <w:vAlign w:val="center"/>
                </w:tcPr>
                <w:p w14:paraId="016DF3A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5</w:t>
                  </w:r>
                </w:p>
              </w:tc>
              <w:tc>
                <w:tcPr>
                  <w:tcW w:w="2084" w:type="pct"/>
                  <w:tcBorders>
                    <w:top w:val="single" w:color="000000" w:sz="4" w:space="0"/>
                    <w:left w:val="single" w:color="000000" w:sz="4" w:space="0"/>
                    <w:bottom w:val="single" w:color="000000" w:sz="4" w:space="0"/>
                    <w:right w:val="single" w:color="000000" w:sz="4" w:space="0"/>
                  </w:tcBorders>
                  <w:vAlign w:val="center"/>
                </w:tcPr>
                <w:p w14:paraId="6039C6C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7"/>
                      <w:sz w:val="21"/>
                      <w:u w:val="none"/>
                    </w:rPr>
                    <w:t>占地范围内清理平整，恢复</w:t>
                  </w:r>
                  <w:r>
                    <w:rPr>
                      <w:rFonts w:ascii="Times New Roman" w:hAnsi="Times New Roman" w:eastAsia="宋体"/>
                      <w:spacing w:val="-5"/>
                      <w:sz w:val="21"/>
                      <w:u w:val="none"/>
                    </w:rPr>
                    <w:t>地貌。</w:t>
                  </w:r>
                </w:p>
              </w:tc>
              <w:tc>
                <w:tcPr>
                  <w:tcW w:w="319" w:type="pct"/>
                  <w:vMerge w:val="continue"/>
                  <w:tcBorders>
                    <w:left w:val="single" w:color="000000" w:sz="4" w:space="0"/>
                    <w:right w:val="single" w:color="000000" w:sz="4" w:space="0"/>
                  </w:tcBorders>
                  <w:vAlign w:val="center"/>
                </w:tcPr>
                <w:p w14:paraId="4BDA84CC">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c>
                <w:tcPr>
                  <w:tcW w:w="508" w:type="pct"/>
                  <w:tcBorders>
                    <w:top w:val="single" w:color="000000" w:sz="4" w:space="0"/>
                    <w:left w:val="single" w:color="000000" w:sz="4" w:space="0"/>
                    <w:bottom w:val="single" w:color="000000" w:sz="4" w:space="0"/>
                    <w:right w:val="single" w:color="000000" w:sz="4" w:space="0"/>
                  </w:tcBorders>
                </w:tcPr>
                <w:p w14:paraId="2A369BF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施工</w:t>
                  </w:r>
                </w:p>
                <w:p w14:paraId="2706ADF4">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后期</w:t>
                  </w:r>
                </w:p>
              </w:tc>
              <w:tc>
                <w:tcPr>
                  <w:tcW w:w="360" w:type="pct"/>
                  <w:vMerge w:val="restart"/>
                  <w:tcBorders>
                    <w:top w:val="single" w:color="000000" w:sz="4" w:space="0"/>
                    <w:left w:val="single" w:color="000000" w:sz="4" w:space="0"/>
                    <w:bottom w:val="single" w:color="000000" w:sz="4" w:space="0"/>
                    <w:right w:val="single" w:color="auto" w:sz="4" w:space="0"/>
                  </w:tcBorders>
                  <w:vAlign w:val="center"/>
                </w:tcPr>
                <w:p w14:paraId="222C1B5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施工</w:t>
                  </w:r>
                  <w:r>
                    <w:rPr>
                      <w:rFonts w:ascii="Times New Roman" w:hAnsi="Times New Roman" w:eastAsia="宋体"/>
                      <w:spacing w:val="-8"/>
                      <w:sz w:val="21"/>
                      <w:u w:val="none"/>
                    </w:rPr>
                    <w:t>单位</w:t>
                  </w:r>
                </w:p>
              </w:tc>
              <w:tc>
                <w:tcPr>
                  <w:tcW w:w="509" w:type="pct"/>
                  <w:vMerge w:val="continue"/>
                  <w:tcBorders>
                    <w:left w:val="single" w:color="auto" w:sz="4" w:space="0"/>
                    <w:right w:val="single" w:color="auto" w:sz="4" w:space="0"/>
                  </w:tcBorders>
                </w:tcPr>
                <w:p w14:paraId="1AA66375">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bottom w:val="single" w:color="000000" w:sz="4" w:space="0"/>
                  </w:tcBorders>
                  <w:vAlign w:val="center"/>
                </w:tcPr>
                <w:p w14:paraId="70BF7002">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4"/>
                      <w:sz w:val="21"/>
                      <w:u w:val="none"/>
                    </w:rPr>
                    <w:t>施工后做到工完料净场地清</w:t>
                  </w:r>
                  <w:r>
                    <w:rPr>
                      <w:rFonts w:hint="eastAsia" w:ascii="Times New Roman" w:hAnsi="Times New Roman"/>
                      <w:spacing w:val="-4"/>
                      <w:sz w:val="21"/>
                      <w:u w:val="none"/>
                      <w:lang w:eastAsia="zh-CN"/>
                    </w:rPr>
                    <w:t>。</w:t>
                  </w:r>
                </w:p>
              </w:tc>
            </w:tr>
            <w:tr w14:paraId="23654CC5">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715" w:hRule="atLeast"/>
              </w:trPr>
              <w:tc>
                <w:tcPr>
                  <w:tcW w:w="235" w:type="pct"/>
                  <w:tcBorders>
                    <w:top w:val="single" w:color="000000" w:sz="4" w:space="0"/>
                    <w:bottom w:val="single" w:color="000000" w:sz="4" w:space="0"/>
                    <w:right w:val="single" w:color="000000" w:sz="4" w:space="0"/>
                  </w:tcBorders>
                  <w:vAlign w:val="center"/>
                </w:tcPr>
                <w:p w14:paraId="23E3BD94">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10"/>
                      <w:sz w:val="21"/>
                      <w:u w:val="none"/>
                    </w:rPr>
                    <w:t>6</w:t>
                  </w:r>
                </w:p>
              </w:tc>
              <w:tc>
                <w:tcPr>
                  <w:tcW w:w="2084" w:type="pct"/>
                  <w:tcBorders>
                    <w:top w:val="single" w:color="000000" w:sz="4" w:space="0"/>
                    <w:left w:val="single" w:color="000000" w:sz="4" w:space="0"/>
                    <w:bottom w:val="single" w:color="000000" w:sz="4" w:space="0"/>
                    <w:right w:val="single" w:color="000000" w:sz="4" w:space="0"/>
                  </w:tcBorders>
                  <w:vAlign w:val="center"/>
                </w:tcPr>
                <w:p w14:paraId="69972D1A">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4"/>
                      <w:sz w:val="21"/>
                      <w:u w:val="none"/>
                    </w:rPr>
                    <w:t>加强宣传教育，设置环保宣传牌。</w:t>
                  </w:r>
                </w:p>
              </w:tc>
              <w:tc>
                <w:tcPr>
                  <w:tcW w:w="319" w:type="pct"/>
                  <w:vMerge w:val="continue"/>
                  <w:tcBorders>
                    <w:left w:val="single" w:color="000000" w:sz="4" w:space="0"/>
                    <w:right w:val="single" w:color="000000" w:sz="4" w:space="0"/>
                  </w:tcBorders>
                  <w:vAlign w:val="center"/>
                </w:tcPr>
                <w:p w14:paraId="12F672C4">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
                      <w:szCs w:val="2"/>
                      <w:u w:val="none"/>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03E48A7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pacing w:val="-6"/>
                      <w:sz w:val="21"/>
                      <w:u w:val="none"/>
                    </w:rPr>
                  </w:pPr>
                  <w:r>
                    <w:rPr>
                      <w:rFonts w:ascii="Times New Roman" w:hAnsi="Times New Roman" w:eastAsia="宋体"/>
                      <w:spacing w:val="-6"/>
                      <w:sz w:val="21"/>
                      <w:u w:val="none"/>
                    </w:rPr>
                    <w:t>全部施</w:t>
                  </w:r>
                </w:p>
                <w:p w14:paraId="0E56F5D6">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工</w:t>
                  </w:r>
                  <w:r>
                    <w:rPr>
                      <w:rFonts w:ascii="Times New Roman" w:hAnsi="Times New Roman" w:eastAsia="宋体"/>
                      <w:spacing w:val="-10"/>
                      <w:sz w:val="21"/>
                      <w:u w:val="none"/>
                    </w:rPr>
                    <w:t>期</w:t>
                  </w:r>
                </w:p>
              </w:tc>
              <w:tc>
                <w:tcPr>
                  <w:tcW w:w="360" w:type="pct"/>
                  <w:vMerge w:val="continue"/>
                  <w:tcBorders>
                    <w:top w:val="nil"/>
                    <w:left w:val="single" w:color="000000" w:sz="4" w:space="0"/>
                    <w:bottom w:val="single" w:color="000000" w:sz="4" w:space="0"/>
                    <w:right w:val="single" w:color="auto" w:sz="4" w:space="0"/>
                  </w:tcBorders>
                  <w:vAlign w:val="center"/>
                </w:tcPr>
                <w:p w14:paraId="0654122A">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
                      <w:szCs w:val="2"/>
                      <w:u w:val="none"/>
                    </w:rPr>
                  </w:pPr>
                </w:p>
              </w:tc>
              <w:tc>
                <w:tcPr>
                  <w:tcW w:w="509" w:type="pct"/>
                  <w:vMerge w:val="continue"/>
                  <w:tcBorders>
                    <w:left w:val="single" w:color="auto" w:sz="4" w:space="0"/>
                    <w:right w:val="single" w:color="auto" w:sz="4" w:space="0"/>
                  </w:tcBorders>
                </w:tcPr>
                <w:p w14:paraId="215E8D85">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bottom w:val="single" w:color="000000" w:sz="4" w:space="0"/>
                  </w:tcBorders>
                  <w:vAlign w:val="center"/>
                </w:tcPr>
                <w:p w14:paraId="2261E242">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避免发生施工人</w:t>
                  </w:r>
                  <w:r>
                    <w:rPr>
                      <w:rFonts w:ascii="Times New Roman" w:hAnsi="Times New Roman" w:eastAsia="宋体"/>
                      <w:spacing w:val="-12"/>
                      <w:sz w:val="21"/>
                      <w:u w:val="none"/>
                    </w:rPr>
                    <w:t>员随意惊吓、捕杀</w:t>
                  </w:r>
                  <w:r>
                    <w:rPr>
                      <w:rFonts w:ascii="Times New Roman" w:hAnsi="Times New Roman" w:eastAsia="宋体"/>
                      <w:spacing w:val="-4"/>
                      <w:sz w:val="21"/>
                      <w:u w:val="none"/>
                    </w:rPr>
                    <w:t>野生动物，踩踏、破坏植被的现象</w:t>
                  </w:r>
                  <w:r>
                    <w:rPr>
                      <w:rFonts w:hint="eastAsia" w:ascii="Times New Roman" w:hAnsi="Times New Roman"/>
                      <w:spacing w:val="-4"/>
                      <w:sz w:val="21"/>
                      <w:u w:val="none"/>
                      <w:lang w:eastAsia="zh-CN"/>
                    </w:rPr>
                    <w:t>。</w:t>
                  </w:r>
                </w:p>
              </w:tc>
            </w:tr>
            <w:tr w14:paraId="36AF4923">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235" w:type="pct"/>
                  <w:tcBorders>
                    <w:top w:val="single" w:color="000000" w:sz="4" w:space="0"/>
                    <w:bottom w:val="single" w:color="000000" w:sz="4" w:space="0"/>
                    <w:right w:val="single" w:color="000000" w:sz="4" w:space="0"/>
                  </w:tcBorders>
                  <w:vAlign w:val="center"/>
                </w:tcPr>
                <w:p w14:paraId="5020C608">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sz w:val="21"/>
                      <w:u w:val="none"/>
                      <w:lang w:val="en-US" w:eastAsia="zh-CN"/>
                    </w:rPr>
                  </w:pPr>
                  <w:r>
                    <w:rPr>
                      <w:rFonts w:hint="eastAsia" w:ascii="Times New Roman" w:hAnsi="Times New Roman"/>
                      <w:sz w:val="21"/>
                      <w:u w:val="none"/>
                      <w:lang w:val="en-US" w:eastAsia="zh-CN"/>
                    </w:rPr>
                    <w:t>7</w:t>
                  </w:r>
                </w:p>
              </w:tc>
              <w:tc>
                <w:tcPr>
                  <w:tcW w:w="2084" w:type="pct"/>
                  <w:tcBorders>
                    <w:top w:val="single" w:color="000000" w:sz="4" w:space="0"/>
                    <w:left w:val="single" w:color="000000" w:sz="4" w:space="0"/>
                    <w:bottom w:val="single" w:color="000000" w:sz="4" w:space="0"/>
                    <w:right w:val="single" w:color="000000" w:sz="4" w:space="0"/>
                  </w:tcBorders>
                  <w:vAlign w:val="center"/>
                </w:tcPr>
                <w:p w14:paraId="00C6899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7"/>
                      <w:sz w:val="21"/>
                      <w:u w:val="none"/>
                    </w:rPr>
                    <w:t>采用低噪声施工设备，加强</w:t>
                  </w:r>
                  <w:r>
                    <w:rPr>
                      <w:rFonts w:ascii="Times New Roman" w:hAnsi="Times New Roman" w:eastAsia="宋体"/>
                      <w:spacing w:val="-3"/>
                      <w:sz w:val="21"/>
                      <w:u w:val="none"/>
                    </w:rPr>
                    <w:t>维护保养，严格操作规程，</w:t>
                  </w:r>
                  <w:r>
                    <w:rPr>
                      <w:rFonts w:ascii="Times New Roman" w:hAnsi="Times New Roman" w:eastAsia="宋体"/>
                      <w:spacing w:val="-4"/>
                      <w:sz w:val="21"/>
                      <w:u w:val="none"/>
                    </w:rPr>
                    <w:t>禁止夜间施工。</w:t>
                  </w:r>
                </w:p>
              </w:tc>
              <w:tc>
                <w:tcPr>
                  <w:tcW w:w="319" w:type="pct"/>
                  <w:vMerge w:val="continue"/>
                  <w:tcBorders>
                    <w:left w:val="single" w:color="000000" w:sz="4" w:space="0"/>
                    <w:right w:val="single" w:color="000000" w:sz="4" w:space="0"/>
                  </w:tcBorders>
                  <w:vAlign w:val="center"/>
                </w:tcPr>
                <w:p w14:paraId="444F3B8F">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p>
              </w:tc>
              <w:tc>
                <w:tcPr>
                  <w:tcW w:w="508" w:type="pct"/>
                  <w:tcBorders>
                    <w:top w:val="single" w:color="000000" w:sz="4" w:space="0"/>
                    <w:left w:val="single" w:color="000000" w:sz="4" w:space="0"/>
                    <w:bottom w:val="single" w:color="000000" w:sz="4" w:space="0"/>
                    <w:right w:val="single" w:color="000000" w:sz="4" w:space="0"/>
                  </w:tcBorders>
                </w:tcPr>
                <w:p w14:paraId="0389191D">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pacing w:val="-8"/>
                      <w:sz w:val="21"/>
                      <w:u w:val="none"/>
                    </w:rPr>
                  </w:pPr>
                  <w:r>
                    <w:rPr>
                      <w:rFonts w:ascii="Times New Roman" w:hAnsi="Times New Roman" w:eastAsia="宋体"/>
                      <w:spacing w:val="-8"/>
                      <w:sz w:val="21"/>
                      <w:u w:val="none"/>
                    </w:rPr>
                    <w:t>全部施</w:t>
                  </w:r>
                </w:p>
                <w:p w14:paraId="63BE0087">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8"/>
                      <w:sz w:val="21"/>
                      <w:u w:val="none"/>
                    </w:rPr>
                    <w:t>工</w:t>
                  </w:r>
                  <w:r>
                    <w:rPr>
                      <w:rFonts w:ascii="Times New Roman" w:hAnsi="Times New Roman" w:eastAsia="宋体"/>
                      <w:spacing w:val="-10"/>
                      <w:sz w:val="21"/>
                      <w:u w:val="none"/>
                    </w:rPr>
                    <w:t>期</w:t>
                  </w:r>
                </w:p>
              </w:tc>
              <w:tc>
                <w:tcPr>
                  <w:tcW w:w="360" w:type="pct"/>
                  <w:tcBorders>
                    <w:top w:val="single" w:color="000000" w:sz="4" w:space="0"/>
                    <w:left w:val="single" w:color="000000" w:sz="4" w:space="0"/>
                    <w:bottom w:val="single" w:color="000000" w:sz="4" w:space="0"/>
                    <w:right w:val="single" w:color="auto" w:sz="4" w:space="0"/>
                  </w:tcBorders>
                  <w:vAlign w:val="center"/>
                </w:tcPr>
                <w:p w14:paraId="4C19BD11">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施工</w:t>
                  </w:r>
                  <w:r>
                    <w:rPr>
                      <w:rFonts w:ascii="Times New Roman" w:hAnsi="Times New Roman" w:eastAsia="宋体"/>
                      <w:spacing w:val="-8"/>
                      <w:sz w:val="21"/>
                      <w:u w:val="none"/>
                    </w:rPr>
                    <w:t>单位</w:t>
                  </w:r>
                </w:p>
              </w:tc>
              <w:tc>
                <w:tcPr>
                  <w:tcW w:w="509" w:type="pct"/>
                  <w:vMerge w:val="continue"/>
                  <w:tcBorders>
                    <w:left w:val="single" w:color="auto" w:sz="4" w:space="0"/>
                    <w:right w:val="single" w:color="auto" w:sz="4" w:space="0"/>
                  </w:tcBorders>
                </w:tcPr>
                <w:p w14:paraId="40C9852C">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bottom w:val="single" w:color="000000" w:sz="4" w:space="0"/>
                  </w:tcBorders>
                  <w:vAlign w:val="center"/>
                </w:tcPr>
                <w:p w14:paraId="5124E21A">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对周边声环境影</w:t>
                  </w:r>
                  <w:r>
                    <w:rPr>
                      <w:rFonts w:ascii="Times New Roman" w:hAnsi="Times New Roman" w:eastAsia="宋体"/>
                      <w:spacing w:val="-4"/>
                      <w:sz w:val="21"/>
                      <w:u w:val="none"/>
                    </w:rPr>
                    <w:t>响较小</w:t>
                  </w:r>
                  <w:r>
                    <w:rPr>
                      <w:rFonts w:hint="eastAsia" w:ascii="Times New Roman" w:hAnsi="Times New Roman"/>
                      <w:spacing w:val="-4"/>
                      <w:sz w:val="21"/>
                      <w:u w:val="none"/>
                      <w:lang w:eastAsia="zh-CN"/>
                    </w:rPr>
                    <w:t>。</w:t>
                  </w:r>
                </w:p>
              </w:tc>
            </w:tr>
            <w:tr w14:paraId="7AF78BE5">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1136" w:hRule="atLeast"/>
              </w:trPr>
              <w:tc>
                <w:tcPr>
                  <w:tcW w:w="235" w:type="pct"/>
                  <w:tcBorders>
                    <w:top w:val="single" w:color="000000" w:sz="4" w:space="0"/>
                    <w:bottom w:val="single" w:color="000000" w:sz="4" w:space="0"/>
                    <w:right w:val="single" w:color="000000" w:sz="4" w:space="0"/>
                  </w:tcBorders>
                  <w:vAlign w:val="center"/>
                </w:tcPr>
                <w:p w14:paraId="01C0DD42">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宋体"/>
                      <w:kern w:val="2"/>
                      <w:sz w:val="21"/>
                      <w:szCs w:val="24"/>
                      <w:u w:val="none"/>
                      <w:lang w:val="en-US" w:eastAsia="zh-CN" w:bidi="ar-SA"/>
                    </w:rPr>
                  </w:pPr>
                  <w:r>
                    <w:rPr>
                      <w:rFonts w:ascii="Times New Roman" w:hAnsi="Times New Roman" w:eastAsia="宋体"/>
                      <w:spacing w:val="-10"/>
                      <w:sz w:val="21"/>
                      <w:u w:val="none"/>
                    </w:rPr>
                    <w:t>8</w:t>
                  </w:r>
                </w:p>
              </w:tc>
              <w:tc>
                <w:tcPr>
                  <w:tcW w:w="2084" w:type="pct"/>
                  <w:tcBorders>
                    <w:top w:val="single" w:color="000000" w:sz="4" w:space="0"/>
                    <w:left w:val="single" w:color="000000" w:sz="4" w:space="0"/>
                    <w:bottom w:val="single" w:color="000000" w:sz="4" w:space="0"/>
                    <w:right w:val="single" w:color="000000" w:sz="4" w:space="0"/>
                  </w:tcBorders>
                  <w:vAlign w:val="center"/>
                </w:tcPr>
                <w:p w14:paraId="71D02723">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4"/>
                      <w:sz w:val="21"/>
                      <w:u w:val="none"/>
                    </w:rPr>
                    <w:t>道路及施工面洒水降尘、物料运输篷布遮盖、土石方采</w:t>
                  </w:r>
                  <w:r>
                    <w:rPr>
                      <w:rFonts w:ascii="Times New Roman" w:hAnsi="Times New Roman" w:eastAsia="宋体"/>
                      <w:spacing w:val="-6"/>
                      <w:sz w:val="21"/>
                      <w:u w:val="none"/>
                    </w:rPr>
                    <w:t>用防尘布（网）</w:t>
                  </w:r>
                  <w:r>
                    <w:rPr>
                      <w:rFonts w:ascii="Times New Roman" w:hAnsi="Times New Roman" w:eastAsia="宋体"/>
                      <w:spacing w:val="-7"/>
                      <w:sz w:val="21"/>
                      <w:u w:val="none"/>
                    </w:rPr>
                    <w:t>苫盖；使用</w:t>
                  </w:r>
                  <w:r>
                    <w:rPr>
                      <w:rFonts w:ascii="Times New Roman" w:hAnsi="Times New Roman" w:eastAsia="宋体"/>
                      <w:spacing w:val="-2"/>
                      <w:sz w:val="21"/>
                      <w:u w:val="none"/>
                    </w:rPr>
                    <w:t>符合国家标准的工程车辆</w:t>
                  </w:r>
                  <w:r>
                    <w:rPr>
                      <w:rFonts w:ascii="Times New Roman" w:hAnsi="Times New Roman" w:eastAsia="宋体"/>
                      <w:spacing w:val="-4"/>
                      <w:sz w:val="21"/>
                      <w:u w:val="none"/>
                    </w:rPr>
                    <w:t>及施工机械</w:t>
                  </w:r>
                  <w:r>
                    <w:rPr>
                      <w:rFonts w:ascii="Times New Roman" w:hAnsi="Times New Roman" w:eastAsia="宋体"/>
                      <w:spacing w:val="-5"/>
                      <w:sz w:val="21"/>
                      <w:u w:val="none"/>
                    </w:rPr>
                    <w:t>。</w:t>
                  </w:r>
                </w:p>
              </w:tc>
              <w:tc>
                <w:tcPr>
                  <w:tcW w:w="319" w:type="pct"/>
                  <w:vMerge w:val="continue"/>
                  <w:tcBorders>
                    <w:left w:val="single" w:color="000000" w:sz="4" w:space="0"/>
                    <w:right w:val="single" w:color="000000" w:sz="4" w:space="0"/>
                  </w:tcBorders>
                  <w:vAlign w:val="center"/>
                </w:tcPr>
                <w:p w14:paraId="527F4BE5">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63593B52">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pacing w:val="-6"/>
                      <w:sz w:val="21"/>
                      <w:u w:val="none"/>
                    </w:rPr>
                  </w:pPr>
                  <w:r>
                    <w:rPr>
                      <w:rFonts w:ascii="Times New Roman" w:hAnsi="Times New Roman" w:eastAsia="宋体"/>
                      <w:spacing w:val="-6"/>
                      <w:sz w:val="21"/>
                      <w:u w:val="none"/>
                    </w:rPr>
                    <w:t>全部施</w:t>
                  </w:r>
                </w:p>
                <w:p w14:paraId="28F43AB7">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工</w:t>
                  </w:r>
                  <w:r>
                    <w:rPr>
                      <w:rFonts w:ascii="Times New Roman" w:hAnsi="Times New Roman" w:eastAsia="宋体"/>
                      <w:spacing w:val="-10"/>
                      <w:sz w:val="21"/>
                      <w:u w:val="none"/>
                    </w:rPr>
                    <w:t>期</w:t>
                  </w:r>
                </w:p>
              </w:tc>
              <w:tc>
                <w:tcPr>
                  <w:tcW w:w="360" w:type="pct"/>
                  <w:tcBorders>
                    <w:top w:val="single" w:color="000000" w:sz="4" w:space="0"/>
                    <w:left w:val="single" w:color="000000" w:sz="4" w:space="0"/>
                    <w:bottom w:val="single" w:color="000000" w:sz="4" w:space="0"/>
                    <w:right w:val="single" w:color="auto" w:sz="4" w:space="0"/>
                  </w:tcBorders>
                  <w:vAlign w:val="center"/>
                </w:tcPr>
                <w:p w14:paraId="59E5FD2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施工</w:t>
                  </w:r>
                  <w:r>
                    <w:rPr>
                      <w:rFonts w:ascii="Times New Roman" w:hAnsi="Times New Roman" w:eastAsia="宋体"/>
                      <w:spacing w:val="-8"/>
                      <w:sz w:val="21"/>
                      <w:u w:val="none"/>
                    </w:rPr>
                    <w:t>单位</w:t>
                  </w:r>
                </w:p>
              </w:tc>
              <w:tc>
                <w:tcPr>
                  <w:tcW w:w="509" w:type="pct"/>
                  <w:vMerge w:val="continue"/>
                  <w:tcBorders>
                    <w:left w:val="single" w:color="auto" w:sz="4" w:space="0"/>
                    <w:right w:val="single" w:color="auto" w:sz="4" w:space="0"/>
                  </w:tcBorders>
                </w:tcPr>
                <w:p w14:paraId="225857DB">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bottom w:val="single" w:color="000000" w:sz="4" w:space="0"/>
                  </w:tcBorders>
                  <w:vAlign w:val="center"/>
                </w:tcPr>
                <w:p w14:paraId="640FEA7E">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对周边大气环境</w:t>
                  </w:r>
                  <w:r>
                    <w:rPr>
                      <w:rFonts w:ascii="Times New Roman" w:hAnsi="Times New Roman" w:eastAsia="宋体"/>
                      <w:spacing w:val="-4"/>
                      <w:sz w:val="21"/>
                      <w:u w:val="none"/>
                    </w:rPr>
                    <w:t>影响较小</w:t>
                  </w:r>
                  <w:r>
                    <w:rPr>
                      <w:rFonts w:hint="eastAsia" w:ascii="Times New Roman" w:hAnsi="Times New Roman"/>
                      <w:spacing w:val="-4"/>
                      <w:sz w:val="21"/>
                      <w:u w:val="none"/>
                      <w:lang w:eastAsia="zh-CN"/>
                    </w:rPr>
                    <w:t>。</w:t>
                  </w:r>
                </w:p>
              </w:tc>
            </w:tr>
            <w:tr w14:paraId="4C696B20">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1743" w:hRule="atLeast"/>
              </w:trPr>
              <w:tc>
                <w:tcPr>
                  <w:tcW w:w="235" w:type="pct"/>
                  <w:tcBorders>
                    <w:top w:val="single" w:color="000000" w:sz="4" w:space="0"/>
                    <w:right w:val="single" w:color="000000" w:sz="4" w:space="0"/>
                  </w:tcBorders>
                  <w:vAlign w:val="center"/>
                </w:tcPr>
                <w:p w14:paraId="40023DD3">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宋体"/>
                      <w:kern w:val="2"/>
                      <w:sz w:val="21"/>
                      <w:szCs w:val="24"/>
                      <w:u w:val="none"/>
                      <w:lang w:val="en-US" w:eastAsia="zh-CN" w:bidi="ar-SA"/>
                    </w:rPr>
                  </w:pPr>
                  <w:r>
                    <w:rPr>
                      <w:rFonts w:ascii="Times New Roman" w:hAnsi="Times New Roman" w:eastAsia="宋体"/>
                      <w:spacing w:val="-10"/>
                      <w:sz w:val="21"/>
                      <w:u w:val="none"/>
                    </w:rPr>
                    <w:t>9</w:t>
                  </w:r>
                </w:p>
              </w:tc>
              <w:tc>
                <w:tcPr>
                  <w:tcW w:w="2084" w:type="pct"/>
                  <w:tcBorders>
                    <w:top w:val="single" w:color="000000" w:sz="4" w:space="0"/>
                    <w:left w:val="single" w:color="000000" w:sz="4" w:space="0"/>
                    <w:right w:val="single" w:color="000000" w:sz="4" w:space="0"/>
                  </w:tcBorders>
                  <w:vAlign w:val="center"/>
                </w:tcPr>
                <w:p w14:paraId="5E6FF3B3">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r>
                    <w:rPr>
                      <w:rFonts w:ascii="Times New Roman" w:hAnsi="Times New Roman" w:eastAsia="宋体"/>
                      <w:spacing w:val="-2"/>
                      <w:sz w:val="21"/>
                      <w:u w:val="none"/>
                    </w:rPr>
                    <w:t>施工完成后及时做好迹地清理工作；废弃建筑材料、包装袋由施工单位统一回收，综合利用；不能回收利用的废弃建材运至当地建筑垃圾填埋场处理；施工土方回填、</w:t>
                  </w:r>
                  <w:r>
                    <w:rPr>
                      <w:rFonts w:ascii="Times New Roman" w:hAnsi="Times New Roman" w:eastAsia="宋体"/>
                      <w:spacing w:val="-3"/>
                      <w:sz w:val="21"/>
                      <w:u w:val="none"/>
                    </w:rPr>
                    <w:t>护坡、平整及迹地恢复。</w:t>
                  </w:r>
                </w:p>
              </w:tc>
              <w:tc>
                <w:tcPr>
                  <w:tcW w:w="319" w:type="pct"/>
                  <w:vMerge w:val="continue"/>
                  <w:tcBorders>
                    <w:left w:val="single" w:color="000000" w:sz="4" w:space="0"/>
                    <w:right w:val="single" w:color="000000" w:sz="4" w:space="0"/>
                  </w:tcBorders>
                  <w:vAlign w:val="center"/>
                </w:tcPr>
                <w:p w14:paraId="7D291E3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ascii="Times New Roman" w:hAnsi="Times New Roman" w:eastAsia="宋体"/>
                      <w:sz w:val="21"/>
                      <w:u w:val="none"/>
                    </w:rPr>
                  </w:pPr>
                </w:p>
              </w:tc>
              <w:tc>
                <w:tcPr>
                  <w:tcW w:w="508" w:type="pct"/>
                  <w:tcBorders>
                    <w:top w:val="single" w:color="000000" w:sz="4" w:space="0"/>
                    <w:left w:val="single" w:color="000000" w:sz="4" w:space="0"/>
                    <w:right w:val="single" w:color="000000" w:sz="4" w:space="0"/>
                  </w:tcBorders>
                  <w:vAlign w:val="center"/>
                </w:tcPr>
                <w:p w14:paraId="044CB069">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pacing w:val="-6"/>
                      <w:sz w:val="21"/>
                      <w:u w:val="none"/>
                    </w:rPr>
                  </w:pPr>
                  <w:r>
                    <w:rPr>
                      <w:rFonts w:ascii="Times New Roman" w:hAnsi="Times New Roman" w:eastAsia="宋体"/>
                      <w:spacing w:val="-6"/>
                      <w:sz w:val="21"/>
                      <w:u w:val="none"/>
                    </w:rPr>
                    <w:t>全部施</w:t>
                  </w:r>
                </w:p>
                <w:p w14:paraId="20483CFC">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工</w:t>
                  </w:r>
                  <w:r>
                    <w:rPr>
                      <w:rFonts w:ascii="Times New Roman" w:hAnsi="Times New Roman" w:eastAsia="宋体"/>
                      <w:spacing w:val="-10"/>
                      <w:sz w:val="21"/>
                      <w:u w:val="none"/>
                    </w:rPr>
                    <w:t>期</w:t>
                  </w:r>
                </w:p>
              </w:tc>
              <w:tc>
                <w:tcPr>
                  <w:tcW w:w="360" w:type="pct"/>
                  <w:tcBorders>
                    <w:top w:val="single" w:color="000000" w:sz="4" w:space="0"/>
                    <w:left w:val="single" w:color="000000" w:sz="4" w:space="0"/>
                    <w:right w:val="single" w:color="auto" w:sz="4" w:space="0"/>
                  </w:tcBorders>
                  <w:vAlign w:val="center"/>
                </w:tcPr>
                <w:p w14:paraId="1FC0F3DC">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eastAsia="宋体"/>
                      <w:sz w:val="21"/>
                      <w:u w:val="none"/>
                    </w:rPr>
                  </w:pPr>
                  <w:r>
                    <w:rPr>
                      <w:rFonts w:ascii="Times New Roman" w:hAnsi="Times New Roman" w:eastAsia="宋体"/>
                      <w:spacing w:val="-6"/>
                      <w:sz w:val="21"/>
                      <w:u w:val="none"/>
                    </w:rPr>
                    <w:t>施工</w:t>
                  </w:r>
                  <w:r>
                    <w:rPr>
                      <w:rFonts w:ascii="Times New Roman" w:hAnsi="Times New Roman" w:eastAsia="宋体"/>
                      <w:spacing w:val="-8"/>
                      <w:sz w:val="21"/>
                      <w:u w:val="none"/>
                    </w:rPr>
                    <w:t>单位</w:t>
                  </w:r>
                </w:p>
              </w:tc>
              <w:tc>
                <w:tcPr>
                  <w:tcW w:w="509" w:type="pct"/>
                  <w:vMerge w:val="continue"/>
                  <w:tcBorders>
                    <w:left w:val="single" w:color="auto" w:sz="4" w:space="0"/>
                    <w:bottom w:val="single" w:color="auto" w:sz="4" w:space="0"/>
                    <w:right w:val="single" w:color="auto" w:sz="4" w:space="0"/>
                  </w:tcBorders>
                </w:tcPr>
                <w:p w14:paraId="50AD3768">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ascii="Times New Roman" w:hAnsi="Times New Roman" w:eastAsia="宋体"/>
                      <w:sz w:val="2"/>
                      <w:szCs w:val="2"/>
                      <w:u w:val="none"/>
                    </w:rPr>
                  </w:pPr>
                </w:p>
              </w:tc>
              <w:tc>
                <w:tcPr>
                  <w:tcW w:w="981" w:type="pct"/>
                  <w:tcBorders>
                    <w:top w:val="single" w:color="000000" w:sz="4" w:space="0"/>
                    <w:left w:val="single" w:color="auto" w:sz="4" w:space="0"/>
                  </w:tcBorders>
                  <w:vAlign w:val="center"/>
                </w:tcPr>
                <w:p w14:paraId="58EA527B">
                  <w:pPr>
                    <w:pStyle w:val="12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eastAsia" w:ascii="Times New Roman" w:hAnsi="Times New Roman" w:eastAsia="宋体"/>
                      <w:sz w:val="21"/>
                      <w:u w:val="none"/>
                      <w:lang w:eastAsia="zh-CN"/>
                    </w:rPr>
                  </w:pPr>
                  <w:r>
                    <w:rPr>
                      <w:rFonts w:ascii="Times New Roman" w:hAnsi="Times New Roman" w:eastAsia="宋体"/>
                      <w:spacing w:val="-2"/>
                      <w:sz w:val="21"/>
                      <w:u w:val="none"/>
                    </w:rPr>
                    <w:t>固废均得到有效</w:t>
                  </w:r>
                  <w:r>
                    <w:rPr>
                      <w:rFonts w:ascii="Times New Roman" w:hAnsi="Times New Roman" w:eastAsia="宋体"/>
                      <w:spacing w:val="-10"/>
                      <w:sz w:val="21"/>
                      <w:u w:val="none"/>
                    </w:rPr>
                    <w:t>处置，施工迹地得</w:t>
                  </w:r>
                  <w:r>
                    <w:rPr>
                      <w:rFonts w:ascii="Times New Roman" w:hAnsi="Times New Roman" w:eastAsia="宋体"/>
                      <w:spacing w:val="-4"/>
                      <w:sz w:val="21"/>
                      <w:u w:val="none"/>
                    </w:rPr>
                    <w:t>以恢复</w:t>
                  </w:r>
                  <w:r>
                    <w:rPr>
                      <w:rFonts w:hint="eastAsia" w:ascii="Times New Roman" w:hAnsi="Times New Roman"/>
                      <w:spacing w:val="-4"/>
                      <w:sz w:val="21"/>
                      <w:u w:val="none"/>
                      <w:lang w:eastAsia="zh-CN"/>
                    </w:rPr>
                    <w:t>。</w:t>
                  </w:r>
                </w:p>
              </w:tc>
            </w:tr>
          </w:tbl>
          <w:p w14:paraId="52C279DD">
            <w:pPr>
              <w:tabs>
                <w:tab w:val="left" w:pos="720"/>
              </w:tabs>
              <w:adjustRightInd w:val="0"/>
              <w:snapToGrid w:val="0"/>
              <w:spacing w:line="360" w:lineRule="auto"/>
              <w:ind w:firstLine="480" w:firstLineChars="200"/>
              <w:rPr>
                <w:color w:val="000000"/>
                <w:sz w:val="24"/>
              </w:rPr>
            </w:pPr>
          </w:p>
        </w:tc>
      </w:tr>
      <w:tr w14:paraId="6561B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457" w:type="dxa"/>
            <w:tcMar>
              <w:left w:w="28" w:type="dxa"/>
              <w:right w:w="28" w:type="dxa"/>
            </w:tcMar>
            <w:vAlign w:val="center"/>
          </w:tcPr>
          <w:p w14:paraId="68F9673B">
            <w:pPr>
              <w:adjustRightInd w:val="0"/>
              <w:snapToGrid w:val="0"/>
              <w:jc w:val="center"/>
              <w:rPr>
                <w:b/>
                <w:bCs/>
                <w:color w:val="000000"/>
                <w:spacing w:val="10"/>
                <w:szCs w:val="21"/>
                <w:highlight w:val="yellow"/>
              </w:rPr>
            </w:pPr>
            <w:r>
              <w:rPr>
                <w:b/>
                <w:bCs/>
                <w:color w:val="000000"/>
                <w:spacing w:val="10"/>
                <w:sz w:val="24"/>
              </w:rPr>
              <w:t>运行期生态环境保护措施</w:t>
            </w:r>
          </w:p>
        </w:tc>
        <w:tc>
          <w:tcPr>
            <w:tcW w:w="8409" w:type="dxa"/>
          </w:tcPr>
          <w:p w14:paraId="17F251AC">
            <w:pPr>
              <w:numPr>
                <w:ilvl w:val="0"/>
                <w:numId w:val="19"/>
              </w:numPr>
              <w:spacing w:line="360" w:lineRule="auto"/>
              <w:rPr>
                <w:b/>
                <w:color w:val="000000"/>
                <w:kern w:val="0"/>
                <w:sz w:val="24"/>
                <w:szCs w:val="21"/>
              </w:rPr>
            </w:pPr>
            <w:r>
              <w:rPr>
                <w:b/>
                <w:color w:val="000000"/>
                <w:kern w:val="0"/>
                <w:sz w:val="24"/>
                <w:szCs w:val="21"/>
              </w:rPr>
              <w:t>运行期电磁环境污染控制措施</w:t>
            </w:r>
          </w:p>
          <w:p w14:paraId="741EDB5B">
            <w:pPr>
              <w:pStyle w:val="11"/>
              <w:rPr>
                <w:color w:val="000000"/>
              </w:rPr>
            </w:pPr>
            <w:r>
              <w:rPr>
                <w:color w:val="000000"/>
              </w:rPr>
              <w:t>严格落实导线对地最低设计高度</w:t>
            </w:r>
            <w:r>
              <w:rPr>
                <w:rFonts w:hint="eastAsia"/>
                <w:color w:val="000000"/>
              </w:rPr>
              <w:t>，</w:t>
            </w:r>
            <w:r>
              <w:rPr>
                <w:color w:val="000000"/>
              </w:rPr>
              <w:t>输电线路经过居民区应抬升导线对地高度</w:t>
            </w:r>
            <w:r>
              <w:rPr>
                <w:rFonts w:hint="eastAsia"/>
                <w:color w:val="000000"/>
              </w:rPr>
              <w:t>，</w:t>
            </w:r>
            <w:r>
              <w:rPr>
                <w:color w:val="000000"/>
              </w:rPr>
              <w:t>降低电磁环境的影响</w:t>
            </w:r>
            <w:r>
              <w:rPr>
                <w:rFonts w:hint="eastAsia"/>
                <w:color w:val="000000"/>
              </w:rPr>
              <w:t>。</w:t>
            </w:r>
            <w:r>
              <w:rPr>
                <w:color w:val="000000"/>
              </w:rPr>
              <w:t>运行期</w:t>
            </w:r>
            <w:r>
              <w:rPr>
                <w:rFonts w:hint="eastAsia"/>
                <w:color w:val="000000"/>
              </w:rPr>
              <w:t>需要</w:t>
            </w:r>
            <w:r>
              <w:rPr>
                <w:color w:val="000000"/>
              </w:rPr>
              <w:t>做好设施的维护和运行管理，定期开展环境监测，确保电磁环境满足《电磁环境控制限值》（GB8702-2014）相关要求。</w:t>
            </w:r>
          </w:p>
          <w:p w14:paraId="336FD831">
            <w:pPr>
              <w:numPr>
                <w:ilvl w:val="0"/>
                <w:numId w:val="19"/>
              </w:numPr>
              <w:spacing w:line="360" w:lineRule="auto"/>
              <w:rPr>
                <w:b/>
                <w:color w:val="000000"/>
                <w:kern w:val="0"/>
                <w:sz w:val="24"/>
                <w:szCs w:val="21"/>
              </w:rPr>
            </w:pPr>
            <w:r>
              <w:rPr>
                <w:b/>
                <w:color w:val="000000"/>
                <w:kern w:val="0"/>
                <w:sz w:val="24"/>
                <w:szCs w:val="21"/>
              </w:rPr>
              <w:t>运行期</w:t>
            </w:r>
            <w:r>
              <w:rPr>
                <w:rFonts w:hint="eastAsia"/>
                <w:b/>
                <w:color w:val="000000"/>
                <w:kern w:val="0"/>
                <w:sz w:val="24"/>
                <w:szCs w:val="21"/>
              </w:rPr>
              <w:t>噪声</w:t>
            </w:r>
            <w:r>
              <w:rPr>
                <w:b/>
                <w:color w:val="000000"/>
                <w:kern w:val="0"/>
                <w:sz w:val="24"/>
                <w:szCs w:val="21"/>
              </w:rPr>
              <w:t>污染控制措施</w:t>
            </w:r>
          </w:p>
          <w:p w14:paraId="71BE20A0">
            <w:pPr>
              <w:pStyle w:val="11"/>
              <w:rPr>
                <w:color w:val="000000"/>
              </w:rPr>
            </w:pPr>
            <w:r>
              <w:rPr>
                <w:color w:val="000000"/>
              </w:rPr>
              <w:t>运行期做好设施的维护和运行管理，定期开展环境监测，变电站运行期间厂界噪声均满足《工业企业厂界环境噪声排放标准》（GB12348-2008）相应标准限值要求，</w:t>
            </w:r>
            <w:r>
              <w:rPr>
                <w:rFonts w:hint="eastAsia"/>
                <w:color w:val="000000"/>
              </w:rPr>
              <w:t>变电站和</w:t>
            </w:r>
            <w:r>
              <w:rPr>
                <w:color w:val="000000"/>
              </w:rPr>
              <w:t>输电线路</w:t>
            </w:r>
            <w:r>
              <w:rPr>
                <w:rFonts w:hint="eastAsia"/>
                <w:color w:val="000000"/>
              </w:rPr>
              <w:t>周围</w:t>
            </w:r>
            <w:r>
              <w:rPr>
                <w:color w:val="000000"/>
              </w:rPr>
              <w:t>的声环境保护目标处的声环境均满足《声环境质量标准》（GB3096-2008）相应功能区标准限值要求。</w:t>
            </w:r>
          </w:p>
          <w:p w14:paraId="0637BB51">
            <w:pPr>
              <w:numPr>
                <w:ilvl w:val="0"/>
                <w:numId w:val="19"/>
              </w:numPr>
              <w:spacing w:line="360" w:lineRule="auto"/>
              <w:rPr>
                <w:b/>
                <w:color w:val="000000"/>
                <w:kern w:val="0"/>
                <w:sz w:val="24"/>
                <w:szCs w:val="21"/>
              </w:rPr>
            </w:pPr>
            <w:r>
              <w:rPr>
                <w:b/>
                <w:color w:val="000000"/>
                <w:kern w:val="0"/>
                <w:sz w:val="24"/>
                <w:szCs w:val="21"/>
              </w:rPr>
              <w:t>运行期水环境污染控制措施</w:t>
            </w:r>
          </w:p>
          <w:p w14:paraId="6B03A53C">
            <w:pPr>
              <w:pStyle w:val="11"/>
              <w:rPr>
                <w:color w:val="000000"/>
              </w:rPr>
            </w:pPr>
            <w:r>
              <w:rPr>
                <w:color w:val="000000"/>
              </w:rPr>
              <w:t>变电站</w:t>
            </w:r>
            <w:r>
              <w:rPr>
                <w:rFonts w:hint="eastAsia"/>
                <w:color w:val="000000"/>
              </w:rPr>
              <w:t>运行期</w:t>
            </w:r>
            <w:r>
              <w:rPr>
                <w:color w:val="000000"/>
              </w:rPr>
              <w:t>排水采取雨污分流制排水系统。站区内雨水</w:t>
            </w:r>
            <w:r>
              <w:rPr>
                <w:rFonts w:hint="eastAsia"/>
                <w:color w:val="000000"/>
              </w:rPr>
              <w:t>采用渗排和场地排水相结合的方式排出；站区生活污水经</w:t>
            </w:r>
            <w:r>
              <w:rPr>
                <w:rFonts w:hint="eastAsia"/>
                <w:color w:val="000000"/>
                <w:lang w:val="en-US" w:eastAsia="zh-CN"/>
              </w:rPr>
              <w:t>站内已有污水处理设施处理</w:t>
            </w:r>
            <w:r>
              <w:rPr>
                <w:rFonts w:hint="eastAsia"/>
                <w:color w:val="000000"/>
                <w:szCs w:val="24"/>
              </w:rPr>
              <w:t>，不</w:t>
            </w:r>
            <w:r>
              <w:rPr>
                <w:rFonts w:hint="eastAsia"/>
                <w:color w:val="000000"/>
              </w:rPr>
              <w:t>外排。</w:t>
            </w:r>
          </w:p>
          <w:p w14:paraId="0496DDFA">
            <w:pPr>
              <w:numPr>
                <w:ilvl w:val="0"/>
                <w:numId w:val="19"/>
              </w:numPr>
              <w:spacing w:line="360" w:lineRule="auto"/>
              <w:rPr>
                <w:b/>
                <w:color w:val="000000"/>
                <w:kern w:val="0"/>
                <w:sz w:val="24"/>
                <w:szCs w:val="21"/>
              </w:rPr>
            </w:pPr>
            <w:r>
              <w:rPr>
                <w:b/>
                <w:color w:val="000000"/>
                <w:kern w:val="0"/>
                <w:sz w:val="24"/>
                <w:szCs w:val="21"/>
              </w:rPr>
              <w:t>运行期</w:t>
            </w:r>
            <w:r>
              <w:rPr>
                <w:rFonts w:hint="eastAsia"/>
                <w:b/>
                <w:color w:val="000000"/>
                <w:kern w:val="0"/>
                <w:sz w:val="24"/>
                <w:szCs w:val="21"/>
              </w:rPr>
              <w:t>环境空气</w:t>
            </w:r>
            <w:r>
              <w:rPr>
                <w:b/>
                <w:color w:val="000000"/>
                <w:kern w:val="0"/>
                <w:sz w:val="24"/>
                <w:szCs w:val="21"/>
              </w:rPr>
              <w:t>污染控制措施</w:t>
            </w:r>
          </w:p>
          <w:p w14:paraId="71FA2CFE">
            <w:pPr>
              <w:widowControl/>
              <w:spacing w:line="360" w:lineRule="auto"/>
              <w:ind w:firstLine="480" w:firstLineChars="200"/>
              <w:rPr>
                <w:color w:val="000000"/>
                <w:sz w:val="24"/>
              </w:rPr>
            </w:pPr>
            <w:r>
              <w:rPr>
                <w:color w:val="000000"/>
                <w:sz w:val="24"/>
              </w:rPr>
              <w:t>运营期本工程不产生大气污染物，不会对项目周边环境空气产生影响。</w:t>
            </w:r>
          </w:p>
          <w:p w14:paraId="4AD6BF00">
            <w:pPr>
              <w:numPr>
                <w:ilvl w:val="0"/>
                <w:numId w:val="19"/>
              </w:numPr>
              <w:spacing w:line="360" w:lineRule="auto"/>
              <w:rPr>
                <w:b/>
                <w:color w:val="000000"/>
                <w:kern w:val="0"/>
                <w:sz w:val="24"/>
                <w:szCs w:val="21"/>
              </w:rPr>
            </w:pPr>
            <w:r>
              <w:rPr>
                <w:b/>
                <w:color w:val="000000"/>
                <w:kern w:val="0"/>
                <w:sz w:val="24"/>
                <w:szCs w:val="21"/>
              </w:rPr>
              <w:t>运行期固体废物污染控制措施</w:t>
            </w:r>
          </w:p>
          <w:p w14:paraId="7816D5F0">
            <w:pPr>
              <w:pStyle w:val="11"/>
              <w:rPr>
                <w:color w:val="000000"/>
              </w:rPr>
            </w:pPr>
            <w:r>
              <w:rPr>
                <w:color w:val="000000"/>
              </w:rPr>
              <w:t>变电站运行期间固体废物为定期巡检人员产生的生活垃圾以及变电站内的废旧蓄电池。</w:t>
            </w:r>
          </w:p>
          <w:p w14:paraId="23A57C95">
            <w:pPr>
              <w:pStyle w:val="11"/>
              <w:rPr>
                <w:color w:val="000000"/>
              </w:rPr>
            </w:pPr>
            <w:r>
              <w:rPr>
                <w:color w:val="000000"/>
              </w:rPr>
              <w:t>对于定期巡检人员产生的少量生活垃圾，应收集集中后运至当地镇区的生活垃圾转运点，交由环卫部门妥善处理。</w:t>
            </w:r>
          </w:p>
          <w:p w14:paraId="454B2A4A">
            <w:pPr>
              <w:pStyle w:val="11"/>
              <w:rPr>
                <w:color w:val="000000"/>
              </w:rPr>
            </w:pPr>
            <w:r>
              <w:rPr>
                <w:color w:val="000000"/>
              </w:rPr>
              <w:t>变电站采用蓄电池作为备用电源，待蓄电池达到使用寿命或需要更换时应交由有</w:t>
            </w:r>
            <w:r>
              <w:rPr>
                <w:rFonts w:hint="eastAsia"/>
                <w:color w:val="000000"/>
              </w:rPr>
              <w:t>危废处置</w:t>
            </w:r>
            <w:r>
              <w:rPr>
                <w:color w:val="000000"/>
              </w:rPr>
              <w:t>资质</w:t>
            </w:r>
            <w:r>
              <w:rPr>
                <w:rFonts w:hint="eastAsia"/>
                <w:color w:val="000000"/>
              </w:rPr>
              <w:t>的</w:t>
            </w:r>
            <w:r>
              <w:rPr>
                <w:color w:val="000000"/>
              </w:rPr>
              <w:t>单位</w:t>
            </w:r>
            <w:r>
              <w:rPr>
                <w:rFonts w:hint="eastAsia"/>
                <w:color w:val="000000"/>
              </w:rPr>
              <w:t>进行</w:t>
            </w:r>
            <w:r>
              <w:rPr>
                <w:color w:val="000000"/>
              </w:rPr>
              <w:t>处</w:t>
            </w:r>
            <w:r>
              <w:rPr>
                <w:rFonts w:hint="eastAsia"/>
                <w:color w:val="000000"/>
              </w:rPr>
              <w:t>置</w:t>
            </w:r>
            <w:r>
              <w:rPr>
                <w:color w:val="000000"/>
              </w:rPr>
              <w:t>，严禁随意丢弃。</w:t>
            </w:r>
          </w:p>
          <w:p w14:paraId="340C3D12">
            <w:pPr>
              <w:pStyle w:val="11"/>
              <w:rPr>
                <w:b/>
                <w:color w:val="000000"/>
                <w:kern w:val="0"/>
                <w:szCs w:val="21"/>
              </w:rPr>
            </w:pPr>
            <w:r>
              <w:rPr>
                <w:color w:val="000000"/>
              </w:rPr>
              <w:t>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p w14:paraId="1DF48E60">
            <w:pPr>
              <w:numPr>
                <w:ilvl w:val="0"/>
                <w:numId w:val="19"/>
              </w:numPr>
              <w:spacing w:line="360" w:lineRule="auto"/>
              <w:rPr>
                <w:b/>
                <w:color w:val="000000"/>
                <w:kern w:val="0"/>
                <w:sz w:val="24"/>
                <w:szCs w:val="21"/>
              </w:rPr>
            </w:pPr>
            <w:r>
              <w:rPr>
                <w:b/>
                <w:color w:val="000000"/>
                <w:kern w:val="0"/>
                <w:sz w:val="24"/>
                <w:szCs w:val="21"/>
              </w:rPr>
              <w:t>运行期环境风险控制措施</w:t>
            </w:r>
          </w:p>
          <w:p w14:paraId="3CFFEB5B">
            <w:pPr>
              <w:spacing w:line="360" w:lineRule="auto"/>
              <w:ind w:firstLine="480" w:firstLineChars="200"/>
              <w:rPr>
                <w:color w:val="000000"/>
                <w:sz w:val="24"/>
                <w:szCs w:val="20"/>
              </w:rPr>
            </w:pPr>
            <w:r>
              <w:rPr>
                <w:rFonts w:hint="eastAsia"/>
                <w:sz w:val="24"/>
              </w:rPr>
              <w:t>加强日常管理，制订并适时修订事故处理相关环境管理制度</w:t>
            </w:r>
            <w:r>
              <w:rPr>
                <w:rFonts w:hint="eastAsia"/>
                <w:color w:val="000000"/>
                <w:sz w:val="24"/>
                <w:szCs w:val="20"/>
              </w:rPr>
              <w:t>。</w:t>
            </w:r>
          </w:p>
          <w:p w14:paraId="213BF692">
            <w:pPr>
              <w:numPr>
                <w:ilvl w:val="0"/>
                <w:numId w:val="19"/>
              </w:numPr>
              <w:spacing w:line="360" w:lineRule="auto"/>
              <w:rPr>
                <w:b/>
                <w:kern w:val="0"/>
                <w:sz w:val="24"/>
                <w:szCs w:val="21"/>
              </w:rPr>
            </w:pPr>
            <w:r>
              <w:rPr>
                <w:b/>
                <w:kern w:val="0"/>
                <w:sz w:val="24"/>
                <w:szCs w:val="21"/>
              </w:rPr>
              <w:t>运行期生态环境保护措施</w:t>
            </w:r>
          </w:p>
          <w:p w14:paraId="7B2FEB5B">
            <w:pPr>
              <w:pStyle w:val="11"/>
              <w:rPr>
                <w:color w:val="000000"/>
              </w:rPr>
            </w:pPr>
            <w:r>
              <w:rPr>
                <w:color w:val="000000"/>
              </w:rPr>
              <w:t>加强对运行维护人员的环境保护教育，提高环保意识，不对项目周边区域的动植物及生态环境造成破坏。</w:t>
            </w:r>
            <w:r>
              <w:rPr>
                <w:rFonts w:hint="eastAsia"/>
                <w:color w:val="000000"/>
              </w:rPr>
              <w:t>详见</w:t>
            </w:r>
            <w:r>
              <w:rPr>
                <w:b w:val="0"/>
                <w:bCs w:val="0"/>
                <w:color w:val="000000"/>
              </w:rPr>
              <w:fldChar w:fldCharType="begin"/>
            </w:r>
            <w:r>
              <w:rPr>
                <w:b w:val="0"/>
                <w:bCs w:val="0"/>
                <w:color w:val="000000"/>
              </w:rPr>
              <w:instrText xml:space="preserve"> </w:instrText>
            </w:r>
            <w:r>
              <w:rPr>
                <w:rFonts w:hint="eastAsia"/>
                <w:b w:val="0"/>
                <w:bCs w:val="0"/>
                <w:color w:val="000000"/>
              </w:rPr>
              <w:instrText xml:space="preserve">REF _Ref183092845 \h</w:instrText>
            </w:r>
            <w:r>
              <w:rPr>
                <w:b w:val="0"/>
                <w:bCs w:val="0"/>
                <w:color w:val="000000"/>
              </w:rPr>
              <w:instrText xml:space="preserve"> </w:instrText>
            </w:r>
            <w:r>
              <w:rPr>
                <w:b w:val="0"/>
                <w:bCs w:val="0"/>
                <w:color w:val="000000"/>
              </w:rPr>
              <w:fldChar w:fldCharType="separate"/>
            </w:r>
            <w:r>
              <w:rPr>
                <w:rFonts w:hint="eastAsia" w:ascii="Times New Roman" w:hAnsi="Times New Roman"/>
                <w:b w:val="0"/>
                <w:bCs w:val="0"/>
                <w:color w:val="000000"/>
                <w:szCs w:val="21"/>
              </w:rPr>
              <w:t>表 25</w:t>
            </w:r>
            <w:r>
              <w:rPr>
                <w:b w:val="0"/>
                <w:bCs w:val="0"/>
                <w:color w:val="000000"/>
              </w:rPr>
              <w:fldChar w:fldCharType="end"/>
            </w:r>
            <w:r>
              <w:rPr>
                <w:rFonts w:hint="eastAsia"/>
                <w:color w:val="000000"/>
              </w:rPr>
              <w:t>。</w:t>
            </w:r>
          </w:p>
          <w:p w14:paraId="3EAC05AB">
            <w:pPr>
              <w:pStyle w:val="9"/>
              <w:rPr>
                <w:rFonts w:ascii="Times New Roman" w:hAnsi="Times New Roman"/>
                <w:b/>
                <w:bCs/>
                <w:color w:val="000000"/>
                <w:szCs w:val="21"/>
              </w:rPr>
            </w:pPr>
            <w:bookmarkStart w:id="706" w:name="_Ref183092845"/>
            <w:r>
              <w:rPr>
                <w:rFonts w:hint="eastAsia" w:ascii="Times New Roman" w:hAnsi="Times New Roman"/>
                <w:b/>
                <w:bCs/>
                <w:color w:val="000000"/>
                <w:szCs w:val="21"/>
              </w:rPr>
              <w:t xml:space="preserve">表 </w:t>
            </w:r>
            <w:r>
              <w:rPr>
                <w:rFonts w:ascii="Times New Roman" w:hAnsi="Times New Roman"/>
                <w:b/>
                <w:bCs/>
                <w:color w:val="000000"/>
                <w:szCs w:val="21"/>
              </w:rPr>
              <w:fldChar w:fldCharType="begin"/>
            </w:r>
            <w:r>
              <w:rPr>
                <w:rFonts w:ascii="Times New Roman" w:hAnsi="Times New Roman"/>
                <w:b/>
                <w:bCs/>
                <w:color w:val="000000"/>
                <w:szCs w:val="21"/>
              </w:rPr>
              <w:instrText xml:space="preserve"> </w:instrText>
            </w:r>
            <w:r>
              <w:rPr>
                <w:rFonts w:hint="eastAsia" w:ascii="Times New Roman" w:hAnsi="Times New Roman"/>
                <w:b/>
                <w:bCs/>
                <w:color w:val="000000"/>
                <w:szCs w:val="21"/>
              </w:rPr>
              <w:instrText xml:space="preserve">SEQ 表 \* ARABIC</w:instrText>
            </w:r>
            <w:r>
              <w:rPr>
                <w:rFonts w:ascii="Times New Roman" w:hAnsi="Times New Roman"/>
                <w:b/>
                <w:bCs/>
                <w:color w:val="000000"/>
                <w:szCs w:val="21"/>
              </w:rPr>
              <w:instrText xml:space="preserve"> </w:instrText>
            </w:r>
            <w:r>
              <w:rPr>
                <w:rFonts w:ascii="Times New Roman" w:hAnsi="Times New Roman"/>
                <w:b/>
                <w:bCs/>
                <w:color w:val="000000"/>
                <w:szCs w:val="21"/>
              </w:rPr>
              <w:fldChar w:fldCharType="separate"/>
            </w:r>
            <w:r>
              <w:rPr>
                <w:rFonts w:hint="eastAsia" w:ascii="Times New Roman" w:hAnsi="Times New Roman"/>
                <w:b/>
                <w:bCs/>
                <w:color w:val="000000"/>
                <w:szCs w:val="21"/>
              </w:rPr>
              <w:t>25</w:t>
            </w:r>
            <w:r>
              <w:rPr>
                <w:rFonts w:ascii="Times New Roman" w:hAnsi="Times New Roman"/>
                <w:b/>
                <w:bCs/>
                <w:color w:val="000000"/>
                <w:szCs w:val="21"/>
              </w:rPr>
              <w:fldChar w:fldCharType="end"/>
            </w:r>
            <w:bookmarkEnd w:id="706"/>
            <w:r>
              <w:rPr>
                <w:rFonts w:hint="eastAsia" w:ascii="Times New Roman" w:hAnsi="Times New Roman"/>
                <w:b/>
                <w:bCs/>
                <w:color w:val="000000"/>
                <w:szCs w:val="21"/>
              </w:rPr>
              <w:t xml:space="preserve">                运营期生态环境保护措施及预期效果一览表</w:t>
            </w:r>
          </w:p>
          <w:tbl>
            <w:tblPr>
              <w:tblStyle w:val="34"/>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2666"/>
              <w:gridCol w:w="768"/>
              <w:gridCol w:w="694"/>
              <w:gridCol w:w="696"/>
              <w:gridCol w:w="1189"/>
              <w:gridCol w:w="1602"/>
            </w:tblGrid>
            <w:tr w14:paraId="01AD1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12" w:space="0"/>
                    <w:left w:val="single" w:color="auto" w:sz="12" w:space="0"/>
                    <w:bottom w:val="single" w:color="auto" w:sz="4" w:space="0"/>
                    <w:right w:val="single" w:color="auto" w:sz="4" w:space="0"/>
                  </w:tcBorders>
                  <w:vAlign w:val="center"/>
                </w:tcPr>
                <w:p w14:paraId="43CCA6B4">
                  <w:pPr>
                    <w:adjustRightInd w:val="0"/>
                    <w:snapToGrid w:val="0"/>
                    <w:jc w:val="center"/>
                    <w:rPr>
                      <w:b/>
                      <w:kern w:val="0"/>
                      <w:szCs w:val="21"/>
                    </w:rPr>
                  </w:pPr>
                  <w:r>
                    <w:rPr>
                      <w:rFonts w:hint="eastAsia"/>
                      <w:b/>
                      <w:kern w:val="0"/>
                      <w:szCs w:val="21"/>
                    </w:rPr>
                    <w:t>序号</w:t>
                  </w:r>
                </w:p>
              </w:tc>
              <w:tc>
                <w:tcPr>
                  <w:tcW w:w="1648" w:type="pct"/>
                  <w:tcBorders>
                    <w:top w:val="single" w:color="auto" w:sz="12" w:space="0"/>
                    <w:left w:val="single" w:color="auto" w:sz="4" w:space="0"/>
                    <w:bottom w:val="single" w:color="auto" w:sz="4" w:space="0"/>
                    <w:right w:val="single" w:color="auto" w:sz="4" w:space="0"/>
                  </w:tcBorders>
                  <w:vAlign w:val="center"/>
                </w:tcPr>
                <w:p w14:paraId="3971B0F3">
                  <w:pPr>
                    <w:adjustRightInd w:val="0"/>
                    <w:snapToGrid w:val="0"/>
                    <w:jc w:val="center"/>
                    <w:rPr>
                      <w:b/>
                      <w:kern w:val="0"/>
                      <w:szCs w:val="21"/>
                    </w:rPr>
                  </w:pPr>
                  <w:r>
                    <w:rPr>
                      <w:rFonts w:hint="eastAsia"/>
                      <w:b/>
                      <w:kern w:val="0"/>
                      <w:szCs w:val="21"/>
                    </w:rPr>
                    <w:t>生态保护措施要求</w:t>
                  </w:r>
                </w:p>
              </w:tc>
              <w:tc>
                <w:tcPr>
                  <w:tcW w:w="475" w:type="pct"/>
                  <w:tcBorders>
                    <w:top w:val="single" w:color="auto" w:sz="12" w:space="0"/>
                    <w:left w:val="single" w:color="auto" w:sz="4" w:space="0"/>
                    <w:bottom w:val="single" w:color="auto" w:sz="4" w:space="0"/>
                    <w:right w:val="single" w:color="auto" w:sz="4" w:space="0"/>
                  </w:tcBorders>
                  <w:vAlign w:val="center"/>
                </w:tcPr>
                <w:p w14:paraId="1AF7BAC1">
                  <w:pPr>
                    <w:adjustRightInd w:val="0"/>
                    <w:snapToGrid w:val="0"/>
                    <w:jc w:val="center"/>
                    <w:rPr>
                      <w:b/>
                      <w:kern w:val="0"/>
                      <w:szCs w:val="21"/>
                    </w:rPr>
                  </w:pPr>
                  <w:r>
                    <w:rPr>
                      <w:rFonts w:hint="eastAsia"/>
                      <w:b/>
                      <w:kern w:val="0"/>
                      <w:szCs w:val="21"/>
                    </w:rPr>
                    <w:t>实施部位</w:t>
                  </w:r>
                </w:p>
              </w:tc>
              <w:tc>
                <w:tcPr>
                  <w:tcW w:w="429" w:type="pct"/>
                  <w:tcBorders>
                    <w:top w:val="single" w:color="auto" w:sz="12" w:space="0"/>
                    <w:left w:val="single" w:color="auto" w:sz="4" w:space="0"/>
                    <w:bottom w:val="single" w:color="auto" w:sz="4" w:space="0"/>
                    <w:right w:val="single" w:color="auto" w:sz="4" w:space="0"/>
                  </w:tcBorders>
                  <w:vAlign w:val="center"/>
                </w:tcPr>
                <w:p w14:paraId="09F47EEE">
                  <w:pPr>
                    <w:adjustRightInd w:val="0"/>
                    <w:snapToGrid w:val="0"/>
                    <w:jc w:val="center"/>
                    <w:rPr>
                      <w:b/>
                      <w:kern w:val="0"/>
                      <w:szCs w:val="21"/>
                    </w:rPr>
                  </w:pPr>
                  <w:r>
                    <w:rPr>
                      <w:rFonts w:hint="eastAsia"/>
                      <w:b/>
                      <w:kern w:val="0"/>
                      <w:szCs w:val="21"/>
                    </w:rPr>
                    <w:t>实施时间</w:t>
                  </w:r>
                </w:p>
              </w:tc>
              <w:tc>
                <w:tcPr>
                  <w:tcW w:w="430" w:type="pct"/>
                  <w:tcBorders>
                    <w:top w:val="single" w:color="auto" w:sz="12" w:space="0"/>
                    <w:left w:val="single" w:color="auto" w:sz="4" w:space="0"/>
                    <w:bottom w:val="single" w:color="auto" w:sz="4" w:space="0"/>
                    <w:right w:val="single" w:color="auto" w:sz="4" w:space="0"/>
                  </w:tcBorders>
                  <w:vAlign w:val="center"/>
                </w:tcPr>
                <w:p w14:paraId="690B3B3B">
                  <w:pPr>
                    <w:adjustRightInd w:val="0"/>
                    <w:snapToGrid w:val="0"/>
                    <w:jc w:val="center"/>
                    <w:rPr>
                      <w:b/>
                      <w:kern w:val="0"/>
                      <w:szCs w:val="21"/>
                    </w:rPr>
                  </w:pPr>
                  <w:r>
                    <w:rPr>
                      <w:rFonts w:hint="eastAsia"/>
                      <w:b/>
                      <w:kern w:val="0"/>
                      <w:szCs w:val="21"/>
                    </w:rPr>
                    <w:t>责任主体</w:t>
                  </w:r>
                </w:p>
              </w:tc>
              <w:tc>
                <w:tcPr>
                  <w:tcW w:w="735" w:type="pct"/>
                  <w:tcBorders>
                    <w:top w:val="single" w:color="auto" w:sz="12" w:space="0"/>
                    <w:left w:val="single" w:color="auto" w:sz="4" w:space="0"/>
                    <w:bottom w:val="single" w:color="auto" w:sz="4" w:space="0"/>
                    <w:right w:val="single" w:color="auto" w:sz="4" w:space="0"/>
                  </w:tcBorders>
                  <w:vAlign w:val="center"/>
                </w:tcPr>
                <w:p w14:paraId="058F7A70">
                  <w:pPr>
                    <w:adjustRightInd w:val="0"/>
                    <w:snapToGrid w:val="0"/>
                    <w:jc w:val="center"/>
                    <w:rPr>
                      <w:b/>
                      <w:kern w:val="0"/>
                      <w:szCs w:val="21"/>
                    </w:rPr>
                  </w:pPr>
                  <w:r>
                    <w:rPr>
                      <w:rFonts w:hint="eastAsia"/>
                      <w:b/>
                      <w:kern w:val="0"/>
                      <w:szCs w:val="21"/>
                    </w:rPr>
                    <w:t>实施保障</w:t>
                  </w:r>
                </w:p>
              </w:tc>
              <w:tc>
                <w:tcPr>
                  <w:tcW w:w="990" w:type="pct"/>
                  <w:tcBorders>
                    <w:top w:val="single" w:color="auto" w:sz="12" w:space="0"/>
                    <w:left w:val="single" w:color="auto" w:sz="4" w:space="0"/>
                    <w:bottom w:val="single" w:color="auto" w:sz="4" w:space="0"/>
                    <w:right w:val="single" w:color="auto" w:sz="12" w:space="0"/>
                  </w:tcBorders>
                  <w:vAlign w:val="center"/>
                </w:tcPr>
                <w:p w14:paraId="1F1A9852">
                  <w:pPr>
                    <w:adjustRightInd w:val="0"/>
                    <w:snapToGrid w:val="0"/>
                    <w:jc w:val="center"/>
                    <w:rPr>
                      <w:b/>
                      <w:kern w:val="0"/>
                      <w:szCs w:val="21"/>
                    </w:rPr>
                  </w:pPr>
                  <w:r>
                    <w:rPr>
                      <w:rFonts w:hint="eastAsia"/>
                      <w:b/>
                      <w:kern w:val="0"/>
                      <w:szCs w:val="21"/>
                    </w:rPr>
                    <w:t>实施效果</w:t>
                  </w:r>
                </w:p>
              </w:tc>
            </w:tr>
            <w:tr w14:paraId="5C1AB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4" w:space="0"/>
                    <w:left w:val="single" w:color="auto" w:sz="12" w:space="0"/>
                    <w:bottom w:val="single" w:color="auto" w:sz="4" w:space="0"/>
                    <w:right w:val="single" w:color="auto" w:sz="4" w:space="0"/>
                  </w:tcBorders>
                  <w:vAlign w:val="center"/>
                </w:tcPr>
                <w:p w14:paraId="3ECB211F">
                  <w:pPr>
                    <w:adjustRightInd w:val="0"/>
                    <w:snapToGrid w:val="0"/>
                    <w:jc w:val="center"/>
                    <w:rPr>
                      <w:kern w:val="0"/>
                      <w:szCs w:val="21"/>
                    </w:rPr>
                  </w:pPr>
                  <w:r>
                    <w:rPr>
                      <w:rFonts w:hint="eastAsia"/>
                      <w:kern w:val="0"/>
                      <w:szCs w:val="21"/>
                    </w:rPr>
                    <w:t>1</w:t>
                  </w:r>
                </w:p>
              </w:tc>
              <w:tc>
                <w:tcPr>
                  <w:tcW w:w="1648" w:type="pct"/>
                  <w:tcBorders>
                    <w:top w:val="single" w:color="auto" w:sz="4" w:space="0"/>
                    <w:left w:val="single" w:color="auto" w:sz="4" w:space="0"/>
                    <w:bottom w:val="single" w:color="auto" w:sz="4" w:space="0"/>
                    <w:right w:val="single" w:color="auto" w:sz="4" w:space="0"/>
                  </w:tcBorders>
                  <w:vAlign w:val="center"/>
                </w:tcPr>
                <w:p w14:paraId="2BED409B">
                  <w:pPr>
                    <w:adjustRightInd w:val="0"/>
                    <w:snapToGrid w:val="0"/>
                    <w:rPr>
                      <w:kern w:val="0"/>
                      <w:szCs w:val="21"/>
                    </w:rPr>
                  </w:pPr>
                  <w:r>
                    <w:rPr>
                      <w:rFonts w:hint="eastAsia"/>
                      <w:kern w:val="0"/>
                      <w:szCs w:val="21"/>
                    </w:rPr>
                    <w:t>运营期周边现有道路作为巡检道路。</w:t>
                  </w:r>
                </w:p>
              </w:tc>
              <w:tc>
                <w:tcPr>
                  <w:tcW w:w="475" w:type="pct"/>
                  <w:vMerge w:val="restart"/>
                  <w:tcBorders>
                    <w:top w:val="single" w:color="auto" w:sz="4" w:space="0"/>
                    <w:left w:val="single" w:color="auto" w:sz="4" w:space="0"/>
                    <w:bottom w:val="single" w:color="auto" w:sz="12" w:space="0"/>
                    <w:right w:val="single" w:color="auto" w:sz="4" w:space="0"/>
                  </w:tcBorders>
                  <w:vAlign w:val="center"/>
                </w:tcPr>
                <w:p w14:paraId="27F9CC98">
                  <w:pPr>
                    <w:adjustRightInd w:val="0"/>
                    <w:snapToGrid w:val="0"/>
                    <w:jc w:val="center"/>
                    <w:rPr>
                      <w:kern w:val="0"/>
                      <w:szCs w:val="21"/>
                    </w:rPr>
                  </w:pPr>
                  <w:r>
                    <w:rPr>
                      <w:rFonts w:hint="eastAsia"/>
                      <w:kern w:val="0"/>
                      <w:szCs w:val="21"/>
                    </w:rPr>
                    <w:t>工程生产运营场所、区域</w:t>
                  </w:r>
                </w:p>
              </w:tc>
              <w:tc>
                <w:tcPr>
                  <w:tcW w:w="429" w:type="pct"/>
                  <w:vMerge w:val="restart"/>
                  <w:tcBorders>
                    <w:top w:val="single" w:color="auto" w:sz="4" w:space="0"/>
                    <w:left w:val="single" w:color="auto" w:sz="4" w:space="0"/>
                    <w:bottom w:val="single" w:color="auto" w:sz="12" w:space="0"/>
                    <w:right w:val="single" w:color="auto" w:sz="4" w:space="0"/>
                  </w:tcBorders>
                  <w:vAlign w:val="center"/>
                </w:tcPr>
                <w:p w14:paraId="3458744F">
                  <w:pPr>
                    <w:adjustRightInd w:val="0"/>
                    <w:snapToGrid w:val="0"/>
                    <w:jc w:val="center"/>
                    <w:rPr>
                      <w:kern w:val="0"/>
                      <w:szCs w:val="21"/>
                    </w:rPr>
                  </w:pPr>
                  <w:r>
                    <w:rPr>
                      <w:rFonts w:hint="eastAsia"/>
                      <w:kern w:val="0"/>
                      <w:szCs w:val="21"/>
                    </w:rPr>
                    <w:t>运营期</w:t>
                  </w:r>
                </w:p>
              </w:tc>
              <w:tc>
                <w:tcPr>
                  <w:tcW w:w="430" w:type="pct"/>
                  <w:vMerge w:val="restart"/>
                  <w:tcBorders>
                    <w:top w:val="single" w:color="auto" w:sz="4" w:space="0"/>
                    <w:left w:val="single" w:color="auto" w:sz="4" w:space="0"/>
                    <w:bottom w:val="single" w:color="auto" w:sz="12" w:space="0"/>
                    <w:right w:val="single" w:color="auto" w:sz="4" w:space="0"/>
                  </w:tcBorders>
                  <w:vAlign w:val="center"/>
                </w:tcPr>
                <w:p w14:paraId="2A481231">
                  <w:pPr>
                    <w:adjustRightInd w:val="0"/>
                    <w:snapToGrid w:val="0"/>
                    <w:jc w:val="center"/>
                    <w:rPr>
                      <w:kern w:val="0"/>
                      <w:szCs w:val="21"/>
                    </w:rPr>
                  </w:pPr>
                  <w:r>
                    <w:rPr>
                      <w:rFonts w:hint="eastAsia"/>
                      <w:kern w:val="0"/>
                      <w:szCs w:val="21"/>
                    </w:rPr>
                    <w:t>建设单位</w:t>
                  </w:r>
                </w:p>
              </w:tc>
              <w:tc>
                <w:tcPr>
                  <w:tcW w:w="735" w:type="pct"/>
                  <w:vMerge w:val="restart"/>
                  <w:tcBorders>
                    <w:top w:val="single" w:color="auto" w:sz="4" w:space="0"/>
                    <w:left w:val="single" w:color="auto" w:sz="4" w:space="0"/>
                    <w:bottom w:val="single" w:color="auto" w:sz="12" w:space="0"/>
                    <w:right w:val="single" w:color="auto" w:sz="4" w:space="0"/>
                  </w:tcBorders>
                  <w:vAlign w:val="center"/>
                </w:tcPr>
                <w:p w14:paraId="593AD0C9">
                  <w:pPr>
                    <w:adjustRightInd w:val="0"/>
                    <w:snapToGrid w:val="0"/>
                    <w:rPr>
                      <w:kern w:val="0"/>
                      <w:szCs w:val="21"/>
                    </w:rPr>
                  </w:pPr>
                  <w:r>
                    <w:rPr>
                      <w:rFonts w:hint="eastAsia"/>
                      <w:kern w:val="0"/>
                      <w:szCs w:val="21"/>
                    </w:rPr>
                    <w:t>①建立环境管理机构，配备专职或兼职环保管理人员；</w:t>
                  </w:r>
                </w:p>
                <w:p w14:paraId="0F80BF34">
                  <w:pPr>
                    <w:adjustRightInd w:val="0"/>
                    <w:snapToGrid w:val="0"/>
                    <w:rPr>
                      <w:kern w:val="0"/>
                      <w:szCs w:val="21"/>
                    </w:rPr>
                  </w:pPr>
                  <w:r>
                    <w:rPr>
                      <w:rFonts w:hint="eastAsia"/>
                      <w:kern w:val="0"/>
                      <w:szCs w:val="21"/>
                    </w:rPr>
                    <w:t>②制定相关方环境管理条例、质量管理规定；</w:t>
                  </w:r>
                </w:p>
                <w:p w14:paraId="32415C29">
                  <w:pPr>
                    <w:adjustRightInd w:val="0"/>
                    <w:snapToGrid w:val="0"/>
                    <w:rPr>
                      <w:kern w:val="0"/>
                      <w:szCs w:val="21"/>
                    </w:rPr>
                  </w:pPr>
                  <w:r>
                    <w:rPr>
                      <w:rFonts w:hint="eastAsia"/>
                      <w:kern w:val="0"/>
                      <w:szCs w:val="21"/>
                    </w:rPr>
                    <w:t>③开展经常性检查、监督，发现问题及时解决、纠正</w:t>
                  </w:r>
                </w:p>
              </w:tc>
              <w:tc>
                <w:tcPr>
                  <w:tcW w:w="990" w:type="pct"/>
                  <w:tcBorders>
                    <w:top w:val="single" w:color="auto" w:sz="4" w:space="0"/>
                    <w:left w:val="single" w:color="auto" w:sz="4" w:space="0"/>
                    <w:bottom w:val="single" w:color="auto" w:sz="4" w:space="0"/>
                    <w:right w:val="single" w:color="auto" w:sz="12" w:space="0"/>
                  </w:tcBorders>
                  <w:vAlign w:val="center"/>
                </w:tcPr>
                <w:p w14:paraId="2C01DF70">
                  <w:pPr>
                    <w:adjustRightInd w:val="0"/>
                    <w:snapToGrid w:val="0"/>
                    <w:rPr>
                      <w:kern w:val="0"/>
                      <w:szCs w:val="21"/>
                    </w:rPr>
                  </w:pPr>
                  <w:r>
                    <w:rPr>
                      <w:rFonts w:hint="eastAsia"/>
                      <w:kern w:val="0"/>
                      <w:szCs w:val="21"/>
                    </w:rPr>
                    <w:t>运行期巡检对生态环境影响很小。</w:t>
                  </w:r>
                </w:p>
              </w:tc>
            </w:tr>
            <w:tr w14:paraId="02CE9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4" w:space="0"/>
                    <w:left w:val="single" w:color="auto" w:sz="12" w:space="0"/>
                    <w:bottom w:val="single" w:color="auto" w:sz="4" w:space="0"/>
                    <w:right w:val="single" w:color="auto" w:sz="4" w:space="0"/>
                  </w:tcBorders>
                  <w:vAlign w:val="center"/>
                </w:tcPr>
                <w:p w14:paraId="074DAA90">
                  <w:pPr>
                    <w:adjustRightInd w:val="0"/>
                    <w:snapToGrid w:val="0"/>
                    <w:jc w:val="center"/>
                    <w:rPr>
                      <w:kern w:val="0"/>
                      <w:szCs w:val="21"/>
                    </w:rPr>
                  </w:pPr>
                  <w:r>
                    <w:rPr>
                      <w:rFonts w:hint="eastAsia"/>
                      <w:kern w:val="0"/>
                      <w:szCs w:val="21"/>
                    </w:rPr>
                    <w:t>2</w:t>
                  </w:r>
                </w:p>
              </w:tc>
              <w:tc>
                <w:tcPr>
                  <w:tcW w:w="1648" w:type="pct"/>
                  <w:tcBorders>
                    <w:top w:val="single" w:color="auto" w:sz="4" w:space="0"/>
                    <w:left w:val="single" w:color="auto" w:sz="4" w:space="0"/>
                    <w:bottom w:val="single" w:color="auto" w:sz="4" w:space="0"/>
                    <w:right w:val="single" w:color="auto" w:sz="4" w:space="0"/>
                  </w:tcBorders>
                  <w:vAlign w:val="center"/>
                </w:tcPr>
                <w:p w14:paraId="0499F1B3">
                  <w:pPr>
                    <w:adjustRightInd w:val="0"/>
                    <w:snapToGrid w:val="0"/>
                    <w:rPr>
                      <w:szCs w:val="21"/>
                    </w:rPr>
                  </w:pPr>
                  <w:r>
                    <w:rPr>
                      <w:rFonts w:hint="eastAsia" w:cs="宋体"/>
                      <w:bCs/>
                      <w:szCs w:val="21"/>
                    </w:rPr>
                    <w:t>加强对变电站及线路沿线声环境监测，及时发现问题并按照相关要求进行处理。</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7A82BBC9">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0587476A">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7D6D7229">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37E8858B">
                  <w:pPr>
                    <w:widowControl/>
                    <w:jc w:val="left"/>
                    <w:rPr>
                      <w:kern w:val="0"/>
                      <w:szCs w:val="21"/>
                    </w:rPr>
                  </w:pPr>
                </w:p>
              </w:tc>
              <w:tc>
                <w:tcPr>
                  <w:tcW w:w="990" w:type="pct"/>
                  <w:tcBorders>
                    <w:top w:val="single" w:color="auto" w:sz="4" w:space="0"/>
                    <w:left w:val="single" w:color="auto" w:sz="4" w:space="0"/>
                    <w:bottom w:val="single" w:color="auto" w:sz="4" w:space="0"/>
                    <w:right w:val="single" w:color="auto" w:sz="12" w:space="0"/>
                  </w:tcBorders>
                  <w:vAlign w:val="center"/>
                </w:tcPr>
                <w:p w14:paraId="7F51A1C3">
                  <w:pPr>
                    <w:adjustRightInd w:val="0"/>
                    <w:snapToGrid w:val="0"/>
                    <w:rPr>
                      <w:rFonts w:cs="宋体"/>
                      <w:szCs w:val="21"/>
                    </w:rPr>
                  </w:pPr>
                  <w:r>
                    <w:rPr>
                      <w:rFonts w:hint="eastAsia" w:cs="宋体"/>
                      <w:szCs w:val="21"/>
                    </w:rPr>
                    <w:t>变电站站界及线路沿线声环境达标</w:t>
                  </w:r>
                  <w:r>
                    <w:rPr>
                      <w:rFonts w:hint="eastAsia"/>
                      <w:spacing w:val="-4"/>
                      <w:szCs w:val="21"/>
                    </w:rPr>
                    <w:t>。</w:t>
                  </w:r>
                </w:p>
              </w:tc>
            </w:tr>
            <w:tr w14:paraId="4E1B0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4" w:space="0"/>
                    <w:left w:val="single" w:color="auto" w:sz="12" w:space="0"/>
                    <w:bottom w:val="single" w:color="auto" w:sz="4" w:space="0"/>
                    <w:right w:val="single" w:color="auto" w:sz="4" w:space="0"/>
                  </w:tcBorders>
                  <w:vAlign w:val="center"/>
                </w:tcPr>
                <w:p w14:paraId="6A26EFEC">
                  <w:pPr>
                    <w:adjustRightInd w:val="0"/>
                    <w:snapToGrid w:val="0"/>
                    <w:jc w:val="center"/>
                    <w:rPr>
                      <w:kern w:val="0"/>
                      <w:szCs w:val="21"/>
                    </w:rPr>
                  </w:pPr>
                  <w:r>
                    <w:rPr>
                      <w:rFonts w:hint="eastAsia"/>
                      <w:kern w:val="0"/>
                      <w:szCs w:val="21"/>
                    </w:rPr>
                    <w:t>3</w:t>
                  </w:r>
                </w:p>
              </w:tc>
              <w:tc>
                <w:tcPr>
                  <w:tcW w:w="1648" w:type="pct"/>
                  <w:tcBorders>
                    <w:top w:val="single" w:color="auto" w:sz="4" w:space="0"/>
                    <w:left w:val="single" w:color="auto" w:sz="4" w:space="0"/>
                    <w:bottom w:val="single" w:color="auto" w:sz="4" w:space="0"/>
                    <w:right w:val="single" w:color="auto" w:sz="4" w:space="0"/>
                  </w:tcBorders>
                  <w:vAlign w:val="center"/>
                </w:tcPr>
                <w:p w14:paraId="385EE651">
                  <w:pPr>
                    <w:adjustRightInd w:val="0"/>
                    <w:snapToGrid w:val="0"/>
                    <w:rPr>
                      <w:rFonts w:cs="宋体"/>
                      <w:bCs/>
                      <w:szCs w:val="21"/>
                    </w:rPr>
                  </w:pPr>
                  <w:r>
                    <w:rPr>
                      <w:rFonts w:hint="eastAsia"/>
                      <w:szCs w:val="21"/>
                    </w:rPr>
                    <w:t>生活垃圾采用垃圾箱临时存放，定期运至就近垃圾收集站；</w:t>
                  </w:r>
                  <w:r>
                    <w:rPr>
                      <w:rFonts w:hint="eastAsia" w:cs="宋体"/>
                      <w:bCs/>
                      <w:szCs w:val="21"/>
                    </w:rPr>
                    <w:t>事故油、废</w:t>
                  </w:r>
                  <w:r>
                    <w:rPr>
                      <w:rFonts w:hint="eastAsia" w:cs="宋体"/>
                      <w:szCs w:val="21"/>
                    </w:rPr>
                    <w:t>铅蓄</w:t>
                  </w:r>
                  <w:r>
                    <w:rPr>
                      <w:rFonts w:hint="eastAsia" w:cs="宋体"/>
                      <w:bCs/>
                      <w:szCs w:val="21"/>
                    </w:rPr>
                    <w:t>电池交由有相应资质单位回收处理；废电气设备交由原厂处置。</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B7D31D2">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0F54A07A">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41A2047">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235452B">
                  <w:pPr>
                    <w:widowControl/>
                    <w:jc w:val="left"/>
                    <w:rPr>
                      <w:kern w:val="0"/>
                      <w:szCs w:val="21"/>
                    </w:rPr>
                  </w:pPr>
                </w:p>
              </w:tc>
              <w:tc>
                <w:tcPr>
                  <w:tcW w:w="990" w:type="pct"/>
                  <w:tcBorders>
                    <w:top w:val="single" w:color="auto" w:sz="4" w:space="0"/>
                    <w:left w:val="single" w:color="auto" w:sz="4" w:space="0"/>
                    <w:bottom w:val="single" w:color="auto" w:sz="4" w:space="0"/>
                    <w:right w:val="single" w:color="auto" w:sz="12" w:space="0"/>
                  </w:tcBorders>
                  <w:vAlign w:val="center"/>
                </w:tcPr>
                <w:p w14:paraId="2DC619BB">
                  <w:pPr>
                    <w:adjustRightInd w:val="0"/>
                    <w:snapToGrid w:val="0"/>
                    <w:rPr>
                      <w:rFonts w:cs="宋体"/>
                      <w:szCs w:val="21"/>
                    </w:rPr>
                  </w:pPr>
                  <w:r>
                    <w:rPr>
                      <w:rFonts w:hint="eastAsia" w:cs="宋体"/>
                      <w:szCs w:val="21"/>
                    </w:rPr>
                    <w:t>各类固体废弃物能够妥善处置，</w:t>
                  </w:r>
                  <w:r>
                    <w:rPr>
                      <w:rFonts w:hint="eastAsia"/>
                      <w:szCs w:val="21"/>
                    </w:rPr>
                    <w:t>事故油池容积满足事故排油需求。</w:t>
                  </w:r>
                </w:p>
              </w:tc>
            </w:tr>
            <w:tr w14:paraId="60E28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4" w:space="0"/>
                    <w:left w:val="single" w:color="auto" w:sz="12" w:space="0"/>
                    <w:bottom w:val="single" w:color="auto" w:sz="4" w:space="0"/>
                    <w:right w:val="single" w:color="auto" w:sz="4" w:space="0"/>
                  </w:tcBorders>
                  <w:vAlign w:val="center"/>
                </w:tcPr>
                <w:p w14:paraId="76345500">
                  <w:pPr>
                    <w:adjustRightInd w:val="0"/>
                    <w:snapToGrid w:val="0"/>
                    <w:jc w:val="center"/>
                    <w:rPr>
                      <w:kern w:val="0"/>
                      <w:szCs w:val="21"/>
                    </w:rPr>
                  </w:pPr>
                  <w:r>
                    <w:rPr>
                      <w:rFonts w:hint="eastAsia"/>
                      <w:kern w:val="0"/>
                      <w:szCs w:val="21"/>
                    </w:rPr>
                    <w:t>4</w:t>
                  </w:r>
                </w:p>
              </w:tc>
              <w:tc>
                <w:tcPr>
                  <w:tcW w:w="1648" w:type="pct"/>
                  <w:tcBorders>
                    <w:top w:val="single" w:color="auto" w:sz="4" w:space="0"/>
                    <w:left w:val="single" w:color="auto" w:sz="4" w:space="0"/>
                    <w:bottom w:val="single" w:color="auto" w:sz="4" w:space="0"/>
                    <w:right w:val="single" w:color="auto" w:sz="4" w:space="0"/>
                  </w:tcBorders>
                  <w:vAlign w:val="center"/>
                </w:tcPr>
                <w:p w14:paraId="65C8031F">
                  <w:pPr>
                    <w:adjustRightInd w:val="0"/>
                    <w:snapToGrid w:val="0"/>
                    <w:rPr>
                      <w:szCs w:val="21"/>
                    </w:rPr>
                  </w:pPr>
                  <w:r>
                    <w:rPr>
                      <w:rFonts w:hint="eastAsia" w:cs="宋体"/>
                      <w:szCs w:val="21"/>
                    </w:rPr>
                    <w:t>变电站按功能分区布置；制定安全操作规程，加强职工安全教育，加强电磁水平监测；对员工进行电磁环境基础知识培训，在巡检带电维修过程中，尽可能减少暴露在电磁场中的时间；设立电磁防护安全警示标志，禁止无关人员靠近带电架构等。</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92EB9A3">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458DE81">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6B8AB2F9">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EC084DE">
                  <w:pPr>
                    <w:widowControl/>
                    <w:jc w:val="left"/>
                    <w:rPr>
                      <w:kern w:val="0"/>
                      <w:szCs w:val="21"/>
                    </w:rPr>
                  </w:pPr>
                </w:p>
              </w:tc>
              <w:tc>
                <w:tcPr>
                  <w:tcW w:w="990" w:type="pct"/>
                  <w:tcBorders>
                    <w:top w:val="single" w:color="auto" w:sz="4" w:space="0"/>
                    <w:left w:val="single" w:color="auto" w:sz="4" w:space="0"/>
                    <w:bottom w:val="single" w:color="auto" w:sz="4" w:space="0"/>
                    <w:right w:val="single" w:color="auto" w:sz="12" w:space="0"/>
                  </w:tcBorders>
                  <w:vAlign w:val="center"/>
                </w:tcPr>
                <w:p w14:paraId="3C94252D">
                  <w:pPr>
                    <w:adjustRightInd w:val="0"/>
                    <w:snapToGrid w:val="0"/>
                    <w:rPr>
                      <w:rFonts w:cs="宋体"/>
                      <w:szCs w:val="21"/>
                    </w:rPr>
                  </w:pPr>
                  <w:r>
                    <w:rPr>
                      <w:rFonts w:hint="eastAsia" w:cs="宋体"/>
                      <w:szCs w:val="21"/>
                    </w:rPr>
                    <w:t>变电站及线路运行时电磁环境满足《电磁环境控制限值》(GB8702-2014)要求。</w:t>
                  </w:r>
                </w:p>
              </w:tc>
            </w:tr>
            <w:tr w14:paraId="50A6E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 w:type="pct"/>
                  <w:tcBorders>
                    <w:top w:val="single" w:color="auto" w:sz="4" w:space="0"/>
                    <w:left w:val="single" w:color="auto" w:sz="12" w:space="0"/>
                    <w:bottom w:val="single" w:color="auto" w:sz="12" w:space="0"/>
                    <w:right w:val="single" w:color="auto" w:sz="4" w:space="0"/>
                  </w:tcBorders>
                  <w:vAlign w:val="center"/>
                </w:tcPr>
                <w:p w14:paraId="3543CC04">
                  <w:pPr>
                    <w:adjustRightInd w:val="0"/>
                    <w:snapToGrid w:val="0"/>
                    <w:jc w:val="center"/>
                    <w:rPr>
                      <w:kern w:val="0"/>
                      <w:szCs w:val="21"/>
                    </w:rPr>
                  </w:pPr>
                  <w:r>
                    <w:rPr>
                      <w:rFonts w:hint="eastAsia"/>
                      <w:kern w:val="0"/>
                      <w:szCs w:val="21"/>
                    </w:rPr>
                    <w:t>5</w:t>
                  </w:r>
                </w:p>
              </w:tc>
              <w:tc>
                <w:tcPr>
                  <w:tcW w:w="1648" w:type="pct"/>
                  <w:tcBorders>
                    <w:top w:val="single" w:color="auto" w:sz="4" w:space="0"/>
                    <w:left w:val="single" w:color="auto" w:sz="4" w:space="0"/>
                    <w:bottom w:val="single" w:color="auto" w:sz="12" w:space="0"/>
                    <w:right w:val="single" w:color="auto" w:sz="4" w:space="0"/>
                  </w:tcBorders>
                  <w:vAlign w:val="center"/>
                </w:tcPr>
                <w:p w14:paraId="00CCD6C1">
                  <w:pPr>
                    <w:adjustRightInd w:val="0"/>
                    <w:snapToGrid w:val="0"/>
                    <w:rPr>
                      <w:rFonts w:cs="宋体"/>
                      <w:szCs w:val="21"/>
                    </w:rPr>
                  </w:pPr>
                  <w:r>
                    <w:rPr>
                      <w:rFonts w:hint="eastAsia"/>
                      <w:szCs w:val="21"/>
                    </w:rPr>
                    <w:t>工程环保竣工验收监测一次，建设单位组织开展定期监测。</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60C0EF71">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073055D2">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52F66C99">
                  <w:pPr>
                    <w:widowControl/>
                    <w:jc w:val="left"/>
                    <w:rPr>
                      <w:kern w:val="0"/>
                      <w:szCs w:val="21"/>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4D82291">
                  <w:pPr>
                    <w:widowControl/>
                    <w:jc w:val="left"/>
                    <w:rPr>
                      <w:kern w:val="0"/>
                      <w:szCs w:val="21"/>
                    </w:rPr>
                  </w:pPr>
                </w:p>
              </w:tc>
              <w:tc>
                <w:tcPr>
                  <w:tcW w:w="990" w:type="pct"/>
                  <w:tcBorders>
                    <w:top w:val="single" w:color="auto" w:sz="4" w:space="0"/>
                    <w:left w:val="single" w:color="auto" w:sz="4" w:space="0"/>
                    <w:bottom w:val="single" w:color="auto" w:sz="12" w:space="0"/>
                    <w:right w:val="single" w:color="auto" w:sz="12" w:space="0"/>
                  </w:tcBorders>
                  <w:vAlign w:val="center"/>
                </w:tcPr>
                <w:p w14:paraId="67C515B0">
                  <w:pPr>
                    <w:adjustRightInd w:val="0"/>
                    <w:snapToGrid w:val="0"/>
                    <w:jc w:val="center"/>
                    <w:rPr>
                      <w:rFonts w:cs="宋体"/>
                      <w:szCs w:val="21"/>
                    </w:rPr>
                  </w:pPr>
                  <w:r>
                    <w:rPr>
                      <w:rFonts w:hint="eastAsia" w:cs="宋体"/>
                      <w:szCs w:val="21"/>
                    </w:rPr>
                    <w:t>监测结果达标</w:t>
                  </w:r>
                </w:p>
              </w:tc>
            </w:tr>
          </w:tbl>
          <w:p w14:paraId="0B414B02">
            <w:pPr>
              <w:pStyle w:val="11"/>
              <w:ind w:firstLine="0" w:firstLineChars="0"/>
            </w:pPr>
          </w:p>
        </w:tc>
      </w:tr>
      <w:tr w14:paraId="387B5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8" w:hRule="atLeast"/>
          <w:jc w:val="center"/>
        </w:trPr>
        <w:tc>
          <w:tcPr>
            <w:tcW w:w="457" w:type="dxa"/>
            <w:vAlign w:val="center"/>
          </w:tcPr>
          <w:p w14:paraId="7EF993CD">
            <w:pPr>
              <w:adjustRightInd w:val="0"/>
              <w:snapToGrid w:val="0"/>
              <w:jc w:val="center"/>
              <w:rPr>
                <w:b/>
                <w:bCs/>
                <w:color w:val="000000"/>
                <w:szCs w:val="21"/>
              </w:rPr>
            </w:pPr>
            <w:r>
              <w:rPr>
                <w:rFonts w:hint="eastAsia"/>
                <w:b/>
                <w:bCs/>
                <w:color w:val="000000"/>
                <w:sz w:val="24"/>
              </w:rPr>
              <w:t>环境管理与监测计划</w:t>
            </w:r>
          </w:p>
        </w:tc>
        <w:tc>
          <w:tcPr>
            <w:tcW w:w="8409" w:type="dxa"/>
          </w:tcPr>
          <w:p w14:paraId="30155C50">
            <w:pPr>
              <w:numPr>
                <w:ilvl w:val="0"/>
                <w:numId w:val="20"/>
              </w:numPr>
              <w:spacing w:line="360" w:lineRule="auto"/>
              <w:rPr>
                <w:b/>
                <w:color w:val="000000"/>
                <w:kern w:val="0"/>
                <w:sz w:val="24"/>
                <w:szCs w:val="21"/>
              </w:rPr>
            </w:pPr>
            <w:r>
              <w:rPr>
                <w:b/>
                <w:color w:val="000000"/>
                <w:kern w:val="0"/>
                <w:sz w:val="24"/>
                <w:szCs w:val="21"/>
              </w:rPr>
              <w:t>环境管理</w:t>
            </w:r>
          </w:p>
          <w:p w14:paraId="2BBE58CE">
            <w:pPr>
              <w:numPr>
                <w:ilvl w:val="1"/>
                <w:numId w:val="21"/>
              </w:numPr>
              <w:spacing w:line="360" w:lineRule="auto"/>
              <w:rPr>
                <w:b/>
                <w:color w:val="000000"/>
                <w:kern w:val="0"/>
                <w:sz w:val="24"/>
                <w:szCs w:val="21"/>
              </w:rPr>
            </w:pPr>
            <w:r>
              <w:rPr>
                <w:b/>
                <w:color w:val="000000"/>
                <w:kern w:val="0"/>
                <w:sz w:val="24"/>
                <w:szCs w:val="21"/>
              </w:rPr>
              <w:t>环境管理机构</w:t>
            </w:r>
          </w:p>
          <w:p w14:paraId="28D6AAE2">
            <w:pPr>
              <w:pStyle w:val="11"/>
              <w:rPr>
                <w:color w:val="000000"/>
              </w:rPr>
            </w:pPr>
            <w:r>
              <w:rPr>
                <w:color w:val="000000"/>
              </w:rPr>
              <w:t>输变电工程一般不单独设立环境监测站。建设单位或运行单位在管理机构内配备必要的专职和兼职人员，负责环境保护管理工作。</w:t>
            </w:r>
          </w:p>
          <w:p w14:paraId="41537672">
            <w:pPr>
              <w:numPr>
                <w:ilvl w:val="1"/>
                <w:numId w:val="21"/>
              </w:numPr>
              <w:spacing w:line="360" w:lineRule="auto"/>
              <w:rPr>
                <w:b/>
                <w:color w:val="000000"/>
                <w:kern w:val="0"/>
                <w:sz w:val="24"/>
                <w:szCs w:val="21"/>
              </w:rPr>
            </w:pPr>
            <w:r>
              <w:rPr>
                <w:b/>
                <w:color w:val="000000"/>
                <w:kern w:val="0"/>
                <w:sz w:val="24"/>
                <w:szCs w:val="21"/>
              </w:rPr>
              <w:t>施工期环境管理</w:t>
            </w:r>
          </w:p>
          <w:p w14:paraId="21A992DE">
            <w:pPr>
              <w:pStyle w:val="11"/>
            </w:pPr>
            <w:r>
              <w:rPr>
                <w:rFonts w:hint="eastAsia"/>
              </w:rPr>
              <w:t>建设单位在工程</w:t>
            </w:r>
            <w:r>
              <w:t>施工</w:t>
            </w:r>
            <w:r>
              <w:rPr>
                <w:rFonts w:hint="eastAsia"/>
              </w:rPr>
              <w:t>和监理</w:t>
            </w:r>
            <w:r>
              <w:t>招标中对投标单位提出</w:t>
            </w:r>
            <w:r>
              <w:rPr>
                <w:rFonts w:hint="eastAsia"/>
              </w:rPr>
              <w:t>施工阶段的</w:t>
            </w:r>
            <w:r>
              <w:t>环保</w:t>
            </w:r>
            <w:r>
              <w:rPr>
                <w:rFonts w:hint="eastAsia"/>
              </w:rPr>
              <w:t>工作</w:t>
            </w:r>
            <w:r>
              <w:t>要求。</w:t>
            </w:r>
            <w:r>
              <w:rPr>
                <w:rFonts w:hint="eastAsia"/>
              </w:rPr>
              <w:t>施工单位按照施工图设计文件及环评报告要求实施相应的环境保护措施，环境监理单位对施工过程的措施设施实施质量进行检查把关</w:t>
            </w:r>
            <w:r>
              <w:t>。建设期环境管理的职责</w:t>
            </w:r>
            <w:r>
              <w:rPr>
                <w:rFonts w:hint="eastAsia"/>
              </w:rPr>
              <w:t>包括</w:t>
            </w:r>
            <w:r>
              <w:t>：</w:t>
            </w:r>
          </w:p>
          <w:p w14:paraId="126AC356">
            <w:pPr>
              <w:pStyle w:val="11"/>
              <w:rPr>
                <w:color w:val="000000"/>
              </w:rPr>
            </w:pPr>
            <w:r>
              <w:rPr>
                <w:color w:val="000000"/>
              </w:rPr>
              <w:t>（1）贯彻执行国家、地方的各项环境保护方针、政策、法规和各项规章制度。</w:t>
            </w:r>
          </w:p>
          <w:p w14:paraId="29ED2142">
            <w:pPr>
              <w:pStyle w:val="11"/>
              <w:rPr>
                <w:color w:val="000000"/>
              </w:rPr>
            </w:pPr>
            <w:r>
              <w:rPr>
                <w:color w:val="000000"/>
              </w:rPr>
              <w:t>（2）制定本工程施工中的环境保护计划，负责工程施工过程中各项环境保护措施实施的监督和日常管理。</w:t>
            </w:r>
          </w:p>
          <w:p w14:paraId="4A320CFD">
            <w:pPr>
              <w:pStyle w:val="11"/>
              <w:rPr>
                <w:color w:val="000000"/>
              </w:rPr>
            </w:pPr>
            <w:r>
              <w:rPr>
                <w:color w:val="000000"/>
              </w:rPr>
              <w:t>（3）收集、整理、推广和实施工程建设中各项环境保护的先进工作经验和技术。</w:t>
            </w:r>
          </w:p>
          <w:p w14:paraId="159DDAAE">
            <w:pPr>
              <w:pStyle w:val="11"/>
              <w:rPr>
                <w:color w:val="000000"/>
              </w:rPr>
            </w:pPr>
            <w:r>
              <w:rPr>
                <w:color w:val="000000"/>
              </w:rPr>
              <w:t>（4）组织和开展对施工人员进行施工活动中应遵循的环保法规、知识的培训，提高全体员工文明施工的认识。</w:t>
            </w:r>
          </w:p>
          <w:p w14:paraId="305ABB5E">
            <w:pPr>
              <w:pStyle w:val="11"/>
              <w:rPr>
                <w:color w:val="000000"/>
              </w:rPr>
            </w:pPr>
            <w:r>
              <w:rPr>
                <w:color w:val="000000"/>
              </w:rPr>
              <w:t>（5）负责日常施工活动中的环境监理工作，做好工程用地区域的环境特征调查，对于环境敏感目标要</w:t>
            </w:r>
            <w:r>
              <w:rPr>
                <w:rFonts w:hint="eastAsia"/>
                <w:color w:val="000000"/>
                <w:lang w:eastAsia="zh-CN"/>
              </w:rPr>
              <w:t>做到</w:t>
            </w:r>
            <w:r>
              <w:rPr>
                <w:color w:val="000000"/>
              </w:rPr>
              <w:t>心中有数。</w:t>
            </w:r>
          </w:p>
          <w:p w14:paraId="7B9FD922">
            <w:pPr>
              <w:pStyle w:val="11"/>
              <w:rPr>
                <w:color w:val="000000"/>
              </w:rPr>
            </w:pPr>
            <w:r>
              <w:rPr>
                <w:color w:val="000000"/>
              </w:rPr>
              <w:t>（6）在施工计划中应适当计划设备运输道路，以避免影响当地居民生活，施工中应考虑保护生态和避免水土流失，合理组织施工，不在站外设置临时施工用地。</w:t>
            </w:r>
          </w:p>
          <w:p w14:paraId="5D4AB6FF">
            <w:pPr>
              <w:pStyle w:val="11"/>
              <w:rPr>
                <w:color w:val="000000"/>
              </w:rPr>
            </w:pPr>
            <w:r>
              <w:rPr>
                <w:color w:val="000000"/>
              </w:rPr>
              <w:t>（7）做好施工中各种环境问题的收集、记录、建档和处理工作。</w:t>
            </w:r>
          </w:p>
          <w:p w14:paraId="073FA855">
            <w:pPr>
              <w:pStyle w:val="11"/>
              <w:rPr>
                <w:color w:val="000000"/>
              </w:rPr>
            </w:pPr>
            <w:r>
              <w:rPr>
                <w:color w:val="000000"/>
              </w:rPr>
              <w:t>（8）监督施工单位，使设计、施工过程的各项环境保护措施与主体工程同步实施。</w:t>
            </w:r>
          </w:p>
          <w:p w14:paraId="14E6D66D">
            <w:pPr>
              <w:numPr>
                <w:ilvl w:val="1"/>
                <w:numId w:val="21"/>
              </w:numPr>
              <w:spacing w:line="360" w:lineRule="auto"/>
              <w:rPr>
                <w:b/>
                <w:color w:val="000000"/>
                <w:kern w:val="0"/>
                <w:sz w:val="24"/>
                <w:szCs w:val="21"/>
              </w:rPr>
            </w:pPr>
            <w:r>
              <w:rPr>
                <w:b/>
                <w:color w:val="000000"/>
                <w:kern w:val="0"/>
                <w:sz w:val="24"/>
                <w:szCs w:val="21"/>
              </w:rPr>
              <w:t>工程竣工环境保护验收</w:t>
            </w:r>
          </w:p>
          <w:p w14:paraId="6943792D">
            <w:pPr>
              <w:pStyle w:val="11"/>
              <w:rPr>
                <w:color w:val="000000"/>
              </w:rPr>
            </w:pPr>
            <w:r>
              <w:rPr>
                <w:color w:val="000000"/>
              </w:rPr>
              <w:t>根据《建设项目环境保护管理条例》《建设项目竣工环境保护验收暂行办法》和《建设项目竣工环境保护验收技术规范输变电》，本工程的建设应执行污染治理设施与主体工程同时设计、同时施工、同时投产使用的</w:t>
            </w:r>
            <w:r>
              <w:rPr>
                <w:rFonts w:hint="eastAsia"/>
                <w:color w:val="000000"/>
              </w:rPr>
              <w:t>“</w:t>
            </w:r>
            <w:r>
              <w:rPr>
                <w:color w:val="000000"/>
              </w:rPr>
              <w:t>三同时</w:t>
            </w:r>
            <w:r>
              <w:rPr>
                <w:rFonts w:hint="eastAsia"/>
                <w:color w:val="000000"/>
              </w:rPr>
              <w:t>”</w:t>
            </w:r>
            <w:r>
              <w:rPr>
                <w:color w:val="000000"/>
              </w:rPr>
              <w:t>制度。建设项目竣工后，建设单位应当按照国务院</w:t>
            </w:r>
            <w:r>
              <w:rPr>
                <w:rFonts w:hint="eastAsia"/>
                <w:color w:val="000000"/>
              </w:rPr>
              <w:t>生态</w:t>
            </w:r>
            <w:r>
              <w:rPr>
                <w:color w:val="000000"/>
              </w:rPr>
              <w:t>环境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54E2D243">
            <w:pPr>
              <w:numPr>
                <w:ilvl w:val="1"/>
                <w:numId w:val="21"/>
              </w:numPr>
              <w:spacing w:line="360" w:lineRule="auto"/>
              <w:rPr>
                <w:b/>
                <w:color w:val="000000"/>
                <w:kern w:val="0"/>
                <w:sz w:val="24"/>
                <w:szCs w:val="21"/>
              </w:rPr>
            </w:pPr>
            <w:r>
              <w:rPr>
                <w:b/>
                <w:color w:val="000000"/>
                <w:kern w:val="0"/>
                <w:sz w:val="24"/>
                <w:szCs w:val="21"/>
              </w:rPr>
              <w:t>运行期环境管理</w:t>
            </w:r>
          </w:p>
          <w:p w14:paraId="2633105E">
            <w:pPr>
              <w:pStyle w:val="11"/>
              <w:rPr>
                <w:color w:val="000000"/>
              </w:rPr>
            </w:pPr>
            <w:r>
              <w:rPr>
                <w:color w:val="000000"/>
              </w:rPr>
              <w:t>本工程在运行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14:paraId="57A47502">
            <w:pPr>
              <w:pStyle w:val="11"/>
              <w:rPr>
                <w:color w:val="000000"/>
              </w:rPr>
            </w:pPr>
            <w:r>
              <w:rPr>
                <w:color w:val="000000"/>
              </w:rPr>
              <w:t>（1）制订和实施各项环境管理计划。</w:t>
            </w:r>
          </w:p>
          <w:p w14:paraId="79B7952F">
            <w:pPr>
              <w:pStyle w:val="11"/>
              <w:rPr>
                <w:color w:val="000000"/>
              </w:rPr>
            </w:pPr>
            <w:r>
              <w:rPr>
                <w:color w:val="000000"/>
              </w:rPr>
              <w:t>（2）建立工频电场、工频磁场、噪声监测、生态环境现状数据档案。</w:t>
            </w:r>
          </w:p>
          <w:p w14:paraId="1E8D9B51">
            <w:pPr>
              <w:pStyle w:val="11"/>
              <w:rPr>
                <w:color w:val="000000"/>
              </w:rPr>
            </w:pPr>
            <w:r>
              <w:rPr>
                <w:color w:val="000000"/>
              </w:rPr>
              <w:t>（3）</w:t>
            </w:r>
            <w:r>
              <w:rPr>
                <w:bCs/>
                <w:snapToGrid w:val="0"/>
                <w:color w:val="000000"/>
                <w:szCs w:val="28"/>
              </w:rPr>
              <w:t>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w:t>
            </w:r>
          </w:p>
          <w:p w14:paraId="666CEEDA">
            <w:pPr>
              <w:pStyle w:val="11"/>
              <w:rPr>
                <w:color w:val="000000"/>
              </w:rPr>
            </w:pPr>
            <w:r>
              <w:rPr>
                <w:color w:val="000000"/>
              </w:rPr>
              <w:t>（4）检查污染防治设施运行情况，及时处理出现的问题，保证治理设施正常运行。</w:t>
            </w:r>
          </w:p>
          <w:p w14:paraId="0BEEA59C">
            <w:pPr>
              <w:pStyle w:val="11"/>
              <w:rPr>
                <w:color w:val="000000"/>
              </w:rPr>
            </w:pPr>
            <w:r>
              <w:rPr>
                <w:color w:val="000000"/>
              </w:rPr>
              <w:t>（5）协调配合上级环保主管部门所进行的环境调查，生态调查等活动。</w:t>
            </w:r>
          </w:p>
          <w:p w14:paraId="12E3A950">
            <w:pPr>
              <w:numPr>
                <w:ilvl w:val="1"/>
                <w:numId w:val="21"/>
              </w:numPr>
              <w:spacing w:line="360" w:lineRule="auto"/>
              <w:rPr>
                <w:b/>
                <w:color w:val="000000"/>
                <w:kern w:val="0"/>
                <w:sz w:val="24"/>
                <w:szCs w:val="21"/>
              </w:rPr>
            </w:pPr>
            <w:r>
              <w:rPr>
                <w:b/>
                <w:color w:val="000000"/>
                <w:kern w:val="0"/>
                <w:sz w:val="24"/>
                <w:szCs w:val="21"/>
              </w:rPr>
              <w:t>环境保护培训</w:t>
            </w:r>
          </w:p>
          <w:p w14:paraId="5842FB54">
            <w:pPr>
              <w:pStyle w:val="11"/>
              <w:rPr>
                <w:color w:val="000000"/>
              </w:rPr>
            </w:pPr>
            <w:r>
              <w:rPr>
                <w:color w:val="000000"/>
              </w:rPr>
              <w:t>应对与工程项目有关的主要人员，包括施工单位、运行单位、受影响区域的公众，进行环境保护技术和政策方面的培训与宣传，从而进一步增强施工、运行单位的环保管理的能力，减少施工和运行产生的不利环境影响，并且能够更好地参与和监督本工程的环保管理；提高人们的环保意识，加强公众的环境保护和自我保护意识。具体的环保管理培训计划见</w:t>
            </w:r>
            <w:r>
              <w:rPr>
                <w:color w:val="000000"/>
              </w:rPr>
              <w:fldChar w:fldCharType="begin"/>
            </w:r>
            <w:r>
              <w:rPr>
                <w:color w:val="000000"/>
              </w:rPr>
              <w:instrText xml:space="preserve"> REF _Ref157243725 \h  \* MERGEFORMAT </w:instrText>
            </w:r>
            <w:r>
              <w:rPr>
                <w:color w:val="000000"/>
              </w:rPr>
              <w:fldChar w:fldCharType="separate"/>
            </w:r>
            <w:r>
              <w:rPr>
                <w:color w:val="000000"/>
              </w:rPr>
              <w:t>表 26</w:t>
            </w:r>
            <w:r>
              <w:rPr>
                <w:color w:val="000000"/>
              </w:rPr>
              <w:fldChar w:fldCharType="end"/>
            </w:r>
            <w:r>
              <w:rPr>
                <w:color w:val="000000"/>
              </w:rPr>
              <w:t>。</w:t>
            </w:r>
          </w:p>
          <w:p w14:paraId="41A278C5">
            <w:pPr>
              <w:pStyle w:val="9"/>
              <w:keepNext/>
              <w:rPr>
                <w:rFonts w:ascii="Times New Roman" w:hAnsi="Times New Roman"/>
                <w:b/>
              </w:rPr>
            </w:pPr>
            <w:bookmarkStart w:id="707" w:name="_Ref157243725"/>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26</w:t>
            </w:r>
            <w:r>
              <w:rPr>
                <w:rFonts w:ascii="Times New Roman" w:hAnsi="Times New Roman"/>
                <w:b/>
              </w:rPr>
              <w:fldChar w:fldCharType="end"/>
            </w:r>
            <w:bookmarkEnd w:id="707"/>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环保管理培训计划</w:t>
            </w:r>
          </w:p>
          <w:tbl>
            <w:tblPr>
              <w:tblStyle w:val="34"/>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2982"/>
              <w:gridCol w:w="3805"/>
            </w:tblGrid>
            <w:tr w14:paraId="20E5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1396" w:type="dxa"/>
                  <w:vAlign w:val="center"/>
                </w:tcPr>
                <w:p w14:paraId="54EDA807">
                  <w:pPr>
                    <w:pStyle w:val="73"/>
                    <w:rPr>
                      <w:b/>
                      <w:bCs/>
                      <w:color w:val="000000"/>
                      <w:szCs w:val="21"/>
                    </w:rPr>
                  </w:pPr>
                  <w:r>
                    <w:rPr>
                      <w:b/>
                      <w:bCs/>
                      <w:color w:val="000000"/>
                      <w:szCs w:val="21"/>
                    </w:rPr>
                    <w:t>项目</w:t>
                  </w:r>
                </w:p>
              </w:tc>
              <w:tc>
                <w:tcPr>
                  <w:tcW w:w="2982" w:type="dxa"/>
                  <w:vAlign w:val="center"/>
                </w:tcPr>
                <w:p w14:paraId="6E06EFF0">
                  <w:pPr>
                    <w:pStyle w:val="73"/>
                    <w:rPr>
                      <w:b/>
                      <w:bCs/>
                      <w:color w:val="000000"/>
                      <w:szCs w:val="21"/>
                    </w:rPr>
                  </w:pPr>
                  <w:r>
                    <w:rPr>
                      <w:b/>
                      <w:bCs/>
                      <w:color w:val="000000"/>
                      <w:szCs w:val="21"/>
                    </w:rPr>
                    <w:t>参加培训或宣传的对象</w:t>
                  </w:r>
                </w:p>
              </w:tc>
              <w:tc>
                <w:tcPr>
                  <w:tcW w:w="3805" w:type="dxa"/>
                  <w:vAlign w:val="center"/>
                </w:tcPr>
                <w:p w14:paraId="2B35BD6F">
                  <w:pPr>
                    <w:pStyle w:val="73"/>
                    <w:rPr>
                      <w:b/>
                      <w:bCs/>
                      <w:color w:val="000000"/>
                      <w:szCs w:val="21"/>
                    </w:rPr>
                  </w:pPr>
                  <w:r>
                    <w:rPr>
                      <w:b/>
                      <w:bCs/>
                      <w:color w:val="000000"/>
                      <w:szCs w:val="21"/>
                    </w:rPr>
                    <w:t>培训内容</w:t>
                  </w:r>
                </w:p>
              </w:tc>
            </w:tr>
            <w:tr w14:paraId="5F10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396" w:type="dxa"/>
                  <w:vAlign w:val="center"/>
                </w:tcPr>
                <w:p w14:paraId="2C834DE6">
                  <w:pPr>
                    <w:pStyle w:val="73"/>
                    <w:rPr>
                      <w:color w:val="000000"/>
                      <w:szCs w:val="21"/>
                    </w:rPr>
                  </w:pPr>
                  <w:r>
                    <w:rPr>
                      <w:color w:val="000000"/>
                      <w:szCs w:val="21"/>
                    </w:rPr>
                    <w:t>环境保护</w:t>
                  </w:r>
                </w:p>
                <w:p w14:paraId="2D4D102A">
                  <w:pPr>
                    <w:pStyle w:val="73"/>
                    <w:rPr>
                      <w:color w:val="000000"/>
                      <w:szCs w:val="21"/>
                    </w:rPr>
                  </w:pPr>
                  <w:r>
                    <w:rPr>
                      <w:color w:val="000000"/>
                      <w:szCs w:val="21"/>
                    </w:rPr>
                    <w:t>知识和政策</w:t>
                  </w:r>
                </w:p>
              </w:tc>
              <w:tc>
                <w:tcPr>
                  <w:tcW w:w="2982" w:type="dxa"/>
                  <w:vAlign w:val="center"/>
                </w:tcPr>
                <w:p w14:paraId="7EF6B7E0">
                  <w:pPr>
                    <w:pStyle w:val="73"/>
                    <w:rPr>
                      <w:color w:val="000000"/>
                      <w:szCs w:val="21"/>
                    </w:rPr>
                  </w:pPr>
                  <w:r>
                    <w:rPr>
                      <w:color w:val="000000"/>
                      <w:szCs w:val="21"/>
                    </w:rPr>
                    <w:t>变电站周围及输电线路沿线的居民</w:t>
                  </w:r>
                </w:p>
              </w:tc>
              <w:tc>
                <w:tcPr>
                  <w:tcW w:w="3805" w:type="dxa"/>
                  <w:vAlign w:val="center"/>
                </w:tcPr>
                <w:p w14:paraId="76CD055D">
                  <w:pPr>
                    <w:pStyle w:val="73"/>
                    <w:jc w:val="left"/>
                    <w:rPr>
                      <w:color w:val="000000"/>
                      <w:szCs w:val="21"/>
                    </w:rPr>
                  </w:pPr>
                  <w:r>
                    <w:rPr>
                      <w:color w:val="000000"/>
                      <w:szCs w:val="21"/>
                    </w:rPr>
                    <w:t>1.电磁环境影响的有关知识</w:t>
                  </w:r>
                </w:p>
                <w:p w14:paraId="264BEB97">
                  <w:pPr>
                    <w:pStyle w:val="73"/>
                    <w:jc w:val="left"/>
                    <w:rPr>
                      <w:color w:val="000000"/>
                      <w:szCs w:val="21"/>
                    </w:rPr>
                  </w:pPr>
                  <w:r>
                    <w:rPr>
                      <w:color w:val="000000"/>
                      <w:szCs w:val="21"/>
                    </w:rPr>
                    <w:t>2.声环境质量标准</w:t>
                  </w:r>
                </w:p>
                <w:p w14:paraId="20B59208">
                  <w:pPr>
                    <w:pStyle w:val="73"/>
                    <w:jc w:val="left"/>
                    <w:rPr>
                      <w:color w:val="000000"/>
                      <w:szCs w:val="21"/>
                    </w:rPr>
                  </w:pPr>
                  <w:r>
                    <w:rPr>
                      <w:color w:val="000000"/>
                      <w:szCs w:val="21"/>
                    </w:rPr>
                    <w:t>3.电力设施保护条例</w:t>
                  </w:r>
                </w:p>
                <w:p w14:paraId="57CA79EB">
                  <w:pPr>
                    <w:pStyle w:val="73"/>
                    <w:jc w:val="left"/>
                    <w:rPr>
                      <w:color w:val="000000"/>
                      <w:szCs w:val="21"/>
                    </w:rPr>
                  </w:pPr>
                  <w:r>
                    <w:rPr>
                      <w:color w:val="000000"/>
                      <w:szCs w:val="21"/>
                    </w:rPr>
                    <w:t>4.其他有关的国家和地方的规定</w:t>
                  </w:r>
                </w:p>
              </w:tc>
            </w:tr>
            <w:tr w14:paraId="679A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1396" w:type="dxa"/>
                  <w:vAlign w:val="center"/>
                </w:tcPr>
                <w:p w14:paraId="05EBB763">
                  <w:pPr>
                    <w:pStyle w:val="73"/>
                    <w:rPr>
                      <w:color w:val="000000"/>
                      <w:szCs w:val="21"/>
                    </w:rPr>
                  </w:pPr>
                  <w:r>
                    <w:rPr>
                      <w:color w:val="000000"/>
                      <w:szCs w:val="21"/>
                    </w:rPr>
                    <w:t>环境保护</w:t>
                  </w:r>
                </w:p>
                <w:p w14:paraId="52F3B8B5">
                  <w:pPr>
                    <w:pStyle w:val="73"/>
                    <w:rPr>
                      <w:color w:val="000000"/>
                      <w:szCs w:val="21"/>
                    </w:rPr>
                  </w:pPr>
                  <w:r>
                    <w:rPr>
                      <w:color w:val="000000"/>
                      <w:szCs w:val="21"/>
                    </w:rPr>
                    <w:t>管理培训</w:t>
                  </w:r>
                </w:p>
              </w:tc>
              <w:tc>
                <w:tcPr>
                  <w:tcW w:w="2982" w:type="dxa"/>
                  <w:vAlign w:val="center"/>
                </w:tcPr>
                <w:p w14:paraId="39BB81D6">
                  <w:pPr>
                    <w:pStyle w:val="73"/>
                    <w:rPr>
                      <w:color w:val="000000"/>
                      <w:szCs w:val="21"/>
                    </w:rPr>
                  </w:pPr>
                  <w:r>
                    <w:rPr>
                      <w:color w:val="000000"/>
                      <w:szCs w:val="21"/>
                    </w:rPr>
                    <w:t>建设单位或负责运行的单位、施工单位、其他相关人员</w:t>
                  </w:r>
                </w:p>
              </w:tc>
              <w:tc>
                <w:tcPr>
                  <w:tcW w:w="3805" w:type="dxa"/>
                  <w:vAlign w:val="center"/>
                </w:tcPr>
                <w:p w14:paraId="5BC88CE0">
                  <w:pPr>
                    <w:pStyle w:val="73"/>
                    <w:jc w:val="left"/>
                    <w:rPr>
                      <w:color w:val="000000"/>
                      <w:szCs w:val="21"/>
                    </w:rPr>
                  </w:pPr>
                  <w:r>
                    <w:rPr>
                      <w:color w:val="000000"/>
                      <w:szCs w:val="21"/>
                    </w:rPr>
                    <w:t>1.中华人民共和国环境保护法</w:t>
                  </w:r>
                </w:p>
                <w:p w14:paraId="56B9D4AD">
                  <w:pPr>
                    <w:pStyle w:val="73"/>
                    <w:jc w:val="left"/>
                    <w:rPr>
                      <w:color w:val="000000"/>
                      <w:szCs w:val="21"/>
                    </w:rPr>
                  </w:pPr>
                  <w:r>
                    <w:rPr>
                      <w:color w:val="000000"/>
                      <w:szCs w:val="21"/>
                    </w:rPr>
                    <w:t>2.</w:t>
                  </w:r>
                  <w:r>
                    <w:rPr>
                      <w:color w:val="000000"/>
                    </w:rPr>
                    <w:t>中华人民共和国草原法</w:t>
                  </w:r>
                </w:p>
                <w:p w14:paraId="26CA8253">
                  <w:pPr>
                    <w:pStyle w:val="73"/>
                    <w:jc w:val="left"/>
                    <w:rPr>
                      <w:color w:val="000000"/>
                      <w:szCs w:val="21"/>
                    </w:rPr>
                  </w:pPr>
                  <w:r>
                    <w:rPr>
                      <w:color w:val="000000"/>
                    </w:rPr>
                    <w:t>3</w:t>
                  </w:r>
                  <w:r>
                    <w:rPr>
                      <w:color w:val="000000"/>
                      <w:szCs w:val="21"/>
                    </w:rPr>
                    <w:t>.中华人民共和国野生动物保护法</w:t>
                  </w:r>
                </w:p>
                <w:p w14:paraId="129B9C9D">
                  <w:pPr>
                    <w:pStyle w:val="73"/>
                    <w:jc w:val="left"/>
                    <w:rPr>
                      <w:color w:val="000000"/>
                      <w:szCs w:val="21"/>
                    </w:rPr>
                  </w:pPr>
                  <w:r>
                    <w:rPr>
                      <w:color w:val="000000"/>
                      <w:szCs w:val="21"/>
                    </w:rPr>
                    <w:t>4.中华人民共和国</w:t>
                  </w:r>
                  <w:r>
                    <w:rPr>
                      <w:rFonts w:hint="eastAsia"/>
                      <w:color w:val="000000"/>
                      <w:szCs w:val="21"/>
                      <w:lang w:eastAsia="zh-CN"/>
                    </w:rPr>
                    <w:t>野生植物保护条例</w:t>
                  </w:r>
                </w:p>
                <w:p w14:paraId="011DC4C5">
                  <w:pPr>
                    <w:pStyle w:val="73"/>
                    <w:jc w:val="left"/>
                    <w:rPr>
                      <w:color w:val="000000"/>
                      <w:szCs w:val="21"/>
                    </w:rPr>
                  </w:pPr>
                  <w:r>
                    <w:rPr>
                      <w:color w:val="000000"/>
                      <w:szCs w:val="21"/>
                    </w:rPr>
                    <w:t>5.建设项目环境保护管理条例</w:t>
                  </w:r>
                </w:p>
                <w:p w14:paraId="43B8D57F">
                  <w:pPr>
                    <w:pStyle w:val="73"/>
                    <w:jc w:val="left"/>
                    <w:rPr>
                      <w:color w:val="000000"/>
                      <w:szCs w:val="21"/>
                    </w:rPr>
                  </w:pPr>
                  <w:r>
                    <w:rPr>
                      <w:color w:val="000000"/>
                      <w:szCs w:val="21"/>
                    </w:rPr>
                    <w:t>6.其他有关的管理条例、规定</w:t>
                  </w:r>
                </w:p>
              </w:tc>
            </w:tr>
            <w:tr w14:paraId="08BD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396" w:type="dxa"/>
                  <w:vAlign w:val="center"/>
                </w:tcPr>
                <w:p w14:paraId="423EF0B3">
                  <w:pPr>
                    <w:pStyle w:val="73"/>
                    <w:rPr>
                      <w:color w:val="000000"/>
                      <w:szCs w:val="21"/>
                    </w:rPr>
                  </w:pPr>
                  <w:r>
                    <w:rPr>
                      <w:color w:val="000000"/>
                      <w:szCs w:val="21"/>
                    </w:rPr>
                    <w:t>野生动植物保护</w:t>
                  </w:r>
                </w:p>
              </w:tc>
              <w:tc>
                <w:tcPr>
                  <w:tcW w:w="2982" w:type="dxa"/>
                  <w:vAlign w:val="center"/>
                </w:tcPr>
                <w:p w14:paraId="790BD18E">
                  <w:pPr>
                    <w:pStyle w:val="73"/>
                    <w:rPr>
                      <w:color w:val="000000"/>
                      <w:szCs w:val="21"/>
                    </w:rPr>
                  </w:pPr>
                  <w:r>
                    <w:rPr>
                      <w:color w:val="000000"/>
                      <w:szCs w:val="21"/>
                    </w:rPr>
                    <w:t>施工及其他相关人员</w:t>
                  </w:r>
                </w:p>
              </w:tc>
              <w:tc>
                <w:tcPr>
                  <w:tcW w:w="3805" w:type="dxa"/>
                  <w:vAlign w:val="center"/>
                </w:tcPr>
                <w:p w14:paraId="4C5FB024">
                  <w:pPr>
                    <w:pStyle w:val="73"/>
                    <w:jc w:val="left"/>
                    <w:rPr>
                      <w:color w:val="000000"/>
                      <w:szCs w:val="21"/>
                    </w:rPr>
                  </w:pPr>
                  <w:r>
                    <w:rPr>
                      <w:color w:val="000000"/>
                      <w:szCs w:val="21"/>
                    </w:rPr>
                    <w:t>1.中华人民共和国野生动物保护法</w:t>
                  </w:r>
                </w:p>
                <w:p w14:paraId="5B882BC7">
                  <w:pPr>
                    <w:pStyle w:val="73"/>
                    <w:jc w:val="left"/>
                    <w:rPr>
                      <w:color w:val="000000"/>
                      <w:szCs w:val="21"/>
                    </w:rPr>
                  </w:pPr>
                  <w:r>
                    <w:rPr>
                      <w:color w:val="000000"/>
                      <w:szCs w:val="21"/>
                    </w:rPr>
                    <w:t>2.中华人民共和国</w:t>
                  </w:r>
                  <w:r>
                    <w:rPr>
                      <w:rFonts w:hint="eastAsia"/>
                      <w:color w:val="000000"/>
                      <w:szCs w:val="21"/>
                      <w:lang w:eastAsia="zh-CN"/>
                    </w:rPr>
                    <w:t>野生植物保护条例</w:t>
                  </w:r>
                </w:p>
                <w:p w14:paraId="76434F92">
                  <w:pPr>
                    <w:pStyle w:val="73"/>
                    <w:jc w:val="left"/>
                    <w:rPr>
                      <w:color w:val="000000"/>
                      <w:szCs w:val="21"/>
                    </w:rPr>
                  </w:pPr>
                  <w:r>
                    <w:rPr>
                      <w:color w:val="000000"/>
                      <w:szCs w:val="21"/>
                    </w:rPr>
                    <w:t>3.其他有关的地方管理条例、规定</w:t>
                  </w:r>
                </w:p>
              </w:tc>
            </w:tr>
          </w:tbl>
          <w:p w14:paraId="71420CFC">
            <w:pPr>
              <w:numPr>
                <w:ilvl w:val="1"/>
                <w:numId w:val="21"/>
              </w:numPr>
              <w:spacing w:line="360" w:lineRule="auto"/>
              <w:rPr>
                <w:b/>
                <w:color w:val="000000"/>
                <w:kern w:val="0"/>
                <w:sz w:val="24"/>
                <w:szCs w:val="21"/>
              </w:rPr>
            </w:pPr>
            <w:r>
              <w:rPr>
                <w:b/>
                <w:color w:val="000000"/>
                <w:kern w:val="0"/>
                <w:sz w:val="24"/>
                <w:szCs w:val="21"/>
              </w:rPr>
              <w:t>公众沟通协调应对机制</w:t>
            </w:r>
          </w:p>
          <w:p w14:paraId="04A704FE">
            <w:pPr>
              <w:pStyle w:val="11"/>
              <w:rPr>
                <w:color w:val="000000"/>
              </w:rPr>
            </w:pPr>
            <w:r>
              <w:rPr>
                <w:color w:val="000000"/>
              </w:rPr>
              <w:t>针对输变电工程附近由静电引起的电场刺激等实际影响，建设单位或运行单位应在变电站和相关线路附近设置警示标志，并建立该类影响的应对机制。同时，加强同当地群众的宣传、解释和沟通工作，确有必要时采取接地、屏蔽等措施，消除实际影响。</w:t>
            </w:r>
          </w:p>
          <w:p w14:paraId="130C2FB1">
            <w:pPr>
              <w:numPr>
                <w:ilvl w:val="0"/>
                <w:numId w:val="21"/>
              </w:numPr>
              <w:spacing w:line="360" w:lineRule="auto"/>
              <w:rPr>
                <w:b/>
                <w:color w:val="000000"/>
                <w:kern w:val="0"/>
                <w:sz w:val="24"/>
                <w:szCs w:val="21"/>
              </w:rPr>
            </w:pPr>
            <w:r>
              <w:rPr>
                <w:b/>
                <w:color w:val="000000"/>
                <w:kern w:val="0"/>
                <w:sz w:val="24"/>
                <w:szCs w:val="21"/>
              </w:rPr>
              <w:t>环境监测</w:t>
            </w:r>
          </w:p>
          <w:p w14:paraId="03714C4F">
            <w:pPr>
              <w:numPr>
                <w:ilvl w:val="1"/>
                <w:numId w:val="21"/>
              </w:numPr>
              <w:spacing w:line="360" w:lineRule="auto"/>
              <w:rPr>
                <w:b/>
                <w:color w:val="000000"/>
                <w:kern w:val="0"/>
                <w:sz w:val="24"/>
                <w:szCs w:val="21"/>
              </w:rPr>
            </w:pPr>
            <w:r>
              <w:rPr>
                <w:b/>
                <w:color w:val="000000"/>
                <w:kern w:val="0"/>
                <w:sz w:val="24"/>
                <w:szCs w:val="21"/>
              </w:rPr>
              <w:t>环境监测任务</w:t>
            </w:r>
          </w:p>
          <w:p w14:paraId="12B3CFBE">
            <w:pPr>
              <w:pStyle w:val="11"/>
              <w:rPr>
                <w:color w:val="000000"/>
              </w:rPr>
            </w:pPr>
            <w:r>
              <w:rPr>
                <w:color w:val="000000"/>
              </w:rPr>
              <w:t>（1）制定监测计划，监测工程施工期和运行期环境要素及评价因子的变化。</w:t>
            </w:r>
          </w:p>
          <w:p w14:paraId="300A8768">
            <w:pPr>
              <w:pStyle w:val="11"/>
              <w:rPr>
                <w:color w:val="000000"/>
                <w:highlight w:val="yellow"/>
              </w:rPr>
            </w:pPr>
            <w:r>
              <w:rPr>
                <w:color w:val="000000"/>
              </w:rPr>
              <w:t>（2）对工程突发的环境事件进行跟踪监测调查。</w:t>
            </w:r>
          </w:p>
          <w:p w14:paraId="71D18798">
            <w:pPr>
              <w:numPr>
                <w:ilvl w:val="1"/>
                <w:numId w:val="21"/>
              </w:numPr>
              <w:spacing w:line="360" w:lineRule="auto"/>
              <w:rPr>
                <w:b/>
                <w:color w:val="000000"/>
                <w:kern w:val="0"/>
                <w:sz w:val="24"/>
                <w:szCs w:val="21"/>
              </w:rPr>
            </w:pPr>
            <w:r>
              <w:rPr>
                <w:b/>
                <w:color w:val="000000"/>
                <w:kern w:val="0"/>
                <w:sz w:val="24"/>
                <w:szCs w:val="21"/>
              </w:rPr>
              <w:t>监测点位布设</w:t>
            </w:r>
          </w:p>
          <w:p w14:paraId="22681983">
            <w:pPr>
              <w:pStyle w:val="11"/>
              <w:rPr>
                <w:color w:val="000000"/>
              </w:rPr>
            </w:pPr>
            <w:r>
              <w:rPr>
                <w:color w:val="000000"/>
              </w:rPr>
              <w:t>监测点位应布置在人类活动相对频繁区域。变电站可根据总平面布置，在其厂界及站外相关环境敏感目标设置例行监测点；线路工程监测点可布置在线路附近人为活动较为频繁的区域。具体参照本环评筛选的典型环境敏感点。</w:t>
            </w:r>
          </w:p>
          <w:p w14:paraId="6BEF35CB">
            <w:pPr>
              <w:numPr>
                <w:ilvl w:val="1"/>
                <w:numId w:val="21"/>
              </w:numPr>
              <w:spacing w:line="360" w:lineRule="auto"/>
              <w:rPr>
                <w:b/>
                <w:color w:val="000000"/>
                <w:kern w:val="0"/>
                <w:sz w:val="24"/>
                <w:szCs w:val="21"/>
              </w:rPr>
            </w:pPr>
            <w:r>
              <w:rPr>
                <w:b/>
                <w:color w:val="000000"/>
                <w:kern w:val="0"/>
                <w:sz w:val="24"/>
                <w:szCs w:val="21"/>
              </w:rPr>
              <w:t>监测技术要求</w:t>
            </w:r>
          </w:p>
          <w:p w14:paraId="00F38DCE">
            <w:pPr>
              <w:pStyle w:val="11"/>
              <w:rPr>
                <w:color w:val="000000"/>
              </w:rPr>
            </w:pPr>
            <w:r>
              <w:rPr>
                <w:color w:val="000000"/>
              </w:rPr>
              <w:t>（1）监测范围应与工程影响区域相符。</w:t>
            </w:r>
          </w:p>
          <w:p w14:paraId="19FD2873">
            <w:pPr>
              <w:pStyle w:val="11"/>
              <w:rPr>
                <w:color w:val="000000"/>
              </w:rPr>
            </w:pPr>
            <w:r>
              <w:rPr>
                <w:color w:val="000000"/>
              </w:rPr>
              <w:t>（2）监测位置与频次应根据环境影响评价、工程竣工环境保护验收的要求确定。</w:t>
            </w:r>
          </w:p>
          <w:p w14:paraId="2D7D47BA">
            <w:pPr>
              <w:pStyle w:val="11"/>
              <w:rPr>
                <w:color w:val="000000"/>
              </w:rPr>
            </w:pPr>
            <w:r>
              <w:rPr>
                <w:color w:val="000000"/>
              </w:rPr>
              <w:t>（3）监测方法与技术要求应符合国家现行的有关环境监测技术规范和环境监测标准分析方法。</w:t>
            </w:r>
          </w:p>
          <w:p w14:paraId="02AD4C66">
            <w:pPr>
              <w:pStyle w:val="11"/>
              <w:ind w:firstLineChars="0"/>
              <w:rPr>
                <w:color w:val="000000"/>
              </w:rPr>
            </w:pPr>
            <w:r>
              <w:rPr>
                <w:color w:val="000000"/>
              </w:rPr>
              <w:t>（4）应对监测提出质量保证要求。</w:t>
            </w:r>
          </w:p>
          <w:p w14:paraId="6CCE954C">
            <w:pPr>
              <w:numPr>
                <w:ilvl w:val="1"/>
                <w:numId w:val="21"/>
              </w:numPr>
              <w:spacing w:line="360" w:lineRule="auto"/>
              <w:rPr>
                <w:b/>
                <w:color w:val="000000"/>
                <w:kern w:val="0"/>
                <w:sz w:val="24"/>
                <w:szCs w:val="21"/>
              </w:rPr>
            </w:pPr>
            <w:r>
              <w:rPr>
                <w:rFonts w:hint="eastAsia"/>
                <w:b/>
                <w:color w:val="000000"/>
                <w:kern w:val="0"/>
                <w:sz w:val="24"/>
                <w:szCs w:val="21"/>
              </w:rPr>
              <w:t>环境</w:t>
            </w:r>
            <w:r>
              <w:rPr>
                <w:b/>
                <w:color w:val="000000"/>
                <w:kern w:val="0"/>
                <w:sz w:val="24"/>
                <w:szCs w:val="21"/>
              </w:rPr>
              <w:t>监测</w:t>
            </w:r>
            <w:r>
              <w:rPr>
                <w:rFonts w:hint="eastAsia"/>
                <w:b/>
                <w:color w:val="000000"/>
                <w:kern w:val="0"/>
                <w:sz w:val="24"/>
                <w:szCs w:val="21"/>
              </w:rPr>
              <w:t>计划</w:t>
            </w:r>
          </w:p>
          <w:p w14:paraId="4B7730BF">
            <w:pPr>
              <w:pStyle w:val="76"/>
              <w:rPr>
                <w:rStyle w:val="57"/>
                <w:rFonts w:ascii="Times New Roman" w:hAnsi="Times New Roman"/>
                <w:bCs/>
                <w:color w:val="000000"/>
              </w:rPr>
            </w:pPr>
            <w:r>
              <w:rPr>
                <w:rStyle w:val="57"/>
                <w:rFonts w:ascii="Times New Roman" w:hAnsi="Times New Roman"/>
                <w:bCs/>
                <w:color w:val="000000"/>
              </w:rPr>
              <w:t>（1）电磁环境监测</w:t>
            </w:r>
          </w:p>
          <w:p w14:paraId="63EB9E84">
            <w:pPr>
              <w:pStyle w:val="76"/>
              <w:rPr>
                <w:rStyle w:val="57"/>
                <w:rFonts w:ascii="Times New Roman" w:hAnsi="Times New Roman"/>
                <w:bCs/>
                <w:color w:val="000000"/>
              </w:rPr>
            </w:pPr>
            <w:r>
              <w:rPr>
                <w:rStyle w:val="57"/>
                <w:rFonts w:ascii="Times New Roman" w:hAnsi="Times New Roman"/>
                <w:bCs/>
                <w:color w:val="000000"/>
              </w:rPr>
              <w:t>1）监测项目：工频电场、工频磁场</w:t>
            </w:r>
          </w:p>
          <w:p w14:paraId="19840B8A">
            <w:pPr>
              <w:pStyle w:val="76"/>
              <w:rPr>
                <w:rStyle w:val="57"/>
                <w:rFonts w:ascii="Times New Roman" w:hAnsi="Times New Roman"/>
                <w:bCs/>
                <w:color w:val="000000"/>
              </w:rPr>
            </w:pPr>
            <w:r>
              <w:rPr>
                <w:rStyle w:val="57"/>
                <w:rFonts w:ascii="Times New Roman" w:hAnsi="Times New Roman"/>
                <w:bCs/>
                <w:color w:val="000000"/>
              </w:rPr>
              <w:t>2）监测方法：按《交流输变电工程电磁环境监测方法（试行）》（HJ681-2013）中的方法进行。</w:t>
            </w:r>
          </w:p>
          <w:p w14:paraId="69A147DD">
            <w:pPr>
              <w:pStyle w:val="76"/>
              <w:rPr>
                <w:rStyle w:val="57"/>
                <w:rFonts w:ascii="Times New Roman" w:hAnsi="Times New Roman"/>
                <w:bCs/>
                <w:color w:val="000000"/>
              </w:rPr>
            </w:pPr>
            <w:r>
              <w:rPr>
                <w:rStyle w:val="57"/>
                <w:rFonts w:ascii="Times New Roman" w:hAnsi="Times New Roman"/>
                <w:bCs/>
                <w:color w:val="000000"/>
              </w:rPr>
              <w:t>3）监测时间：</w:t>
            </w:r>
            <w:r>
              <w:rPr>
                <w:rStyle w:val="57"/>
                <w:rFonts w:hint="eastAsia" w:ascii="Times New Roman" w:hAnsi="Times New Roman"/>
                <w:bCs/>
                <w:color w:val="000000"/>
              </w:rPr>
              <w:t>①</w:t>
            </w:r>
            <w:r>
              <w:rPr>
                <w:rStyle w:val="57"/>
                <w:rFonts w:ascii="Times New Roman" w:hAnsi="Times New Roman"/>
                <w:bCs/>
                <w:color w:val="000000"/>
              </w:rPr>
              <w:t>工程建成正式投产后第一年结合竣工环境保护验收监测一次</w:t>
            </w:r>
            <w:r>
              <w:rPr>
                <w:rStyle w:val="57"/>
                <w:rFonts w:hint="eastAsia" w:ascii="Times New Roman" w:hAnsi="Times New Roman"/>
                <w:bCs/>
                <w:color w:val="000000"/>
              </w:rPr>
              <w:t>；②运行期间存在投诉或纠纷时进行监测；③例行环境监测计划或生态环境主管部门要求时进行监测</w:t>
            </w:r>
            <w:r>
              <w:rPr>
                <w:rStyle w:val="57"/>
                <w:rFonts w:ascii="Times New Roman" w:hAnsi="Times New Roman"/>
                <w:bCs/>
                <w:color w:val="000000"/>
              </w:rPr>
              <w:t>。</w:t>
            </w:r>
          </w:p>
          <w:p w14:paraId="0E6F859E">
            <w:pPr>
              <w:pStyle w:val="76"/>
              <w:rPr>
                <w:rStyle w:val="57"/>
                <w:rFonts w:ascii="Times New Roman" w:hAnsi="Times New Roman"/>
                <w:bCs/>
                <w:color w:val="000000"/>
              </w:rPr>
            </w:pPr>
            <w:r>
              <w:rPr>
                <w:rStyle w:val="57"/>
                <w:rFonts w:ascii="Times New Roman" w:hAnsi="Times New Roman"/>
                <w:bCs/>
                <w:color w:val="000000"/>
              </w:rPr>
              <w:t>4）监测频次：各拟定点位监测一次。</w:t>
            </w:r>
          </w:p>
          <w:p w14:paraId="22D6FACB">
            <w:pPr>
              <w:pStyle w:val="76"/>
              <w:rPr>
                <w:rStyle w:val="57"/>
                <w:rFonts w:ascii="Times New Roman" w:hAnsi="Times New Roman"/>
                <w:bCs/>
                <w:color w:val="000000"/>
              </w:rPr>
            </w:pPr>
            <w:r>
              <w:rPr>
                <w:rStyle w:val="57"/>
                <w:rFonts w:ascii="Times New Roman" w:hAnsi="Times New Roman"/>
                <w:bCs/>
                <w:color w:val="000000"/>
              </w:rPr>
              <w:t>（2）噪声</w:t>
            </w:r>
            <w:r>
              <w:rPr>
                <w:rStyle w:val="57"/>
                <w:rFonts w:hint="eastAsia" w:ascii="Times New Roman" w:hAnsi="Times New Roman"/>
                <w:bCs/>
                <w:color w:val="000000"/>
              </w:rPr>
              <w:t>监测</w:t>
            </w:r>
          </w:p>
          <w:p w14:paraId="0F2CF2AF">
            <w:pPr>
              <w:pStyle w:val="76"/>
              <w:rPr>
                <w:rStyle w:val="57"/>
                <w:rFonts w:ascii="Times New Roman" w:hAnsi="Times New Roman"/>
                <w:bCs/>
                <w:color w:val="000000"/>
              </w:rPr>
            </w:pPr>
            <w:r>
              <w:rPr>
                <w:rStyle w:val="57"/>
                <w:rFonts w:ascii="Times New Roman" w:hAnsi="Times New Roman"/>
                <w:bCs/>
                <w:color w:val="000000"/>
              </w:rPr>
              <w:t>1）监测项目：等效连续A声级。</w:t>
            </w:r>
          </w:p>
          <w:p w14:paraId="173D4B20">
            <w:pPr>
              <w:pStyle w:val="76"/>
              <w:rPr>
                <w:rStyle w:val="57"/>
                <w:rFonts w:ascii="Times New Roman" w:hAnsi="Times New Roman"/>
                <w:bCs/>
                <w:color w:val="000000"/>
              </w:rPr>
            </w:pPr>
            <w:r>
              <w:rPr>
                <w:rStyle w:val="57"/>
                <w:rFonts w:ascii="Times New Roman" w:hAnsi="Times New Roman"/>
                <w:bCs/>
                <w:color w:val="000000"/>
              </w:rPr>
              <w:t>2）监测方法：</w:t>
            </w:r>
            <w:r>
              <w:rPr>
                <w:rStyle w:val="57"/>
                <w:rFonts w:hint="eastAsia" w:ascii="Times New Roman" w:hAnsi="Times New Roman"/>
                <w:bCs/>
                <w:color w:val="000000"/>
              </w:rPr>
              <w:t>按《工业企业厂界环境噪声排放标准》（GB12348-2008）、《声环境质量标准》（GB3096-2008）中的监测方法进行</w:t>
            </w:r>
            <w:r>
              <w:rPr>
                <w:rStyle w:val="57"/>
                <w:rFonts w:ascii="Times New Roman" w:hAnsi="Times New Roman"/>
                <w:bCs/>
                <w:color w:val="000000"/>
              </w:rPr>
              <w:t>。</w:t>
            </w:r>
          </w:p>
          <w:p w14:paraId="18FF7A10">
            <w:pPr>
              <w:pStyle w:val="76"/>
              <w:rPr>
                <w:rStyle w:val="57"/>
                <w:rFonts w:ascii="Times New Roman" w:hAnsi="Times New Roman"/>
                <w:bCs/>
                <w:color w:val="000000"/>
              </w:rPr>
            </w:pPr>
            <w:r>
              <w:rPr>
                <w:rStyle w:val="57"/>
                <w:rFonts w:ascii="Times New Roman" w:hAnsi="Times New Roman"/>
                <w:bCs/>
                <w:color w:val="000000"/>
              </w:rPr>
              <w:t>3）监测时间：</w:t>
            </w:r>
            <w:r>
              <w:rPr>
                <w:rStyle w:val="57"/>
                <w:rFonts w:hint="eastAsia" w:ascii="Times New Roman" w:hAnsi="Times New Roman"/>
                <w:bCs/>
                <w:color w:val="000000"/>
              </w:rPr>
              <w:t>①工程建成正式投产后第一年结合竣工环境保护验收监测一次；②运行期间存在投诉或纠纷时进行监测；③例行环境监测计划或生态环境主管部门要求时进行监测。</w:t>
            </w:r>
          </w:p>
          <w:p w14:paraId="508730D1">
            <w:pPr>
              <w:pStyle w:val="76"/>
              <w:rPr>
                <w:rStyle w:val="57"/>
                <w:rFonts w:ascii="Times New Roman" w:hAnsi="Times New Roman"/>
                <w:bCs/>
                <w:color w:val="000000"/>
              </w:rPr>
            </w:pPr>
            <w:r>
              <w:rPr>
                <w:rStyle w:val="57"/>
                <w:rFonts w:ascii="Times New Roman" w:hAnsi="Times New Roman"/>
                <w:bCs/>
                <w:color w:val="000000"/>
              </w:rPr>
              <w:t>4）监测频次：各拟定点位昼夜间各监测一次。</w:t>
            </w:r>
          </w:p>
          <w:p w14:paraId="6CCB4220">
            <w:pPr>
              <w:pStyle w:val="8"/>
              <w:spacing w:line="360" w:lineRule="auto"/>
              <w:ind w:firstLine="480"/>
              <w:rPr>
                <w:rStyle w:val="57"/>
                <w:rFonts w:ascii="Times New Roman"/>
                <w:bCs/>
                <w:color w:val="000000"/>
              </w:rPr>
            </w:pPr>
            <w:r>
              <w:rPr>
                <w:rStyle w:val="57"/>
                <w:rFonts w:hint="eastAsia" w:ascii="Times New Roman"/>
                <w:bCs/>
                <w:color w:val="000000"/>
              </w:rPr>
              <w:t>电磁环境、</w:t>
            </w:r>
            <w:r>
              <w:rPr>
                <w:rStyle w:val="57"/>
                <w:rFonts w:ascii="Times New Roman"/>
                <w:bCs/>
                <w:color w:val="000000"/>
              </w:rPr>
              <w:t>声环境监测计划见</w:t>
            </w:r>
            <w:r>
              <w:rPr>
                <w:rStyle w:val="57"/>
                <w:rFonts w:ascii="Times New Roman"/>
                <w:bCs/>
                <w:color w:val="000000"/>
              </w:rPr>
              <w:fldChar w:fldCharType="begin"/>
            </w:r>
            <w:r>
              <w:rPr>
                <w:rStyle w:val="57"/>
                <w:rFonts w:ascii="Times New Roman"/>
                <w:bCs/>
                <w:color w:val="000000"/>
              </w:rPr>
              <w:instrText xml:space="preserve"> REF _Ref157243798 \h  \* MERGEFORMAT </w:instrText>
            </w:r>
            <w:r>
              <w:rPr>
                <w:rStyle w:val="57"/>
                <w:rFonts w:ascii="Times New Roman"/>
                <w:bCs/>
                <w:color w:val="000000"/>
              </w:rPr>
              <w:fldChar w:fldCharType="separate"/>
            </w:r>
            <w:r>
              <w:rPr>
                <w:rStyle w:val="57"/>
                <w:rFonts w:ascii="Times New Roman"/>
                <w:bCs/>
                <w:color w:val="000000"/>
              </w:rPr>
              <w:t>表 27</w:t>
            </w:r>
            <w:r>
              <w:rPr>
                <w:rStyle w:val="57"/>
                <w:rFonts w:ascii="Times New Roman"/>
                <w:bCs/>
                <w:color w:val="000000"/>
              </w:rPr>
              <w:fldChar w:fldCharType="end"/>
            </w:r>
            <w:r>
              <w:rPr>
                <w:rStyle w:val="57"/>
                <w:rFonts w:hint="eastAsia" w:ascii="Times New Roman"/>
                <w:bCs/>
                <w:color w:val="000000"/>
              </w:rPr>
              <w:t>。</w:t>
            </w:r>
          </w:p>
          <w:p w14:paraId="1FB9B002">
            <w:pPr>
              <w:pStyle w:val="9"/>
              <w:keepNext/>
              <w:rPr>
                <w:rFonts w:ascii="Times New Roman" w:hAnsi="Times New Roman"/>
                <w:b/>
              </w:rPr>
            </w:pPr>
            <w:bookmarkStart w:id="708" w:name="_Ref157243798"/>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27</w:t>
            </w:r>
            <w:r>
              <w:rPr>
                <w:rFonts w:ascii="Times New Roman" w:hAnsi="Times New Roman"/>
                <w:b/>
              </w:rPr>
              <w:fldChar w:fldCharType="end"/>
            </w:r>
            <w:bookmarkEnd w:id="708"/>
            <w:r>
              <w:rPr>
                <w:rFonts w:ascii="Times New Roman" w:hAnsi="Times New Roman"/>
                <w:b/>
              </w:rPr>
              <w:t xml:space="preserve">               </w:t>
            </w:r>
            <w:r>
              <w:rPr>
                <w:rFonts w:hint="eastAsia" w:ascii="Times New Roman" w:hAnsi="Times New Roman"/>
                <w:b/>
                <w:lang w:val="en-US" w:eastAsia="zh-CN"/>
              </w:rPr>
              <w:t xml:space="preserve">  </w:t>
            </w:r>
            <w:r>
              <w:rPr>
                <w:rFonts w:hint="eastAsia" w:ascii="Times New Roman" w:hAnsi="Times New Roman"/>
                <w:b/>
              </w:rPr>
              <w:t xml:space="preserve">  </w:t>
            </w:r>
            <w:r>
              <w:rPr>
                <w:rFonts w:ascii="Times New Roman" w:hAnsi="Times New Roman"/>
                <w:b/>
              </w:rPr>
              <w:t>电磁环境、声环境监测计划要求一览表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900"/>
              <w:gridCol w:w="959"/>
              <w:gridCol w:w="2890"/>
              <w:gridCol w:w="1716"/>
              <w:gridCol w:w="1123"/>
            </w:tblGrid>
            <w:tr w14:paraId="4EF6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495" w:type="dxa"/>
                  <w:gridSpan w:val="2"/>
                  <w:vAlign w:val="center"/>
                </w:tcPr>
                <w:p w14:paraId="25E1E356">
                  <w:pPr>
                    <w:pStyle w:val="104"/>
                    <w:spacing w:line="240" w:lineRule="auto"/>
                    <w:rPr>
                      <w:rFonts w:ascii="Times New Roman" w:cs="Times New Roman"/>
                      <w:color w:val="000000"/>
                    </w:rPr>
                  </w:pPr>
                  <w:r>
                    <w:rPr>
                      <w:rFonts w:ascii="Times New Roman" w:cs="Times New Roman"/>
                      <w:color w:val="000000"/>
                    </w:rPr>
                    <w:t>监测内容</w:t>
                  </w:r>
                </w:p>
              </w:tc>
              <w:tc>
                <w:tcPr>
                  <w:tcW w:w="3849" w:type="dxa"/>
                  <w:gridSpan w:val="2"/>
                  <w:vAlign w:val="center"/>
                </w:tcPr>
                <w:p w14:paraId="4607C0B4">
                  <w:pPr>
                    <w:pStyle w:val="104"/>
                    <w:spacing w:line="240" w:lineRule="auto"/>
                    <w:rPr>
                      <w:rFonts w:ascii="Times New Roman" w:cs="Times New Roman"/>
                      <w:color w:val="000000"/>
                    </w:rPr>
                  </w:pPr>
                  <w:r>
                    <w:rPr>
                      <w:rFonts w:ascii="Times New Roman" w:cs="Times New Roman"/>
                      <w:color w:val="000000"/>
                    </w:rPr>
                    <w:t>监测布点</w:t>
                  </w:r>
                </w:p>
              </w:tc>
              <w:tc>
                <w:tcPr>
                  <w:tcW w:w="1716" w:type="dxa"/>
                  <w:vAlign w:val="center"/>
                </w:tcPr>
                <w:p w14:paraId="12D5123B">
                  <w:pPr>
                    <w:pStyle w:val="104"/>
                    <w:spacing w:line="240" w:lineRule="auto"/>
                    <w:rPr>
                      <w:rFonts w:ascii="Times New Roman" w:cs="Times New Roman"/>
                      <w:color w:val="000000"/>
                    </w:rPr>
                  </w:pPr>
                  <w:r>
                    <w:rPr>
                      <w:rFonts w:ascii="Times New Roman" w:cs="Times New Roman"/>
                      <w:color w:val="000000"/>
                    </w:rPr>
                    <w:t>监测时间</w:t>
                  </w:r>
                </w:p>
              </w:tc>
              <w:tc>
                <w:tcPr>
                  <w:tcW w:w="1123" w:type="dxa"/>
                  <w:vAlign w:val="center"/>
                </w:tcPr>
                <w:p w14:paraId="5008A746">
                  <w:pPr>
                    <w:pStyle w:val="104"/>
                    <w:spacing w:line="240" w:lineRule="auto"/>
                    <w:rPr>
                      <w:rFonts w:ascii="Times New Roman" w:cs="Times New Roman"/>
                      <w:color w:val="000000"/>
                    </w:rPr>
                  </w:pPr>
                  <w:r>
                    <w:rPr>
                      <w:rFonts w:ascii="Times New Roman" w:cs="Times New Roman"/>
                      <w:color w:val="000000"/>
                    </w:rPr>
                    <w:t>监测项目</w:t>
                  </w:r>
                </w:p>
              </w:tc>
            </w:tr>
            <w:tr w14:paraId="02F7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jc w:val="center"/>
              </w:trPr>
              <w:tc>
                <w:tcPr>
                  <w:tcW w:w="595" w:type="dxa"/>
                  <w:vMerge w:val="restart"/>
                  <w:vAlign w:val="center"/>
                </w:tcPr>
                <w:p w14:paraId="5AE5434E">
                  <w:pPr>
                    <w:pStyle w:val="104"/>
                    <w:spacing w:line="240" w:lineRule="auto"/>
                    <w:rPr>
                      <w:rFonts w:ascii="Times New Roman" w:cs="Times New Roman"/>
                      <w:color w:val="000000"/>
                    </w:rPr>
                  </w:pPr>
                  <w:r>
                    <w:rPr>
                      <w:rFonts w:ascii="Times New Roman" w:cs="Times New Roman"/>
                      <w:color w:val="000000"/>
                    </w:rPr>
                    <w:t>运行期</w:t>
                  </w:r>
                </w:p>
              </w:tc>
              <w:tc>
                <w:tcPr>
                  <w:tcW w:w="900" w:type="dxa"/>
                  <w:vMerge w:val="restart"/>
                  <w:vAlign w:val="center"/>
                </w:tcPr>
                <w:p w14:paraId="38FDFA39">
                  <w:pPr>
                    <w:pStyle w:val="104"/>
                    <w:spacing w:line="240" w:lineRule="auto"/>
                    <w:rPr>
                      <w:rFonts w:ascii="Times New Roman" w:cs="Times New Roman"/>
                      <w:color w:val="000000"/>
                    </w:rPr>
                  </w:pPr>
                  <w:r>
                    <w:rPr>
                      <w:rFonts w:ascii="Times New Roman" w:cs="Times New Roman"/>
                      <w:color w:val="000000"/>
                    </w:rPr>
                    <w:t>工频电场、工频磁场</w:t>
                  </w:r>
                </w:p>
              </w:tc>
              <w:tc>
                <w:tcPr>
                  <w:tcW w:w="959" w:type="dxa"/>
                  <w:vAlign w:val="center"/>
                </w:tcPr>
                <w:p w14:paraId="1CB2580C">
                  <w:pPr>
                    <w:pStyle w:val="104"/>
                    <w:spacing w:line="240" w:lineRule="auto"/>
                    <w:rPr>
                      <w:rFonts w:ascii="Times New Roman" w:cs="Times New Roman"/>
                      <w:color w:val="000000"/>
                    </w:rPr>
                  </w:pPr>
                  <w:r>
                    <w:rPr>
                      <w:rFonts w:hint="eastAsia" w:ascii="Times New Roman" w:cs="Times New Roman"/>
                      <w:color w:val="000000"/>
                    </w:rPr>
                    <w:t>变电站</w:t>
                  </w:r>
                </w:p>
              </w:tc>
              <w:tc>
                <w:tcPr>
                  <w:tcW w:w="2890" w:type="dxa"/>
                  <w:vAlign w:val="center"/>
                </w:tcPr>
                <w:p w14:paraId="091D5497">
                  <w:pPr>
                    <w:pStyle w:val="104"/>
                    <w:spacing w:line="240" w:lineRule="auto"/>
                    <w:jc w:val="both"/>
                    <w:rPr>
                      <w:rFonts w:ascii="Times New Roman" w:cs="Times New Roman"/>
                      <w:color w:val="000000"/>
                      <w:szCs w:val="21"/>
                    </w:rPr>
                  </w:pPr>
                  <w:r>
                    <w:rPr>
                      <w:rFonts w:hint="eastAsia" w:ascii="Times New Roman" w:cs="Times New Roman"/>
                      <w:color w:val="000000"/>
                      <w:szCs w:val="21"/>
                    </w:rPr>
                    <w:t>变电站厂界</w:t>
                  </w:r>
                  <w:r>
                    <w:rPr>
                      <w:rFonts w:ascii="Times New Roman" w:cs="Times New Roman"/>
                      <w:color w:val="000000"/>
                      <w:szCs w:val="21"/>
                    </w:rPr>
                    <w:t>四周各</w:t>
                  </w:r>
                  <w:r>
                    <w:rPr>
                      <w:rFonts w:hint="eastAsia" w:ascii="Times New Roman" w:cs="Times New Roman"/>
                      <w:color w:val="000000"/>
                      <w:szCs w:val="21"/>
                    </w:rPr>
                    <w:t>均匀布设至少1个</w:t>
                  </w:r>
                  <w:r>
                    <w:rPr>
                      <w:rFonts w:ascii="Times New Roman" w:cs="Times New Roman"/>
                      <w:color w:val="000000"/>
                      <w:szCs w:val="21"/>
                    </w:rPr>
                    <w:t>监测点</w:t>
                  </w:r>
                  <w:r>
                    <w:rPr>
                      <w:rFonts w:hint="eastAsia" w:ascii="Times New Roman" w:cs="Times New Roman"/>
                      <w:color w:val="000000"/>
                      <w:szCs w:val="21"/>
                    </w:rPr>
                    <w:t>，</w:t>
                  </w:r>
                  <w:r>
                    <w:rPr>
                      <w:rFonts w:ascii="Times New Roman" w:cs="Times New Roman"/>
                      <w:color w:val="000000"/>
                      <w:szCs w:val="21"/>
                    </w:rPr>
                    <w:t>在</w:t>
                  </w:r>
                  <w:r>
                    <w:rPr>
                      <w:rFonts w:hint="eastAsia" w:ascii="Times New Roman" w:cs="Times New Roman"/>
                      <w:color w:val="000000"/>
                      <w:szCs w:val="21"/>
                    </w:rPr>
                    <w:t>高压侧</w:t>
                  </w:r>
                  <w:r>
                    <w:rPr>
                      <w:rFonts w:ascii="Times New Roman" w:cs="Times New Roman"/>
                      <w:color w:val="000000"/>
                      <w:szCs w:val="21"/>
                    </w:rPr>
                    <w:t>或距</w:t>
                  </w:r>
                  <w:r>
                    <w:rPr>
                      <w:rFonts w:hint="eastAsia" w:ascii="Times New Roman" w:cs="Times New Roman"/>
                      <w:color w:val="000000"/>
                      <w:szCs w:val="21"/>
                    </w:rPr>
                    <w:t>带电</w:t>
                  </w:r>
                  <w:r>
                    <w:rPr>
                      <w:rFonts w:ascii="Times New Roman" w:cs="Times New Roman"/>
                      <w:color w:val="000000"/>
                      <w:szCs w:val="21"/>
                    </w:rPr>
                    <w:t>构架较近的围墙侧</w:t>
                  </w:r>
                  <w:r>
                    <w:rPr>
                      <w:rFonts w:hint="eastAsia" w:ascii="Times New Roman" w:cs="Times New Roman"/>
                      <w:color w:val="000000"/>
                      <w:szCs w:val="21"/>
                    </w:rPr>
                    <w:t>适当</w:t>
                  </w:r>
                  <w:r>
                    <w:rPr>
                      <w:rFonts w:ascii="Times New Roman" w:cs="Times New Roman"/>
                      <w:color w:val="000000"/>
                      <w:szCs w:val="21"/>
                    </w:rPr>
                    <w:t>增加监测点位</w:t>
                  </w:r>
                  <w:r>
                    <w:rPr>
                      <w:rFonts w:hint="eastAsia" w:ascii="Times New Roman" w:cs="Times New Roman"/>
                      <w:color w:val="000000"/>
                      <w:szCs w:val="21"/>
                    </w:rPr>
                    <w:t>；</w:t>
                  </w:r>
                  <w:r>
                    <w:rPr>
                      <w:rFonts w:ascii="Times New Roman" w:cs="Times New Roman"/>
                      <w:color w:val="000000"/>
                      <w:szCs w:val="21"/>
                    </w:rPr>
                    <w:t>垂直</w:t>
                  </w:r>
                  <w:r>
                    <w:rPr>
                      <w:rFonts w:hint="eastAsia" w:ascii="Times New Roman" w:cs="Times New Roman"/>
                      <w:color w:val="000000"/>
                      <w:szCs w:val="21"/>
                    </w:rPr>
                    <w:t>进出线围墙</w:t>
                  </w:r>
                  <w:r>
                    <w:rPr>
                      <w:rFonts w:ascii="Times New Roman" w:cs="Times New Roman"/>
                      <w:color w:val="000000"/>
                      <w:szCs w:val="21"/>
                    </w:rPr>
                    <w:t>布置监测断面，以5m间隔布置测点，测至50m处。</w:t>
                  </w:r>
                </w:p>
              </w:tc>
              <w:tc>
                <w:tcPr>
                  <w:tcW w:w="1716" w:type="dxa"/>
                  <w:vMerge w:val="restart"/>
                  <w:vAlign w:val="center"/>
                </w:tcPr>
                <w:p w14:paraId="54168135">
                  <w:pPr>
                    <w:pStyle w:val="104"/>
                    <w:spacing w:line="240" w:lineRule="auto"/>
                    <w:jc w:val="both"/>
                    <w:rPr>
                      <w:rFonts w:ascii="Times New Roman" w:cs="Times New Roman"/>
                      <w:color w:val="000000"/>
                      <w:szCs w:val="21"/>
                    </w:rPr>
                  </w:pPr>
                  <w:r>
                    <w:rPr>
                      <w:rStyle w:val="57"/>
                      <w:bCs/>
                      <w:color w:val="000000"/>
                      <w:sz w:val="21"/>
                      <w:szCs w:val="21"/>
                    </w:rPr>
                    <w:t>①工</w:t>
                  </w:r>
                  <w:r>
                    <w:rPr>
                      <w:rStyle w:val="57"/>
                      <w:rFonts w:hint="eastAsia" w:ascii="Times New Roman" w:cs="Times New Roman"/>
                      <w:bCs/>
                      <w:color w:val="000000"/>
                      <w:sz w:val="21"/>
                      <w:szCs w:val="21"/>
                    </w:rPr>
                    <w:t>程建成正式投产后第一年结合竣工环境保护验收监测一次；②运行期间存在投诉或纠纷时进行监测；③例行环境监测计划或生态环境主管部门要求时进行监测。</w:t>
                  </w:r>
                </w:p>
              </w:tc>
              <w:tc>
                <w:tcPr>
                  <w:tcW w:w="1123" w:type="dxa"/>
                  <w:vMerge w:val="restart"/>
                  <w:vAlign w:val="center"/>
                </w:tcPr>
                <w:p w14:paraId="4DE2C3EC">
                  <w:pPr>
                    <w:pStyle w:val="104"/>
                    <w:spacing w:line="240" w:lineRule="auto"/>
                    <w:rPr>
                      <w:rFonts w:ascii="Times New Roman" w:cs="Times New Roman"/>
                      <w:color w:val="000000"/>
                    </w:rPr>
                  </w:pPr>
                  <w:r>
                    <w:rPr>
                      <w:rFonts w:ascii="Times New Roman" w:cs="Times New Roman"/>
                      <w:color w:val="000000"/>
                    </w:rPr>
                    <w:t>工频电场</w:t>
                  </w:r>
                </w:p>
                <w:p w14:paraId="4FF7AE9D">
                  <w:pPr>
                    <w:pStyle w:val="104"/>
                    <w:spacing w:line="240" w:lineRule="auto"/>
                    <w:rPr>
                      <w:rFonts w:ascii="Times New Roman" w:cs="Times New Roman"/>
                      <w:color w:val="000000"/>
                    </w:rPr>
                  </w:pPr>
                  <w:r>
                    <w:rPr>
                      <w:rFonts w:ascii="Times New Roman" w:cs="Times New Roman"/>
                      <w:color w:val="000000"/>
                    </w:rPr>
                    <w:t>工频磁场</w:t>
                  </w:r>
                </w:p>
              </w:tc>
            </w:tr>
            <w:tr w14:paraId="62B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595" w:type="dxa"/>
                  <w:vMerge w:val="continue"/>
                  <w:vAlign w:val="center"/>
                </w:tcPr>
                <w:p w14:paraId="141ADFB5">
                  <w:pPr>
                    <w:pStyle w:val="104"/>
                    <w:spacing w:line="240" w:lineRule="auto"/>
                    <w:rPr>
                      <w:rFonts w:ascii="Times New Roman" w:cs="Times New Roman"/>
                      <w:color w:val="000000"/>
                    </w:rPr>
                  </w:pPr>
                </w:p>
              </w:tc>
              <w:tc>
                <w:tcPr>
                  <w:tcW w:w="900" w:type="dxa"/>
                  <w:vMerge w:val="continue"/>
                  <w:vAlign w:val="center"/>
                </w:tcPr>
                <w:p w14:paraId="2A76F5AA">
                  <w:pPr>
                    <w:pStyle w:val="104"/>
                    <w:spacing w:line="240" w:lineRule="auto"/>
                    <w:rPr>
                      <w:rFonts w:ascii="Times New Roman" w:cs="Times New Roman"/>
                      <w:color w:val="000000"/>
                    </w:rPr>
                  </w:pPr>
                </w:p>
              </w:tc>
              <w:tc>
                <w:tcPr>
                  <w:tcW w:w="959" w:type="dxa"/>
                  <w:vAlign w:val="center"/>
                </w:tcPr>
                <w:p w14:paraId="58DAE379">
                  <w:pPr>
                    <w:pStyle w:val="104"/>
                    <w:spacing w:line="240" w:lineRule="auto"/>
                    <w:rPr>
                      <w:rFonts w:ascii="Times New Roman" w:cs="Times New Roman"/>
                      <w:color w:val="000000"/>
                    </w:rPr>
                  </w:pPr>
                  <w:r>
                    <w:rPr>
                      <w:rFonts w:hint="eastAsia" w:ascii="Times New Roman" w:cs="Times New Roman"/>
                      <w:color w:val="000000"/>
                    </w:rPr>
                    <w:t>线路</w:t>
                  </w:r>
                </w:p>
              </w:tc>
              <w:tc>
                <w:tcPr>
                  <w:tcW w:w="2890" w:type="dxa"/>
                  <w:vAlign w:val="center"/>
                </w:tcPr>
                <w:p w14:paraId="18EE9F22">
                  <w:pPr>
                    <w:pStyle w:val="104"/>
                    <w:spacing w:line="240" w:lineRule="auto"/>
                    <w:jc w:val="both"/>
                    <w:rPr>
                      <w:rFonts w:ascii="Times New Roman" w:cs="Times New Roman"/>
                      <w:color w:val="000000"/>
                    </w:rPr>
                  </w:pPr>
                  <w:r>
                    <w:rPr>
                      <w:rFonts w:ascii="Times New Roman" w:cs="Times New Roman"/>
                      <w:color w:val="000000"/>
                    </w:rPr>
                    <w:t>线路沿线环境敏感点各布设</w:t>
                  </w:r>
                  <w:r>
                    <w:rPr>
                      <w:rFonts w:hint="eastAsia" w:ascii="Times New Roman" w:cs="Times New Roman"/>
                      <w:color w:val="000000"/>
                    </w:rPr>
                    <w:t>监测</w:t>
                  </w:r>
                  <w:r>
                    <w:rPr>
                      <w:rFonts w:ascii="Times New Roman" w:cs="Times New Roman"/>
                      <w:color w:val="000000"/>
                    </w:rPr>
                    <w:t>点；垂直线路布置监测断面，以5m间隔布置测点，测至50m处。</w:t>
                  </w:r>
                </w:p>
              </w:tc>
              <w:tc>
                <w:tcPr>
                  <w:tcW w:w="1716" w:type="dxa"/>
                  <w:vMerge w:val="continue"/>
                  <w:vAlign w:val="center"/>
                </w:tcPr>
                <w:p w14:paraId="178494E2">
                  <w:pPr>
                    <w:pStyle w:val="104"/>
                    <w:spacing w:line="240" w:lineRule="auto"/>
                    <w:rPr>
                      <w:rFonts w:ascii="Times New Roman" w:cs="Times New Roman"/>
                      <w:color w:val="000000"/>
                    </w:rPr>
                  </w:pPr>
                </w:p>
              </w:tc>
              <w:tc>
                <w:tcPr>
                  <w:tcW w:w="1123" w:type="dxa"/>
                  <w:vMerge w:val="continue"/>
                  <w:vAlign w:val="center"/>
                </w:tcPr>
                <w:p w14:paraId="523B06B5">
                  <w:pPr>
                    <w:pStyle w:val="104"/>
                    <w:spacing w:line="240" w:lineRule="auto"/>
                    <w:rPr>
                      <w:rFonts w:ascii="Times New Roman" w:cs="Times New Roman"/>
                      <w:color w:val="000000"/>
                    </w:rPr>
                  </w:pPr>
                </w:p>
              </w:tc>
            </w:tr>
            <w:tr w14:paraId="7E21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595" w:type="dxa"/>
                  <w:vMerge w:val="continue"/>
                  <w:vAlign w:val="center"/>
                </w:tcPr>
                <w:p w14:paraId="53AFFA97">
                  <w:pPr>
                    <w:pStyle w:val="104"/>
                    <w:spacing w:line="240" w:lineRule="auto"/>
                    <w:rPr>
                      <w:rFonts w:ascii="Times New Roman" w:cs="Times New Roman"/>
                      <w:color w:val="000000"/>
                    </w:rPr>
                  </w:pPr>
                </w:p>
              </w:tc>
              <w:tc>
                <w:tcPr>
                  <w:tcW w:w="900" w:type="dxa"/>
                  <w:vMerge w:val="restart"/>
                  <w:vAlign w:val="center"/>
                </w:tcPr>
                <w:p w14:paraId="5455B223">
                  <w:pPr>
                    <w:pStyle w:val="104"/>
                    <w:spacing w:line="240" w:lineRule="auto"/>
                    <w:rPr>
                      <w:rFonts w:ascii="Times New Roman" w:cs="Times New Roman"/>
                      <w:color w:val="000000"/>
                    </w:rPr>
                  </w:pPr>
                  <w:r>
                    <w:rPr>
                      <w:rFonts w:ascii="Times New Roman" w:cs="Times New Roman"/>
                      <w:color w:val="000000"/>
                    </w:rPr>
                    <w:t>噪声</w:t>
                  </w:r>
                </w:p>
              </w:tc>
              <w:tc>
                <w:tcPr>
                  <w:tcW w:w="959" w:type="dxa"/>
                  <w:vAlign w:val="center"/>
                </w:tcPr>
                <w:p w14:paraId="31C104B4">
                  <w:pPr>
                    <w:pStyle w:val="104"/>
                    <w:spacing w:line="240" w:lineRule="auto"/>
                    <w:rPr>
                      <w:rFonts w:ascii="Times New Roman" w:cs="Times New Roman"/>
                      <w:color w:val="000000"/>
                    </w:rPr>
                  </w:pPr>
                  <w:r>
                    <w:rPr>
                      <w:rFonts w:hint="eastAsia" w:ascii="Times New Roman" w:cs="Times New Roman"/>
                      <w:color w:val="000000"/>
                    </w:rPr>
                    <w:t>变电站</w:t>
                  </w:r>
                </w:p>
              </w:tc>
              <w:tc>
                <w:tcPr>
                  <w:tcW w:w="2890" w:type="dxa"/>
                  <w:vAlign w:val="center"/>
                </w:tcPr>
                <w:p w14:paraId="36D2E2E8">
                  <w:pPr>
                    <w:pStyle w:val="104"/>
                    <w:spacing w:line="240" w:lineRule="auto"/>
                    <w:jc w:val="both"/>
                    <w:rPr>
                      <w:rFonts w:ascii="Times New Roman" w:cs="Times New Roman"/>
                      <w:color w:val="000000"/>
                    </w:rPr>
                  </w:pPr>
                  <w:r>
                    <w:rPr>
                      <w:rFonts w:hint="eastAsia" w:ascii="Times New Roman" w:cs="Times New Roman"/>
                      <w:color w:val="000000"/>
                    </w:rPr>
                    <w:t>变电站厂界</w:t>
                  </w:r>
                  <w:r>
                    <w:rPr>
                      <w:rFonts w:ascii="Times New Roman" w:cs="Times New Roman"/>
                      <w:color w:val="000000"/>
                    </w:rPr>
                    <w:t>四周各</w:t>
                  </w:r>
                  <w:r>
                    <w:rPr>
                      <w:rFonts w:hint="eastAsia" w:ascii="Times New Roman" w:cs="Times New Roman"/>
                      <w:color w:val="000000"/>
                    </w:rPr>
                    <w:t>均匀布设至少1个</w:t>
                  </w:r>
                  <w:r>
                    <w:rPr>
                      <w:rFonts w:ascii="Times New Roman" w:cs="Times New Roman"/>
                      <w:color w:val="000000"/>
                    </w:rPr>
                    <w:t>监测点位。</w:t>
                  </w:r>
                </w:p>
              </w:tc>
              <w:tc>
                <w:tcPr>
                  <w:tcW w:w="1716" w:type="dxa"/>
                  <w:vMerge w:val="restart"/>
                  <w:vAlign w:val="center"/>
                </w:tcPr>
                <w:p w14:paraId="40ED98AB">
                  <w:pPr>
                    <w:pStyle w:val="104"/>
                    <w:spacing w:line="240" w:lineRule="auto"/>
                    <w:rPr>
                      <w:rFonts w:ascii="Times New Roman" w:cs="Times New Roman"/>
                      <w:color w:val="000000"/>
                    </w:rPr>
                  </w:pPr>
                  <w:r>
                    <w:rPr>
                      <w:rFonts w:ascii="Times New Roman" w:cs="Times New Roman"/>
                      <w:color w:val="000000"/>
                    </w:rPr>
                    <w:t>与电磁监测同时进行</w:t>
                  </w:r>
                </w:p>
              </w:tc>
              <w:tc>
                <w:tcPr>
                  <w:tcW w:w="1123" w:type="dxa"/>
                  <w:vMerge w:val="restart"/>
                  <w:vAlign w:val="center"/>
                </w:tcPr>
                <w:p w14:paraId="7113F42D">
                  <w:pPr>
                    <w:pStyle w:val="104"/>
                    <w:spacing w:line="240" w:lineRule="auto"/>
                    <w:rPr>
                      <w:rFonts w:ascii="Times New Roman" w:cs="Times New Roman"/>
                      <w:color w:val="000000"/>
                    </w:rPr>
                  </w:pPr>
                  <w:r>
                    <w:rPr>
                      <w:rFonts w:ascii="Times New Roman" w:cs="Times New Roman"/>
                      <w:color w:val="000000"/>
                    </w:rPr>
                    <w:t>等效连续</w:t>
                  </w:r>
                  <w:r>
                    <w:rPr>
                      <w:rFonts w:hint="eastAsia" w:ascii="Times New Roman" w:cs="Times New Roman"/>
                      <w:color w:val="000000"/>
                    </w:rPr>
                    <w:t>A</w:t>
                  </w:r>
                  <w:r>
                    <w:rPr>
                      <w:rFonts w:ascii="Times New Roman" w:cs="Times New Roman"/>
                      <w:color w:val="000000"/>
                    </w:rPr>
                    <w:t>声级</w:t>
                  </w:r>
                </w:p>
              </w:tc>
            </w:tr>
            <w:tr w14:paraId="306B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95" w:type="dxa"/>
                  <w:vMerge w:val="continue"/>
                  <w:vAlign w:val="center"/>
                </w:tcPr>
                <w:p w14:paraId="308BB573">
                  <w:pPr>
                    <w:pStyle w:val="104"/>
                    <w:spacing w:line="240" w:lineRule="auto"/>
                    <w:rPr>
                      <w:rFonts w:ascii="Times New Roman" w:cs="Times New Roman"/>
                      <w:color w:val="000000"/>
                      <w:u w:val="single"/>
                    </w:rPr>
                  </w:pPr>
                </w:p>
              </w:tc>
              <w:tc>
                <w:tcPr>
                  <w:tcW w:w="900" w:type="dxa"/>
                  <w:vMerge w:val="continue"/>
                  <w:vAlign w:val="center"/>
                </w:tcPr>
                <w:p w14:paraId="02B8295A">
                  <w:pPr>
                    <w:pStyle w:val="104"/>
                    <w:spacing w:line="240" w:lineRule="auto"/>
                    <w:rPr>
                      <w:rFonts w:ascii="Times New Roman" w:cs="Times New Roman"/>
                      <w:color w:val="000000"/>
                      <w:u w:val="single"/>
                    </w:rPr>
                  </w:pPr>
                </w:p>
              </w:tc>
              <w:tc>
                <w:tcPr>
                  <w:tcW w:w="959" w:type="dxa"/>
                  <w:vAlign w:val="center"/>
                </w:tcPr>
                <w:p w14:paraId="5B99D44B">
                  <w:pPr>
                    <w:pStyle w:val="104"/>
                    <w:spacing w:line="240" w:lineRule="auto"/>
                    <w:rPr>
                      <w:rFonts w:ascii="Times New Roman" w:cs="Times New Roman"/>
                      <w:color w:val="000000"/>
                    </w:rPr>
                  </w:pPr>
                  <w:r>
                    <w:rPr>
                      <w:rFonts w:hint="eastAsia" w:ascii="Times New Roman" w:cs="Times New Roman"/>
                      <w:color w:val="000000"/>
                    </w:rPr>
                    <w:t>线路</w:t>
                  </w:r>
                </w:p>
              </w:tc>
              <w:tc>
                <w:tcPr>
                  <w:tcW w:w="2890" w:type="dxa"/>
                  <w:vAlign w:val="center"/>
                </w:tcPr>
                <w:p w14:paraId="14D620E5">
                  <w:pPr>
                    <w:pStyle w:val="104"/>
                    <w:spacing w:line="240" w:lineRule="auto"/>
                    <w:jc w:val="both"/>
                    <w:rPr>
                      <w:rFonts w:ascii="Times New Roman" w:cs="Times New Roman"/>
                      <w:color w:val="000000"/>
                    </w:rPr>
                  </w:pPr>
                  <w:r>
                    <w:rPr>
                      <w:rFonts w:hint="eastAsia" w:ascii="Times New Roman" w:cs="Times New Roman"/>
                      <w:color w:val="000000"/>
                    </w:rPr>
                    <w:t>线路沿线环境敏感点各布设</w:t>
                  </w:r>
                  <w:r>
                    <w:rPr>
                      <w:rFonts w:hint="eastAsia" w:ascii="Times New Roman" w:cs="Times New Roman"/>
                      <w:color w:val="000000"/>
                      <w:lang w:eastAsia="zh-CN"/>
                    </w:rPr>
                    <w:t>监测</w:t>
                  </w:r>
                  <w:r>
                    <w:rPr>
                      <w:rFonts w:hint="eastAsia" w:ascii="Times New Roman" w:cs="Times New Roman"/>
                      <w:color w:val="000000"/>
                    </w:rPr>
                    <w:t>点。</w:t>
                  </w:r>
                </w:p>
              </w:tc>
              <w:tc>
                <w:tcPr>
                  <w:tcW w:w="1716" w:type="dxa"/>
                  <w:vMerge w:val="continue"/>
                  <w:vAlign w:val="center"/>
                </w:tcPr>
                <w:p w14:paraId="157702CE">
                  <w:pPr>
                    <w:pStyle w:val="104"/>
                    <w:spacing w:line="240" w:lineRule="auto"/>
                    <w:rPr>
                      <w:rFonts w:ascii="Times New Roman" w:cs="Times New Roman"/>
                      <w:color w:val="000000"/>
                      <w:u w:val="single"/>
                    </w:rPr>
                  </w:pPr>
                </w:p>
              </w:tc>
              <w:tc>
                <w:tcPr>
                  <w:tcW w:w="1123" w:type="dxa"/>
                  <w:vMerge w:val="continue"/>
                  <w:vAlign w:val="center"/>
                </w:tcPr>
                <w:p w14:paraId="596A7F03">
                  <w:pPr>
                    <w:pStyle w:val="104"/>
                    <w:spacing w:line="240" w:lineRule="auto"/>
                    <w:rPr>
                      <w:rFonts w:ascii="Times New Roman" w:cs="Times New Roman"/>
                      <w:color w:val="000000"/>
                      <w:u w:val="single"/>
                    </w:rPr>
                  </w:pPr>
                </w:p>
              </w:tc>
            </w:tr>
          </w:tbl>
          <w:p w14:paraId="32461C1C">
            <w:pPr>
              <w:numPr>
                <w:ilvl w:val="0"/>
                <w:numId w:val="21"/>
              </w:numPr>
              <w:spacing w:before="120" w:beforeLines="50" w:line="360" w:lineRule="auto"/>
              <w:rPr>
                <w:b/>
                <w:kern w:val="0"/>
                <w:szCs w:val="21"/>
              </w:rPr>
            </w:pPr>
            <w:r>
              <w:rPr>
                <w:b/>
                <w:kern w:val="0"/>
                <w:szCs w:val="21"/>
              </w:rPr>
              <w:t>信息公开</w:t>
            </w:r>
          </w:p>
          <w:p w14:paraId="48F14895">
            <w:pPr>
              <w:pStyle w:val="11"/>
              <w:rPr>
                <w:rStyle w:val="60"/>
                <w:rFonts w:ascii="Times New Roman" w:eastAsia="宋体" w:cs="Times New Roman"/>
                <w:sz w:val="24"/>
              </w:rPr>
            </w:pPr>
            <w:r>
              <w:rPr>
                <w:rStyle w:val="82"/>
                <w:rFonts w:ascii="Times New Roman" w:eastAsia="宋体" w:cs="Times New Roman"/>
                <w:sz w:val="24"/>
              </w:rPr>
              <w:t xml:space="preserve">信息公开本工程应执行《关于强化建设项目环境影响评价事中事后监督的实施意见》 </w:t>
            </w:r>
            <w:r>
              <w:rPr>
                <w:rStyle w:val="60"/>
                <w:rFonts w:hint="eastAsia" w:ascii="Times New Roman" w:eastAsia="宋体" w:cs="Times New Roman"/>
                <w:sz w:val="24"/>
              </w:rPr>
              <w:t>（</w:t>
            </w:r>
            <w:r>
              <w:rPr>
                <w:rStyle w:val="82"/>
                <w:rFonts w:ascii="Times New Roman" w:eastAsia="宋体" w:cs="Times New Roman"/>
                <w:sz w:val="24"/>
              </w:rPr>
              <w:t>环环评</w:t>
            </w:r>
            <w:r>
              <w:rPr>
                <w:rFonts w:hint="eastAsia"/>
                <w:szCs w:val="24"/>
              </w:rPr>
              <w:t>〔</w:t>
            </w:r>
            <w:r>
              <w:t>20</w:t>
            </w:r>
            <w:r>
              <w:rPr>
                <w:rFonts w:hint="eastAsia"/>
              </w:rPr>
              <w:t>18</w:t>
            </w:r>
            <w:r>
              <w:rPr>
                <w:rFonts w:hint="eastAsia"/>
                <w:szCs w:val="24"/>
              </w:rPr>
              <w:t>〕</w:t>
            </w:r>
            <w:r>
              <w:rPr>
                <w:rStyle w:val="60"/>
                <w:rFonts w:ascii="Times New Roman" w:eastAsia="宋体" w:cs="Times New Roman"/>
                <w:sz w:val="24"/>
              </w:rPr>
              <w:t xml:space="preserve">11 </w:t>
            </w:r>
            <w:r>
              <w:rPr>
                <w:rStyle w:val="82"/>
                <w:rFonts w:ascii="Times New Roman" w:eastAsia="宋体" w:cs="Times New Roman"/>
                <w:sz w:val="24"/>
              </w:rPr>
              <w:t>号</w:t>
            </w:r>
            <w:r>
              <w:rPr>
                <w:rStyle w:val="60"/>
                <w:rFonts w:hint="eastAsia" w:ascii="Times New Roman" w:eastAsia="宋体" w:cs="Times New Roman"/>
                <w:sz w:val="24"/>
              </w:rPr>
              <w:t>）</w:t>
            </w:r>
            <w:r>
              <w:rPr>
                <w:rStyle w:val="82"/>
                <w:rFonts w:ascii="Times New Roman" w:eastAsia="宋体" w:cs="Times New Roman"/>
                <w:sz w:val="24"/>
              </w:rPr>
              <w:t>、《建设项目环境影响评价信息公开机制方案》</w:t>
            </w:r>
            <w:r>
              <w:rPr>
                <w:rStyle w:val="82"/>
                <w:rFonts w:hint="eastAsia" w:ascii="Times New Roman" w:eastAsia="宋体" w:cs="Times New Roman"/>
                <w:sz w:val="24"/>
              </w:rPr>
              <w:t>（</w:t>
            </w:r>
            <w:r>
              <w:rPr>
                <w:rStyle w:val="82"/>
                <w:rFonts w:ascii="Times New Roman" w:eastAsia="宋体" w:cs="Times New Roman"/>
                <w:sz w:val="24"/>
              </w:rPr>
              <w:t>环发</w:t>
            </w:r>
            <w:r>
              <w:rPr>
                <w:rFonts w:hint="eastAsia"/>
                <w:szCs w:val="24"/>
              </w:rPr>
              <w:t>〔</w:t>
            </w:r>
            <w:r>
              <w:t>20</w:t>
            </w:r>
            <w:r>
              <w:rPr>
                <w:rFonts w:hint="eastAsia"/>
              </w:rPr>
              <w:t>15</w:t>
            </w:r>
            <w:r>
              <w:rPr>
                <w:rFonts w:hint="eastAsia"/>
                <w:szCs w:val="24"/>
              </w:rPr>
              <w:t>〕</w:t>
            </w:r>
            <w:r>
              <w:rPr>
                <w:rStyle w:val="60"/>
                <w:rFonts w:ascii="Times New Roman" w:eastAsia="宋体" w:cs="Times New Roman"/>
                <w:sz w:val="24"/>
              </w:rPr>
              <w:t xml:space="preserve">162 </w:t>
            </w:r>
            <w:r>
              <w:rPr>
                <w:rStyle w:val="82"/>
                <w:rFonts w:ascii="Times New Roman" w:eastAsia="宋体" w:cs="Times New Roman"/>
                <w:sz w:val="24"/>
              </w:rPr>
              <w:t>号</w:t>
            </w:r>
            <w:r>
              <w:rPr>
                <w:rStyle w:val="60"/>
                <w:rFonts w:hint="eastAsia" w:ascii="Times New Roman" w:eastAsia="宋体" w:cs="Times New Roman"/>
                <w:sz w:val="24"/>
              </w:rPr>
              <w:t>）</w:t>
            </w:r>
            <w:r>
              <w:rPr>
                <w:rStyle w:val="82"/>
                <w:rFonts w:ascii="Times New Roman" w:eastAsia="宋体" w:cs="Times New Roman"/>
                <w:sz w:val="24"/>
              </w:rPr>
              <w:t>等法规，应当建立健全本单位环境信息公开制度，指定机构负责本单位环境信息公开日常工作，将本单位环境信息进行全面的公开，包括</w:t>
            </w:r>
            <w:r>
              <w:rPr>
                <w:rStyle w:val="82"/>
                <w:rFonts w:hint="eastAsia" w:ascii="Times New Roman" w:eastAsia="宋体" w:cs="Times New Roman"/>
                <w:sz w:val="24"/>
              </w:rPr>
              <w:t>：</w:t>
            </w:r>
          </w:p>
          <w:p w14:paraId="3A80A023">
            <w:pPr>
              <w:pStyle w:val="11"/>
              <w:rPr>
                <w:rStyle w:val="60"/>
                <w:rFonts w:ascii="Times New Roman" w:eastAsia="宋体" w:cs="Times New Roman"/>
                <w:sz w:val="24"/>
              </w:rPr>
            </w:pPr>
            <w:r>
              <w:rPr>
                <w:rStyle w:val="82"/>
                <w:rFonts w:hint="eastAsia" w:ascii="宋体" w:hAnsi="宋体" w:eastAsia="宋体" w:cs="宋体"/>
                <w:sz w:val="24"/>
              </w:rPr>
              <w:t>①</w:t>
            </w:r>
            <w:r>
              <w:rPr>
                <w:rStyle w:val="82"/>
                <w:rFonts w:ascii="Times New Roman" w:eastAsia="宋体" w:cs="Times New Roman"/>
                <w:sz w:val="24"/>
              </w:rPr>
              <w:t>公开环境影响报告表编制信息</w:t>
            </w:r>
            <w:r>
              <w:rPr>
                <w:rStyle w:val="82"/>
                <w:rFonts w:hint="eastAsia" w:ascii="Times New Roman" w:eastAsia="宋体" w:cs="Times New Roman"/>
                <w:sz w:val="24"/>
              </w:rPr>
              <w:t>；</w:t>
            </w:r>
          </w:p>
          <w:p w14:paraId="1FE246A0">
            <w:pPr>
              <w:pStyle w:val="11"/>
              <w:rPr>
                <w:rStyle w:val="60"/>
                <w:rFonts w:ascii="Times New Roman" w:eastAsia="宋体" w:cs="Times New Roman"/>
                <w:sz w:val="24"/>
              </w:rPr>
            </w:pPr>
            <w:r>
              <w:rPr>
                <w:rStyle w:val="82"/>
                <w:rFonts w:hint="eastAsia" w:ascii="宋体" w:hAnsi="宋体" w:eastAsia="宋体" w:cs="宋体"/>
                <w:sz w:val="24"/>
              </w:rPr>
              <w:t>②</w:t>
            </w:r>
            <w:r>
              <w:rPr>
                <w:rStyle w:val="82"/>
                <w:rFonts w:ascii="Times New Roman" w:eastAsia="宋体" w:cs="Times New Roman"/>
                <w:sz w:val="24"/>
              </w:rPr>
              <w:t>公开环境影响报告表全本</w:t>
            </w:r>
            <w:r>
              <w:rPr>
                <w:rStyle w:val="82"/>
                <w:rFonts w:hint="eastAsia" w:ascii="Times New Roman" w:eastAsia="宋体" w:cs="Times New Roman"/>
                <w:sz w:val="24"/>
              </w:rPr>
              <w:t>；</w:t>
            </w:r>
          </w:p>
          <w:p w14:paraId="416EC880">
            <w:pPr>
              <w:pStyle w:val="11"/>
              <w:rPr>
                <w:rStyle w:val="60"/>
                <w:rFonts w:ascii="Times New Roman" w:eastAsia="宋体" w:cs="Times New Roman"/>
                <w:sz w:val="24"/>
              </w:rPr>
            </w:pPr>
            <w:r>
              <w:rPr>
                <w:rStyle w:val="82"/>
                <w:rFonts w:hint="eastAsia" w:ascii="宋体" w:hAnsi="宋体" w:eastAsia="宋体" w:cs="宋体"/>
                <w:sz w:val="24"/>
              </w:rPr>
              <w:t>③</w:t>
            </w:r>
            <w:r>
              <w:rPr>
                <w:rStyle w:val="82"/>
                <w:rFonts w:ascii="Times New Roman" w:eastAsia="宋体" w:cs="Times New Roman"/>
                <w:sz w:val="24"/>
              </w:rPr>
              <w:t>公开建设项目开工前的信息</w:t>
            </w:r>
            <w:r>
              <w:rPr>
                <w:rStyle w:val="82"/>
                <w:rFonts w:hint="eastAsia" w:ascii="Times New Roman" w:eastAsia="宋体" w:cs="Times New Roman"/>
                <w:sz w:val="24"/>
              </w:rPr>
              <w:t>；</w:t>
            </w:r>
          </w:p>
          <w:p w14:paraId="3ACBBB91">
            <w:pPr>
              <w:pStyle w:val="11"/>
              <w:rPr>
                <w:rStyle w:val="60"/>
                <w:rFonts w:ascii="Times New Roman" w:eastAsia="宋体" w:cs="Times New Roman"/>
                <w:sz w:val="24"/>
              </w:rPr>
            </w:pPr>
            <w:r>
              <w:rPr>
                <w:rStyle w:val="82"/>
                <w:rFonts w:hint="eastAsia" w:ascii="宋体" w:hAnsi="宋体" w:eastAsia="宋体" w:cs="宋体"/>
                <w:sz w:val="24"/>
              </w:rPr>
              <w:t>④</w:t>
            </w:r>
            <w:r>
              <w:rPr>
                <w:rStyle w:val="82"/>
                <w:rFonts w:ascii="Times New Roman" w:eastAsia="宋体" w:cs="Times New Roman"/>
                <w:sz w:val="24"/>
              </w:rPr>
              <w:t>公开建设项目施工过程中的信息</w:t>
            </w:r>
            <w:r>
              <w:rPr>
                <w:rStyle w:val="82"/>
                <w:rFonts w:hint="eastAsia" w:ascii="Times New Roman" w:eastAsia="宋体" w:cs="Times New Roman"/>
                <w:sz w:val="24"/>
              </w:rPr>
              <w:t>；</w:t>
            </w:r>
          </w:p>
          <w:p w14:paraId="05DFE7CD">
            <w:pPr>
              <w:pStyle w:val="11"/>
              <w:rPr>
                <w:color w:val="000000"/>
                <w:highlight w:val="yellow"/>
              </w:rPr>
            </w:pPr>
            <w:r>
              <w:rPr>
                <w:rStyle w:val="82"/>
                <w:rFonts w:hint="eastAsia" w:ascii="宋体" w:hAnsi="宋体" w:eastAsia="宋体" w:cs="宋体"/>
                <w:sz w:val="24"/>
              </w:rPr>
              <w:t>⑤</w:t>
            </w:r>
            <w:r>
              <w:rPr>
                <w:rStyle w:val="82"/>
                <w:rFonts w:ascii="Times New Roman" w:eastAsia="宋体" w:cs="Times New Roman"/>
                <w:sz w:val="24"/>
              </w:rPr>
              <w:t>公开建设项目建成后的信息等。</w:t>
            </w:r>
          </w:p>
        </w:tc>
      </w:tr>
      <w:tr w14:paraId="59DAD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57" w:type="dxa"/>
            <w:vAlign w:val="center"/>
          </w:tcPr>
          <w:p w14:paraId="2C6E9CF2">
            <w:pPr>
              <w:adjustRightInd w:val="0"/>
              <w:snapToGrid w:val="0"/>
              <w:jc w:val="center"/>
              <w:rPr>
                <w:b/>
                <w:bCs/>
                <w:color w:val="000000"/>
                <w:spacing w:val="10"/>
                <w:szCs w:val="21"/>
              </w:rPr>
            </w:pPr>
            <w:r>
              <w:rPr>
                <w:b/>
                <w:bCs/>
                <w:color w:val="000000"/>
                <w:sz w:val="24"/>
              </w:rPr>
              <w:t>环保投资</w:t>
            </w:r>
          </w:p>
        </w:tc>
        <w:tc>
          <w:tcPr>
            <w:tcW w:w="8409" w:type="dxa"/>
            <w:vAlign w:val="center"/>
          </w:tcPr>
          <w:p w14:paraId="76FD8CE9">
            <w:pPr>
              <w:pStyle w:val="33"/>
              <w:ind w:left="0" w:leftChars="0" w:firstLine="0"/>
              <w:jc w:val="center"/>
              <w:rPr>
                <w:rFonts w:hint="default" w:eastAsia="宋体"/>
                <w:bCs/>
                <w:color w:val="000000"/>
                <w:spacing w:val="10"/>
                <w:szCs w:val="21"/>
                <w:u w:val="single"/>
                <w:lang w:val="en-US" w:eastAsia="zh-CN"/>
              </w:rPr>
            </w:pPr>
            <w:r>
              <w:rPr>
                <w:rFonts w:hint="eastAsia"/>
                <w:color w:val="000000"/>
                <w:lang w:val="en-US" w:eastAsia="zh-CN"/>
              </w:rPr>
              <w:t>***</w:t>
            </w:r>
          </w:p>
        </w:tc>
      </w:tr>
    </w:tbl>
    <w:p w14:paraId="216090A1">
      <w:pPr>
        <w:rPr>
          <w:color w:val="000000"/>
          <w:highlight w:val="yellow"/>
        </w:rPr>
      </w:pPr>
      <w:r>
        <w:rPr>
          <w:color w:val="000000"/>
        </w:rPr>
        <w:br w:type="page"/>
      </w:r>
    </w:p>
    <w:p w14:paraId="41CC7DDA">
      <w:pPr>
        <w:pStyle w:val="5"/>
        <w:sectPr>
          <w:pgSz w:w="11906" w:h="16838"/>
          <w:pgMar w:top="1440" w:right="1797" w:bottom="1440" w:left="1797" w:header="851" w:footer="1077" w:gutter="0"/>
          <w:cols w:space="720" w:num="1"/>
          <w:docGrid w:linePitch="312" w:charSpace="0"/>
        </w:sectPr>
      </w:pPr>
    </w:p>
    <w:p w14:paraId="49555A57">
      <w:pPr>
        <w:pStyle w:val="31"/>
        <w:jc w:val="center"/>
        <w:outlineLvl w:val="0"/>
        <w:rPr>
          <w:rFonts w:ascii="Times New Roman" w:hAnsi="Times New Roman"/>
          <w:b/>
          <w:bCs/>
          <w:snapToGrid w:val="0"/>
          <w:color w:val="000000"/>
          <w:sz w:val="32"/>
          <w:szCs w:val="32"/>
        </w:rPr>
      </w:pPr>
      <w:bookmarkStart w:id="709" w:name="_Toc15720"/>
      <w:bookmarkStart w:id="710" w:name="_Toc111564329"/>
      <w:r>
        <w:rPr>
          <w:rFonts w:ascii="Times New Roman" w:hAnsi="Times New Roman"/>
          <w:b/>
          <w:bCs/>
          <w:snapToGrid w:val="0"/>
          <w:color w:val="000000"/>
          <w:sz w:val="32"/>
          <w:szCs w:val="32"/>
        </w:rPr>
        <w:t>六、生态环境保护措施监督检查清单</w:t>
      </w:r>
      <w:bookmarkEnd w:id="709"/>
      <w:bookmarkEnd w:id="710"/>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5305"/>
        <w:gridCol w:w="2895"/>
        <w:gridCol w:w="3127"/>
        <w:gridCol w:w="2036"/>
      </w:tblGrid>
      <w:tr w14:paraId="7D3DF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86" w:type="pct"/>
            <w:vMerge w:val="restart"/>
            <w:tcBorders>
              <w:tl2br w:val="single" w:color="auto" w:sz="4" w:space="0"/>
            </w:tcBorders>
          </w:tcPr>
          <w:p w14:paraId="26F94106">
            <w:pPr>
              <w:keepNext w:val="0"/>
              <w:keepLines w:val="0"/>
              <w:pageBreakBefore w:val="0"/>
              <w:widowControl w:val="0"/>
              <w:kinsoku/>
              <w:wordWrap/>
              <w:overflowPunct/>
              <w:topLinePunct w:val="0"/>
              <w:autoSpaceDE/>
              <w:autoSpaceDN/>
              <w:bidi w:val="0"/>
              <w:adjustRightInd/>
              <w:snapToGrid/>
              <w:spacing w:before="120"/>
              <w:jc w:val="right"/>
              <w:textAlignment w:val="auto"/>
              <w:rPr>
                <w:b/>
                <w:color w:val="000000"/>
              </w:rPr>
            </w:pPr>
            <w:bookmarkStart w:id="711" w:name="_Toc85037246"/>
            <w:bookmarkStart w:id="712" w:name="_Toc109472639"/>
            <w:bookmarkStart w:id="713" w:name="_Toc91493286"/>
            <w:bookmarkStart w:id="714" w:name="_Toc88558549"/>
            <w:bookmarkStart w:id="715" w:name="_Toc91532193"/>
            <w:bookmarkStart w:id="716" w:name="_Toc96031397"/>
            <w:bookmarkStart w:id="717" w:name="_Toc81308173"/>
            <w:bookmarkStart w:id="718" w:name="_Toc96031314"/>
            <w:bookmarkStart w:id="719" w:name="_Toc81415645"/>
            <w:bookmarkStart w:id="720" w:name="_Toc85036912"/>
            <w:bookmarkStart w:id="721" w:name="_Toc95464688"/>
            <w:bookmarkStart w:id="722" w:name="_Toc97290604"/>
            <w:bookmarkStart w:id="723" w:name="_Toc96935434"/>
            <w:bookmarkStart w:id="724" w:name="_Toc19289"/>
            <w:r>
              <w:rPr>
                <w:b/>
                <w:color w:val="000000"/>
              </w:rPr>
              <w:t>内容</w:t>
            </w:r>
            <w:bookmarkEnd w:id="711"/>
            <w:bookmarkEnd w:id="712"/>
            <w:bookmarkEnd w:id="713"/>
            <w:bookmarkEnd w:id="714"/>
            <w:bookmarkEnd w:id="715"/>
            <w:bookmarkEnd w:id="716"/>
            <w:bookmarkEnd w:id="717"/>
            <w:bookmarkEnd w:id="718"/>
            <w:bookmarkEnd w:id="719"/>
            <w:bookmarkEnd w:id="720"/>
            <w:bookmarkEnd w:id="721"/>
            <w:bookmarkEnd w:id="722"/>
            <w:bookmarkEnd w:id="723"/>
          </w:p>
          <w:p w14:paraId="1EE67AAE">
            <w:pPr>
              <w:jc w:val="center"/>
              <w:rPr>
                <w:b/>
                <w:color w:val="000000"/>
              </w:rPr>
            </w:pPr>
          </w:p>
          <w:bookmarkEnd w:id="724"/>
          <w:p w14:paraId="07567282">
            <w:pPr>
              <w:jc w:val="center"/>
              <w:rPr>
                <w:b/>
                <w:color w:val="000000"/>
              </w:rPr>
            </w:pPr>
            <w:bookmarkStart w:id="725" w:name="_Toc96031398"/>
            <w:bookmarkStart w:id="726" w:name="_Toc91532194"/>
            <w:bookmarkStart w:id="727" w:name="_Toc81415646"/>
            <w:bookmarkStart w:id="728" w:name="_Toc97290605"/>
            <w:bookmarkStart w:id="729" w:name="_Toc96031315"/>
            <w:bookmarkStart w:id="730" w:name="_Toc91493287"/>
            <w:bookmarkStart w:id="731" w:name="_Toc95464689"/>
            <w:bookmarkStart w:id="732" w:name="_Toc88558550"/>
            <w:bookmarkStart w:id="733" w:name="_Toc85036913"/>
            <w:bookmarkStart w:id="734" w:name="_Toc85037247"/>
            <w:bookmarkStart w:id="735" w:name="_Toc109472640"/>
            <w:bookmarkStart w:id="736" w:name="_Toc81308174"/>
            <w:bookmarkStart w:id="737" w:name="_Toc13946"/>
            <w:bookmarkStart w:id="738" w:name="_Toc96935435"/>
            <w:r>
              <w:rPr>
                <w:b/>
                <w:color w:val="000000"/>
              </w:rPr>
              <w:t>要素</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tc>
        <w:tc>
          <w:tcPr>
            <w:tcW w:w="2892" w:type="pct"/>
            <w:gridSpan w:val="2"/>
            <w:vAlign w:val="center"/>
          </w:tcPr>
          <w:p w14:paraId="52B3FD59">
            <w:pPr>
              <w:jc w:val="center"/>
              <w:rPr>
                <w:b/>
                <w:color w:val="000000"/>
              </w:rPr>
            </w:pPr>
            <w:bookmarkStart w:id="739" w:name="_Toc109472641"/>
            <w:bookmarkStart w:id="740" w:name="_Toc20829"/>
            <w:bookmarkStart w:id="741" w:name="_Toc85036914"/>
            <w:bookmarkStart w:id="742" w:name="_Toc81415647"/>
            <w:bookmarkStart w:id="743" w:name="_Toc85037248"/>
            <w:bookmarkStart w:id="744" w:name="_Toc81308175"/>
            <w:bookmarkStart w:id="745" w:name="_Toc96031399"/>
            <w:bookmarkStart w:id="746" w:name="_Toc91532195"/>
            <w:bookmarkStart w:id="747" w:name="_Toc88558551"/>
            <w:bookmarkStart w:id="748" w:name="_Toc96935436"/>
            <w:bookmarkStart w:id="749" w:name="_Toc91493288"/>
            <w:bookmarkStart w:id="750" w:name="_Toc96031316"/>
            <w:bookmarkStart w:id="751" w:name="_Toc97290606"/>
            <w:bookmarkStart w:id="752" w:name="_Toc95464690"/>
            <w:r>
              <w:rPr>
                <w:b/>
                <w:color w:val="000000"/>
              </w:rPr>
              <w:t>施工期</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tc>
        <w:tc>
          <w:tcPr>
            <w:tcW w:w="1821" w:type="pct"/>
            <w:gridSpan w:val="2"/>
            <w:vAlign w:val="center"/>
          </w:tcPr>
          <w:p w14:paraId="0A399F24">
            <w:pPr>
              <w:jc w:val="center"/>
              <w:rPr>
                <w:b/>
                <w:color w:val="000000"/>
              </w:rPr>
            </w:pPr>
            <w:bookmarkStart w:id="753" w:name="_Toc91532196"/>
            <w:bookmarkStart w:id="754" w:name="_Toc81415648"/>
            <w:bookmarkStart w:id="755" w:name="_Toc109472642"/>
            <w:bookmarkStart w:id="756" w:name="_Toc96031317"/>
            <w:bookmarkStart w:id="757" w:name="_Toc97290607"/>
            <w:bookmarkStart w:id="758" w:name="_Toc88558552"/>
            <w:bookmarkStart w:id="759" w:name="_Toc95464691"/>
            <w:bookmarkStart w:id="760" w:name="_Toc91493289"/>
            <w:bookmarkStart w:id="761" w:name="_Toc96031400"/>
            <w:bookmarkStart w:id="762" w:name="_Toc85037249"/>
            <w:bookmarkStart w:id="763" w:name="_Toc81308176"/>
            <w:bookmarkStart w:id="764" w:name="_Toc85036915"/>
            <w:bookmarkStart w:id="765" w:name="_Toc96935437"/>
            <w:bookmarkStart w:id="766" w:name="_Toc6352"/>
            <w:r>
              <w:rPr>
                <w:b/>
                <w:color w:val="000000"/>
              </w:rPr>
              <w:t>运行期</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c>
      </w:tr>
      <w:tr w14:paraId="4DBA2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6" w:type="pct"/>
            <w:vMerge w:val="continue"/>
          </w:tcPr>
          <w:p w14:paraId="5447D4B5">
            <w:pPr>
              <w:jc w:val="center"/>
              <w:rPr>
                <w:b/>
                <w:color w:val="000000"/>
              </w:rPr>
            </w:pPr>
          </w:p>
        </w:tc>
        <w:tc>
          <w:tcPr>
            <w:tcW w:w="1871" w:type="pct"/>
            <w:vAlign w:val="center"/>
          </w:tcPr>
          <w:p w14:paraId="04DA0758">
            <w:pPr>
              <w:jc w:val="center"/>
              <w:rPr>
                <w:b/>
                <w:color w:val="000000"/>
              </w:rPr>
            </w:pPr>
            <w:bookmarkStart w:id="767" w:name="_Toc97290608"/>
            <w:bookmarkStart w:id="768" w:name="_Toc109472643"/>
            <w:bookmarkStart w:id="769" w:name="_Toc85036916"/>
            <w:bookmarkStart w:id="770" w:name="_Toc95464692"/>
            <w:bookmarkStart w:id="771" w:name="_Toc13139"/>
            <w:bookmarkStart w:id="772" w:name="_Toc81415649"/>
            <w:bookmarkStart w:id="773" w:name="_Toc88558553"/>
            <w:bookmarkStart w:id="774" w:name="_Toc91532197"/>
            <w:bookmarkStart w:id="775" w:name="_Toc85037250"/>
            <w:bookmarkStart w:id="776" w:name="_Toc96031318"/>
            <w:bookmarkStart w:id="777" w:name="_Toc81308177"/>
            <w:bookmarkStart w:id="778" w:name="_Toc91493290"/>
            <w:bookmarkStart w:id="779" w:name="_Toc96031401"/>
            <w:bookmarkStart w:id="780" w:name="_Toc96935438"/>
            <w:r>
              <w:rPr>
                <w:b/>
                <w:color w:val="000000"/>
              </w:rPr>
              <w:t>环境保护措施</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tc>
        <w:tc>
          <w:tcPr>
            <w:tcW w:w="1021" w:type="pct"/>
            <w:vAlign w:val="center"/>
          </w:tcPr>
          <w:p w14:paraId="3B643187">
            <w:pPr>
              <w:jc w:val="center"/>
              <w:rPr>
                <w:b/>
                <w:color w:val="000000"/>
              </w:rPr>
            </w:pPr>
            <w:bookmarkStart w:id="781" w:name="_Toc91532198"/>
            <w:bookmarkStart w:id="782" w:name="_Toc85036917"/>
            <w:bookmarkStart w:id="783" w:name="_Toc81308178"/>
            <w:bookmarkStart w:id="784" w:name="_Toc96031319"/>
            <w:bookmarkStart w:id="785" w:name="_Toc109472644"/>
            <w:bookmarkStart w:id="786" w:name="_Toc96031402"/>
            <w:bookmarkStart w:id="787" w:name="_Toc85037251"/>
            <w:bookmarkStart w:id="788" w:name="_Toc81415650"/>
            <w:bookmarkStart w:id="789" w:name="_Toc96935439"/>
            <w:bookmarkStart w:id="790" w:name="_Toc95464693"/>
            <w:bookmarkStart w:id="791" w:name="_Toc97290609"/>
            <w:bookmarkStart w:id="792" w:name="_Toc9642"/>
            <w:bookmarkStart w:id="793" w:name="_Toc88558554"/>
            <w:bookmarkStart w:id="794" w:name="_Toc91493291"/>
            <w:r>
              <w:rPr>
                <w:b/>
                <w:color w:val="000000"/>
              </w:rPr>
              <w:t>验收要求</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tc>
        <w:tc>
          <w:tcPr>
            <w:tcW w:w="1103" w:type="pct"/>
            <w:vAlign w:val="center"/>
          </w:tcPr>
          <w:p w14:paraId="5E5B588A">
            <w:pPr>
              <w:jc w:val="center"/>
              <w:rPr>
                <w:b/>
                <w:color w:val="000000"/>
              </w:rPr>
            </w:pPr>
            <w:bookmarkStart w:id="795" w:name="_Toc97290610"/>
            <w:bookmarkStart w:id="796" w:name="_Toc96031403"/>
            <w:bookmarkStart w:id="797" w:name="_Toc2994"/>
            <w:bookmarkStart w:id="798" w:name="_Toc91532199"/>
            <w:bookmarkStart w:id="799" w:name="_Toc85037252"/>
            <w:bookmarkStart w:id="800" w:name="_Toc88558555"/>
            <w:bookmarkStart w:id="801" w:name="_Toc96935440"/>
            <w:bookmarkStart w:id="802" w:name="_Toc81308179"/>
            <w:bookmarkStart w:id="803" w:name="_Toc81415651"/>
            <w:bookmarkStart w:id="804" w:name="_Toc95464694"/>
            <w:bookmarkStart w:id="805" w:name="_Toc96031320"/>
            <w:bookmarkStart w:id="806" w:name="_Toc109472645"/>
            <w:bookmarkStart w:id="807" w:name="_Toc91493292"/>
            <w:bookmarkStart w:id="808" w:name="_Toc85036918"/>
            <w:r>
              <w:rPr>
                <w:b/>
                <w:color w:val="000000"/>
              </w:rPr>
              <w:t>环境保护措施</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tc>
        <w:tc>
          <w:tcPr>
            <w:tcW w:w="718" w:type="pct"/>
            <w:vAlign w:val="center"/>
          </w:tcPr>
          <w:p w14:paraId="084549F1">
            <w:pPr>
              <w:jc w:val="center"/>
              <w:rPr>
                <w:b/>
                <w:color w:val="000000"/>
              </w:rPr>
            </w:pPr>
            <w:bookmarkStart w:id="809" w:name="_Toc85036919"/>
            <w:bookmarkStart w:id="810" w:name="_Toc81415652"/>
            <w:bookmarkStart w:id="811" w:name="_Toc96935441"/>
            <w:bookmarkStart w:id="812" w:name="_Toc95464695"/>
            <w:bookmarkStart w:id="813" w:name="_Toc96031404"/>
            <w:bookmarkStart w:id="814" w:name="_Toc91532200"/>
            <w:bookmarkStart w:id="815" w:name="_Toc81308180"/>
            <w:bookmarkStart w:id="816" w:name="_Toc91493293"/>
            <w:bookmarkStart w:id="817" w:name="_Toc109472646"/>
            <w:bookmarkStart w:id="818" w:name="_Toc23138"/>
            <w:bookmarkStart w:id="819" w:name="_Toc96031321"/>
            <w:bookmarkStart w:id="820" w:name="_Toc85037253"/>
            <w:bookmarkStart w:id="821" w:name="_Toc97290611"/>
            <w:bookmarkStart w:id="822" w:name="_Toc88558556"/>
            <w:r>
              <w:rPr>
                <w:b/>
                <w:color w:val="000000"/>
              </w:rPr>
              <w:t>验收要求</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tc>
      </w:tr>
      <w:tr w14:paraId="23E9D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86" w:type="pct"/>
            <w:vAlign w:val="center"/>
          </w:tcPr>
          <w:p w14:paraId="4E37A395">
            <w:pPr>
              <w:jc w:val="center"/>
              <w:rPr>
                <w:b/>
                <w:color w:val="000000"/>
              </w:rPr>
            </w:pPr>
            <w:r>
              <w:rPr>
                <w:b/>
                <w:color w:val="000000"/>
              </w:rPr>
              <w:t>陆生生态</w:t>
            </w:r>
          </w:p>
        </w:tc>
        <w:tc>
          <w:tcPr>
            <w:tcW w:w="1871" w:type="pct"/>
            <w:vAlign w:val="center"/>
          </w:tcPr>
          <w:p w14:paraId="4D0E9D4F">
            <w:r>
              <w:t>（1）土地占用保护</w:t>
            </w:r>
            <w:r>
              <w:rPr>
                <w:rFonts w:hint="eastAsia"/>
              </w:rPr>
              <w:t>措施</w:t>
            </w:r>
          </w:p>
          <w:p w14:paraId="152E3399">
            <w:r>
              <w:rPr>
                <w:rFonts w:hint="default"/>
              </w:rPr>
              <w:t>变电站间隔扩建工程于站内预留位置进行，本期无新增征地，施工活动限制在站区内，尽量减少工程建设对区域土地利用及居民生活的影响。</w:t>
            </w:r>
          </w:p>
          <w:p w14:paraId="34BB7D48">
            <w:r>
              <w:rPr>
                <w:rFonts w:hint="eastAsia"/>
              </w:rPr>
              <w:t>①塔基区施工前开挖扰动区域进行表土剥离，剥离的表土临时堆放在塔基临时施工场地进行防护，施工过程中对临时堆土采取彩条布铺垫、密目网苫盖、编织袋拦挡、彩条旗围护等措施。施工结束后将基础余土在塔基区征地范围内平整压实，并及时采取表土回覆、土地整治措施。②施工前在牵张场地内采取彩条旗围护等临时防护措施。施工完成后，压占场地进行土地整治，以利于后期进行植被恢复。③在跨越场地区施工期间，施工前设置警示标志和围栏，剥离表土并妥善存放；施工中严格规范操作，避免对周边土地造成额外破坏，并采取临时防护措施减少土地扰动；施工结束后，及时清理场地，平整土地并回覆表土，恢复土地原貌，确保土地占用得到合理控制和有效保护。</w:t>
            </w:r>
          </w:p>
          <w:p w14:paraId="4813EEB1">
            <w:r>
              <w:rPr>
                <w:rFonts w:hint="eastAsia"/>
              </w:rPr>
              <w:t>（2）植物</w:t>
            </w:r>
            <w:r>
              <w:t>保护</w:t>
            </w:r>
            <w:r>
              <w:rPr>
                <w:rFonts w:hint="eastAsia"/>
              </w:rPr>
              <w:t>措施</w:t>
            </w:r>
          </w:p>
          <w:p w14:paraId="559A0920">
            <w:r>
              <w:rPr>
                <w:rFonts w:hint="eastAsia"/>
              </w:rPr>
              <w:t>①合理规划、设计施工便道及场地，严格控制施工便道宽度，并要求各种机械和车辆固定行车路线，不能随意下道行驶或另开辟便道，禁止对施工区以外地区进行碾压和破坏，以保证周围地表和植被不受破坏。</w:t>
            </w:r>
          </w:p>
          <w:p w14:paraId="317C728A">
            <w:r>
              <w:rPr>
                <w:rFonts w:hint="eastAsia"/>
              </w:rPr>
              <w:t>②材料运输过程中对施工道路进行合理的选择，施工道路一般为单</w:t>
            </w:r>
            <w:r>
              <w:rPr>
                <w:rFonts w:hint="eastAsia"/>
                <w:lang w:val="en-US" w:eastAsia="zh-CN"/>
              </w:rPr>
              <w:t>车</w:t>
            </w:r>
            <w:r>
              <w:rPr>
                <w:rFonts w:hint="eastAsia"/>
              </w:rPr>
              <w:t>道，尽量避免过多扰动原地貌，避免在植被完好的地段进行道路修筑工作。对运至塔位的塔材，选择合适的位置进行堆放，减少场地的占用。</w:t>
            </w:r>
          </w:p>
          <w:p w14:paraId="587602DF">
            <w:r>
              <w:rPr>
                <w:rFonts w:hint="eastAsia"/>
              </w:rPr>
              <w:t>③施工时应在工期安排上合理有序，先设置围栏措施，后进行工程建设尽量减少对地表和植被的破坏，除施工必须不得不铲除或碾压植被外，不允许以其它任何理由铲除植被。</w:t>
            </w:r>
          </w:p>
          <w:p w14:paraId="04F0FD0C">
            <w:r>
              <w:rPr>
                <w:rFonts w:hint="eastAsia"/>
              </w:rPr>
              <w:t>④基坑开挖尽量保持坑壁成型完好，并做好临时堆土的挡护及</w:t>
            </w:r>
            <w:r>
              <w:rPr>
                <w:rFonts w:hint="eastAsia"/>
                <w:lang w:eastAsia="zh-CN"/>
              </w:rPr>
              <w:t>苫盖</w:t>
            </w:r>
            <w:r>
              <w:rPr>
                <w:rFonts w:hint="eastAsia"/>
              </w:rPr>
              <w:t>，基础坑开挖好后应尽快浇筑混凝土。</w:t>
            </w:r>
          </w:p>
          <w:p w14:paraId="12B4D814">
            <w:r>
              <w:rPr>
                <w:rFonts w:hint="eastAsia"/>
              </w:rPr>
              <w:t>⑤严格控制施工范围，应尽量控制作业面，施工后期对临时占用的裸土地进行土地整治。</w:t>
            </w:r>
          </w:p>
          <w:p w14:paraId="23CCFB35">
            <w:r>
              <w:rPr>
                <w:rFonts w:hint="eastAsia"/>
              </w:rPr>
              <w:t>⑥在植被生长较好的区域施工时，地表土壤采取分层开挖，顺序回填。</w:t>
            </w:r>
          </w:p>
          <w:p w14:paraId="58E6CE12">
            <w:r>
              <w:rPr>
                <w:rFonts w:hint="eastAsia"/>
              </w:rPr>
              <w:t>（</w:t>
            </w:r>
            <w:r>
              <w:t>3</w:t>
            </w:r>
            <w:r>
              <w:rPr>
                <w:rFonts w:hint="eastAsia"/>
              </w:rPr>
              <w:t>）动物保护措施</w:t>
            </w:r>
          </w:p>
          <w:p w14:paraId="6C593990">
            <w:r>
              <w:rPr>
                <w:rFonts w:hint="eastAsia"/>
              </w:rPr>
              <w:t>①</w:t>
            </w:r>
            <w:r>
              <w:t>加强施工人员的环境保护教育，提高施工人员和相关管理人员的环保意识，严禁出现随意捕杀野生动物的行为。</w:t>
            </w:r>
          </w:p>
          <w:p w14:paraId="62AD859D">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采用低噪声的机械等施工设备，禁止</w:t>
            </w:r>
            <w:r>
              <w:rPr>
                <w:rFonts w:hint="eastAsia"/>
              </w:rPr>
              <w:t>夜间</w:t>
            </w:r>
            <w:r>
              <w:t>高噪声的活动，减少施工活动噪声对野生动物的驱赶效应。</w:t>
            </w:r>
          </w:p>
          <w:p w14:paraId="5C590E39">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塔基基坑开挖阶段应设置必要的基坑围挡或基坑盖板，防止野生动物进入施工区域后发生坠落伤害</w:t>
            </w:r>
            <w:r>
              <w:t>。</w:t>
            </w:r>
          </w:p>
          <w:p w14:paraId="34361F53">
            <w:r>
              <w:rPr>
                <w:rFonts w:hint="eastAsia"/>
              </w:rPr>
              <w:t>④</w:t>
            </w:r>
            <w:r>
              <w:t>施工结束后，对施工扰动区域及临时占地区域进行原生态恢复，恢复野生动物生境。</w:t>
            </w:r>
          </w:p>
          <w:p w14:paraId="67A3721D">
            <w:pPr>
              <w:pStyle w:val="2"/>
              <w:rPr>
                <w:rFonts w:hint="eastAsia"/>
                <w:sz w:val="21"/>
                <w:szCs w:val="21"/>
              </w:rPr>
            </w:pPr>
            <w:r>
              <w:rPr>
                <w:rFonts w:hint="eastAsia"/>
                <w:sz w:val="21"/>
                <w:szCs w:val="21"/>
                <w:lang w:eastAsia="zh-CN"/>
              </w:rPr>
              <w:t>（</w:t>
            </w:r>
            <w:r>
              <w:rPr>
                <w:rFonts w:hint="eastAsia"/>
                <w:sz w:val="21"/>
                <w:szCs w:val="21"/>
                <w:lang w:val="en-US" w:eastAsia="zh-CN"/>
              </w:rPr>
              <w:t>4）</w:t>
            </w:r>
            <w:r>
              <w:rPr>
                <w:rFonts w:hint="eastAsia"/>
                <w:sz w:val="21"/>
                <w:szCs w:val="21"/>
              </w:rPr>
              <w:t>线路经过不同生态单元施工期的主要环保措施</w:t>
            </w:r>
          </w:p>
          <w:p w14:paraId="5CF75DA1">
            <w:pPr>
              <w:pStyle w:val="2"/>
              <w:rPr>
                <w:rFonts w:hint="eastAsia"/>
                <w:sz w:val="21"/>
                <w:szCs w:val="21"/>
              </w:rPr>
            </w:pPr>
            <w:r>
              <w:rPr>
                <w:rFonts w:hint="eastAsia"/>
                <w:sz w:val="21"/>
                <w:szCs w:val="21"/>
              </w:rPr>
              <w:t>1）林地</w:t>
            </w:r>
          </w:p>
          <w:p w14:paraId="27759B8D">
            <w:pPr>
              <w:pStyle w:val="2"/>
              <w:rPr>
                <w:rFonts w:hint="eastAsia"/>
                <w:sz w:val="21"/>
                <w:szCs w:val="21"/>
              </w:rPr>
            </w:pPr>
            <w:r>
              <w:rPr>
                <w:rFonts w:hint="eastAsia"/>
                <w:sz w:val="21"/>
                <w:szCs w:val="21"/>
              </w:rPr>
              <w:t>严格控制施工范围，尽量减少地表扰动和植被损坏范围，杆塔定位选择在林区边缘地带，避免对林区造成大面积损坏，严格规范车辆行驶路线，合理设置临时占地，施工临时占地尽量利用植被少的空旷地。在施工结束后通过对临时占地区和施工扰动区裸露地表采取植被恢复措施后，工程区被破坏的植被可得到</w:t>
            </w:r>
            <w:r>
              <w:rPr>
                <w:rFonts w:hint="eastAsia"/>
                <w:sz w:val="21"/>
                <w:szCs w:val="21"/>
                <w:lang w:val="en-US" w:eastAsia="zh-CN"/>
              </w:rPr>
              <w:t>有效</w:t>
            </w:r>
            <w:r>
              <w:rPr>
                <w:rFonts w:hint="eastAsia"/>
                <w:sz w:val="21"/>
                <w:szCs w:val="21"/>
              </w:rPr>
              <w:t>恢复，对土地占用影响很小。</w:t>
            </w:r>
          </w:p>
          <w:p w14:paraId="16B42205">
            <w:pPr>
              <w:pStyle w:val="2"/>
              <w:rPr>
                <w:rFonts w:hint="eastAsia"/>
                <w:sz w:val="21"/>
                <w:szCs w:val="21"/>
              </w:rPr>
            </w:pPr>
            <w:r>
              <w:rPr>
                <w:rFonts w:hint="eastAsia"/>
                <w:sz w:val="21"/>
                <w:szCs w:val="21"/>
              </w:rPr>
              <w:t>2）其他土地</w:t>
            </w:r>
          </w:p>
          <w:p w14:paraId="189016B7">
            <w:pPr>
              <w:pStyle w:val="2"/>
              <w:rPr>
                <w:rFonts w:hint="eastAsia"/>
                <w:sz w:val="21"/>
                <w:szCs w:val="21"/>
              </w:rPr>
            </w:pPr>
            <w:r>
              <w:rPr>
                <w:rFonts w:hint="eastAsia"/>
                <w:sz w:val="21"/>
                <w:szCs w:val="21"/>
              </w:rPr>
              <w:t>①尽量利用已有道路，不随意开辟新的施工便道。</w:t>
            </w:r>
          </w:p>
          <w:p w14:paraId="0C2041AA">
            <w:pPr>
              <w:pStyle w:val="2"/>
              <w:rPr>
                <w:rFonts w:hint="eastAsia"/>
                <w:sz w:val="21"/>
                <w:szCs w:val="21"/>
              </w:rPr>
            </w:pPr>
            <w:r>
              <w:rPr>
                <w:rFonts w:hint="eastAsia"/>
                <w:sz w:val="21"/>
                <w:szCs w:val="21"/>
              </w:rPr>
              <w:t>②严格按照设计的塔基占地面积、基础型式等要求开挖，避免挖土方的大量运输和回填。</w:t>
            </w:r>
          </w:p>
          <w:p w14:paraId="4A153B9C">
            <w:pPr>
              <w:pStyle w:val="2"/>
              <w:rPr>
                <w:rFonts w:hint="eastAsia"/>
                <w:sz w:val="21"/>
                <w:szCs w:val="21"/>
              </w:rPr>
            </w:pPr>
            <w:r>
              <w:rPr>
                <w:rFonts w:hint="eastAsia"/>
                <w:sz w:val="21"/>
                <w:szCs w:val="21"/>
              </w:rPr>
              <w:t>③控制施工扰动面积，尽量减少开挖量和开挖裸露面，施工结束后及时进行迹地恢复，减少地表裸露时间，</w:t>
            </w:r>
            <w:r>
              <w:rPr>
                <w:rFonts w:hint="eastAsia"/>
                <w:sz w:val="21"/>
                <w:szCs w:val="21"/>
                <w:lang w:val="en-US" w:eastAsia="zh-CN"/>
              </w:rPr>
              <w:t>减轻</w:t>
            </w:r>
            <w:r>
              <w:rPr>
                <w:rFonts w:hint="eastAsia"/>
                <w:sz w:val="21"/>
                <w:szCs w:val="21"/>
              </w:rPr>
              <w:t>水土流失，降低由此可能产生的不良水质影响。</w:t>
            </w:r>
          </w:p>
          <w:p w14:paraId="5C34D6B5">
            <w:pPr>
              <w:pStyle w:val="2"/>
              <w:rPr>
                <w:rFonts w:hint="eastAsia"/>
                <w:sz w:val="21"/>
                <w:szCs w:val="21"/>
              </w:rPr>
            </w:pPr>
            <w:r>
              <w:rPr>
                <w:rFonts w:hint="eastAsia"/>
                <w:sz w:val="21"/>
                <w:szCs w:val="21"/>
              </w:rPr>
              <w:t>④在塔基基础施工完，以及杆塔立完后，应按设计要求对塔基基础、塔杆根部进行压实平整。</w:t>
            </w:r>
          </w:p>
          <w:p w14:paraId="3AA487DF">
            <w:pPr>
              <w:rPr>
                <w:rFonts w:hint="eastAsia"/>
                <w:lang w:val="en-US" w:eastAsia="zh-CN"/>
              </w:rPr>
            </w:pPr>
            <w:r>
              <w:rPr>
                <w:rFonts w:hint="eastAsia"/>
                <w:lang w:eastAsia="zh-CN"/>
              </w:rPr>
              <w:t>（</w:t>
            </w:r>
            <w:r>
              <w:rPr>
                <w:rFonts w:hint="eastAsia"/>
                <w:lang w:val="en-US" w:eastAsia="zh-CN"/>
              </w:rPr>
              <w:t>5）防沙治沙措施</w:t>
            </w:r>
          </w:p>
          <w:p w14:paraId="70E66BB7">
            <w:pPr>
              <w:rPr>
                <w:rFonts w:hint="eastAsia"/>
              </w:rPr>
            </w:pPr>
            <w:r>
              <w:rPr>
                <w:rFonts w:hint="eastAsia"/>
              </w:rPr>
              <w:t>1）工程措施</w:t>
            </w:r>
          </w:p>
          <w:p w14:paraId="7C66FD2F">
            <w:pPr>
              <w:rPr>
                <w:rFonts w:hint="eastAsia"/>
              </w:rPr>
            </w:pPr>
            <w:r>
              <w:rPr>
                <w:rFonts w:hint="eastAsia"/>
              </w:rPr>
              <w:t>项目施工结束后对硬化区外区域进行土地平整，用于自然恢复。</w:t>
            </w:r>
          </w:p>
          <w:p w14:paraId="4199DAB7">
            <w:pPr>
              <w:rPr>
                <w:rFonts w:hint="eastAsia"/>
              </w:rPr>
            </w:pPr>
            <w:r>
              <w:rPr>
                <w:rFonts w:hint="eastAsia"/>
              </w:rPr>
              <w:t>2）临时措施</w:t>
            </w:r>
          </w:p>
          <w:p w14:paraId="2DB03A90">
            <w:r>
              <w:rPr>
                <w:rFonts w:hint="eastAsia"/>
              </w:rPr>
              <w:t>施工过程中，基础挖出的土方临时堆放在基坑旁，由于开挖面为松散的土方，在堆放过程中若不对这些临时堆土采取相应的防护措施，在工程区多风的自然条件下会产生较大的水土流失。可以采取铺设碎石、机械压实、洒水和防尘网等临时防护措施，减少水土流失。</w:t>
            </w:r>
          </w:p>
        </w:tc>
        <w:tc>
          <w:tcPr>
            <w:tcW w:w="1021" w:type="pct"/>
            <w:vAlign w:val="center"/>
          </w:tcPr>
          <w:p w14:paraId="2E766DF9">
            <w:r>
              <w:t>（1）土地占用保护措施</w:t>
            </w:r>
          </w:p>
          <w:p w14:paraId="43F90277">
            <w:r>
              <w:rPr>
                <w:rFonts w:hint="eastAsia"/>
              </w:rPr>
              <w:t>变电站及输电线路施工区域需控制在</w:t>
            </w:r>
            <w:r>
              <w:rPr>
                <w:rFonts w:hint="eastAsia"/>
                <w:lang w:val="en-US" w:eastAsia="zh-CN"/>
              </w:rPr>
              <w:t>规定</w:t>
            </w:r>
            <w:r>
              <w:rPr>
                <w:rFonts w:hint="eastAsia"/>
              </w:rPr>
              <w:t>范围内；应核实开挖范围及开挖量，是否做到了“工完料尽场地清”。</w:t>
            </w:r>
          </w:p>
          <w:p w14:paraId="056136B7">
            <w:r>
              <w:rPr>
                <w:rFonts w:hint="eastAsia"/>
              </w:rPr>
              <w:t>（2）植物</w:t>
            </w:r>
            <w:r>
              <w:t>保护</w:t>
            </w:r>
            <w:r>
              <w:rPr>
                <w:rFonts w:hint="eastAsia"/>
              </w:rPr>
              <w:t>措施</w:t>
            </w:r>
          </w:p>
          <w:p w14:paraId="10A3C6EC">
            <w:r>
              <w:rPr>
                <w:rFonts w:hint="eastAsia"/>
              </w:rPr>
              <w:t>施工过程中，施工便道和施工场地未随意开辟，工程施工区以外区域地表及植被未见破坏，施工过程中未见随意铲除植被、破坏生态环境现象。施工过程中未发生水土流失。施工期未发生明显的铲挖、碾压植被等破坏行为，施工结束后</w:t>
            </w:r>
            <w:r>
              <w:rPr>
                <w:rFonts w:hint="eastAsia"/>
                <w:lang w:val="en-US" w:eastAsia="zh-CN"/>
              </w:rPr>
              <w:t>种植</w:t>
            </w:r>
            <w:r>
              <w:rPr>
                <w:rFonts w:hint="eastAsia"/>
              </w:rPr>
              <w:t>适宜</w:t>
            </w:r>
            <w:r>
              <w:rPr>
                <w:rFonts w:hint="eastAsia"/>
                <w:lang w:val="en-US" w:eastAsia="zh-CN"/>
              </w:rPr>
              <w:t>植被</w:t>
            </w:r>
            <w:r>
              <w:rPr>
                <w:rFonts w:hint="eastAsia"/>
              </w:rPr>
              <w:t>，扰动区域结合原始地表基本恢复植被状态，与周围环境基本协调。</w:t>
            </w:r>
          </w:p>
          <w:p w14:paraId="041E8C73">
            <w:r>
              <w:rPr>
                <w:rFonts w:hint="eastAsia"/>
              </w:rPr>
              <w:t>（</w:t>
            </w:r>
            <w:r>
              <w:t>3</w:t>
            </w:r>
            <w:r>
              <w:rPr>
                <w:rFonts w:hint="eastAsia"/>
              </w:rPr>
              <w:t>）动物保护措施</w:t>
            </w:r>
          </w:p>
          <w:p w14:paraId="4F3F6BC0">
            <w:r>
              <w:rPr>
                <w:rFonts w:hint="eastAsia"/>
              </w:rPr>
              <w:t>①</w:t>
            </w:r>
            <w:r>
              <w:t>加强施工期环保管理工作</w:t>
            </w:r>
            <w:r>
              <w:rPr>
                <w:rFonts w:hint="eastAsia"/>
              </w:rPr>
              <w:t>，</w:t>
            </w:r>
            <w:r>
              <w:t>确保无捕杀野生动物的行为。</w:t>
            </w:r>
          </w:p>
          <w:p w14:paraId="00B2CD77">
            <w:r>
              <w:rPr>
                <w:rFonts w:hint="eastAsia"/>
              </w:rPr>
              <w:t>②</w:t>
            </w:r>
            <w:r>
              <w:t>采用</w:t>
            </w:r>
            <w:r>
              <w:rPr>
                <w:rFonts w:hint="eastAsia"/>
              </w:rPr>
              <w:t>噪声水平满足国家相应标准的施工机械设备</w:t>
            </w:r>
            <w:r>
              <w:t>，禁止高噪声等不文明施工活动。</w:t>
            </w:r>
          </w:p>
          <w:p w14:paraId="497BB907">
            <w:r>
              <w:rPr>
                <w:rFonts w:hint="eastAsia"/>
              </w:rPr>
              <w:t>③充分利用已有道路</w:t>
            </w:r>
            <w:r>
              <w:t>作为施工道路，</w:t>
            </w:r>
            <w:r>
              <w:rPr>
                <w:rFonts w:hint="eastAsia"/>
                <w:lang w:eastAsia="zh-CN"/>
              </w:rPr>
              <w:t>减少</w:t>
            </w:r>
            <w:r>
              <w:t>新开辟临时施工道路。</w:t>
            </w:r>
          </w:p>
          <w:p w14:paraId="0E49252D">
            <w:r>
              <w:rPr>
                <w:rFonts w:hint="eastAsia"/>
              </w:rPr>
              <w:t>④</w:t>
            </w:r>
            <w:r>
              <w:t>施工结束后，对施工扰动区域及临时占地区域进行</w:t>
            </w:r>
            <w:r>
              <w:rPr>
                <w:rFonts w:hint="eastAsia"/>
              </w:rPr>
              <w:t>土地功能</w:t>
            </w:r>
            <w:r>
              <w:t>和生态功能恢复。</w:t>
            </w:r>
          </w:p>
          <w:p w14:paraId="2337BB41">
            <w:pPr>
              <w:rPr>
                <w:rFonts w:hint="eastAsia"/>
                <w:sz w:val="21"/>
                <w:szCs w:val="21"/>
              </w:rPr>
            </w:pPr>
            <w:r>
              <w:rPr>
                <w:rFonts w:hint="eastAsia"/>
                <w:lang w:eastAsia="zh-CN"/>
              </w:rPr>
              <w:t>（</w:t>
            </w:r>
            <w:r>
              <w:rPr>
                <w:rFonts w:hint="eastAsia"/>
                <w:lang w:val="en-US" w:eastAsia="zh-CN"/>
              </w:rPr>
              <w:t>4）</w:t>
            </w:r>
            <w:r>
              <w:rPr>
                <w:rFonts w:hint="eastAsia"/>
                <w:sz w:val="21"/>
                <w:szCs w:val="21"/>
              </w:rPr>
              <w:t>线路经过不同生态单元施工期的主要环保措施</w:t>
            </w:r>
          </w:p>
          <w:p w14:paraId="1D51A17D">
            <w:pPr>
              <w:pStyle w:val="2"/>
              <w:rPr>
                <w:rFonts w:hint="eastAsia"/>
                <w:sz w:val="21"/>
                <w:szCs w:val="21"/>
                <w:lang w:val="en-US" w:eastAsia="zh-CN"/>
              </w:rPr>
            </w:pPr>
            <w:r>
              <w:rPr>
                <w:rFonts w:hint="eastAsia"/>
                <w:sz w:val="21"/>
                <w:szCs w:val="21"/>
                <w:lang w:val="en-US" w:eastAsia="zh-CN"/>
              </w:rPr>
              <w:t>1）林地</w:t>
            </w:r>
          </w:p>
          <w:p w14:paraId="022CB1F0">
            <w:pPr>
              <w:pStyle w:val="2"/>
              <w:rPr>
                <w:rFonts w:hint="eastAsia"/>
                <w:sz w:val="21"/>
                <w:szCs w:val="21"/>
                <w:lang w:val="en-US" w:eastAsia="zh-CN"/>
              </w:rPr>
            </w:pPr>
            <w:r>
              <w:rPr>
                <w:rFonts w:hint="eastAsia"/>
                <w:sz w:val="21"/>
                <w:szCs w:val="21"/>
                <w:lang w:val="en-US" w:eastAsia="zh-CN"/>
              </w:rPr>
              <w:t>施工期应尽量减少对地表扰动和植被破坏，施工结束后对临时占地和扰动区采取相关植被保护和恢复措施。</w:t>
            </w:r>
          </w:p>
          <w:p w14:paraId="0C286E2F">
            <w:pPr>
              <w:rPr>
                <w:rFonts w:hint="eastAsia"/>
                <w:sz w:val="21"/>
                <w:szCs w:val="21"/>
                <w:lang w:val="en-US" w:eastAsia="zh-CN"/>
              </w:rPr>
            </w:pPr>
            <w:r>
              <w:rPr>
                <w:rFonts w:hint="eastAsia"/>
                <w:sz w:val="21"/>
                <w:szCs w:val="21"/>
                <w:lang w:val="en-US" w:eastAsia="zh-CN"/>
              </w:rPr>
              <w:t>2）其他土地</w:t>
            </w:r>
          </w:p>
          <w:p w14:paraId="45A823B9">
            <w:pPr>
              <w:pStyle w:val="2"/>
              <w:rPr>
                <w:rFonts w:hint="eastAsia"/>
                <w:sz w:val="21"/>
                <w:szCs w:val="21"/>
                <w:lang w:val="en-US" w:eastAsia="zh-CN"/>
              </w:rPr>
            </w:pPr>
            <w:r>
              <w:rPr>
                <w:rFonts w:hint="eastAsia"/>
                <w:sz w:val="21"/>
                <w:szCs w:val="21"/>
                <w:lang w:val="en-US" w:eastAsia="zh-CN"/>
              </w:rPr>
              <w:t>施工期未随意开辟新道路；未造成大量土石方的开发和回填，施工结束后及时进行迹地恢复。</w:t>
            </w:r>
          </w:p>
          <w:p w14:paraId="2B694A1F">
            <w:pPr>
              <w:rPr>
                <w:rFonts w:hint="eastAsia"/>
                <w:sz w:val="21"/>
                <w:szCs w:val="21"/>
                <w:lang w:val="en-US" w:eastAsia="zh-CN"/>
              </w:rPr>
            </w:pPr>
            <w:r>
              <w:rPr>
                <w:rFonts w:hint="eastAsia"/>
                <w:sz w:val="21"/>
                <w:szCs w:val="21"/>
                <w:lang w:val="en-US" w:eastAsia="zh-CN"/>
              </w:rPr>
              <w:t>（5）防沙治沙措施</w:t>
            </w:r>
          </w:p>
          <w:p w14:paraId="3EC70244">
            <w:pPr>
              <w:pStyle w:val="2"/>
              <w:rPr>
                <w:rFonts w:hint="default"/>
                <w:sz w:val="21"/>
                <w:szCs w:val="21"/>
                <w:lang w:val="en-US" w:eastAsia="zh-CN"/>
              </w:rPr>
            </w:pPr>
            <w:r>
              <w:rPr>
                <w:rFonts w:hint="eastAsia"/>
                <w:sz w:val="21"/>
                <w:szCs w:val="21"/>
              </w:rPr>
              <w:t>对硬化区外区域进行土地平整，用于自然恢复</w:t>
            </w:r>
            <w:r>
              <w:rPr>
                <w:rFonts w:hint="eastAsia"/>
                <w:sz w:val="21"/>
                <w:szCs w:val="21"/>
                <w:lang w:eastAsia="zh-CN"/>
              </w:rPr>
              <w:t>；</w:t>
            </w:r>
            <w:r>
              <w:rPr>
                <w:rFonts w:hint="eastAsia"/>
                <w:sz w:val="21"/>
                <w:szCs w:val="21"/>
                <w:lang w:val="en-US" w:eastAsia="zh-CN"/>
              </w:rPr>
              <w:t>对挖出的土方铺设碎石、机械压实、洒水和防尘网等临时防护措施。</w:t>
            </w:r>
          </w:p>
        </w:tc>
        <w:tc>
          <w:tcPr>
            <w:tcW w:w="1103" w:type="pct"/>
            <w:vAlign w:val="center"/>
          </w:tcPr>
          <w:p w14:paraId="126753B3">
            <w:pPr>
              <w:jc w:val="center"/>
              <w:rPr>
                <w:rFonts w:hint="eastAsia" w:ascii="宋体" w:hAnsi="宋体" w:cs="宋体"/>
                <w:color w:val="000000"/>
              </w:rPr>
            </w:pPr>
            <w:r>
              <w:rPr>
                <w:rFonts w:hint="eastAsia" w:ascii="宋体" w:hAnsi="宋体" w:cs="宋体"/>
                <w:color w:val="000000"/>
              </w:rPr>
              <w:t>/</w:t>
            </w:r>
          </w:p>
        </w:tc>
        <w:tc>
          <w:tcPr>
            <w:tcW w:w="718" w:type="pct"/>
            <w:vAlign w:val="center"/>
          </w:tcPr>
          <w:p w14:paraId="147F2772">
            <w:pPr>
              <w:jc w:val="center"/>
              <w:rPr>
                <w:rFonts w:hint="eastAsia" w:ascii="宋体" w:hAnsi="宋体" w:cs="宋体"/>
                <w:color w:val="000000"/>
              </w:rPr>
            </w:pPr>
            <w:r>
              <w:rPr>
                <w:rFonts w:hint="eastAsia" w:ascii="宋体" w:hAnsi="宋体" w:cs="宋体"/>
                <w:color w:val="000000"/>
              </w:rPr>
              <w:t>/</w:t>
            </w:r>
          </w:p>
        </w:tc>
      </w:tr>
      <w:tr w14:paraId="04D18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 w:type="pct"/>
            <w:vAlign w:val="center"/>
          </w:tcPr>
          <w:p w14:paraId="6572062A">
            <w:pPr>
              <w:jc w:val="center"/>
              <w:rPr>
                <w:b/>
                <w:color w:val="000000"/>
              </w:rPr>
            </w:pPr>
            <w:r>
              <w:rPr>
                <w:b/>
                <w:color w:val="000000"/>
              </w:rPr>
              <w:t>水生生态</w:t>
            </w:r>
          </w:p>
        </w:tc>
        <w:tc>
          <w:tcPr>
            <w:tcW w:w="1871" w:type="pct"/>
            <w:vAlign w:val="center"/>
          </w:tcPr>
          <w:p w14:paraId="113B0960">
            <w:pPr>
              <w:jc w:val="center"/>
              <w:rPr>
                <w:color w:val="000000"/>
              </w:rPr>
            </w:pPr>
            <w:r>
              <w:rPr>
                <w:color w:val="000000"/>
              </w:rPr>
              <w:t>/</w:t>
            </w:r>
          </w:p>
        </w:tc>
        <w:tc>
          <w:tcPr>
            <w:tcW w:w="1021" w:type="pct"/>
            <w:vAlign w:val="center"/>
          </w:tcPr>
          <w:p w14:paraId="7E1B0FC1">
            <w:pPr>
              <w:jc w:val="center"/>
              <w:rPr>
                <w:color w:val="000000"/>
              </w:rPr>
            </w:pPr>
            <w:r>
              <w:rPr>
                <w:color w:val="000000"/>
              </w:rPr>
              <w:t>/</w:t>
            </w:r>
          </w:p>
        </w:tc>
        <w:tc>
          <w:tcPr>
            <w:tcW w:w="1103" w:type="pct"/>
            <w:vAlign w:val="center"/>
          </w:tcPr>
          <w:p w14:paraId="157D1D9F">
            <w:pPr>
              <w:jc w:val="center"/>
              <w:rPr>
                <w:color w:val="000000"/>
              </w:rPr>
            </w:pPr>
            <w:r>
              <w:rPr>
                <w:color w:val="000000"/>
              </w:rPr>
              <w:t>/</w:t>
            </w:r>
          </w:p>
        </w:tc>
        <w:tc>
          <w:tcPr>
            <w:tcW w:w="718" w:type="pct"/>
            <w:vAlign w:val="center"/>
          </w:tcPr>
          <w:p w14:paraId="3D80D9C5">
            <w:pPr>
              <w:jc w:val="center"/>
              <w:rPr>
                <w:color w:val="000000"/>
              </w:rPr>
            </w:pPr>
            <w:r>
              <w:rPr>
                <w:color w:val="000000"/>
              </w:rPr>
              <w:t>/</w:t>
            </w:r>
          </w:p>
        </w:tc>
      </w:tr>
      <w:tr w14:paraId="616FC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286" w:type="pct"/>
            <w:vAlign w:val="center"/>
          </w:tcPr>
          <w:p w14:paraId="0DAD4581">
            <w:pPr>
              <w:jc w:val="center"/>
              <w:rPr>
                <w:b/>
                <w:color w:val="000000"/>
              </w:rPr>
            </w:pPr>
            <w:r>
              <w:rPr>
                <w:b/>
                <w:color w:val="000000"/>
              </w:rPr>
              <w:t>地表水环境</w:t>
            </w:r>
          </w:p>
        </w:tc>
        <w:tc>
          <w:tcPr>
            <w:tcW w:w="1871" w:type="pct"/>
            <w:vAlign w:val="center"/>
          </w:tcPr>
          <w:p w14:paraId="7E67B7AC">
            <w:pPr>
              <w:rPr>
                <w:color w:val="000000"/>
                <w:sz w:val="18"/>
                <w:szCs w:val="21"/>
              </w:rPr>
            </w:pPr>
            <w:r>
              <w:rPr>
                <w:rFonts w:hint="eastAsia"/>
                <w:color w:val="000000"/>
                <w:szCs w:val="16"/>
              </w:rPr>
              <w:t>①变电站施工时生活污水依托站内已有</w:t>
            </w:r>
            <w:r>
              <w:rPr>
                <w:rFonts w:hint="eastAsia"/>
                <w:color w:val="000000"/>
                <w:szCs w:val="16"/>
                <w:lang w:val="en-US" w:eastAsia="zh-CN"/>
              </w:rPr>
              <w:t>污水处理设施</w:t>
            </w:r>
            <w:r>
              <w:rPr>
                <w:rFonts w:hint="eastAsia"/>
                <w:color w:val="000000"/>
                <w:szCs w:val="16"/>
              </w:rPr>
              <w:t>进行处理，不随意外排。</w:t>
            </w:r>
          </w:p>
          <w:p w14:paraId="5CC5EABC">
            <w:pPr>
              <w:rPr>
                <w:color w:val="000000"/>
              </w:rPr>
            </w:pPr>
            <w:r>
              <w:rPr>
                <w:rFonts w:hint="eastAsia"/>
                <w:color w:val="000000"/>
                <w:sz w:val="21"/>
                <w:szCs w:val="24"/>
              </w:rPr>
              <w:t>②</w:t>
            </w:r>
            <w:r>
              <w:rPr>
                <w:rFonts w:hint="eastAsia"/>
                <w:color w:val="000000"/>
                <w:szCs w:val="16"/>
              </w:rPr>
              <w:t>输电线路沿线设置移动式环保厕所，施工期生活污水通过移动环保厕所处置，并定期清运至就近生活污水处理厂。本工程施工期产生的少量施工废水经沉砂沉淀处理后，回用于施工场地喷洒抑尘，不直接外排。</w:t>
            </w:r>
          </w:p>
          <w:p w14:paraId="4059F1EA">
            <w:pPr>
              <w:rPr>
                <w:color w:val="000000"/>
              </w:rPr>
            </w:pPr>
            <w:r>
              <w:rPr>
                <w:rFonts w:hint="eastAsia"/>
                <w:color w:val="000000"/>
              </w:rPr>
              <w:t>③</w:t>
            </w:r>
            <w:r>
              <w:rPr>
                <w:color w:val="000000"/>
              </w:rPr>
              <w:t>输电线路施工人员临时租用附近村庄民房或工屋，不设置施工营地</w:t>
            </w:r>
            <w:r>
              <w:rPr>
                <w:rFonts w:hint="eastAsia"/>
                <w:color w:val="000000"/>
              </w:rPr>
              <w:t>。</w:t>
            </w:r>
          </w:p>
          <w:p w14:paraId="7E612682">
            <w:pPr>
              <w:rPr>
                <w:color w:val="000000"/>
              </w:rPr>
            </w:pPr>
            <w:r>
              <w:rPr>
                <w:rFonts w:hint="eastAsia"/>
                <w:color w:val="000000"/>
              </w:rPr>
              <w:t>④施工时应先设置拦挡措施，后进行工程建设；架线时采用无人机放线等先进的施工放线工艺；施工时尽可能采用商品混凝土，如在施工现场拌合混凝土，应对砂、石料冲洗废水进行处置和循环使用；</w:t>
            </w:r>
            <w:r>
              <w:rPr>
                <w:color w:val="000000"/>
              </w:rPr>
              <w:t xml:space="preserve"> </w:t>
            </w:r>
          </w:p>
          <w:p w14:paraId="5E7D35C7">
            <w:pPr>
              <w:rPr>
                <w:color w:val="000000"/>
              </w:rPr>
            </w:pPr>
            <w:r>
              <w:rPr>
                <w:rFonts w:hint="eastAsia"/>
                <w:color w:val="000000"/>
              </w:rPr>
              <w:t>⑤施工结束后将物料、建筑结构养护废水集中，经过沉砂处理回用；</w:t>
            </w:r>
          </w:p>
          <w:p w14:paraId="105B319C">
            <w:pPr>
              <w:rPr>
                <w:rFonts w:hint="eastAsia" w:eastAsia="宋体"/>
                <w:lang w:eastAsia="zh-CN"/>
              </w:rPr>
            </w:pPr>
            <w:r>
              <w:rPr>
                <w:rFonts w:hint="eastAsia"/>
                <w:color w:val="000000"/>
              </w:rPr>
              <w:t>⑥</w:t>
            </w:r>
            <w:r>
              <w:rPr>
                <w:rFonts w:hint="eastAsia"/>
                <w:color w:val="000000"/>
                <w:kern w:val="0"/>
              </w:rPr>
              <w:t>对线路运行维护人员进行水环境相关知识的培训，提高他们的环境保护意识，将工程运行维护过程中产生的生活垃圾等废物妥善处置</w:t>
            </w:r>
            <w:r>
              <w:rPr>
                <w:rFonts w:hint="eastAsia"/>
                <w:color w:val="000000"/>
                <w:kern w:val="0"/>
                <w:lang w:eastAsia="zh-CN"/>
              </w:rPr>
              <w:t>。</w:t>
            </w:r>
          </w:p>
        </w:tc>
        <w:tc>
          <w:tcPr>
            <w:tcW w:w="1021" w:type="pct"/>
            <w:vAlign w:val="center"/>
          </w:tcPr>
          <w:p w14:paraId="2249D87E">
            <w:pPr>
              <w:rPr>
                <w:color w:val="000000"/>
              </w:rPr>
            </w:pPr>
            <w:r>
              <w:rPr>
                <w:rFonts w:hint="eastAsia"/>
                <w:color w:val="000000"/>
              </w:rPr>
              <w:t>①变电站施工时生活污水依托站内已有</w:t>
            </w:r>
            <w:r>
              <w:rPr>
                <w:rFonts w:hint="eastAsia"/>
                <w:color w:val="000000"/>
                <w:szCs w:val="16"/>
                <w:lang w:val="en-US" w:eastAsia="zh-CN"/>
              </w:rPr>
              <w:t>污水处理设施</w:t>
            </w:r>
            <w:r>
              <w:rPr>
                <w:rFonts w:hint="eastAsia"/>
                <w:color w:val="000000"/>
              </w:rPr>
              <w:t>进行处理，不外排</w:t>
            </w:r>
            <w:r>
              <w:rPr>
                <w:color w:val="000000"/>
              </w:rPr>
              <w:t>。</w:t>
            </w:r>
          </w:p>
          <w:p w14:paraId="3329D7EA">
            <w:pPr>
              <w:rPr>
                <w:color w:val="000000"/>
              </w:rPr>
            </w:pPr>
            <w:r>
              <w:rPr>
                <w:rFonts w:hint="eastAsia"/>
                <w:color w:val="000000"/>
              </w:rPr>
              <w:t>②线路</w:t>
            </w:r>
            <w:r>
              <w:rPr>
                <w:color w:val="000000"/>
              </w:rPr>
              <w:t>施工过程中，</w:t>
            </w:r>
            <w:r>
              <w:rPr>
                <w:rFonts w:hint="eastAsia"/>
                <w:color w:val="000000"/>
                <w:lang w:val="en-US" w:eastAsia="zh-CN"/>
              </w:rPr>
              <w:t>生活污水和</w:t>
            </w:r>
            <w:r>
              <w:rPr>
                <w:color w:val="000000"/>
              </w:rPr>
              <w:t>施工废水</w:t>
            </w:r>
            <w:r>
              <w:rPr>
                <w:rFonts w:hint="eastAsia"/>
                <w:color w:val="000000"/>
                <w:lang w:val="en-US" w:eastAsia="zh-CN"/>
              </w:rPr>
              <w:t>不随意外排</w:t>
            </w:r>
            <w:r>
              <w:rPr>
                <w:color w:val="000000"/>
              </w:rPr>
              <w:t>。</w:t>
            </w:r>
          </w:p>
          <w:p w14:paraId="1655FF76">
            <w:pPr>
              <w:rPr>
                <w:color w:val="000000"/>
              </w:rPr>
            </w:pPr>
            <w:r>
              <w:rPr>
                <w:rFonts w:hint="eastAsia"/>
                <w:color w:val="000000"/>
              </w:rPr>
              <w:t>③线路</w:t>
            </w:r>
            <w:r>
              <w:rPr>
                <w:color w:val="000000"/>
              </w:rPr>
              <w:t>施工过程中</w:t>
            </w:r>
            <w:r>
              <w:rPr>
                <w:rFonts w:hint="eastAsia"/>
                <w:color w:val="000000"/>
              </w:rPr>
              <w:t>不设置施工营地</w:t>
            </w:r>
            <w:r>
              <w:rPr>
                <w:color w:val="000000"/>
              </w:rPr>
              <w:t>。</w:t>
            </w:r>
          </w:p>
          <w:p w14:paraId="6C7C4DDB">
            <w:pPr>
              <w:rPr>
                <w:color w:val="000000"/>
              </w:rPr>
            </w:pPr>
            <w:r>
              <w:rPr>
                <w:rFonts w:hint="eastAsia"/>
                <w:color w:val="000000"/>
              </w:rPr>
              <w:t>④施工时</w:t>
            </w:r>
            <w:r>
              <w:rPr>
                <w:rFonts w:hint="eastAsia"/>
                <w:color w:val="000000"/>
                <w:lang w:val="en-US" w:eastAsia="zh-CN"/>
              </w:rPr>
              <w:t>先</w:t>
            </w:r>
            <w:r>
              <w:rPr>
                <w:rFonts w:hint="eastAsia"/>
                <w:color w:val="000000"/>
              </w:rPr>
              <w:t>设置拦挡措施，后进行工程建设</w:t>
            </w:r>
            <w:r>
              <w:rPr>
                <w:color w:val="000000"/>
              </w:rPr>
              <w:t>。</w:t>
            </w:r>
          </w:p>
          <w:p w14:paraId="23140520">
            <w:pPr>
              <w:rPr>
                <w:color w:val="000000"/>
              </w:rPr>
            </w:pPr>
            <w:r>
              <w:rPr>
                <w:rFonts w:hint="eastAsia"/>
                <w:color w:val="000000"/>
              </w:rPr>
              <w:t>⑤施工结束后将物料、建筑结构养护废水集中，经过沉砂处理回用。</w:t>
            </w:r>
          </w:p>
          <w:p w14:paraId="3DD97D3B">
            <w:pPr>
              <w:rPr>
                <w:color w:val="000000"/>
              </w:rPr>
            </w:pPr>
            <w:r>
              <w:rPr>
                <w:rFonts w:hint="eastAsia"/>
                <w:color w:val="000000"/>
              </w:rPr>
              <w:t>⑥对线路运行维护人员进行水环境相关知识的培训，及时消除由此带来的环境影响。</w:t>
            </w:r>
          </w:p>
        </w:tc>
        <w:tc>
          <w:tcPr>
            <w:tcW w:w="1103" w:type="pct"/>
            <w:vAlign w:val="center"/>
          </w:tcPr>
          <w:p w14:paraId="7B3E0D82">
            <w:pPr>
              <w:rPr>
                <w:color w:val="000000"/>
              </w:rPr>
            </w:pPr>
            <w:r>
              <w:rPr>
                <w:color w:val="000000"/>
              </w:rPr>
              <w:t>变电站</w:t>
            </w:r>
            <w:r>
              <w:rPr>
                <w:rFonts w:hint="eastAsia"/>
                <w:color w:val="000000"/>
              </w:rPr>
              <w:t>运行期</w:t>
            </w:r>
            <w:r>
              <w:rPr>
                <w:color w:val="000000"/>
              </w:rPr>
              <w:t>排水采取雨污分流制排水系统。站区内雨水</w:t>
            </w:r>
            <w:r>
              <w:rPr>
                <w:rFonts w:hint="eastAsia"/>
                <w:color w:val="000000"/>
              </w:rPr>
              <w:t>采用渗排和场地排水相结合的方式排出；站区生活污水经经过</w:t>
            </w:r>
            <w:r>
              <w:rPr>
                <w:rFonts w:hint="eastAsia"/>
                <w:color w:val="000000"/>
                <w:szCs w:val="16"/>
                <w:lang w:val="en-US" w:eastAsia="zh-CN"/>
              </w:rPr>
              <w:t>污水处理设施</w:t>
            </w:r>
            <w:r>
              <w:rPr>
                <w:rFonts w:hint="eastAsia"/>
                <w:color w:val="000000"/>
              </w:rPr>
              <w:t>处理，不外排。</w:t>
            </w:r>
          </w:p>
        </w:tc>
        <w:tc>
          <w:tcPr>
            <w:tcW w:w="718" w:type="pct"/>
            <w:vAlign w:val="center"/>
          </w:tcPr>
          <w:p w14:paraId="18C608D7">
            <w:pPr>
              <w:rPr>
                <w:color w:val="000000"/>
              </w:rPr>
            </w:pPr>
            <w:r>
              <w:rPr>
                <w:color w:val="000000"/>
              </w:rPr>
              <w:t>站区内生活污水</w:t>
            </w:r>
            <w:r>
              <w:rPr>
                <w:rFonts w:hint="eastAsia"/>
                <w:color w:val="000000"/>
                <w:lang w:val="en-US" w:eastAsia="zh-CN"/>
              </w:rPr>
              <w:t>经</w:t>
            </w:r>
            <w:r>
              <w:rPr>
                <w:rFonts w:hint="eastAsia"/>
                <w:color w:val="000000"/>
                <w:szCs w:val="16"/>
                <w:lang w:val="en-US" w:eastAsia="zh-CN"/>
              </w:rPr>
              <w:t>污水处理设施</w:t>
            </w:r>
            <w:r>
              <w:rPr>
                <w:color w:val="000000"/>
              </w:rPr>
              <w:t>处理</w:t>
            </w:r>
            <w:r>
              <w:rPr>
                <w:rFonts w:hint="eastAsia"/>
                <w:color w:val="000000"/>
                <w:lang w:eastAsia="zh-CN"/>
              </w:rPr>
              <w:t>，</w:t>
            </w:r>
            <w:r>
              <w:rPr>
                <w:rFonts w:hint="eastAsia"/>
                <w:color w:val="000000"/>
                <w:lang w:val="en-US" w:eastAsia="zh-CN"/>
              </w:rPr>
              <w:t>不外排</w:t>
            </w:r>
            <w:r>
              <w:rPr>
                <w:rFonts w:hint="eastAsia"/>
                <w:color w:val="000000"/>
              </w:rPr>
              <w:t>。</w:t>
            </w:r>
          </w:p>
        </w:tc>
      </w:tr>
      <w:tr w14:paraId="3F1C6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86" w:type="pct"/>
            <w:vAlign w:val="center"/>
          </w:tcPr>
          <w:p w14:paraId="32B5F4E9">
            <w:pPr>
              <w:jc w:val="center"/>
              <w:rPr>
                <w:b/>
                <w:color w:val="000000"/>
              </w:rPr>
            </w:pPr>
            <w:r>
              <w:rPr>
                <w:b/>
                <w:color w:val="000000"/>
              </w:rPr>
              <w:t>地下水及土壤环境</w:t>
            </w:r>
          </w:p>
        </w:tc>
        <w:tc>
          <w:tcPr>
            <w:tcW w:w="1871" w:type="pct"/>
            <w:vAlign w:val="center"/>
          </w:tcPr>
          <w:p w14:paraId="69729222">
            <w:pPr>
              <w:jc w:val="center"/>
              <w:rPr>
                <w:color w:val="000000"/>
              </w:rPr>
            </w:pPr>
            <w:r>
              <w:rPr>
                <w:rFonts w:hint="eastAsia"/>
                <w:color w:val="000000"/>
              </w:rPr>
              <w:t>/</w:t>
            </w:r>
          </w:p>
        </w:tc>
        <w:tc>
          <w:tcPr>
            <w:tcW w:w="1021" w:type="pct"/>
            <w:vAlign w:val="center"/>
          </w:tcPr>
          <w:p w14:paraId="65D920C0">
            <w:pPr>
              <w:jc w:val="center"/>
              <w:rPr>
                <w:color w:val="000000"/>
              </w:rPr>
            </w:pPr>
            <w:r>
              <w:rPr>
                <w:rFonts w:hint="eastAsia"/>
                <w:color w:val="000000"/>
              </w:rPr>
              <w:t>/</w:t>
            </w:r>
          </w:p>
        </w:tc>
        <w:tc>
          <w:tcPr>
            <w:tcW w:w="1103" w:type="pct"/>
            <w:vAlign w:val="center"/>
          </w:tcPr>
          <w:p w14:paraId="3C91CD18">
            <w:pPr>
              <w:jc w:val="center"/>
              <w:rPr>
                <w:color w:val="000000"/>
              </w:rPr>
            </w:pPr>
            <w:r>
              <w:rPr>
                <w:color w:val="000000"/>
              </w:rPr>
              <w:t>/</w:t>
            </w:r>
          </w:p>
        </w:tc>
        <w:tc>
          <w:tcPr>
            <w:tcW w:w="718" w:type="pct"/>
            <w:vAlign w:val="center"/>
          </w:tcPr>
          <w:p w14:paraId="54260600">
            <w:pPr>
              <w:jc w:val="center"/>
              <w:rPr>
                <w:color w:val="000000"/>
              </w:rPr>
            </w:pPr>
            <w:r>
              <w:rPr>
                <w:color w:val="000000"/>
              </w:rPr>
              <w:t>/</w:t>
            </w:r>
          </w:p>
        </w:tc>
      </w:tr>
      <w:tr w14:paraId="69E8E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86" w:type="pct"/>
            <w:vAlign w:val="center"/>
          </w:tcPr>
          <w:p w14:paraId="2AE91B20">
            <w:pPr>
              <w:jc w:val="center"/>
              <w:rPr>
                <w:b/>
                <w:color w:val="000000"/>
              </w:rPr>
            </w:pPr>
            <w:r>
              <w:rPr>
                <w:b/>
                <w:color w:val="000000"/>
              </w:rPr>
              <w:t>声环境</w:t>
            </w:r>
          </w:p>
        </w:tc>
        <w:tc>
          <w:tcPr>
            <w:tcW w:w="1871" w:type="pct"/>
            <w:vAlign w:val="center"/>
          </w:tcPr>
          <w:p w14:paraId="08FCA8BF">
            <w:pPr>
              <w:rPr>
                <w:color w:val="000000"/>
              </w:rPr>
            </w:pPr>
            <w:r>
              <w:rPr>
                <w:rFonts w:hint="eastAsia"/>
                <w:color w:val="000000"/>
              </w:rPr>
              <w:t>①要求施工单位文明施工，加强施工期的环境管理和环境监控工作，并接受生态环境主管部门的监督管理。</w:t>
            </w:r>
          </w:p>
          <w:p w14:paraId="1085CDF3">
            <w:pPr>
              <w:rPr>
                <w:color w:val="000000"/>
              </w:rPr>
            </w:pPr>
            <w:r>
              <w:rPr>
                <w:rFonts w:hint="eastAsia"/>
                <w:color w:val="000000"/>
              </w:rPr>
              <w:t>②</w:t>
            </w:r>
            <w:r>
              <w:rPr>
                <w:rFonts w:hint="eastAsia"/>
                <w:color w:val="000000"/>
                <w:lang w:eastAsia="zh-CN"/>
              </w:rPr>
              <w:t>按照</w:t>
            </w:r>
            <w:r>
              <w:rPr>
                <w:rFonts w:hint="eastAsia"/>
                <w:color w:val="000000"/>
              </w:rPr>
              <w:t>《中华人民共和国环境噪声污染防治法》的规定，在噪声敏感建筑物集中区域施工作业，应当优先使用低噪声施工工艺和设备。本环评要求在噪声敏感建筑物集中区域的施工作业应按《低噪声施工设备指导名录（2024年</w:t>
            </w:r>
            <w:r>
              <w:rPr>
                <w:rFonts w:hint="eastAsia"/>
                <w:color w:val="000000"/>
                <w:lang w:val="en-US" w:eastAsia="zh-CN"/>
              </w:rPr>
              <w:t>版</w:t>
            </w:r>
            <w:r>
              <w:rPr>
                <w:rFonts w:hint="eastAsia"/>
                <w:color w:val="000000"/>
              </w:rPr>
              <w:t>）》，优先选用低噪声施工设备进行施工。</w:t>
            </w:r>
          </w:p>
          <w:p w14:paraId="0B96489A">
            <w:pPr>
              <w:rPr>
                <w:color w:val="000000"/>
              </w:rPr>
            </w:pPr>
            <w:r>
              <w:rPr>
                <w:rFonts w:hint="eastAsia"/>
                <w:color w:val="000000"/>
              </w:rPr>
              <w:t>③优化施工方案，合理安排工期，依法限制夜间施工。按《中华人民共和国噪声污染防治法》的规定，在噪声敏感建筑物集中区域，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14:paraId="34688634">
            <w:pPr>
              <w:rPr>
                <w:color w:val="000000"/>
              </w:rPr>
            </w:pPr>
            <w:r>
              <w:rPr>
                <w:rFonts w:hint="eastAsia"/>
                <w:color w:val="000000"/>
              </w:rPr>
              <w:t>④加强施工车辆在施工区附近的交通管理，当车辆途经附近居民点时，限速行驶、不高音鸣笛，以减少施工车辆行驶对沿途居民点的噪声影响。</w:t>
            </w:r>
          </w:p>
          <w:p w14:paraId="41196DFA">
            <w:pPr>
              <w:rPr>
                <w:color w:val="000000"/>
              </w:rPr>
            </w:pPr>
            <w:r>
              <w:rPr>
                <w:rFonts w:hint="eastAsia"/>
                <w:color w:val="000000"/>
              </w:rPr>
              <w:t>⑤避免在同一地点安排大量动力机械设备，以避免局部声级过高。</w:t>
            </w:r>
          </w:p>
          <w:p w14:paraId="121DA3B8">
            <w:r>
              <w:rPr>
                <w:rFonts w:hint="eastAsia"/>
              </w:rPr>
              <w:t>⑥</w:t>
            </w:r>
            <w:r>
              <w:rPr>
                <w:rFonts w:hint="eastAsia"/>
                <w:color w:val="000000"/>
              </w:rPr>
              <w:t>对动力机械设备进行定期维修、养护，避免设备因部件松动的振动或消声器的损坏而加大其工作时声级。</w:t>
            </w:r>
          </w:p>
        </w:tc>
        <w:tc>
          <w:tcPr>
            <w:tcW w:w="1021" w:type="pct"/>
            <w:vAlign w:val="center"/>
          </w:tcPr>
          <w:p w14:paraId="2D383CBE">
            <w:pPr>
              <w:rPr>
                <w:color w:val="000000"/>
              </w:rPr>
            </w:pPr>
            <w:r>
              <w:rPr>
                <w:rFonts w:hint="eastAsia"/>
                <w:color w:val="000000"/>
              </w:rPr>
              <w:t>①施工单位文明施工，加强施工期的环境管理和环境监控工作，并主动接受生态环境主管部门的监督管理。</w:t>
            </w:r>
          </w:p>
          <w:p w14:paraId="45E2BF99">
            <w:pPr>
              <w:rPr>
                <w:color w:val="000000"/>
              </w:rPr>
            </w:pPr>
            <w:r>
              <w:rPr>
                <w:rFonts w:hint="eastAsia"/>
                <w:color w:val="000000"/>
              </w:rPr>
              <w:t>②施工</w:t>
            </w:r>
            <w:r>
              <w:rPr>
                <w:color w:val="000000"/>
              </w:rPr>
              <w:t>单位采用噪声水平满足国家相应标准的施工机械设备，并在施工场周围设置围挡设施，施工场界噪声满足《建筑施工场界环境噪声排放标准》（GB12523-2011）要求。</w:t>
            </w:r>
          </w:p>
          <w:p w14:paraId="6FE2CEAA">
            <w:pPr>
              <w:rPr>
                <w:color w:val="000000"/>
              </w:rPr>
            </w:pPr>
            <w:r>
              <w:rPr>
                <w:rFonts w:hint="eastAsia"/>
                <w:color w:val="000000"/>
              </w:rPr>
              <w:t>③施工过程中，避免夜间施工，若确需夜间施工，应禁止高噪声施工作业</w:t>
            </w:r>
            <w:r>
              <w:rPr>
                <w:color w:val="000000"/>
              </w:rPr>
              <w:t>。</w:t>
            </w:r>
          </w:p>
          <w:p w14:paraId="062BFBF0">
            <w:pPr>
              <w:rPr>
                <w:color w:val="000000"/>
              </w:rPr>
            </w:pPr>
            <w:r>
              <w:rPr>
                <w:rFonts w:hint="eastAsia"/>
                <w:color w:val="000000"/>
              </w:rPr>
              <w:t>④加强施工噪声管理工作，避免施工扰民</w:t>
            </w:r>
            <w:r>
              <w:rPr>
                <w:color w:val="000000"/>
              </w:rPr>
              <w:t>。</w:t>
            </w:r>
          </w:p>
          <w:p w14:paraId="6584BE44">
            <w:pPr>
              <w:rPr>
                <w:color w:val="000000"/>
              </w:rPr>
            </w:pPr>
            <w:r>
              <w:rPr>
                <w:rFonts w:hint="eastAsia"/>
                <w:color w:val="000000"/>
              </w:rPr>
              <w:t>⑤加强动力机械设备施工安排，避免局部声级过高。</w:t>
            </w:r>
          </w:p>
          <w:p w14:paraId="0E7FB33B">
            <w:pPr>
              <w:rPr>
                <w:color w:val="000000"/>
              </w:rPr>
            </w:pPr>
            <w:r>
              <w:rPr>
                <w:rFonts w:hint="eastAsia"/>
                <w:color w:val="000000"/>
              </w:rPr>
              <w:t>⑥加强动力机械设备进行定期维修、养护，避免设备因部件松动的振动或消声器的损坏而加大其工作时声级。</w:t>
            </w:r>
          </w:p>
        </w:tc>
        <w:tc>
          <w:tcPr>
            <w:tcW w:w="1103" w:type="pct"/>
            <w:vAlign w:val="center"/>
          </w:tcPr>
          <w:p w14:paraId="3D159FC1">
            <w:pPr>
              <w:rPr>
                <w:color w:val="000000"/>
              </w:rPr>
            </w:pPr>
            <w:r>
              <w:rPr>
                <w:rFonts w:hint="eastAsia"/>
                <w:color w:val="000000"/>
              </w:rPr>
              <w:t>运行期做好设施的维护和运行管理，定期开展环境监测，变电站运行期间厂界噪声均满足《工业企业厂界环境噪声排放标准》（GB12348-2008）相应标准限值要求，变电站和输电线路周围的声环境保护目标处的声环境均满足《声环境质量标准》（GB3096-2008）相应功能区标准限值要求。</w:t>
            </w:r>
          </w:p>
        </w:tc>
        <w:tc>
          <w:tcPr>
            <w:tcW w:w="718" w:type="pct"/>
            <w:vAlign w:val="center"/>
          </w:tcPr>
          <w:p w14:paraId="30C8C5A3">
            <w:pPr>
              <w:jc w:val="left"/>
              <w:rPr>
                <w:color w:val="000000"/>
              </w:rPr>
            </w:pPr>
            <w:r>
              <w:rPr>
                <w:color w:val="000000"/>
              </w:rPr>
              <w:t>变电站运行期间厂界噪声满足《工业企业厂界环境噪声排放标准》（GB12348-2008）</w:t>
            </w:r>
            <w:r>
              <w:rPr>
                <w:rFonts w:hint="eastAsia"/>
                <w:color w:val="000000"/>
                <w:lang w:val="en-US" w:eastAsia="zh-CN"/>
              </w:rPr>
              <w:t>2</w:t>
            </w:r>
            <w:r>
              <w:rPr>
                <w:rFonts w:hint="eastAsia"/>
                <w:color w:val="000000"/>
              </w:rPr>
              <w:t>类标准限值要求。变电站周围</w:t>
            </w:r>
            <w:r>
              <w:rPr>
                <w:color w:val="000000"/>
              </w:rPr>
              <w:t>声环境</w:t>
            </w:r>
            <w:r>
              <w:rPr>
                <w:rFonts w:hint="eastAsia"/>
                <w:color w:val="000000"/>
              </w:rPr>
              <w:t>保护</w:t>
            </w:r>
            <w:r>
              <w:rPr>
                <w:color w:val="000000"/>
              </w:rPr>
              <w:t>目标</w:t>
            </w:r>
            <w:r>
              <w:rPr>
                <w:rFonts w:hint="eastAsia"/>
                <w:color w:val="000000"/>
              </w:rPr>
              <w:t>噪声</w:t>
            </w:r>
            <w:r>
              <w:rPr>
                <w:color w:val="000000"/>
              </w:rPr>
              <w:t>满足《声环境质量标准》（GB3096-2008）</w:t>
            </w:r>
            <w:r>
              <w:rPr>
                <w:rFonts w:hint="eastAsia"/>
                <w:color w:val="000000"/>
                <w:lang w:val="en-US" w:eastAsia="zh-CN"/>
              </w:rPr>
              <w:t>2</w:t>
            </w:r>
            <w:r>
              <w:rPr>
                <w:rFonts w:hint="eastAsia"/>
                <w:color w:val="000000"/>
              </w:rPr>
              <w:t>类</w:t>
            </w:r>
            <w:r>
              <w:rPr>
                <w:color w:val="000000"/>
              </w:rPr>
              <w:t>标准限值要求。</w:t>
            </w:r>
            <w:r>
              <w:rPr>
                <w:rFonts w:hint="eastAsia"/>
                <w:color w:val="000000"/>
              </w:rPr>
              <w:t>输电线路沿线声环境满足</w:t>
            </w:r>
            <w:r>
              <w:rPr>
                <w:color w:val="000000"/>
              </w:rPr>
              <w:t>《声环境质量标准》（GB3096-2008）</w:t>
            </w:r>
            <w:r>
              <w:rPr>
                <w:rFonts w:hint="eastAsia"/>
                <w:color w:val="000000"/>
              </w:rPr>
              <w:t>相应</w:t>
            </w:r>
            <w:r>
              <w:rPr>
                <w:color w:val="000000"/>
              </w:rPr>
              <w:t>标准限值要求。</w:t>
            </w:r>
          </w:p>
        </w:tc>
      </w:tr>
      <w:tr w14:paraId="3B9B6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 w:type="pct"/>
            <w:vAlign w:val="center"/>
          </w:tcPr>
          <w:p w14:paraId="26A6D95C">
            <w:pPr>
              <w:jc w:val="center"/>
              <w:rPr>
                <w:b/>
                <w:color w:val="000000"/>
              </w:rPr>
            </w:pPr>
            <w:r>
              <w:rPr>
                <w:b/>
                <w:color w:val="000000"/>
              </w:rPr>
              <w:t>振动</w:t>
            </w:r>
          </w:p>
        </w:tc>
        <w:tc>
          <w:tcPr>
            <w:tcW w:w="1871" w:type="pct"/>
            <w:vAlign w:val="center"/>
          </w:tcPr>
          <w:p w14:paraId="52B739C6">
            <w:pPr>
              <w:jc w:val="center"/>
              <w:rPr>
                <w:color w:val="000000"/>
              </w:rPr>
            </w:pPr>
            <w:r>
              <w:rPr>
                <w:color w:val="000000"/>
              </w:rPr>
              <w:t>/</w:t>
            </w:r>
          </w:p>
        </w:tc>
        <w:tc>
          <w:tcPr>
            <w:tcW w:w="1021" w:type="pct"/>
            <w:vAlign w:val="center"/>
          </w:tcPr>
          <w:p w14:paraId="04CAEC2C">
            <w:pPr>
              <w:jc w:val="center"/>
              <w:rPr>
                <w:color w:val="000000"/>
              </w:rPr>
            </w:pPr>
            <w:r>
              <w:rPr>
                <w:color w:val="000000"/>
              </w:rPr>
              <w:t>/</w:t>
            </w:r>
          </w:p>
        </w:tc>
        <w:tc>
          <w:tcPr>
            <w:tcW w:w="1103" w:type="pct"/>
            <w:vAlign w:val="center"/>
          </w:tcPr>
          <w:p w14:paraId="03D290BC">
            <w:pPr>
              <w:jc w:val="center"/>
              <w:rPr>
                <w:color w:val="000000"/>
              </w:rPr>
            </w:pPr>
            <w:r>
              <w:rPr>
                <w:color w:val="000000"/>
              </w:rPr>
              <w:t>/</w:t>
            </w:r>
          </w:p>
        </w:tc>
        <w:tc>
          <w:tcPr>
            <w:tcW w:w="718" w:type="pct"/>
            <w:vAlign w:val="center"/>
          </w:tcPr>
          <w:p w14:paraId="5ADBA96D">
            <w:pPr>
              <w:jc w:val="center"/>
              <w:rPr>
                <w:color w:val="000000"/>
              </w:rPr>
            </w:pPr>
            <w:r>
              <w:rPr>
                <w:color w:val="000000"/>
              </w:rPr>
              <w:t>/</w:t>
            </w:r>
          </w:p>
        </w:tc>
      </w:tr>
      <w:tr w14:paraId="07BC1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286" w:type="pct"/>
            <w:vAlign w:val="center"/>
          </w:tcPr>
          <w:p w14:paraId="52242819">
            <w:pPr>
              <w:jc w:val="center"/>
              <w:rPr>
                <w:b/>
                <w:color w:val="000000"/>
              </w:rPr>
            </w:pPr>
            <w:r>
              <w:rPr>
                <w:b/>
                <w:color w:val="000000"/>
              </w:rPr>
              <w:t>大气环境</w:t>
            </w:r>
          </w:p>
        </w:tc>
        <w:tc>
          <w:tcPr>
            <w:tcW w:w="1871" w:type="pct"/>
            <w:vAlign w:val="center"/>
          </w:tcPr>
          <w:p w14:paraId="0F83F405">
            <w:pPr>
              <w:rPr>
                <w:color w:val="000000"/>
              </w:rPr>
            </w:pPr>
            <w:r>
              <w:rPr>
                <w:rFonts w:hint="eastAsia"/>
                <w:color w:val="000000"/>
              </w:rPr>
              <w:t>①</w:t>
            </w:r>
            <w:r>
              <w:rPr>
                <w:color w:val="000000"/>
              </w:rPr>
              <w:t>施工单位应文明施工，加强施工期的环境管理和环境监控工作。</w:t>
            </w:r>
          </w:p>
          <w:p w14:paraId="3235447F">
            <w:pPr>
              <w:rPr>
                <w:color w:val="000000"/>
              </w:rPr>
            </w:pPr>
            <w:r>
              <w:rPr>
                <w:rFonts w:hint="eastAsia"/>
                <w:color w:val="000000"/>
              </w:rPr>
              <w:t>②</w:t>
            </w:r>
            <w:r>
              <w:rPr>
                <w:color w:val="000000"/>
              </w:rPr>
              <w:t>施工产生的建筑垃圾等要合理堆放，应定期清运。</w:t>
            </w:r>
          </w:p>
          <w:p w14:paraId="4B90116F">
            <w:pPr>
              <w:rPr>
                <w:color w:val="000000"/>
              </w:rPr>
            </w:pPr>
            <w:r>
              <w:rPr>
                <w:rFonts w:hint="eastAsia"/>
                <w:color w:val="000000"/>
              </w:rPr>
              <w:t>③</w:t>
            </w:r>
            <w:r>
              <w:rPr>
                <w:color w:val="000000"/>
              </w:rPr>
              <w:t>车辆运输土方</w:t>
            </w:r>
            <w:r>
              <w:rPr>
                <w:rFonts w:hint="eastAsia"/>
                <w:color w:val="000000"/>
              </w:rPr>
              <w:t>或散体材料</w:t>
            </w:r>
            <w:r>
              <w:rPr>
                <w:color w:val="000000"/>
              </w:rPr>
              <w:t>时，必须密闭、包扎、覆盖，避免沿途漏撒，并且在规定的时间内按指定路段行驶，控制扬尘污染。</w:t>
            </w:r>
          </w:p>
          <w:p w14:paraId="6DAD8951">
            <w:pPr>
              <w:rPr>
                <w:color w:val="000000"/>
              </w:rPr>
            </w:pPr>
            <w:r>
              <w:rPr>
                <w:rFonts w:hint="eastAsia"/>
                <w:color w:val="000000"/>
              </w:rPr>
              <w:t>④</w:t>
            </w:r>
            <w:r>
              <w:rPr>
                <w:color w:val="000000"/>
              </w:rPr>
              <w:t>加强材料转运与使用的管理，合理装卸，规范操作。</w:t>
            </w:r>
          </w:p>
          <w:p w14:paraId="4A109084">
            <w:pPr>
              <w:rPr>
                <w:color w:val="000000"/>
              </w:rPr>
            </w:pPr>
            <w:r>
              <w:rPr>
                <w:rFonts w:hint="eastAsia"/>
                <w:color w:val="000000"/>
              </w:rPr>
              <w:t>⑤对易起尘的临时堆土、运输过程中的土石方等采取密闭式防尘布（网）进行</w:t>
            </w:r>
            <w:r>
              <w:rPr>
                <w:rFonts w:hint="eastAsia"/>
                <w:color w:val="000000"/>
                <w:lang w:eastAsia="zh-CN"/>
              </w:rPr>
              <w:t>苫盖</w:t>
            </w:r>
            <w:r>
              <w:rPr>
                <w:rFonts w:hint="eastAsia"/>
                <w:color w:val="000000"/>
              </w:rPr>
              <w:t>。</w:t>
            </w:r>
          </w:p>
          <w:p w14:paraId="7B744462">
            <w:pPr>
              <w:rPr>
                <w:color w:val="000000"/>
              </w:rPr>
            </w:pPr>
            <w:r>
              <w:rPr>
                <w:rFonts w:hint="eastAsia"/>
                <w:color w:val="000000"/>
              </w:rPr>
              <w:t>⑥对裸露地面进行覆盖，施工现场禁止将包装物、可燃垃圾等固体废弃物就地焚烧。</w:t>
            </w:r>
          </w:p>
          <w:p w14:paraId="49C02E82">
            <w:pPr>
              <w:rPr>
                <w:color w:val="000000"/>
              </w:rPr>
            </w:pPr>
            <w:r>
              <w:rPr>
                <w:rFonts w:hint="eastAsia"/>
                <w:color w:val="000000"/>
              </w:rPr>
              <w:t>⑦牵张放线时控制速度，减少线路对地表的扰动。</w:t>
            </w:r>
          </w:p>
        </w:tc>
        <w:tc>
          <w:tcPr>
            <w:tcW w:w="1021" w:type="pct"/>
            <w:vAlign w:val="center"/>
          </w:tcPr>
          <w:p w14:paraId="04657FFC">
            <w:pPr>
              <w:rPr>
                <w:color w:val="000000"/>
              </w:rPr>
            </w:pPr>
            <w:r>
              <w:rPr>
                <w:rFonts w:hint="eastAsia"/>
                <w:color w:val="000000"/>
              </w:rPr>
              <w:t>①</w:t>
            </w:r>
            <w:r>
              <w:rPr>
                <w:color w:val="000000"/>
              </w:rPr>
              <w:t>施工单位严格落实文明施工，并加强施工期的环境管理。</w:t>
            </w:r>
          </w:p>
          <w:p w14:paraId="1051126B">
            <w:pPr>
              <w:rPr>
                <w:color w:val="000000"/>
              </w:rPr>
            </w:pPr>
            <w:r>
              <w:rPr>
                <w:rFonts w:hint="eastAsia"/>
                <w:color w:val="000000"/>
              </w:rPr>
              <w:t>②</w:t>
            </w:r>
            <w:r>
              <w:rPr>
                <w:color w:val="000000"/>
              </w:rPr>
              <w:t>施工垃圾及时清运。</w:t>
            </w:r>
          </w:p>
          <w:p w14:paraId="7DBB4954">
            <w:pPr>
              <w:rPr>
                <w:color w:val="000000"/>
              </w:rPr>
            </w:pPr>
            <w:r>
              <w:rPr>
                <w:rFonts w:hint="eastAsia"/>
                <w:color w:val="000000"/>
              </w:rPr>
              <w:t>③</w:t>
            </w:r>
            <w:r>
              <w:rPr>
                <w:color w:val="000000"/>
              </w:rPr>
              <w:t>运输土石方或散体材料时采取</w:t>
            </w:r>
            <w:r>
              <w:rPr>
                <w:rFonts w:hint="eastAsia"/>
                <w:color w:val="000000"/>
              </w:rPr>
              <w:t>密闭、包扎、覆盖措施</w:t>
            </w:r>
            <w:r>
              <w:rPr>
                <w:color w:val="000000"/>
              </w:rPr>
              <w:t>。</w:t>
            </w:r>
          </w:p>
          <w:p w14:paraId="3E1073F4">
            <w:pPr>
              <w:rPr>
                <w:color w:val="000000"/>
              </w:rPr>
            </w:pPr>
            <w:r>
              <w:rPr>
                <w:rFonts w:hint="eastAsia"/>
                <w:color w:val="000000"/>
              </w:rPr>
              <w:t>④</w:t>
            </w:r>
            <w:r>
              <w:rPr>
                <w:color w:val="000000"/>
              </w:rPr>
              <w:t>严格规范材料转运、装卸过程中的操作。</w:t>
            </w:r>
          </w:p>
          <w:p w14:paraId="4CD22EA3">
            <w:pPr>
              <w:rPr>
                <w:color w:val="000000"/>
              </w:rPr>
            </w:pPr>
            <w:r>
              <w:rPr>
                <w:rFonts w:hint="eastAsia"/>
                <w:color w:val="000000"/>
              </w:rPr>
              <w:t>⑤对易起尘的临时堆土、运输过程中的土石方等采取密闭式防尘布（网）进行</w:t>
            </w:r>
            <w:r>
              <w:rPr>
                <w:rFonts w:hint="eastAsia"/>
                <w:color w:val="000000"/>
                <w:lang w:eastAsia="zh-CN"/>
              </w:rPr>
              <w:t>苫盖</w:t>
            </w:r>
            <w:r>
              <w:rPr>
                <w:rFonts w:hint="eastAsia"/>
                <w:color w:val="000000"/>
              </w:rPr>
              <w:t>。</w:t>
            </w:r>
          </w:p>
          <w:p w14:paraId="10666C59">
            <w:pPr>
              <w:rPr>
                <w:color w:val="000000"/>
              </w:rPr>
            </w:pPr>
            <w:r>
              <w:rPr>
                <w:rFonts w:hint="eastAsia"/>
                <w:color w:val="000000"/>
              </w:rPr>
              <w:t>⑥禁止将包装物、可燃垃圾等固体废弃物就地焚烧</w:t>
            </w:r>
          </w:p>
          <w:p w14:paraId="3597CEE0">
            <w:pPr>
              <w:rPr>
                <w:color w:val="000000"/>
              </w:rPr>
            </w:pPr>
            <w:r>
              <w:rPr>
                <w:rFonts w:hint="eastAsia"/>
                <w:color w:val="000000"/>
              </w:rPr>
              <w:t>⑦牵张放线时控制速度，减少线路对地表的扰动</w:t>
            </w:r>
          </w:p>
        </w:tc>
        <w:tc>
          <w:tcPr>
            <w:tcW w:w="1103" w:type="pct"/>
            <w:vAlign w:val="center"/>
          </w:tcPr>
          <w:p w14:paraId="13C5D925">
            <w:pPr>
              <w:jc w:val="center"/>
              <w:rPr>
                <w:color w:val="000000"/>
              </w:rPr>
            </w:pPr>
            <w:r>
              <w:rPr>
                <w:color w:val="000000"/>
              </w:rPr>
              <w:t>/</w:t>
            </w:r>
          </w:p>
        </w:tc>
        <w:tc>
          <w:tcPr>
            <w:tcW w:w="718" w:type="pct"/>
            <w:vAlign w:val="center"/>
          </w:tcPr>
          <w:p w14:paraId="089BB441">
            <w:pPr>
              <w:jc w:val="center"/>
              <w:rPr>
                <w:color w:val="000000"/>
              </w:rPr>
            </w:pPr>
            <w:r>
              <w:rPr>
                <w:color w:val="000000"/>
              </w:rPr>
              <w:t>/</w:t>
            </w:r>
          </w:p>
        </w:tc>
      </w:tr>
      <w:tr w14:paraId="31F60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286" w:type="pct"/>
            <w:vAlign w:val="center"/>
          </w:tcPr>
          <w:p w14:paraId="2AF982DD">
            <w:pPr>
              <w:jc w:val="center"/>
              <w:rPr>
                <w:b/>
                <w:color w:val="000000"/>
              </w:rPr>
            </w:pPr>
            <w:r>
              <w:rPr>
                <w:b/>
                <w:color w:val="000000"/>
              </w:rPr>
              <w:t>固体废物</w:t>
            </w:r>
          </w:p>
        </w:tc>
        <w:tc>
          <w:tcPr>
            <w:tcW w:w="1871" w:type="pct"/>
            <w:vAlign w:val="center"/>
          </w:tcPr>
          <w:p w14:paraId="55A37015">
            <w:pPr>
              <w:rPr>
                <w:color w:val="000000"/>
              </w:rPr>
            </w:pPr>
            <w:r>
              <w:rPr>
                <w:rFonts w:hint="eastAsia"/>
                <w:color w:val="000000"/>
              </w:rPr>
              <w:t>①明确要求施工过程中的建筑垃圾及生活垃圾应分别收集存放，及时清运。生活垃圾实行袋装化，封闭贮存；建筑垃圾分类堆存，并采取必要的防护措施（防雨、防扬尘等）。</w:t>
            </w:r>
          </w:p>
          <w:p w14:paraId="267E2D0F">
            <w:pPr>
              <w:rPr>
                <w:color w:val="000000"/>
              </w:rPr>
            </w:pPr>
            <w:r>
              <w:rPr>
                <w:rFonts w:hint="eastAsia"/>
                <w:color w:val="000000"/>
              </w:rPr>
              <w:t>②新建输电线路塔基开挖多余土方应在塔基征地范围内进行平整，同时在表面进行土地平整。</w:t>
            </w:r>
          </w:p>
          <w:p w14:paraId="25366214">
            <w:pPr>
              <w:rPr>
                <w:color w:val="000000"/>
              </w:rPr>
            </w:pPr>
            <w:r>
              <w:rPr>
                <w:rFonts w:hint="eastAsia"/>
                <w:color w:val="000000"/>
              </w:rPr>
              <w:t>③施工结束后对施工区域再次进行清理，做到“工完、料尽、场地清”</w:t>
            </w:r>
            <w:r>
              <w:rPr>
                <w:color w:val="000000"/>
              </w:rPr>
              <w:t>。</w:t>
            </w:r>
          </w:p>
        </w:tc>
        <w:tc>
          <w:tcPr>
            <w:tcW w:w="1021" w:type="pct"/>
            <w:vAlign w:val="center"/>
          </w:tcPr>
          <w:p w14:paraId="3738D9CC">
            <w:pPr>
              <w:rPr>
                <w:color w:val="000000"/>
              </w:rPr>
            </w:pPr>
            <w:r>
              <w:rPr>
                <w:rFonts w:hint="eastAsia"/>
                <w:color w:val="000000"/>
              </w:rPr>
              <w:t>建筑垃圾和生活垃圾未堆放一起；施工结束后未见遗留施工物料、堆土、垃圾等。</w:t>
            </w:r>
          </w:p>
        </w:tc>
        <w:tc>
          <w:tcPr>
            <w:tcW w:w="1103" w:type="pct"/>
            <w:vAlign w:val="center"/>
          </w:tcPr>
          <w:p w14:paraId="5C728173">
            <w:pPr>
              <w:rPr>
                <w:color w:val="000000"/>
              </w:rPr>
            </w:pPr>
            <w:r>
              <w:rPr>
                <w:rFonts w:hint="eastAsia"/>
                <w:color w:val="000000"/>
              </w:rPr>
              <w:t>①变电站产生的生活垃圾经站内生活垃圾收集设施收集后定期清运至当地环卫部门指定的垃圾收集点，随当地生活垃圾一起处理，不得随意丢弃。</w:t>
            </w:r>
          </w:p>
          <w:p w14:paraId="67B40DC4">
            <w:pPr>
              <w:rPr>
                <w:color w:val="000000"/>
              </w:rPr>
            </w:pPr>
            <w:r>
              <w:rPr>
                <w:rFonts w:hint="eastAsia"/>
                <w:color w:val="000000"/>
              </w:rPr>
              <w:t>②变电站内铅酸蓄电池达到使用寿命或需要更换时交由有危废处理资质单位处置，严禁随意丢弃，不在站内储存</w:t>
            </w:r>
            <w:r>
              <w:rPr>
                <w:color w:val="000000"/>
              </w:rPr>
              <w:t>。</w:t>
            </w:r>
          </w:p>
          <w:p w14:paraId="0DA846A5">
            <w:pPr>
              <w:rPr>
                <w:color w:val="000000"/>
              </w:rPr>
            </w:pPr>
            <w:r>
              <w:rPr>
                <w:rFonts w:hint="eastAsia"/>
                <w:color w:val="000000"/>
              </w:rPr>
              <w:t>③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tc>
        <w:tc>
          <w:tcPr>
            <w:tcW w:w="718" w:type="pct"/>
            <w:vAlign w:val="center"/>
          </w:tcPr>
          <w:p w14:paraId="3556819D">
            <w:pPr>
              <w:rPr>
                <w:color w:val="000000"/>
              </w:rPr>
            </w:pPr>
            <w:r>
              <w:rPr>
                <w:rFonts w:hint="eastAsia"/>
                <w:color w:val="000000"/>
              </w:rPr>
              <w:t>①</w:t>
            </w:r>
            <w:r>
              <w:rPr>
                <w:color w:val="000000"/>
              </w:rPr>
              <w:t>定期巡检人员产生的少量生活垃圾，应收集集中后运至当地镇区的生活垃圾转运点，交由环卫部门妥善处理。</w:t>
            </w:r>
          </w:p>
          <w:p w14:paraId="7734343B">
            <w:pPr>
              <w:rPr>
                <w:color w:val="000000"/>
              </w:rPr>
            </w:pPr>
            <w:r>
              <w:rPr>
                <w:rFonts w:hint="eastAsia"/>
                <w:color w:val="000000"/>
              </w:rPr>
              <w:t>②</w:t>
            </w:r>
            <w:r>
              <w:rPr>
                <w:color w:val="000000"/>
              </w:rPr>
              <w:t>变电站运行产生的废旧的铅酸蓄电池按照国家危废转移、处置有关规定进行转移、处置。</w:t>
            </w:r>
          </w:p>
          <w:p w14:paraId="3FC040FF">
            <w:pPr>
              <w:rPr>
                <w:color w:val="000000"/>
              </w:rPr>
            </w:pPr>
            <w:r>
              <w:rPr>
                <w:rFonts w:hint="eastAsia"/>
                <w:color w:val="000000"/>
              </w:rPr>
              <w:t>③输电线路检修时更换的金具、绝缘子串等交由电力公司物资部门进行处置；生活垃圾应由巡线人员带至垃圾集中收集点妥善处置。</w:t>
            </w:r>
          </w:p>
        </w:tc>
      </w:tr>
      <w:tr w14:paraId="28EB9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86" w:type="pct"/>
            <w:vAlign w:val="center"/>
          </w:tcPr>
          <w:p w14:paraId="1581C222">
            <w:pPr>
              <w:jc w:val="center"/>
              <w:rPr>
                <w:b/>
                <w:color w:val="000000"/>
              </w:rPr>
            </w:pPr>
            <w:r>
              <w:rPr>
                <w:b/>
                <w:color w:val="000000"/>
              </w:rPr>
              <w:t>电磁环境</w:t>
            </w:r>
          </w:p>
        </w:tc>
        <w:tc>
          <w:tcPr>
            <w:tcW w:w="1871" w:type="pct"/>
            <w:vAlign w:val="center"/>
          </w:tcPr>
          <w:p w14:paraId="61D24693">
            <w:pPr>
              <w:rPr>
                <w:color w:val="000000"/>
              </w:rPr>
            </w:pPr>
            <w:r>
              <w:rPr>
                <w:rFonts w:hint="eastAsia"/>
                <w:color w:val="000000"/>
              </w:rPr>
              <w:t>①</w:t>
            </w:r>
            <w:r>
              <w:rPr>
                <w:color w:val="000000"/>
              </w:rPr>
              <w:t>对于输电线路，严格按照《110～750kV架空输电线路设计技术规范》（GB50545-2010）选择相导线排列形式，导线、金具及绝缘子等电气设备、设施，提高加工工艺，防止尖端放电和起电晕；此外，输电线路经过不同地区时亦严格按照上述规定设计导线对地距离、交叉跨越距离。</w:t>
            </w:r>
          </w:p>
          <w:p w14:paraId="12574A60">
            <w:pPr>
              <w:rPr>
                <w:color w:val="000000"/>
              </w:rPr>
            </w:pPr>
            <w:r>
              <w:rPr>
                <w:rFonts w:hint="eastAsia"/>
                <w:color w:val="000000"/>
              </w:rPr>
              <w:t>②</w:t>
            </w:r>
            <w:r>
              <w:rPr>
                <w:color w:val="000000"/>
              </w:rPr>
              <w:t>本工程拟建线路经过非居民区时，导线最小对地高度不低于6</w:t>
            </w:r>
            <w:r>
              <w:rPr>
                <w:rFonts w:hint="eastAsia"/>
                <w:color w:val="000000"/>
              </w:rPr>
              <w:t>.</w:t>
            </w:r>
            <w:r>
              <w:rPr>
                <w:rFonts w:hint="eastAsia"/>
                <w:color w:val="000000"/>
                <w:lang w:val="en-US" w:eastAsia="zh-CN"/>
              </w:rPr>
              <w:t>0</w:t>
            </w:r>
            <w:r>
              <w:rPr>
                <w:color w:val="000000"/>
              </w:rPr>
              <w:t>m</w:t>
            </w:r>
            <w:r>
              <w:rPr>
                <w:rFonts w:hint="eastAsia"/>
                <w:color w:val="000000"/>
              </w:rPr>
              <w:t>；</w:t>
            </w:r>
            <w:r>
              <w:rPr>
                <w:color w:val="000000"/>
              </w:rPr>
              <w:t>本工程拟建线路经过居民区时，导线最小对地高度不低于</w:t>
            </w:r>
            <w:r>
              <w:rPr>
                <w:rFonts w:hint="eastAsia"/>
                <w:color w:val="000000"/>
              </w:rPr>
              <w:t>7.</w:t>
            </w:r>
            <w:r>
              <w:rPr>
                <w:rFonts w:hint="eastAsia"/>
                <w:color w:val="000000"/>
                <w:lang w:val="en-US" w:eastAsia="zh-CN"/>
              </w:rPr>
              <w:t>0</w:t>
            </w:r>
            <w:r>
              <w:rPr>
                <w:color w:val="000000"/>
              </w:rPr>
              <w:t>m</w:t>
            </w:r>
          </w:p>
        </w:tc>
        <w:tc>
          <w:tcPr>
            <w:tcW w:w="1021" w:type="pct"/>
            <w:vAlign w:val="center"/>
          </w:tcPr>
          <w:p w14:paraId="11F4E0BE">
            <w:pPr>
              <w:rPr>
                <w:color w:val="000000"/>
              </w:rPr>
            </w:pPr>
            <w:r>
              <w:rPr>
                <w:rFonts w:hint="eastAsia"/>
              </w:rPr>
              <w:t>本工程输电线路经过非居民区和居民区，电磁环境均达标，未出现超标情况。</w:t>
            </w:r>
          </w:p>
        </w:tc>
        <w:tc>
          <w:tcPr>
            <w:tcW w:w="1103" w:type="pct"/>
            <w:vAlign w:val="center"/>
          </w:tcPr>
          <w:p w14:paraId="0CC5B5BC">
            <w:pPr>
              <w:rPr>
                <w:color w:val="000000"/>
              </w:rPr>
            </w:pPr>
            <w:r>
              <w:rPr>
                <w:rFonts w:hint="eastAsia"/>
                <w:color w:val="000000"/>
              </w:rPr>
              <w:t>严格落实导线对地最低设计高度，输电线路经过居民区应抬升导线对地高度，降低电磁环境的影响。运行期需要做好设施的维护和运行管理，定期开展环境监测，确保电磁环境满足《电磁环境控制限值》（GB8702-2014）相关要求。</w:t>
            </w:r>
          </w:p>
        </w:tc>
        <w:tc>
          <w:tcPr>
            <w:tcW w:w="718" w:type="pct"/>
            <w:vAlign w:val="center"/>
          </w:tcPr>
          <w:p w14:paraId="3E530E95">
            <w:pPr>
              <w:rPr>
                <w:color w:val="000000"/>
              </w:rPr>
            </w:pPr>
            <w:r>
              <w:rPr>
                <w:rFonts w:hint="eastAsia"/>
                <w:color w:val="000000"/>
              </w:rPr>
              <w:t>①</w:t>
            </w:r>
            <w:r>
              <w:rPr>
                <w:color w:val="000000"/>
              </w:rPr>
              <w:t>变电站厂界工频电场强度、</w:t>
            </w:r>
            <w:r>
              <w:rPr>
                <w:rFonts w:hint="eastAsia"/>
                <w:color w:val="000000"/>
              </w:rPr>
              <w:t>工频</w:t>
            </w:r>
            <w:r>
              <w:rPr>
                <w:color w:val="000000"/>
              </w:rPr>
              <w:t>磁感应强度分别满足4000V/m、100μT的标准限值要求。</w:t>
            </w:r>
          </w:p>
          <w:p w14:paraId="583F9CCB">
            <w:pPr>
              <w:rPr>
                <w:color w:val="000000"/>
              </w:rPr>
            </w:pPr>
            <w:r>
              <w:rPr>
                <w:rFonts w:hint="eastAsia"/>
                <w:color w:val="000000"/>
              </w:rPr>
              <w:t>②</w:t>
            </w:r>
            <w:r>
              <w:rPr>
                <w:color w:val="000000"/>
              </w:rPr>
              <w:t>输电线路沿线的工频电场强度、</w:t>
            </w:r>
            <w:r>
              <w:rPr>
                <w:rFonts w:hint="eastAsia"/>
                <w:color w:val="000000"/>
              </w:rPr>
              <w:t>工频</w:t>
            </w:r>
            <w:r>
              <w:rPr>
                <w:color w:val="000000"/>
              </w:rPr>
              <w:t>磁感应强度</w:t>
            </w:r>
            <w:r>
              <w:rPr>
                <w:rFonts w:hint="eastAsia"/>
                <w:color w:val="000000"/>
                <w:lang w:val="en-US" w:eastAsia="zh-CN"/>
              </w:rPr>
              <w:t>均满足相应限值要求</w:t>
            </w:r>
            <w:r>
              <w:rPr>
                <w:color w:val="000000"/>
              </w:rPr>
              <w:t>。</w:t>
            </w:r>
          </w:p>
        </w:tc>
      </w:tr>
      <w:tr w14:paraId="12364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 w:type="pct"/>
            <w:vAlign w:val="center"/>
          </w:tcPr>
          <w:p w14:paraId="57C8CE0F">
            <w:pPr>
              <w:jc w:val="center"/>
              <w:rPr>
                <w:b/>
                <w:color w:val="000000"/>
              </w:rPr>
            </w:pPr>
            <w:r>
              <w:rPr>
                <w:b/>
                <w:color w:val="000000"/>
              </w:rPr>
              <w:t>环境风险</w:t>
            </w:r>
          </w:p>
        </w:tc>
        <w:tc>
          <w:tcPr>
            <w:tcW w:w="1871" w:type="pct"/>
            <w:vAlign w:val="center"/>
          </w:tcPr>
          <w:p w14:paraId="5E31B5D2">
            <w:pPr>
              <w:jc w:val="center"/>
              <w:rPr>
                <w:color w:val="000000"/>
              </w:rPr>
            </w:pPr>
            <w:r>
              <w:rPr>
                <w:rFonts w:hint="eastAsia"/>
              </w:rPr>
              <w:t>/</w:t>
            </w:r>
          </w:p>
        </w:tc>
        <w:tc>
          <w:tcPr>
            <w:tcW w:w="1021" w:type="pct"/>
            <w:vAlign w:val="center"/>
          </w:tcPr>
          <w:p w14:paraId="3F55B89B">
            <w:pPr>
              <w:jc w:val="center"/>
              <w:rPr>
                <w:color w:val="000000"/>
              </w:rPr>
            </w:pPr>
            <w:r>
              <w:rPr>
                <w:rFonts w:hint="eastAsia"/>
              </w:rPr>
              <w:t>/</w:t>
            </w:r>
          </w:p>
        </w:tc>
        <w:tc>
          <w:tcPr>
            <w:tcW w:w="1103" w:type="pct"/>
            <w:vAlign w:val="center"/>
          </w:tcPr>
          <w:p w14:paraId="4C19DD3E">
            <w:pPr>
              <w:jc w:val="center"/>
              <w:rPr>
                <w:color w:val="000000"/>
              </w:rPr>
            </w:pPr>
            <w:r>
              <w:rPr>
                <w:rFonts w:hint="eastAsia"/>
              </w:rPr>
              <w:t>/</w:t>
            </w:r>
          </w:p>
        </w:tc>
        <w:tc>
          <w:tcPr>
            <w:tcW w:w="718" w:type="pct"/>
            <w:vAlign w:val="center"/>
          </w:tcPr>
          <w:p w14:paraId="29A5140C">
            <w:pPr>
              <w:jc w:val="center"/>
              <w:rPr>
                <w:color w:val="000000"/>
              </w:rPr>
            </w:pPr>
            <w:r>
              <w:rPr>
                <w:rFonts w:hint="eastAsia"/>
              </w:rPr>
              <w:t>/</w:t>
            </w:r>
          </w:p>
        </w:tc>
      </w:tr>
      <w:tr w14:paraId="140FA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86" w:type="pct"/>
            <w:vAlign w:val="center"/>
          </w:tcPr>
          <w:p w14:paraId="69A8A202">
            <w:pPr>
              <w:jc w:val="center"/>
              <w:rPr>
                <w:b/>
                <w:color w:val="000000"/>
              </w:rPr>
            </w:pPr>
            <w:r>
              <w:rPr>
                <w:b/>
                <w:color w:val="000000"/>
              </w:rPr>
              <w:t>环境监测</w:t>
            </w:r>
          </w:p>
        </w:tc>
        <w:tc>
          <w:tcPr>
            <w:tcW w:w="1871" w:type="pct"/>
            <w:vAlign w:val="center"/>
          </w:tcPr>
          <w:p w14:paraId="5ECF5847">
            <w:pPr>
              <w:rPr>
                <w:color w:val="000000"/>
              </w:rPr>
            </w:pPr>
            <w:r>
              <w:rPr>
                <w:color w:val="000000"/>
              </w:rPr>
              <w:t>制定监测计划，监测工程施工期环境要素及评价因子的变化。</w:t>
            </w:r>
          </w:p>
        </w:tc>
        <w:tc>
          <w:tcPr>
            <w:tcW w:w="1021" w:type="pct"/>
            <w:vAlign w:val="center"/>
          </w:tcPr>
          <w:p w14:paraId="6D824F31">
            <w:pPr>
              <w:rPr>
                <w:color w:val="000000"/>
              </w:rPr>
            </w:pPr>
            <w:r>
              <w:rPr>
                <w:color w:val="000000"/>
              </w:rPr>
              <w:t>监测结果满足相应的法律法规要求。</w:t>
            </w:r>
          </w:p>
        </w:tc>
        <w:tc>
          <w:tcPr>
            <w:tcW w:w="1103" w:type="pct"/>
            <w:vAlign w:val="center"/>
          </w:tcPr>
          <w:p w14:paraId="2DC963C6">
            <w:pPr>
              <w:rPr>
                <w:color w:val="000000"/>
              </w:rPr>
            </w:pPr>
            <w:r>
              <w:rPr>
                <w:rFonts w:hint="eastAsia"/>
                <w:color w:val="000000"/>
              </w:rPr>
              <w:t>①调试运行结合竣工环境保护验收监测一次。</w:t>
            </w:r>
          </w:p>
          <w:p w14:paraId="313A959E">
            <w:pPr>
              <w:rPr>
                <w:color w:val="000000"/>
              </w:rPr>
            </w:pPr>
            <w:r>
              <w:rPr>
                <w:rFonts w:hint="eastAsia"/>
                <w:color w:val="000000"/>
              </w:rPr>
              <w:t>②运行期间存在投诉或纠纷时进行监测。</w:t>
            </w:r>
          </w:p>
          <w:p w14:paraId="65AF664C">
            <w:pPr>
              <w:rPr>
                <w:color w:val="000000"/>
              </w:rPr>
            </w:pPr>
            <w:r>
              <w:rPr>
                <w:rFonts w:hint="eastAsia"/>
                <w:color w:val="000000"/>
              </w:rPr>
              <w:t>③例行环境监测计划或生态环境主管部门要求时进行监测。</w:t>
            </w:r>
          </w:p>
        </w:tc>
        <w:tc>
          <w:tcPr>
            <w:tcW w:w="718" w:type="pct"/>
            <w:vAlign w:val="center"/>
          </w:tcPr>
          <w:p w14:paraId="0B7B9F0B">
            <w:pPr>
              <w:rPr>
                <w:color w:val="000000"/>
              </w:rPr>
            </w:pPr>
            <w:r>
              <w:rPr>
                <w:rFonts w:hint="eastAsia"/>
                <w:color w:val="000000"/>
              </w:rPr>
              <w:t>按</w:t>
            </w:r>
            <w:r>
              <w:rPr>
                <w:color w:val="000000"/>
              </w:rPr>
              <w:t>环境监测计划开展环境监测</w:t>
            </w:r>
            <w:r>
              <w:rPr>
                <w:rFonts w:hint="eastAsia"/>
                <w:color w:val="000000"/>
              </w:rPr>
              <w:t>。</w:t>
            </w:r>
          </w:p>
        </w:tc>
      </w:tr>
      <w:tr w14:paraId="1ECAB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 w:type="pct"/>
            <w:vAlign w:val="center"/>
          </w:tcPr>
          <w:p w14:paraId="1B0512D6">
            <w:pPr>
              <w:jc w:val="center"/>
              <w:rPr>
                <w:b/>
                <w:color w:val="000000"/>
              </w:rPr>
            </w:pPr>
            <w:r>
              <w:rPr>
                <w:b/>
                <w:color w:val="000000"/>
              </w:rPr>
              <w:t>其他</w:t>
            </w:r>
          </w:p>
        </w:tc>
        <w:tc>
          <w:tcPr>
            <w:tcW w:w="1871" w:type="pct"/>
            <w:vAlign w:val="center"/>
          </w:tcPr>
          <w:p w14:paraId="78A33A0C">
            <w:pPr>
              <w:jc w:val="center"/>
              <w:rPr>
                <w:color w:val="000000"/>
              </w:rPr>
            </w:pPr>
            <w:r>
              <w:rPr>
                <w:color w:val="000000"/>
              </w:rPr>
              <w:t>/</w:t>
            </w:r>
          </w:p>
        </w:tc>
        <w:tc>
          <w:tcPr>
            <w:tcW w:w="1021" w:type="pct"/>
            <w:vAlign w:val="center"/>
          </w:tcPr>
          <w:p w14:paraId="66F07EEE">
            <w:pPr>
              <w:jc w:val="center"/>
              <w:rPr>
                <w:color w:val="000000"/>
              </w:rPr>
            </w:pPr>
            <w:r>
              <w:rPr>
                <w:color w:val="000000"/>
              </w:rPr>
              <w:t>/</w:t>
            </w:r>
          </w:p>
        </w:tc>
        <w:tc>
          <w:tcPr>
            <w:tcW w:w="1103" w:type="pct"/>
            <w:vAlign w:val="center"/>
          </w:tcPr>
          <w:p w14:paraId="55EA9E19">
            <w:pPr>
              <w:jc w:val="center"/>
              <w:rPr>
                <w:color w:val="000000"/>
              </w:rPr>
            </w:pPr>
            <w:r>
              <w:rPr>
                <w:color w:val="000000"/>
              </w:rPr>
              <w:t>/</w:t>
            </w:r>
          </w:p>
        </w:tc>
        <w:tc>
          <w:tcPr>
            <w:tcW w:w="718" w:type="pct"/>
            <w:vAlign w:val="center"/>
          </w:tcPr>
          <w:p w14:paraId="155BBD46">
            <w:pPr>
              <w:jc w:val="center"/>
              <w:rPr>
                <w:color w:val="000000"/>
              </w:rPr>
            </w:pPr>
            <w:r>
              <w:rPr>
                <w:color w:val="000000"/>
              </w:rPr>
              <w:t>/</w:t>
            </w:r>
          </w:p>
        </w:tc>
      </w:tr>
    </w:tbl>
    <w:p w14:paraId="73776806">
      <w:pPr>
        <w:pStyle w:val="31"/>
        <w:spacing w:before="0" w:beforeAutospacing="0" w:line="14" w:lineRule="auto"/>
        <w:jc w:val="both"/>
        <w:outlineLvl w:val="0"/>
        <w:rPr>
          <w:rFonts w:ascii="Times New Roman" w:hAnsi="Times New Roman"/>
          <w:snapToGrid w:val="0"/>
          <w:color w:val="000000"/>
          <w:sz w:val="30"/>
          <w:szCs w:val="30"/>
          <w:highlight w:val="yellow"/>
        </w:rPr>
        <w:sectPr>
          <w:pgSz w:w="16838" w:h="11906" w:orient="landscape"/>
          <w:pgMar w:top="1797" w:right="1440" w:bottom="1797" w:left="1440" w:header="851" w:footer="1077" w:gutter="0"/>
          <w:cols w:space="720" w:num="1"/>
          <w:docGrid w:linePitch="312" w:charSpace="0"/>
        </w:sectPr>
      </w:pPr>
    </w:p>
    <w:p w14:paraId="0A3BBE9D">
      <w:pPr>
        <w:pStyle w:val="31"/>
        <w:spacing w:before="192" w:beforeLines="80" w:beforeAutospacing="0"/>
        <w:jc w:val="center"/>
        <w:outlineLvl w:val="0"/>
        <w:rPr>
          <w:rFonts w:ascii="Times New Roman" w:hAnsi="Times New Roman"/>
          <w:b/>
          <w:bCs/>
          <w:snapToGrid w:val="0"/>
          <w:color w:val="000000"/>
          <w:sz w:val="32"/>
          <w:szCs w:val="32"/>
        </w:rPr>
      </w:pPr>
      <w:bookmarkStart w:id="823" w:name="_Toc111564330"/>
      <w:bookmarkStart w:id="824" w:name="_Toc51"/>
      <w:r>
        <w:rPr>
          <w:rFonts w:ascii="Times New Roman" w:hAnsi="Times New Roman"/>
          <w:b/>
          <w:bCs/>
          <w:snapToGrid w:val="0"/>
          <w:color w:val="000000"/>
          <w:sz w:val="32"/>
          <w:szCs w:val="32"/>
        </w:rPr>
        <w:t>七、结论</w:t>
      </w:r>
      <w:bookmarkEnd w:id="823"/>
      <w:bookmarkEnd w:id="824"/>
    </w:p>
    <w:tbl>
      <w:tblPr>
        <w:tblStyle w:val="34"/>
        <w:tblW w:w="8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14:paraId="17962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897" w:type="dxa"/>
          </w:tcPr>
          <w:p w14:paraId="42595CD0">
            <w:pPr>
              <w:pStyle w:val="11"/>
              <w:spacing w:before="120" w:beforeLines="50"/>
              <w:rPr>
                <w:color w:val="000000"/>
              </w:rPr>
            </w:pPr>
            <w:r>
              <w:rPr>
                <w:rFonts w:hint="eastAsia"/>
                <w:color w:val="000000"/>
                <w:lang w:eastAsia="zh-CN"/>
              </w:rPr>
              <w:t>吐鲁番市新阳新能源产业有限公司110千伏业扩配套工程</w:t>
            </w:r>
            <w:r>
              <w:rPr>
                <w:color w:val="000000"/>
              </w:rPr>
              <w:t>的建设符合当地生态环境规划。在设计、施工和运行阶段均采取了一系列的环境保护措施，在严格执行本环境影响报告表中规定的各项污染防治措施和生态保护措施后，从环境保护的角度而言，本工程是可行的。</w:t>
            </w:r>
          </w:p>
        </w:tc>
      </w:tr>
    </w:tbl>
    <w:p w14:paraId="2EDFEF22">
      <w:pPr>
        <w:rPr>
          <w:color w:val="000000"/>
        </w:rPr>
        <w:sectPr>
          <w:pgSz w:w="11906" w:h="16838"/>
          <w:pgMar w:top="1440" w:right="1797" w:bottom="1440" w:left="1797" w:header="851" w:footer="992" w:gutter="0"/>
          <w:cols w:space="720" w:num="1"/>
          <w:docGrid w:linePitch="312" w:charSpace="0"/>
        </w:sectPr>
      </w:pPr>
    </w:p>
    <w:p w14:paraId="55E6507C">
      <w:pPr>
        <w:rPr>
          <w:b/>
          <w:bCs/>
          <w:color w:val="000000"/>
          <w:sz w:val="28"/>
          <w:szCs w:val="28"/>
          <w:highlight w:val="yellow"/>
        </w:rPr>
      </w:pPr>
    </w:p>
    <w:p w14:paraId="0DF99750">
      <w:pPr>
        <w:adjustRightInd w:val="0"/>
        <w:snapToGrid w:val="0"/>
        <w:jc w:val="center"/>
        <w:rPr>
          <w:color w:val="000000"/>
          <w:sz w:val="24"/>
          <w:szCs w:val="21"/>
          <w:highlight w:val="yellow"/>
        </w:rPr>
      </w:pPr>
    </w:p>
    <w:p w14:paraId="3E8E93BE">
      <w:pPr>
        <w:adjustRightInd w:val="0"/>
        <w:snapToGrid w:val="0"/>
        <w:jc w:val="center"/>
        <w:rPr>
          <w:color w:val="000000"/>
          <w:sz w:val="24"/>
          <w:szCs w:val="21"/>
          <w:highlight w:val="yellow"/>
        </w:rPr>
      </w:pPr>
    </w:p>
    <w:p w14:paraId="32DC8C95">
      <w:pPr>
        <w:adjustRightInd w:val="0"/>
        <w:snapToGrid w:val="0"/>
        <w:jc w:val="center"/>
        <w:rPr>
          <w:color w:val="000000"/>
          <w:sz w:val="24"/>
          <w:szCs w:val="21"/>
          <w:highlight w:val="yellow"/>
        </w:rPr>
      </w:pPr>
    </w:p>
    <w:p w14:paraId="391C6AD0">
      <w:pPr>
        <w:jc w:val="center"/>
        <w:rPr>
          <w:rFonts w:eastAsia="楷体"/>
          <w:b/>
          <w:bCs/>
          <w:color w:val="000000"/>
          <w:sz w:val="52"/>
          <w:szCs w:val="22"/>
        </w:rPr>
      </w:pPr>
      <w:r>
        <w:rPr>
          <w:rFonts w:hint="eastAsia" w:eastAsia="楷体"/>
          <w:b/>
          <w:bCs/>
          <w:color w:val="000000"/>
          <w:sz w:val="52"/>
          <w:szCs w:val="22"/>
          <w:lang w:eastAsia="zh-CN"/>
        </w:rPr>
        <w:t>吐鲁番市新阳新能源产业有限公司110千伏业扩配套工程</w:t>
      </w:r>
      <w:r>
        <w:rPr>
          <w:rFonts w:hint="eastAsia" w:eastAsia="楷体"/>
          <w:b/>
          <w:bCs/>
          <w:color w:val="000000"/>
          <w:sz w:val="52"/>
          <w:szCs w:val="22"/>
        </w:rPr>
        <w:t>环境影响报告表</w:t>
      </w:r>
    </w:p>
    <w:p w14:paraId="45375AD2">
      <w:pPr>
        <w:adjustRightInd w:val="0"/>
        <w:snapToGrid w:val="0"/>
        <w:jc w:val="center"/>
        <w:rPr>
          <w:color w:val="000000"/>
          <w:sz w:val="24"/>
          <w:szCs w:val="21"/>
        </w:rPr>
      </w:pPr>
    </w:p>
    <w:p w14:paraId="76188734">
      <w:pPr>
        <w:adjustRightInd w:val="0"/>
        <w:snapToGrid w:val="0"/>
        <w:jc w:val="center"/>
        <w:outlineLvl w:val="0"/>
        <w:rPr>
          <w:rFonts w:eastAsia="仿宋_GB2312"/>
          <w:b/>
          <w:color w:val="000000"/>
          <w:sz w:val="72"/>
          <w:szCs w:val="22"/>
        </w:rPr>
      </w:pPr>
      <w:bookmarkStart w:id="825" w:name="_Toc18750"/>
      <w:r>
        <w:rPr>
          <w:rFonts w:hint="eastAsia" w:eastAsia="仿宋_GB2312"/>
          <w:b/>
          <w:color w:val="000000"/>
          <w:sz w:val="72"/>
          <w:szCs w:val="22"/>
        </w:rPr>
        <w:t>电磁环境影响专题评价</w:t>
      </w:r>
      <w:bookmarkEnd w:id="825"/>
    </w:p>
    <w:p w14:paraId="13777D60">
      <w:pPr>
        <w:adjustRightInd w:val="0"/>
        <w:snapToGrid w:val="0"/>
        <w:jc w:val="center"/>
        <w:rPr>
          <w:color w:val="000000"/>
          <w:sz w:val="24"/>
          <w:szCs w:val="21"/>
        </w:rPr>
      </w:pPr>
    </w:p>
    <w:p w14:paraId="19340EE1">
      <w:pPr>
        <w:adjustRightInd w:val="0"/>
        <w:snapToGrid w:val="0"/>
        <w:jc w:val="center"/>
        <w:rPr>
          <w:color w:val="000000"/>
          <w:sz w:val="24"/>
          <w:szCs w:val="21"/>
        </w:rPr>
      </w:pPr>
    </w:p>
    <w:p w14:paraId="4EE51560">
      <w:pPr>
        <w:adjustRightInd w:val="0"/>
        <w:snapToGrid w:val="0"/>
        <w:jc w:val="center"/>
        <w:rPr>
          <w:color w:val="000000"/>
          <w:sz w:val="24"/>
          <w:szCs w:val="21"/>
        </w:rPr>
      </w:pPr>
    </w:p>
    <w:p w14:paraId="7AE699AB">
      <w:pPr>
        <w:adjustRightInd w:val="0"/>
        <w:snapToGrid w:val="0"/>
        <w:jc w:val="center"/>
        <w:rPr>
          <w:color w:val="000000"/>
          <w:sz w:val="24"/>
          <w:szCs w:val="21"/>
        </w:rPr>
      </w:pPr>
    </w:p>
    <w:p w14:paraId="7408C3D1">
      <w:pPr>
        <w:adjustRightInd w:val="0"/>
        <w:snapToGrid w:val="0"/>
        <w:jc w:val="center"/>
        <w:rPr>
          <w:color w:val="000000"/>
          <w:sz w:val="24"/>
          <w:szCs w:val="21"/>
        </w:rPr>
      </w:pPr>
    </w:p>
    <w:p w14:paraId="3BF6F404">
      <w:pPr>
        <w:adjustRightInd w:val="0"/>
        <w:snapToGrid w:val="0"/>
        <w:jc w:val="center"/>
        <w:rPr>
          <w:color w:val="000000"/>
          <w:sz w:val="24"/>
          <w:szCs w:val="21"/>
        </w:rPr>
      </w:pPr>
    </w:p>
    <w:p w14:paraId="19E8E82D">
      <w:pPr>
        <w:adjustRightInd w:val="0"/>
        <w:snapToGrid w:val="0"/>
        <w:jc w:val="center"/>
        <w:rPr>
          <w:color w:val="000000"/>
          <w:sz w:val="24"/>
          <w:szCs w:val="21"/>
        </w:rPr>
      </w:pPr>
    </w:p>
    <w:p w14:paraId="2FCF774E">
      <w:pPr>
        <w:adjustRightInd w:val="0"/>
        <w:snapToGrid w:val="0"/>
        <w:jc w:val="center"/>
        <w:rPr>
          <w:color w:val="000000"/>
          <w:sz w:val="24"/>
          <w:szCs w:val="21"/>
        </w:rPr>
      </w:pPr>
    </w:p>
    <w:p w14:paraId="4F53B8D1">
      <w:pPr>
        <w:adjustRightInd w:val="0"/>
        <w:snapToGrid w:val="0"/>
        <w:jc w:val="center"/>
        <w:rPr>
          <w:color w:val="000000"/>
          <w:sz w:val="24"/>
          <w:szCs w:val="21"/>
        </w:rPr>
      </w:pPr>
    </w:p>
    <w:p w14:paraId="3735EA42">
      <w:pPr>
        <w:adjustRightInd w:val="0"/>
        <w:snapToGrid w:val="0"/>
        <w:jc w:val="center"/>
        <w:rPr>
          <w:color w:val="000000"/>
          <w:sz w:val="24"/>
          <w:szCs w:val="21"/>
        </w:rPr>
      </w:pPr>
    </w:p>
    <w:p w14:paraId="4C354426">
      <w:pPr>
        <w:adjustRightInd w:val="0"/>
        <w:snapToGrid w:val="0"/>
        <w:jc w:val="center"/>
        <w:rPr>
          <w:color w:val="000000"/>
          <w:sz w:val="24"/>
          <w:szCs w:val="21"/>
        </w:rPr>
      </w:pPr>
    </w:p>
    <w:p w14:paraId="321A377C">
      <w:pPr>
        <w:adjustRightInd w:val="0"/>
        <w:snapToGrid w:val="0"/>
        <w:jc w:val="center"/>
        <w:rPr>
          <w:color w:val="000000"/>
          <w:sz w:val="24"/>
          <w:szCs w:val="21"/>
        </w:rPr>
      </w:pPr>
    </w:p>
    <w:p w14:paraId="5C7423F3">
      <w:pPr>
        <w:adjustRightInd w:val="0"/>
        <w:snapToGrid w:val="0"/>
        <w:jc w:val="center"/>
        <w:rPr>
          <w:color w:val="000000"/>
          <w:sz w:val="24"/>
          <w:szCs w:val="21"/>
        </w:rPr>
      </w:pPr>
    </w:p>
    <w:p w14:paraId="7EB85B8F">
      <w:pPr>
        <w:adjustRightInd w:val="0"/>
        <w:snapToGrid w:val="0"/>
        <w:jc w:val="center"/>
        <w:rPr>
          <w:color w:val="000000"/>
          <w:sz w:val="24"/>
          <w:szCs w:val="21"/>
        </w:rPr>
      </w:pPr>
    </w:p>
    <w:p w14:paraId="3A4EDA36">
      <w:pPr>
        <w:adjustRightInd w:val="0"/>
        <w:snapToGrid w:val="0"/>
        <w:jc w:val="center"/>
        <w:rPr>
          <w:color w:val="000000"/>
          <w:sz w:val="24"/>
          <w:szCs w:val="21"/>
        </w:rPr>
      </w:pPr>
    </w:p>
    <w:p w14:paraId="0F158F9D">
      <w:pPr>
        <w:adjustRightInd w:val="0"/>
        <w:snapToGrid w:val="0"/>
        <w:jc w:val="center"/>
        <w:rPr>
          <w:color w:val="000000"/>
          <w:sz w:val="24"/>
          <w:szCs w:val="21"/>
        </w:rPr>
      </w:pPr>
    </w:p>
    <w:p w14:paraId="0B771CB8">
      <w:pPr>
        <w:adjustRightInd w:val="0"/>
        <w:snapToGrid w:val="0"/>
        <w:jc w:val="center"/>
        <w:rPr>
          <w:color w:val="000000"/>
          <w:sz w:val="24"/>
          <w:szCs w:val="21"/>
        </w:rPr>
      </w:pPr>
    </w:p>
    <w:p w14:paraId="2301A54B">
      <w:pPr>
        <w:adjustRightInd w:val="0"/>
        <w:snapToGrid w:val="0"/>
        <w:jc w:val="center"/>
        <w:rPr>
          <w:color w:val="000000"/>
          <w:sz w:val="24"/>
          <w:szCs w:val="21"/>
        </w:rPr>
      </w:pPr>
    </w:p>
    <w:p w14:paraId="692F59F0">
      <w:pPr>
        <w:adjustRightInd w:val="0"/>
        <w:snapToGrid w:val="0"/>
        <w:jc w:val="center"/>
        <w:rPr>
          <w:color w:val="000000"/>
          <w:sz w:val="24"/>
          <w:szCs w:val="21"/>
        </w:rPr>
      </w:pPr>
    </w:p>
    <w:p w14:paraId="355F71F3">
      <w:pPr>
        <w:adjustRightInd w:val="0"/>
        <w:snapToGrid w:val="0"/>
        <w:jc w:val="center"/>
        <w:rPr>
          <w:color w:val="000000"/>
          <w:sz w:val="24"/>
          <w:szCs w:val="21"/>
        </w:rPr>
      </w:pPr>
    </w:p>
    <w:p w14:paraId="2711A791">
      <w:pPr>
        <w:adjustRightInd w:val="0"/>
        <w:snapToGrid w:val="0"/>
        <w:jc w:val="center"/>
        <w:rPr>
          <w:color w:val="000000"/>
          <w:sz w:val="24"/>
          <w:szCs w:val="21"/>
        </w:rPr>
      </w:pPr>
    </w:p>
    <w:p w14:paraId="7FFDFB1E">
      <w:pPr>
        <w:adjustRightInd w:val="0"/>
        <w:snapToGrid w:val="0"/>
        <w:jc w:val="center"/>
        <w:rPr>
          <w:color w:val="000000"/>
          <w:sz w:val="24"/>
          <w:szCs w:val="21"/>
        </w:rPr>
      </w:pPr>
    </w:p>
    <w:p w14:paraId="2338B07D">
      <w:pPr>
        <w:adjustRightInd w:val="0"/>
        <w:snapToGrid w:val="0"/>
        <w:jc w:val="center"/>
        <w:rPr>
          <w:color w:val="000000"/>
          <w:sz w:val="24"/>
          <w:szCs w:val="21"/>
        </w:rPr>
      </w:pPr>
    </w:p>
    <w:p w14:paraId="285A0640">
      <w:pPr>
        <w:adjustRightInd w:val="0"/>
        <w:snapToGrid w:val="0"/>
        <w:jc w:val="center"/>
        <w:rPr>
          <w:color w:val="000000"/>
          <w:sz w:val="24"/>
          <w:szCs w:val="21"/>
        </w:rPr>
      </w:pPr>
    </w:p>
    <w:p w14:paraId="3536EAD9">
      <w:pPr>
        <w:adjustRightInd w:val="0"/>
        <w:snapToGrid w:val="0"/>
        <w:jc w:val="center"/>
        <w:rPr>
          <w:color w:val="000000"/>
          <w:sz w:val="24"/>
          <w:szCs w:val="21"/>
        </w:rPr>
      </w:pPr>
    </w:p>
    <w:p w14:paraId="71D6D575">
      <w:pPr>
        <w:adjustRightInd w:val="0"/>
        <w:snapToGrid w:val="0"/>
        <w:jc w:val="center"/>
        <w:rPr>
          <w:color w:val="000000"/>
          <w:sz w:val="24"/>
          <w:szCs w:val="21"/>
        </w:rPr>
      </w:pPr>
    </w:p>
    <w:p w14:paraId="5CC90523">
      <w:pPr>
        <w:jc w:val="center"/>
        <w:rPr>
          <w:rFonts w:eastAsia="仿宋_GB2312"/>
          <w:color w:val="000000"/>
          <w:sz w:val="32"/>
          <w:szCs w:val="22"/>
        </w:rPr>
      </w:pPr>
      <w:r>
        <w:rPr>
          <w:rFonts w:hint="eastAsia" w:eastAsia="仿宋_GB2312"/>
          <w:color w:val="000000"/>
          <w:sz w:val="32"/>
          <w:szCs w:val="22"/>
        </w:rPr>
        <w:t>编制单位：中国电力工程顾问集团中南电力设计院有限公司</w:t>
      </w:r>
    </w:p>
    <w:p w14:paraId="1E3E298C">
      <w:pPr>
        <w:jc w:val="center"/>
        <w:rPr>
          <w:rFonts w:eastAsia="仿宋_GB2312"/>
          <w:color w:val="000000"/>
          <w:sz w:val="32"/>
          <w:szCs w:val="22"/>
        </w:rPr>
      </w:pPr>
      <w:r>
        <w:rPr>
          <w:rFonts w:hint="eastAsia" w:eastAsia="仿宋_GB2312"/>
          <w:color w:val="000000"/>
          <w:sz w:val="32"/>
          <w:szCs w:val="22"/>
        </w:rPr>
        <w:t>编制日期：二〇二五年</w:t>
      </w:r>
      <w:r>
        <w:rPr>
          <w:rFonts w:hint="eastAsia" w:eastAsia="仿宋_GB2312"/>
          <w:color w:val="000000"/>
          <w:sz w:val="32"/>
          <w:szCs w:val="22"/>
          <w:lang w:val="en-US" w:eastAsia="zh-CN"/>
        </w:rPr>
        <w:t>八</w:t>
      </w:r>
      <w:r>
        <w:rPr>
          <w:rFonts w:hint="eastAsia" w:eastAsia="仿宋_GB2312"/>
          <w:color w:val="000000"/>
          <w:sz w:val="32"/>
          <w:szCs w:val="22"/>
        </w:rPr>
        <w:t>月</w:t>
      </w:r>
    </w:p>
    <w:p w14:paraId="6B62D60C">
      <w:pPr>
        <w:jc w:val="center"/>
        <w:rPr>
          <w:rFonts w:eastAsia="仿宋_GB2312"/>
          <w:color w:val="000000"/>
          <w:sz w:val="32"/>
          <w:szCs w:val="22"/>
          <w:highlight w:val="yellow"/>
        </w:rPr>
      </w:pPr>
    </w:p>
    <w:p w14:paraId="29A2D799">
      <w:pPr>
        <w:rPr>
          <w:color w:val="000000"/>
          <w:highlight w:val="yellow"/>
        </w:rPr>
        <w:sectPr>
          <w:headerReference r:id="rId8" w:type="first"/>
          <w:footerReference r:id="rId11" w:type="first"/>
          <w:headerReference r:id="rId6" w:type="default"/>
          <w:footerReference r:id="rId9" w:type="default"/>
          <w:headerReference r:id="rId7" w:type="even"/>
          <w:footerReference r:id="rId10" w:type="even"/>
          <w:pgSz w:w="11906" w:h="16838"/>
          <w:pgMar w:top="1440" w:right="1247" w:bottom="1440" w:left="1247" w:header="851" w:footer="992" w:gutter="0"/>
          <w:pgNumType w:start="1"/>
          <w:cols w:space="720" w:num="1"/>
          <w:docGrid w:type="lines" w:linePitch="312" w:charSpace="0"/>
        </w:sectPr>
      </w:pPr>
    </w:p>
    <w:p w14:paraId="3B8BB2E1">
      <w:pPr>
        <w:spacing w:before="120"/>
        <w:jc w:val="center"/>
        <w:rPr>
          <w:rFonts w:eastAsia="仿宋_GB2312"/>
          <w:b/>
          <w:color w:val="000000"/>
          <w:sz w:val="32"/>
          <w:szCs w:val="22"/>
        </w:rPr>
      </w:pPr>
      <w:r>
        <w:rPr>
          <w:rFonts w:eastAsia="仿宋_GB2312"/>
          <w:b/>
          <w:color w:val="000000"/>
          <w:sz w:val="32"/>
          <w:szCs w:val="22"/>
        </w:rPr>
        <w:t xml:space="preserve">目    </w:t>
      </w:r>
      <w:r>
        <w:rPr>
          <w:rFonts w:hint="eastAsia" w:eastAsia="仿宋_GB2312"/>
          <w:b/>
          <w:color w:val="000000"/>
          <w:sz w:val="32"/>
          <w:szCs w:val="22"/>
        </w:rPr>
        <w:t>录</w:t>
      </w:r>
    </w:p>
    <w:sdt>
      <w:sdtPr>
        <w:rPr>
          <w:rFonts w:ascii="ˎ̥" w:hAnsi="ˎ̥" w:cs="ˎ̥"/>
          <w:color w:val="000000"/>
          <w:sz w:val="24"/>
          <w:szCs w:val="22"/>
          <w:highlight w:val="yellow"/>
          <w:lang w:val="zh-CN"/>
        </w:rPr>
        <w:id w:val="-940682693"/>
        <w:docPartObj>
          <w:docPartGallery w:val="Table of Contents"/>
          <w:docPartUnique/>
        </w:docPartObj>
      </w:sdtPr>
      <w:sdtEndPr>
        <w:rPr>
          <w:rFonts w:ascii="Times New Roman" w:hAnsi="Times New Roman" w:eastAsia="黑体" w:cs="Times New Roman"/>
          <w:caps/>
          <w:color w:val="000000"/>
          <w:sz w:val="24"/>
          <w:szCs w:val="22"/>
          <w:highlight w:val="yellow"/>
          <w:lang w:val="zh-CN"/>
        </w:rPr>
      </w:sdtEndPr>
      <w:sdtContent>
        <w:p w14:paraId="5D5FE781">
          <w:pPr>
            <w:tabs>
              <w:tab w:val="left" w:pos="560"/>
              <w:tab w:val="right" w:leader="dot" w:pos="9402"/>
            </w:tabs>
            <w:spacing w:line="360" w:lineRule="auto"/>
            <w:ind w:firstLine="480"/>
            <w:jc w:val="left"/>
            <w:rPr>
              <w:rFonts w:ascii="Times New Roman" w:hAnsi="Times New Roman" w:eastAsia="黑体" w:cs="Times New Roman"/>
              <w:b/>
              <w:bCs/>
              <w:caps/>
              <w:color w:val="000000"/>
              <w:kern w:val="2"/>
              <w:sz w:val="36"/>
              <w:szCs w:val="36"/>
              <w:highlight w:val="yellow"/>
              <w:lang w:val="en-US" w:eastAsia="zh-CN" w:bidi="ar-SA"/>
            </w:rPr>
          </w:pPr>
          <w:r>
            <w:rPr>
              <w:rFonts w:eastAsia="黑体"/>
              <w:b/>
              <w:bCs/>
              <w:caps/>
              <w:color w:val="000000"/>
              <w:sz w:val="36"/>
              <w:szCs w:val="36"/>
              <w:highlight w:val="yellow"/>
            </w:rPr>
            <w:fldChar w:fldCharType="begin"/>
          </w:r>
          <w:r>
            <w:rPr>
              <w:rFonts w:eastAsia="黑体"/>
              <w:b/>
              <w:bCs/>
              <w:caps/>
              <w:color w:val="000000"/>
              <w:sz w:val="36"/>
              <w:szCs w:val="36"/>
              <w:highlight w:val="yellow"/>
            </w:rPr>
            <w:instrText xml:space="preserve"> TOC \o "1-3" \u </w:instrText>
          </w:r>
          <w:r>
            <w:rPr>
              <w:rFonts w:eastAsia="黑体"/>
              <w:b/>
              <w:bCs/>
              <w:caps/>
              <w:color w:val="000000"/>
              <w:sz w:val="36"/>
              <w:szCs w:val="36"/>
              <w:highlight w:val="yellow"/>
            </w:rPr>
            <w:fldChar w:fldCharType="separate"/>
          </w:r>
        </w:p>
        <w:p w14:paraId="5A9077A9">
          <w:pPr>
            <w:pStyle w:val="25"/>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default" w:ascii="Times New Roman" w:hAnsi="Times New Roman" w:cs="Times New Roman"/>
              <w:bCs/>
              <w:caps w:val="0"/>
              <w:color w:val="000000"/>
              <w:kern w:val="44"/>
              <w:sz w:val="24"/>
              <w:szCs w:val="24"/>
            </w:rPr>
            <w:t xml:space="preserve">1 </w:t>
          </w:r>
          <w:r>
            <w:rPr>
              <w:rFonts w:hint="eastAsia" w:ascii="Times New Roman" w:hAnsi="Times New Roman" w:cs="ˎ̥"/>
              <w:bCs/>
              <w:caps w:val="0"/>
              <w:color w:val="000000"/>
              <w:kern w:val="44"/>
              <w:sz w:val="24"/>
              <w:szCs w:val="24"/>
            </w:rPr>
            <w:t>总则</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_Toc5061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2C21BE09">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1.1 工程概况</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_Toc30061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40FB2969">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1.2 评价因子</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_Toc13874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27742F2A">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1.3 评价等级</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_Toc1627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389E9068">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1.4 评价范围</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_Toc21349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736B46CE">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1.5 评价标准</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_Toc5349 \h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p>
        <w:p w14:paraId="1F2FCCC4">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1.6 电磁环境敏感目标</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_Toc29439 \h </w:instrText>
          </w:r>
          <w:r>
            <w:rPr>
              <w:rFonts w:ascii="Times New Roman" w:hAnsi="Times New Roman"/>
              <w:caps w:val="0"/>
              <w:sz w:val="24"/>
              <w:szCs w:val="24"/>
            </w:rPr>
            <w:fldChar w:fldCharType="separate"/>
          </w:r>
          <w:r>
            <w:rPr>
              <w:rFonts w:ascii="Times New Roman" w:hAnsi="Times New Roman"/>
              <w:caps w:val="0"/>
              <w:sz w:val="24"/>
              <w:szCs w:val="24"/>
            </w:rPr>
            <w:t>2</w:t>
          </w:r>
          <w:r>
            <w:rPr>
              <w:rFonts w:ascii="Times New Roman" w:hAnsi="Times New Roman"/>
              <w:caps w:val="0"/>
              <w:sz w:val="24"/>
              <w:szCs w:val="24"/>
            </w:rPr>
            <w:fldChar w:fldCharType="end"/>
          </w:r>
        </w:p>
        <w:p w14:paraId="4D919E56">
          <w:pPr>
            <w:pStyle w:val="25"/>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default" w:ascii="Times New Roman" w:hAnsi="Times New Roman" w:cs="Times New Roman"/>
              <w:bCs/>
              <w:caps w:val="0"/>
              <w:color w:val="000000"/>
              <w:kern w:val="44"/>
              <w:sz w:val="24"/>
              <w:szCs w:val="24"/>
            </w:rPr>
            <w:t xml:space="preserve">2 </w:t>
          </w:r>
          <w:r>
            <w:rPr>
              <w:rFonts w:hint="eastAsia" w:ascii="Times New Roman" w:hAnsi="Times New Roman" w:cs="ˎ̥"/>
              <w:bCs/>
              <w:caps w:val="0"/>
              <w:color w:val="000000"/>
              <w:kern w:val="44"/>
              <w:sz w:val="24"/>
              <w:szCs w:val="24"/>
            </w:rPr>
            <w:t>电磁环境质量现状监测与评价</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_Toc23439 \h </w:instrText>
          </w:r>
          <w:r>
            <w:rPr>
              <w:rFonts w:ascii="Times New Roman" w:hAnsi="Times New Roman"/>
              <w:caps w:val="0"/>
              <w:sz w:val="24"/>
              <w:szCs w:val="24"/>
            </w:rPr>
            <w:fldChar w:fldCharType="separate"/>
          </w:r>
          <w:r>
            <w:rPr>
              <w:rFonts w:ascii="Times New Roman" w:hAnsi="Times New Roman"/>
              <w:caps w:val="0"/>
              <w:sz w:val="24"/>
              <w:szCs w:val="24"/>
            </w:rPr>
            <w:t>2</w:t>
          </w:r>
          <w:r>
            <w:rPr>
              <w:rFonts w:ascii="Times New Roman" w:hAnsi="Times New Roman"/>
              <w:caps w:val="0"/>
              <w:sz w:val="24"/>
              <w:szCs w:val="24"/>
            </w:rPr>
            <w:fldChar w:fldCharType="end"/>
          </w:r>
        </w:p>
        <w:p w14:paraId="2FB66993">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2.1 监测布点原则</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_Toc6449 \h </w:instrText>
          </w:r>
          <w:r>
            <w:rPr>
              <w:rFonts w:ascii="Times New Roman" w:hAnsi="Times New Roman"/>
              <w:caps w:val="0"/>
              <w:sz w:val="24"/>
              <w:szCs w:val="24"/>
            </w:rPr>
            <w:fldChar w:fldCharType="separate"/>
          </w:r>
          <w:r>
            <w:rPr>
              <w:rFonts w:ascii="Times New Roman" w:hAnsi="Times New Roman"/>
              <w:caps w:val="0"/>
              <w:sz w:val="24"/>
              <w:szCs w:val="24"/>
            </w:rPr>
            <w:t>2</w:t>
          </w:r>
          <w:r>
            <w:rPr>
              <w:rFonts w:ascii="Times New Roman" w:hAnsi="Times New Roman"/>
              <w:caps w:val="0"/>
              <w:sz w:val="24"/>
              <w:szCs w:val="24"/>
            </w:rPr>
            <w:fldChar w:fldCharType="end"/>
          </w:r>
        </w:p>
        <w:p w14:paraId="245A3512">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2.2 监测布点</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_Toc14981 \h </w:instrText>
          </w:r>
          <w:r>
            <w:rPr>
              <w:rFonts w:ascii="Times New Roman" w:hAnsi="Times New Roman"/>
              <w:caps w:val="0"/>
              <w:sz w:val="24"/>
              <w:szCs w:val="24"/>
            </w:rPr>
            <w:fldChar w:fldCharType="separate"/>
          </w:r>
          <w:r>
            <w:rPr>
              <w:rFonts w:ascii="Times New Roman" w:hAnsi="Times New Roman"/>
              <w:caps w:val="0"/>
              <w:sz w:val="24"/>
              <w:szCs w:val="24"/>
            </w:rPr>
            <w:t>2</w:t>
          </w:r>
          <w:r>
            <w:rPr>
              <w:rFonts w:ascii="Times New Roman" w:hAnsi="Times New Roman"/>
              <w:caps w:val="0"/>
              <w:sz w:val="24"/>
              <w:szCs w:val="24"/>
            </w:rPr>
            <w:fldChar w:fldCharType="end"/>
          </w:r>
        </w:p>
        <w:p w14:paraId="4A9555BE">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2.3 监测项目</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_Toc18253 \h </w:instrText>
          </w:r>
          <w:r>
            <w:rPr>
              <w:rFonts w:ascii="Times New Roman" w:hAnsi="Times New Roman"/>
              <w:caps w:val="0"/>
              <w:sz w:val="24"/>
              <w:szCs w:val="24"/>
            </w:rPr>
            <w:fldChar w:fldCharType="separate"/>
          </w:r>
          <w:r>
            <w:rPr>
              <w:rFonts w:ascii="Times New Roman" w:hAnsi="Times New Roman"/>
              <w:caps w:val="0"/>
              <w:sz w:val="24"/>
              <w:szCs w:val="24"/>
            </w:rPr>
            <w:t>3</w:t>
          </w:r>
          <w:r>
            <w:rPr>
              <w:rFonts w:ascii="Times New Roman" w:hAnsi="Times New Roman"/>
              <w:caps w:val="0"/>
              <w:sz w:val="24"/>
              <w:szCs w:val="24"/>
            </w:rPr>
            <w:fldChar w:fldCharType="end"/>
          </w:r>
        </w:p>
        <w:p w14:paraId="21C2E5DC">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2.4 监测时间、监测频次、监测单位</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_Toc4183 \h </w:instrText>
          </w:r>
          <w:r>
            <w:rPr>
              <w:rFonts w:ascii="Times New Roman" w:hAnsi="Times New Roman"/>
              <w:caps w:val="0"/>
              <w:sz w:val="24"/>
              <w:szCs w:val="24"/>
            </w:rPr>
            <w:fldChar w:fldCharType="separate"/>
          </w:r>
          <w:r>
            <w:rPr>
              <w:rFonts w:ascii="Times New Roman" w:hAnsi="Times New Roman"/>
              <w:caps w:val="0"/>
              <w:sz w:val="24"/>
              <w:szCs w:val="24"/>
            </w:rPr>
            <w:t>3</w:t>
          </w:r>
          <w:r>
            <w:rPr>
              <w:rFonts w:ascii="Times New Roman" w:hAnsi="Times New Roman"/>
              <w:caps w:val="0"/>
              <w:sz w:val="24"/>
              <w:szCs w:val="24"/>
            </w:rPr>
            <w:fldChar w:fldCharType="end"/>
          </w:r>
        </w:p>
        <w:p w14:paraId="503CBA76">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2.5 监测环境</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_Toc25092 \h </w:instrText>
          </w:r>
          <w:r>
            <w:rPr>
              <w:rFonts w:ascii="Times New Roman" w:hAnsi="Times New Roman"/>
              <w:caps w:val="0"/>
              <w:sz w:val="24"/>
              <w:szCs w:val="24"/>
            </w:rPr>
            <w:fldChar w:fldCharType="separate"/>
          </w:r>
          <w:r>
            <w:rPr>
              <w:rFonts w:ascii="Times New Roman" w:hAnsi="Times New Roman"/>
              <w:caps w:val="0"/>
              <w:sz w:val="24"/>
              <w:szCs w:val="24"/>
            </w:rPr>
            <w:t>3</w:t>
          </w:r>
          <w:r>
            <w:rPr>
              <w:rFonts w:ascii="Times New Roman" w:hAnsi="Times New Roman"/>
              <w:caps w:val="0"/>
              <w:sz w:val="24"/>
              <w:szCs w:val="24"/>
            </w:rPr>
            <w:fldChar w:fldCharType="end"/>
          </w:r>
        </w:p>
        <w:p w14:paraId="6F2D678B">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2.6 监测方法</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_Toc13775 \h </w:instrText>
          </w:r>
          <w:r>
            <w:rPr>
              <w:rFonts w:ascii="Times New Roman" w:hAnsi="Times New Roman"/>
              <w:caps w:val="0"/>
              <w:sz w:val="24"/>
              <w:szCs w:val="24"/>
            </w:rPr>
            <w:fldChar w:fldCharType="separate"/>
          </w:r>
          <w:r>
            <w:rPr>
              <w:rFonts w:ascii="Times New Roman" w:hAnsi="Times New Roman"/>
              <w:caps w:val="0"/>
              <w:sz w:val="24"/>
              <w:szCs w:val="24"/>
            </w:rPr>
            <w:t>4</w:t>
          </w:r>
          <w:r>
            <w:rPr>
              <w:rFonts w:ascii="Times New Roman" w:hAnsi="Times New Roman"/>
              <w:caps w:val="0"/>
              <w:sz w:val="24"/>
              <w:szCs w:val="24"/>
            </w:rPr>
            <w:fldChar w:fldCharType="end"/>
          </w:r>
        </w:p>
        <w:p w14:paraId="2EB1DC90">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2.7 监测仪器</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_Toc12904 \h </w:instrText>
          </w:r>
          <w:r>
            <w:rPr>
              <w:rFonts w:ascii="Times New Roman" w:hAnsi="Times New Roman"/>
              <w:caps w:val="0"/>
              <w:sz w:val="24"/>
              <w:szCs w:val="24"/>
            </w:rPr>
            <w:fldChar w:fldCharType="separate"/>
          </w:r>
          <w:r>
            <w:rPr>
              <w:rFonts w:ascii="Times New Roman" w:hAnsi="Times New Roman"/>
              <w:caps w:val="0"/>
              <w:sz w:val="24"/>
              <w:szCs w:val="24"/>
            </w:rPr>
            <w:t>4</w:t>
          </w:r>
          <w:r>
            <w:rPr>
              <w:rFonts w:ascii="Times New Roman" w:hAnsi="Times New Roman"/>
              <w:caps w:val="0"/>
              <w:sz w:val="24"/>
              <w:szCs w:val="24"/>
            </w:rPr>
            <w:fldChar w:fldCharType="end"/>
          </w:r>
        </w:p>
        <w:p w14:paraId="1DD07A6F">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2.8 监测结果及分析</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_Toc7517 \h </w:instrText>
          </w:r>
          <w:r>
            <w:rPr>
              <w:rFonts w:ascii="Times New Roman" w:hAnsi="Times New Roman"/>
              <w:caps w:val="0"/>
              <w:sz w:val="24"/>
              <w:szCs w:val="24"/>
            </w:rPr>
            <w:fldChar w:fldCharType="separate"/>
          </w:r>
          <w:r>
            <w:rPr>
              <w:rFonts w:ascii="Times New Roman" w:hAnsi="Times New Roman"/>
              <w:caps w:val="0"/>
              <w:sz w:val="24"/>
              <w:szCs w:val="24"/>
            </w:rPr>
            <w:t>4</w:t>
          </w:r>
          <w:r>
            <w:rPr>
              <w:rFonts w:ascii="Times New Roman" w:hAnsi="Times New Roman"/>
              <w:caps w:val="0"/>
              <w:sz w:val="24"/>
              <w:szCs w:val="24"/>
            </w:rPr>
            <w:fldChar w:fldCharType="end"/>
          </w:r>
        </w:p>
        <w:p w14:paraId="09F778A0">
          <w:pPr>
            <w:pStyle w:val="25"/>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default" w:ascii="Times New Roman" w:hAnsi="Times New Roman" w:cs="Times New Roman"/>
              <w:bCs/>
              <w:caps w:val="0"/>
              <w:color w:val="000000"/>
              <w:kern w:val="44"/>
              <w:sz w:val="24"/>
              <w:szCs w:val="24"/>
            </w:rPr>
            <w:t xml:space="preserve">3 </w:t>
          </w:r>
          <w:r>
            <w:rPr>
              <w:rFonts w:hint="eastAsia" w:ascii="Times New Roman" w:hAnsi="Times New Roman" w:cs="ˎ̥"/>
              <w:bCs/>
              <w:caps w:val="0"/>
              <w:color w:val="000000"/>
              <w:kern w:val="44"/>
              <w:sz w:val="24"/>
              <w:szCs w:val="24"/>
            </w:rPr>
            <w:t>电磁环境影响预测与评价</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_Toc8237 \h </w:instrText>
          </w:r>
          <w:r>
            <w:rPr>
              <w:rFonts w:ascii="Times New Roman" w:hAnsi="Times New Roman"/>
              <w:caps w:val="0"/>
              <w:sz w:val="24"/>
              <w:szCs w:val="24"/>
            </w:rPr>
            <w:fldChar w:fldCharType="separate"/>
          </w:r>
          <w:r>
            <w:rPr>
              <w:rFonts w:ascii="Times New Roman" w:hAnsi="Times New Roman"/>
              <w:caps w:val="0"/>
              <w:sz w:val="24"/>
              <w:szCs w:val="24"/>
            </w:rPr>
            <w:t>5</w:t>
          </w:r>
          <w:r>
            <w:rPr>
              <w:rFonts w:ascii="Times New Roman" w:hAnsi="Times New Roman"/>
              <w:caps w:val="0"/>
              <w:sz w:val="24"/>
              <w:szCs w:val="24"/>
            </w:rPr>
            <w:fldChar w:fldCharType="end"/>
          </w:r>
        </w:p>
        <w:p w14:paraId="1A68A27B">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 xml:space="preserve">3.1 </w:t>
          </w:r>
          <w:r>
            <w:rPr>
              <w:rFonts w:hint="eastAsia" w:ascii="Times New Roman" w:hAnsi="Times New Roman"/>
              <w:bCs/>
              <w:caps w:val="0"/>
              <w:color w:val="000000"/>
              <w:sz w:val="24"/>
              <w:szCs w:val="24"/>
              <w:lang w:eastAsia="zh-CN"/>
            </w:rPr>
            <w:t>港城变110千伏间隔扩建工程</w:t>
          </w:r>
          <w:r>
            <w:rPr>
              <w:rFonts w:hint="eastAsia" w:ascii="Times New Roman" w:hAnsi="Times New Roman"/>
              <w:bCs/>
              <w:caps w:val="0"/>
              <w:color w:val="000000"/>
              <w:sz w:val="24"/>
              <w:szCs w:val="24"/>
            </w:rPr>
            <w:t>电磁环境影响预测与评价</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_Toc23268 \h </w:instrText>
          </w:r>
          <w:r>
            <w:rPr>
              <w:rFonts w:ascii="Times New Roman" w:hAnsi="Times New Roman"/>
              <w:caps w:val="0"/>
              <w:sz w:val="24"/>
              <w:szCs w:val="24"/>
            </w:rPr>
            <w:fldChar w:fldCharType="separate"/>
          </w:r>
          <w:r>
            <w:rPr>
              <w:rFonts w:ascii="Times New Roman" w:hAnsi="Times New Roman"/>
              <w:caps w:val="0"/>
              <w:sz w:val="24"/>
              <w:szCs w:val="24"/>
            </w:rPr>
            <w:t>5</w:t>
          </w:r>
          <w:r>
            <w:rPr>
              <w:rFonts w:ascii="Times New Roman" w:hAnsi="Times New Roman"/>
              <w:caps w:val="0"/>
              <w:sz w:val="24"/>
              <w:szCs w:val="24"/>
            </w:rPr>
            <w:fldChar w:fldCharType="end"/>
          </w:r>
        </w:p>
        <w:p w14:paraId="7B4BCB40">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3.1.1 预测与评价方法</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_Toc30396 \h </w:instrText>
          </w:r>
          <w:r>
            <w:rPr>
              <w:rFonts w:ascii="Times New Roman" w:hAnsi="Times New Roman"/>
              <w:caps w:val="0"/>
              <w:sz w:val="24"/>
              <w:szCs w:val="24"/>
            </w:rPr>
            <w:fldChar w:fldCharType="separate"/>
          </w:r>
          <w:r>
            <w:rPr>
              <w:rFonts w:ascii="Times New Roman" w:hAnsi="Times New Roman"/>
              <w:caps w:val="0"/>
              <w:sz w:val="24"/>
              <w:szCs w:val="24"/>
            </w:rPr>
            <w:t>5</w:t>
          </w:r>
          <w:r>
            <w:rPr>
              <w:rFonts w:ascii="Times New Roman" w:hAnsi="Times New Roman"/>
              <w:caps w:val="0"/>
              <w:sz w:val="24"/>
              <w:szCs w:val="24"/>
            </w:rPr>
            <w:fldChar w:fldCharType="end"/>
          </w:r>
        </w:p>
        <w:p w14:paraId="514FBC3C">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3.1.2 类比对象选择及可行性分析</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_Toc16110 \h </w:instrText>
          </w:r>
          <w:r>
            <w:rPr>
              <w:rFonts w:ascii="Times New Roman" w:hAnsi="Times New Roman"/>
              <w:caps w:val="0"/>
              <w:sz w:val="24"/>
              <w:szCs w:val="24"/>
            </w:rPr>
            <w:fldChar w:fldCharType="separate"/>
          </w:r>
          <w:r>
            <w:rPr>
              <w:rFonts w:ascii="Times New Roman" w:hAnsi="Times New Roman"/>
              <w:caps w:val="0"/>
              <w:sz w:val="24"/>
              <w:szCs w:val="24"/>
            </w:rPr>
            <w:t>6</w:t>
          </w:r>
          <w:r>
            <w:rPr>
              <w:rFonts w:ascii="Times New Roman" w:hAnsi="Times New Roman"/>
              <w:caps w:val="0"/>
              <w:sz w:val="24"/>
              <w:szCs w:val="24"/>
            </w:rPr>
            <w:fldChar w:fldCharType="end"/>
          </w:r>
        </w:p>
        <w:p w14:paraId="097246A9">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3.1.3 变电站间隔扩建工程环境影响分析</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_Toc21525 \h </w:instrText>
          </w:r>
          <w:r>
            <w:rPr>
              <w:rFonts w:ascii="Times New Roman" w:hAnsi="Times New Roman"/>
              <w:caps w:val="0"/>
              <w:sz w:val="24"/>
              <w:szCs w:val="24"/>
            </w:rPr>
            <w:fldChar w:fldCharType="separate"/>
          </w:r>
          <w:r>
            <w:rPr>
              <w:rFonts w:ascii="Times New Roman" w:hAnsi="Times New Roman"/>
              <w:caps w:val="0"/>
              <w:sz w:val="24"/>
              <w:szCs w:val="24"/>
            </w:rPr>
            <w:t>6</w:t>
          </w:r>
          <w:r>
            <w:rPr>
              <w:rFonts w:ascii="Times New Roman" w:hAnsi="Times New Roman"/>
              <w:caps w:val="0"/>
              <w:sz w:val="24"/>
              <w:szCs w:val="24"/>
            </w:rPr>
            <w:fldChar w:fldCharType="end"/>
          </w:r>
        </w:p>
        <w:p w14:paraId="08D68004">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 xml:space="preserve">3.2 </w:t>
          </w:r>
          <w:r>
            <w:rPr>
              <w:rFonts w:hint="eastAsia" w:ascii="Times New Roman" w:hAnsi="Times New Roman"/>
              <w:bCs/>
              <w:caps w:val="0"/>
              <w:color w:val="000000"/>
              <w:sz w:val="24"/>
              <w:szCs w:val="24"/>
              <w:lang w:eastAsia="zh-CN"/>
            </w:rPr>
            <w:t>港城~新阳110千伏线路工程</w:t>
          </w:r>
          <w:r>
            <w:rPr>
              <w:rFonts w:hint="eastAsia" w:ascii="Times New Roman" w:hAnsi="Times New Roman"/>
              <w:bCs/>
              <w:caps w:val="0"/>
              <w:color w:val="000000"/>
              <w:sz w:val="24"/>
              <w:szCs w:val="24"/>
            </w:rPr>
            <w:t>电磁环境影响预测与评价</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_Toc18585 \h </w:instrText>
          </w:r>
          <w:r>
            <w:rPr>
              <w:rFonts w:ascii="Times New Roman" w:hAnsi="Times New Roman"/>
              <w:caps w:val="0"/>
              <w:sz w:val="24"/>
              <w:szCs w:val="24"/>
            </w:rPr>
            <w:fldChar w:fldCharType="separate"/>
          </w:r>
          <w:r>
            <w:rPr>
              <w:rFonts w:ascii="Times New Roman" w:hAnsi="Times New Roman"/>
              <w:caps w:val="0"/>
              <w:sz w:val="24"/>
              <w:szCs w:val="24"/>
            </w:rPr>
            <w:t>6</w:t>
          </w:r>
          <w:r>
            <w:rPr>
              <w:rFonts w:ascii="Times New Roman" w:hAnsi="Times New Roman"/>
              <w:caps w:val="0"/>
              <w:sz w:val="24"/>
              <w:szCs w:val="24"/>
            </w:rPr>
            <w:fldChar w:fldCharType="end"/>
          </w:r>
        </w:p>
        <w:p w14:paraId="2851F64D">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3.2.1 评价方法</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_Toc6039 \h </w:instrText>
          </w:r>
          <w:r>
            <w:rPr>
              <w:rFonts w:ascii="Times New Roman" w:hAnsi="Times New Roman"/>
              <w:caps w:val="0"/>
              <w:sz w:val="24"/>
              <w:szCs w:val="24"/>
            </w:rPr>
            <w:fldChar w:fldCharType="separate"/>
          </w:r>
          <w:r>
            <w:rPr>
              <w:rFonts w:ascii="Times New Roman" w:hAnsi="Times New Roman"/>
              <w:caps w:val="0"/>
              <w:sz w:val="24"/>
              <w:szCs w:val="24"/>
            </w:rPr>
            <w:t>6</w:t>
          </w:r>
          <w:r>
            <w:rPr>
              <w:rFonts w:ascii="Times New Roman" w:hAnsi="Times New Roman"/>
              <w:caps w:val="0"/>
              <w:sz w:val="24"/>
              <w:szCs w:val="24"/>
            </w:rPr>
            <w:fldChar w:fldCharType="end"/>
          </w:r>
        </w:p>
        <w:p w14:paraId="408E9416">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3.2.2 预测模式</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_Toc2990 \h </w:instrText>
          </w:r>
          <w:r>
            <w:rPr>
              <w:rFonts w:ascii="Times New Roman" w:hAnsi="Times New Roman"/>
              <w:caps w:val="0"/>
              <w:sz w:val="24"/>
              <w:szCs w:val="24"/>
            </w:rPr>
            <w:fldChar w:fldCharType="separate"/>
          </w:r>
          <w:r>
            <w:rPr>
              <w:rFonts w:ascii="Times New Roman" w:hAnsi="Times New Roman"/>
              <w:caps w:val="0"/>
              <w:sz w:val="24"/>
              <w:szCs w:val="24"/>
            </w:rPr>
            <w:t>6</w:t>
          </w:r>
          <w:r>
            <w:rPr>
              <w:rFonts w:ascii="Times New Roman" w:hAnsi="Times New Roman"/>
              <w:caps w:val="0"/>
              <w:sz w:val="24"/>
              <w:szCs w:val="24"/>
            </w:rPr>
            <w:fldChar w:fldCharType="end"/>
          </w:r>
        </w:p>
        <w:p w14:paraId="3400C23C">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3.2.3 预测内容及参数选取</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_Toc6178 \h </w:instrText>
          </w:r>
          <w:r>
            <w:rPr>
              <w:rFonts w:ascii="Times New Roman" w:hAnsi="Times New Roman"/>
              <w:caps w:val="0"/>
              <w:sz w:val="24"/>
              <w:szCs w:val="24"/>
            </w:rPr>
            <w:fldChar w:fldCharType="separate"/>
          </w:r>
          <w:r>
            <w:rPr>
              <w:rFonts w:ascii="Times New Roman" w:hAnsi="Times New Roman"/>
              <w:caps w:val="0"/>
              <w:sz w:val="24"/>
              <w:szCs w:val="24"/>
            </w:rPr>
            <w:t>10</w:t>
          </w:r>
          <w:r>
            <w:rPr>
              <w:rFonts w:ascii="Times New Roman" w:hAnsi="Times New Roman"/>
              <w:caps w:val="0"/>
              <w:sz w:val="24"/>
              <w:szCs w:val="24"/>
            </w:rPr>
            <w:fldChar w:fldCharType="end"/>
          </w:r>
        </w:p>
        <w:p w14:paraId="7E986D75">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3.2.4 预测结果</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_Toc21708 \h </w:instrText>
          </w:r>
          <w:r>
            <w:rPr>
              <w:rFonts w:ascii="Times New Roman" w:hAnsi="Times New Roman"/>
              <w:caps w:val="0"/>
              <w:sz w:val="24"/>
              <w:szCs w:val="24"/>
            </w:rPr>
            <w:fldChar w:fldCharType="separate"/>
          </w:r>
          <w:r>
            <w:rPr>
              <w:rFonts w:ascii="Times New Roman" w:hAnsi="Times New Roman"/>
              <w:caps w:val="0"/>
              <w:sz w:val="24"/>
              <w:szCs w:val="24"/>
            </w:rPr>
            <w:t>11</w:t>
          </w:r>
          <w:r>
            <w:rPr>
              <w:rFonts w:ascii="Times New Roman" w:hAnsi="Times New Roman"/>
              <w:caps w:val="0"/>
              <w:sz w:val="24"/>
              <w:szCs w:val="24"/>
            </w:rPr>
            <w:fldChar w:fldCharType="end"/>
          </w:r>
        </w:p>
        <w:p w14:paraId="4D6498CC">
          <w:pPr>
            <w:pStyle w:val="19"/>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cs="ˎ̥"/>
              <w:bCs/>
              <w:caps w:val="0"/>
              <w:color w:val="000000"/>
              <w:sz w:val="24"/>
              <w:szCs w:val="24"/>
            </w:rPr>
            <w:t>3.2.5 预测结果分析</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_Toc25648 \h </w:instrText>
          </w:r>
          <w:r>
            <w:rPr>
              <w:rFonts w:ascii="Times New Roman" w:hAnsi="Times New Roman"/>
              <w:caps w:val="0"/>
              <w:sz w:val="24"/>
              <w:szCs w:val="24"/>
            </w:rPr>
            <w:fldChar w:fldCharType="separate"/>
          </w:r>
          <w:r>
            <w:rPr>
              <w:rFonts w:ascii="Times New Roman" w:hAnsi="Times New Roman"/>
              <w:caps w:val="0"/>
              <w:sz w:val="24"/>
              <w:szCs w:val="24"/>
            </w:rPr>
            <w:t>23</w:t>
          </w:r>
          <w:r>
            <w:rPr>
              <w:rFonts w:ascii="Times New Roman" w:hAnsi="Times New Roman"/>
              <w:caps w:val="0"/>
              <w:sz w:val="24"/>
              <w:szCs w:val="24"/>
            </w:rPr>
            <w:fldChar w:fldCharType="end"/>
          </w:r>
        </w:p>
        <w:p w14:paraId="7E7AF8B1">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3.3 控制措施</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_Toc25483 \h </w:instrText>
          </w:r>
          <w:r>
            <w:rPr>
              <w:rFonts w:ascii="Times New Roman" w:hAnsi="Times New Roman"/>
              <w:caps w:val="0"/>
              <w:sz w:val="24"/>
              <w:szCs w:val="24"/>
            </w:rPr>
            <w:fldChar w:fldCharType="separate"/>
          </w:r>
          <w:r>
            <w:rPr>
              <w:rFonts w:ascii="Times New Roman" w:hAnsi="Times New Roman"/>
              <w:caps w:val="0"/>
              <w:sz w:val="24"/>
              <w:szCs w:val="24"/>
            </w:rPr>
            <w:t>24</w:t>
          </w:r>
          <w:r>
            <w:rPr>
              <w:rFonts w:ascii="Times New Roman" w:hAnsi="Times New Roman"/>
              <w:caps w:val="0"/>
              <w:sz w:val="24"/>
              <w:szCs w:val="24"/>
            </w:rPr>
            <w:fldChar w:fldCharType="end"/>
          </w:r>
        </w:p>
        <w:p w14:paraId="707F0321">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3.4 电磁环境敏感目标环境影响预测与评价</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_Toc9178 \h </w:instrText>
          </w:r>
          <w:r>
            <w:rPr>
              <w:rFonts w:ascii="Times New Roman" w:hAnsi="Times New Roman"/>
              <w:caps w:val="0"/>
              <w:sz w:val="24"/>
              <w:szCs w:val="24"/>
            </w:rPr>
            <w:fldChar w:fldCharType="separate"/>
          </w:r>
          <w:r>
            <w:rPr>
              <w:rFonts w:ascii="Times New Roman" w:hAnsi="Times New Roman"/>
              <w:caps w:val="0"/>
              <w:sz w:val="24"/>
              <w:szCs w:val="24"/>
            </w:rPr>
            <w:t>24</w:t>
          </w:r>
          <w:r>
            <w:rPr>
              <w:rFonts w:ascii="Times New Roman" w:hAnsi="Times New Roman"/>
              <w:caps w:val="0"/>
              <w:sz w:val="24"/>
              <w:szCs w:val="24"/>
            </w:rPr>
            <w:fldChar w:fldCharType="end"/>
          </w:r>
        </w:p>
        <w:p w14:paraId="74AEAB7F">
          <w:pPr>
            <w:pStyle w:val="25"/>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default" w:ascii="Times New Roman" w:hAnsi="Times New Roman" w:cs="Times New Roman"/>
              <w:bCs/>
              <w:caps w:val="0"/>
              <w:color w:val="000000"/>
              <w:kern w:val="44"/>
              <w:sz w:val="24"/>
              <w:szCs w:val="24"/>
            </w:rPr>
            <w:t xml:space="preserve">4 </w:t>
          </w:r>
          <w:r>
            <w:rPr>
              <w:rFonts w:hint="eastAsia" w:ascii="Times New Roman" w:hAnsi="Times New Roman" w:cs="ˎ̥"/>
              <w:bCs/>
              <w:caps w:val="0"/>
              <w:color w:val="000000"/>
              <w:kern w:val="44"/>
              <w:sz w:val="24"/>
              <w:szCs w:val="24"/>
            </w:rPr>
            <w:t>电磁环境影响评价综合结论</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_Toc4857 \h </w:instrText>
          </w:r>
          <w:r>
            <w:rPr>
              <w:rFonts w:ascii="Times New Roman" w:hAnsi="Times New Roman"/>
              <w:caps w:val="0"/>
              <w:sz w:val="24"/>
              <w:szCs w:val="24"/>
            </w:rPr>
            <w:fldChar w:fldCharType="separate"/>
          </w:r>
          <w:r>
            <w:rPr>
              <w:rFonts w:ascii="Times New Roman" w:hAnsi="Times New Roman"/>
              <w:caps w:val="0"/>
              <w:sz w:val="24"/>
              <w:szCs w:val="24"/>
            </w:rPr>
            <w:t>24</w:t>
          </w:r>
          <w:r>
            <w:rPr>
              <w:rFonts w:ascii="Times New Roman" w:hAnsi="Times New Roman"/>
              <w:caps w:val="0"/>
              <w:sz w:val="24"/>
              <w:szCs w:val="24"/>
            </w:rPr>
            <w:fldChar w:fldCharType="end"/>
          </w:r>
        </w:p>
        <w:p w14:paraId="6A65C9F5">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rFonts w:ascii="Times New Roman" w:hAnsi="Times New Roman"/>
              <w:caps w:val="0"/>
              <w:sz w:val="24"/>
              <w:szCs w:val="24"/>
            </w:rPr>
          </w:pPr>
          <w:r>
            <w:rPr>
              <w:rFonts w:hint="eastAsia" w:ascii="Times New Roman" w:hAnsi="Times New Roman"/>
              <w:bCs/>
              <w:caps w:val="0"/>
              <w:color w:val="000000"/>
              <w:sz w:val="24"/>
              <w:szCs w:val="24"/>
            </w:rPr>
            <w:t xml:space="preserve">4.1 </w:t>
          </w:r>
          <w:r>
            <w:rPr>
              <w:rFonts w:hint="eastAsia" w:ascii="Times New Roman" w:hAnsi="Times New Roman"/>
              <w:bCs/>
              <w:caps w:val="0"/>
              <w:color w:val="000000"/>
              <w:sz w:val="24"/>
              <w:szCs w:val="24"/>
              <w:lang w:eastAsia="zh-CN"/>
            </w:rPr>
            <w:t>港城110kV变电站</w:t>
          </w:r>
          <w:r>
            <w:rPr>
              <w:rFonts w:hint="eastAsia" w:ascii="Times New Roman" w:hAnsi="Times New Roman"/>
              <w:bCs/>
              <w:caps w:val="0"/>
              <w:color w:val="000000"/>
              <w:sz w:val="24"/>
              <w:szCs w:val="24"/>
            </w:rPr>
            <w:t>间隔扩建工程电磁环境影响结论</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_Toc13287 \h </w:instrText>
          </w:r>
          <w:r>
            <w:rPr>
              <w:rFonts w:ascii="Times New Roman" w:hAnsi="Times New Roman"/>
              <w:caps w:val="0"/>
              <w:sz w:val="24"/>
              <w:szCs w:val="24"/>
            </w:rPr>
            <w:fldChar w:fldCharType="separate"/>
          </w:r>
          <w:r>
            <w:rPr>
              <w:rFonts w:ascii="Times New Roman" w:hAnsi="Times New Roman"/>
              <w:caps w:val="0"/>
              <w:sz w:val="24"/>
              <w:szCs w:val="24"/>
            </w:rPr>
            <w:t>24</w:t>
          </w:r>
          <w:r>
            <w:rPr>
              <w:rFonts w:ascii="Times New Roman" w:hAnsi="Times New Roman"/>
              <w:caps w:val="0"/>
              <w:sz w:val="24"/>
              <w:szCs w:val="24"/>
            </w:rPr>
            <w:fldChar w:fldCharType="end"/>
          </w:r>
        </w:p>
        <w:p w14:paraId="753DCC54">
          <w:pPr>
            <w:pStyle w:val="28"/>
            <w:keepNext w:val="0"/>
            <w:keepLines w:val="0"/>
            <w:pageBreakBefore w:val="0"/>
            <w:widowControl w:val="0"/>
            <w:tabs>
              <w:tab w:val="right" w:leader="dot" w:pos="9412"/>
            </w:tabs>
            <w:kinsoku/>
            <w:wordWrap/>
            <w:overflowPunct/>
            <w:topLinePunct w:val="0"/>
            <w:autoSpaceDE/>
            <w:autoSpaceDN/>
            <w:bidi w:val="0"/>
            <w:adjustRightInd/>
            <w:snapToGrid/>
            <w:spacing w:line="360" w:lineRule="auto"/>
            <w:jc w:val="left"/>
            <w:textAlignment w:val="auto"/>
            <w:rPr>
              <w:sz w:val="24"/>
              <w:szCs w:val="24"/>
            </w:rPr>
          </w:pPr>
          <w:r>
            <w:rPr>
              <w:rFonts w:hint="eastAsia" w:ascii="Times New Roman" w:hAnsi="Times New Roman"/>
              <w:bCs/>
              <w:caps w:val="0"/>
              <w:color w:val="000000"/>
              <w:sz w:val="24"/>
              <w:szCs w:val="24"/>
            </w:rPr>
            <w:t xml:space="preserve">4.2 </w:t>
          </w:r>
          <w:r>
            <w:rPr>
              <w:rFonts w:hint="eastAsia" w:ascii="Times New Roman" w:hAnsi="Times New Roman"/>
              <w:bCs/>
              <w:caps w:val="0"/>
              <w:color w:val="000000"/>
              <w:sz w:val="24"/>
              <w:szCs w:val="24"/>
              <w:lang w:eastAsia="zh-CN"/>
            </w:rPr>
            <w:t>港城~新阳110千伏线路工程</w:t>
          </w:r>
          <w:r>
            <w:rPr>
              <w:rFonts w:hint="eastAsia" w:ascii="Times New Roman" w:hAnsi="Times New Roman"/>
              <w:bCs/>
              <w:caps w:val="0"/>
              <w:color w:val="000000"/>
              <w:sz w:val="24"/>
              <w:szCs w:val="24"/>
            </w:rPr>
            <w:t>电磁环境影响结论</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_Toc19183 \h </w:instrText>
          </w:r>
          <w:r>
            <w:rPr>
              <w:rFonts w:ascii="Times New Roman" w:hAnsi="Times New Roman"/>
              <w:caps w:val="0"/>
              <w:sz w:val="24"/>
              <w:szCs w:val="24"/>
            </w:rPr>
            <w:fldChar w:fldCharType="separate"/>
          </w:r>
          <w:r>
            <w:rPr>
              <w:rFonts w:ascii="Times New Roman" w:hAnsi="Times New Roman"/>
              <w:caps w:val="0"/>
              <w:sz w:val="24"/>
              <w:szCs w:val="24"/>
            </w:rPr>
            <w:t>25</w:t>
          </w:r>
          <w:r>
            <w:rPr>
              <w:rFonts w:ascii="Times New Roman" w:hAnsi="Times New Roman"/>
              <w:caps w:val="0"/>
              <w:sz w:val="24"/>
              <w:szCs w:val="24"/>
            </w:rPr>
            <w:fldChar w:fldCharType="end"/>
          </w:r>
        </w:p>
        <w:p w14:paraId="3CAB82D9">
          <w:pPr>
            <w:tabs>
              <w:tab w:val="left" w:pos="560"/>
              <w:tab w:val="right" w:leader="dot" w:pos="9402"/>
            </w:tabs>
            <w:spacing w:line="360" w:lineRule="auto"/>
            <w:ind w:firstLine="480"/>
            <w:jc w:val="left"/>
            <w:rPr>
              <w:rFonts w:eastAsia="黑体"/>
              <w:b/>
              <w:bCs/>
              <w:caps/>
              <w:color w:val="000000"/>
              <w:szCs w:val="20"/>
              <w:highlight w:val="yellow"/>
            </w:rPr>
          </w:pPr>
          <w:r>
            <w:rPr>
              <w:rFonts w:eastAsia="黑体"/>
              <w:b/>
              <w:bCs/>
              <w:caps/>
              <w:color w:val="000000"/>
              <w:sz w:val="36"/>
              <w:szCs w:val="36"/>
              <w:highlight w:val="yellow"/>
            </w:rPr>
            <w:fldChar w:fldCharType="end"/>
          </w:r>
        </w:p>
      </w:sdtContent>
    </w:sdt>
    <w:p w14:paraId="4ABA9966">
      <w:pPr>
        <w:spacing w:line="360" w:lineRule="auto"/>
        <w:ind w:firstLine="480" w:firstLineChars="200"/>
        <w:rPr>
          <w:color w:val="000000"/>
          <w:sz w:val="24"/>
          <w:szCs w:val="20"/>
          <w:highlight w:val="yellow"/>
        </w:rPr>
      </w:pPr>
    </w:p>
    <w:p w14:paraId="5B4113EA">
      <w:pPr>
        <w:spacing w:line="360" w:lineRule="auto"/>
        <w:ind w:firstLine="480" w:firstLineChars="200"/>
        <w:rPr>
          <w:color w:val="000000"/>
          <w:sz w:val="24"/>
          <w:szCs w:val="20"/>
          <w:highlight w:val="yellow"/>
        </w:rPr>
      </w:pPr>
    </w:p>
    <w:p w14:paraId="06A9F5DE">
      <w:pPr>
        <w:rPr>
          <w:color w:val="000000"/>
          <w:highlight w:val="yellow"/>
        </w:rPr>
        <w:sectPr>
          <w:headerReference r:id="rId12" w:type="default"/>
          <w:pgSz w:w="11906" w:h="16838"/>
          <w:pgMar w:top="1440" w:right="1247" w:bottom="1440" w:left="1247" w:header="851" w:footer="992" w:gutter="0"/>
          <w:pgNumType w:start="1"/>
          <w:cols w:space="720" w:num="1"/>
          <w:docGrid w:type="lines" w:linePitch="312" w:charSpace="0"/>
        </w:sectPr>
      </w:pPr>
    </w:p>
    <w:p w14:paraId="1052D857">
      <w:pPr>
        <w:numPr>
          <w:ilvl w:val="0"/>
          <w:numId w:val="22"/>
        </w:numPr>
        <w:topLinePunct/>
        <w:spacing w:line="360" w:lineRule="auto"/>
        <w:outlineLvl w:val="0"/>
        <w:rPr>
          <w:rFonts w:cs="ˎ̥"/>
          <w:b/>
          <w:bCs/>
          <w:color w:val="000000"/>
          <w:kern w:val="44"/>
          <w:sz w:val="30"/>
          <w:szCs w:val="44"/>
        </w:rPr>
      </w:pPr>
      <w:bookmarkStart w:id="826" w:name="_Toc5061"/>
      <w:r>
        <w:rPr>
          <w:rFonts w:hint="eastAsia" w:cs="ˎ̥"/>
          <w:b/>
          <w:bCs/>
          <w:color w:val="000000"/>
          <w:kern w:val="44"/>
          <w:sz w:val="30"/>
          <w:szCs w:val="44"/>
        </w:rPr>
        <w:t>总则</w:t>
      </w:r>
      <w:bookmarkEnd w:id="826"/>
    </w:p>
    <w:p w14:paraId="0604FD63">
      <w:pPr>
        <w:keepNext/>
        <w:keepLines/>
        <w:numPr>
          <w:ilvl w:val="1"/>
          <w:numId w:val="22"/>
        </w:numPr>
        <w:adjustRightInd w:val="0"/>
        <w:spacing w:line="360" w:lineRule="auto"/>
        <w:outlineLvl w:val="1"/>
        <w:rPr>
          <w:b/>
          <w:bCs/>
          <w:color w:val="000000"/>
          <w:sz w:val="28"/>
          <w:szCs w:val="32"/>
        </w:rPr>
      </w:pPr>
      <w:bookmarkStart w:id="827" w:name="_Toc30061"/>
      <w:bookmarkStart w:id="828" w:name="_Toc24647685"/>
      <w:r>
        <w:rPr>
          <w:rFonts w:hint="eastAsia"/>
          <w:b/>
          <w:bCs/>
          <w:color w:val="000000"/>
          <w:sz w:val="28"/>
          <w:szCs w:val="32"/>
        </w:rPr>
        <w:t>工程概况</w:t>
      </w:r>
      <w:bookmarkEnd w:id="827"/>
    </w:p>
    <w:p w14:paraId="654F96E5">
      <w:pPr>
        <w:autoSpaceDE w:val="0"/>
        <w:autoSpaceDN w:val="0"/>
        <w:adjustRightInd w:val="0"/>
        <w:snapToGrid w:val="0"/>
        <w:spacing w:line="360" w:lineRule="auto"/>
        <w:ind w:firstLine="480" w:firstLineChars="200"/>
        <w:rPr>
          <w:rFonts w:ascii="ˎ̥" w:hAnsi="ˎ̥" w:cs="ˎ̥"/>
          <w:color w:val="000000"/>
          <w:sz w:val="24"/>
          <w:szCs w:val="22"/>
        </w:rPr>
      </w:pPr>
      <w:r>
        <w:rPr>
          <w:rFonts w:hint="eastAsia" w:ascii="ˎ̥" w:hAnsi="ˎ̥" w:cs="ˎ̥"/>
          <w:color w:val="000000"/>
          <w:sz w:val="24"/>
          <w:szCs w:val="22"/>
          <w:lang w:eastAsia="zh-CN"/>
        </w:rPr>
        <w:t>吐鲁番市新阳新能源产业有限公司110千伏业扩配套工程</w:t>
      </w:r>
      <w:r>
        <w:rPr>
          <w:rFonts w:ascii="ˎ̥" w:hAnsi="ˎ̥" w:cs="ˎ̥"/>
          <w:color w:val="000000"/>
          <w:sz w:val="24"/>
          <w:szCs w:val="22"/>
        </w:rPr>
        <w:t>包括</w:t>
      </w:r>
      <w:r>
        <w:rPr>
          <w:rFonts w:hint="eastAsia" w:ascii="ˎ̥" w:hAnsi="ˎ̥" w:cs="ˎ̥"/>
          <w:color w:val="000000"/>
          <w:sz w:val="24"/>
          <w:szCs w:val="22"/>
          <w:lang w:eastAsia="zh-CN"/>
        </w:rPr>
        <w:t>港城变110千伏间隔扩建工程</w:t>
      </w:r>
      <w:r>
        <w:rPr>
          <w:rFonts w:hint="eastAsia" w:ascii="ˎ̥" w:hAnsi="ˎ̥" w:cs="ˎ̥"/>
          <w:color w:val="000000"/>
          <w:sz w:val="24"/>
          <w:szCs w:val="22"/>
        </w:rPr>
        <w:t>和</w:t>
      </w:r>
      <w:r>
        <w:rPr>
          <w:rFonts w:hint="eastAsia" w:ascii="ˎ̥" w:hAnsi="ˎ̥" w:cs="ˎ̥"/>
          <w:color w:val="000000"/>
          <w:sz w:val="24"/>
          <w:szCs w:val="22"/>
          <w:lang w:eastAsia="zh-CN"/>
        </w:rPr>
        <w:t>港城~新阳110千伏线路工程</w:t>
      </w:r>
      <w:r>
        <w:rPr>
          <w:rFonts w:hint="eastAsia" w:ascii="ˎ̥" w:hAnsi="ˎ̥" w:cs="ˎ̥"/>
          <w:color w:val="000000"/>
          <w:sz w:val="24"/>
          <w:szCs w:val="22"/>
        </w:rPr>
        <w:t>。</w:t>
      </w:r>
    </w:p>
    <w:p w14:paraId="36C69713">
      <w:pPr>
        <w:widowControl/>
        <w:spacing w:line="360" w:lineRule="auto"/>
        <w:ind w:firstLine="480" w:firstLineChars="200"/>
        <w:jc w:val="left"/>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hint="eastAsia"/>
          <w:color w:val="000000"/>
          <w:sz w:val="24"/>
        </w:rPr>
        <w:t>①</w:t>
      </w:r>
      <w:r>
        <w:rPr>
          <w:color w:val="000000"/>
          <w:sz w:val="24"/>
        </w:rPr>
        <w:fldChar w:fldCharType="end"/>
      </w:r>
      <w:r>
        <w:rPr>
          <w:rFonts w:hint="eastAsia"/>
          <w:color w:val="000000"/>
          <w:sz w:val="24"/>
          <w:lang w:eastAsia="zh-CN"/>
        </w:rPr>
        <w:t>港城变110千伏间隔扩建工程</w:t>
      </w:r>
      <w:r>
        <w:rPr>
          <w:rFonts w:hint="eastAsia"/>
          <w:color w:val="000000"/>
          <w:sz w:val="24"/>
        </w:rPr>
        <w:t>：港城变电站本期扩建1回110kV出线间隔</w:t>
      </w:r>
      <w:r>
        <w:rPr>
          <w:color w:val="000000"/>
          <w:sz w:val="24"/>
        </w:rPr>
        <w:t>。</w:t>
      </w:r>
    </w:p>
    <w:p w14:paraId="5DD25E58">
      <w:pPr>
        <w:spacing w:line="360" w:lineRule="auto"/>
        <w:ind w:firstLine="480" w:firstLineChars="200"/>
        <w:rPr>
          <w:sz w:val="24"/>
          <w:szCs w:val="20"/>
        </w:rPr>
      </w:pPr>
      <w:r>
        <w:rPr>
          <w:rFonts w:hint="eastAsia"/>
          <w:color w:val="000000"/>
          <w:sz w:val="24"/>
        </w:rPr>
        <w:t>②</w:t>
      </w:r>
      <w:r>
        <w:rPr>
          <w:rFonts w:hint="eastAsia"/>
          <w:color w:val="000000"/>
          <w:sz w:val="24"/>
          <w:lang w:eastAsia="zh-CN"/>
        </w:rPr>
        <w:t>港城~新阳110千伏线路工程</w:t>
      </w:r>
      <w:r>
        <w:rPr>
          <w:rFonts w:hint="eastAsia"/>
          <w:color w:val="000000"/>
          <w:sz w:val="24"/>
        </w:rPr>
        <w:t>：新建线路起于</w:t>
      </w:r>
      <w:r>
        <w:rPr>
          <w:rFonts w:hint="eastAsia"/>
          <w:color w:val="000000"/>
          <w:sz w:val="24"/>
          <w:lang w:eastAsia="zh-CN"/>
        </w:rPr>
        <w:t>港城110kV变电站</w:t>
      </w:r>
      <w:r>
        <w:rPr>
          <w:rFonts w:hint="eastAsia"/>
          <w:color w:val="000000"/>
          <w:sz w:val="24"/>
        </w:rPr>
        <w:t>，止于</w:t>
      </w:r>
      <w:r>
        <w:rPr>
          <w:rFonts w:hint="eastAsia"/>
          <w:color w:val="000000"/>
          <w:sz w:val="24"/>
          <w:lang w:eastAsia="zh-CN"/>
        </w:rPr>
        <w:t>新阳110kV变电站</w:t>
      </w:r>
      <w:r>
        <w:rPr>
          <w:rFonts w:hint="eastAsia"/>
          <w:color w:val="000000"/>
          <w:sz w:val="24"/>
        </w:rPr>
        <w:t>，路径长约</w:t>
      </w:r>
      <w:r>
        <w:rPr>
          <w:rFonts w:hint="eastAsia"/>
          <w:color w:val="000000"/>
          <w:sz w:val="24"/>
          <w:lang w:val="en-US" w:eastAsia="zh-CN"/>
        </w:rPr>
        <w:t>5.2</w:t>
      </w:r>
      <w:r>
        <w:rPr>
          <w:rFonts w:hint="eastAsia"/>
          <w:color w:val="000000"/>
          <w:sz w:val="24"/>
        </w:rPr>
        <w:t>km，其中单回路架设约1.0km，双回路架设约4.2km</w:t>
      </w:r>
      <w:r>
        <w:rPr>
          <w:rFonts w:hint="eastAsia"/>
          <w:color w:val="000000"/>
          <w:sz w:val="24"/>
          <w:lang w:eastAsia="zh-CN"/>
        </w:rPr>
        <w:t>（</w:t>
      </w:r>
      <w:r>
        <w:rPr>
          <w:rFonts w:hint="eastAsia"/>
          <w:color w:val="000000"/>
          <w:sz w:val="24"/>
          <w:lang w:val="en-US" w:eastAsia="zh-CN"/>
        </w:rPr>
        <w:t>本期使用一回，预留一回）</w:t>
      </w:r>
      <w:r>
        <w:rPr>
          <w:rFonts w:hint="eastAsia"/>
          <w:color w:val="000000"/>
          <w:sz w:val="24"/>
        </w:rPr>
        <w:t>。</w:t>
      </w:r>
    </w:p>
    <w:p w14:paraId="04ABA646">
      <w:pPr>
        <w:keepNext/>
        <w:keepLines/>
        <w:numPr>
          <w:ilvl w:val="1"/>
          <w:numId w:val="22"/>
        </w:numPr>
        <w:adjustRightInd w:val="0"/>
        <w:spacing w:line="360" w:lineRule="auto"/>
        <w:outlineLvl w:val="1"/>
        <w:rPr>
          <w:b/>
          <w:bCs/>
          <w:color w:val="000000"/>
          <w:sz w:val="28"/>
          <w:szCs w:val="32"/>
        </w:rPr>
      </w:pPr>
      <w:bookmarkStart w:id="829" w:name="_Toc13874"/>
      <w:r>
        <w:rPr>
          <w:rFonts w:hint="eastAsia"/>
          <w:b/>
          <w:bCs/>
          <w:color w:val="000000"/>
          <w:sz w:val="28"/>
          <w:szCs w:val="32"/>
        </w:rPr>
        <w:t>评价因子</w:t>
      </w:r>
      <w:bookmarkEnd w:id="828"/>
      <w:bookmarkEnd w:id="829"/>
    </w:p>
    <w:p w14:paraId="61D78DDF">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），电磁环境影响评价因子为工频电场、工频磁场。</w:t>
      </w:r>
    </w:p>
    <w:p w14:paraId="7AA02878">
      <w:pPr>
        <w:keepNext/>
        <w:keepLines/>
        <w:numPr>
          <w:ilvl w:val="1"/>
          <w:numId w:val="22"/>
        </w:numPr>
        <w:adjustRightInd w:val="0"/>
        <w:spacing w:line="360" w:lineRule="auto"/>
        <w:outlineLvl w:val="1"/>
        <w:rPr>
          <w:b/>
          <w:bCs/>
          <w:color w:val="000000"/>
          <w:sz w:val="28"/>
          <w:szCs w:val="32"/>
        </w:rPr>
      </w:pPr>
      <w:bookmarkStart w:id="830" w:name="_Toc24647686"/>
      <w:bookmarkStart w:id="831" w:name="_Toc413055175"/>
      <w:bookmarkStart w:id="832" w:name="_Toc1627"/>
      <w:r>
        <w:rPr>
          <w:rFonts w:hint="eastAsia"/>
          <w:b/>
          <w:bCs/>
          <w:color w:val="000000"/>
          <w:sz w:val="28"/>
          <w:szCs w:val="32"/>
        </w:rPr>
        <w:t>评价等级</w:t>
      </w:r>
      <w:bookmarkEnd w:id="830"/>
      <w:bookmarkEnd w:id="831"/>
      <w:bookmarkEnd w:id="832"/>
    </w:p>
    <w:p w14:paraId="67EBF129">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）确定本工程的电磁环境影响评价工作等级：</w:t>
      </w:r>
    </w:p>
    <w:p w14:paraId="7E293A26">
      <w:pPr>
        <w:tabs>
          <w:tab w:val="left" w:pos="461"/>
        </w:tabs>
        <w:spacing w:line="360" w:lineRule="auto"/>
        <w:ind w:firstLine="480" w:firstLineChars="200"/>
        <w:rPr>
          <w:color w:val="000000"/>
          <w:sz w:val="24"/>
          <w:szCs w:val="20"/>
        </w:rPr>
      </w:pPr>
      <w:r>
        <w:rPr>
          <w:rFonts w:hint="eastAsia"/>
          <w:color w:val="000000"/>
          <w:sz w:val="24"/>
          <w:szCs w:val="20"/>
        </w:rPr>
        <w:t>变电站：</w:t>
      </w:r>
      <w:r>
        <w:rPr>
          <w:rFonts w:hint="eastAsia"/>
          <w:color w:val="000000"/>
          <w:sz w:val="24"/>
          <w:szCs w:val="20"/>
          <w:lang w:eastAsia="zh-CN"/>
        </w:rPr>
        <w:t>港城110kV变电站</w:t>
      </w:r>
      <w:r>
        <w:rPr>
          <w:rFonts w:hint="eastAsia"/>
          <w:color w:val="000000"/>
          <w:sz w:val="24"/>
          <w:szCs w:val="20"/>
        </w:rPr>
        <w:t>为户外变电站，电磁环境影响评价工作等级为二级。</w:t>
      </w:r>
    </w:p>
    <w:p w14:paraId="25105534">
      <w:pPr>
        <w:spacing w:line="360" w:lineRule="auto"/>
        <w:ind w:firstLine="480" w:firstLineChars="200"/>
        <w:rPr>
          <w:color w:val="000000"/>
          <w:sz w:val="24"/>
          <w:szCs w:val="20"/>
        </w:rPr>
      </w:pPr>
      <w:r>
        <w:rPr>
          <w:rFonts w:hint="eastAsia"/>
          <w:color w:val="000000"/>
          <w:sz w:val="24"/>
          <w:szCs w:val="20"/>
        </w:rPr>
        <w:t>输电线路：架空线</w:t>
      </w:r>
      <w:bookmarkStart w:id="903" w:name="_GoBack"/>
      <w:r>
        <w:rPr>
          <w:rFonts w:hint="eastAsia"/>
          <w:color w:val="000000"/>
          <w:sz w:val="24"/>
          <w:szCs w:val="20"/>
        </w:rPr>
        <w:t>路边</w:t>
      </w:r>
      <w:bookmarkEnd w:id="903"/>
      <w:r>
        <w:rPr>
          <w:rFonts w:hint="eastAsia"/>
          <w:color w:val="000000"/>
          <w:sz w:val="24"/>
          <w:szCs w:val="20"/>
        </w:rPr>
        <w:t>导线地面投影外两侧各1</w:t>
      </w:r>
      <w:r>
        <w:rPr>
          <w:rFonts w:hint="eastAsia"/>
          <w:color w:val="000000"/>
          <w:sz w:val="24"/>
          <w:szCs w:val="20"/>
          <w:lang w:val="en-US" w:eastAsia="zh-CN"/>
        </w:rPr>
        <w:t>0</w:t>
      </w:r>
      <w:r>
        <w:rPr>
          <w:color w:val="000000"/>
          <w:sz w:val="24"/>
          <w:szCs w:val="20"/>
        </w:rPr>
        <w:t>m</w:t>
      </w:r>
      <w:r>
        <w:rPr>
          <w:rFonts w:hint="eastAsia"/>
          <w:color w:val="000000"/>
          <w:sz w:val="24"/>
          <w:szCs w:val="20"/>
        </w:rPr>
        <w:t>范围内无电磁环境敏感目标，架空线路电磁环境影响评价工作等级确定为三级。</w:t>
      </w:r>
    </w:p>
    <w:p w14:paraId="337AF5F5">
      <w:pPr>
        <w:spacing w:line="360" w:lineRule="auto"/>
        <w:ind w:firstLine="480" w:firstLineChars="200"/>
        <w:rPr>
          <w:color w:val="000000"/>
          <w:sz w:val="24"/>
          <w:szCs w:val="20"/>
        </w:rPr>
      </w:pPr>
      <w:r>
        <w:rPr>
          <w:rFonts w:hint="eastAsia"/>
          <w:color w:val="000000"/>
          <w:sz w:val="24"/>
          <w:szCs w:val="20"/>
        </w:rPr>
        <w:t>因此本工程电磁环境影响评价工作等级确定为二级。</w:t>
      </w:r>
    </w:p>
    <w:p w14:paraId="4025F2D4">
      <w:pPr>
        <w:keepNext/>
        <w:keepLines/>
        <w:numPr>
          <w:ilvl w:val="1"/>
          <w:numId w:val="22"/>
        </w:numPr>
        <w:adjustRightInd w:val="0"/>
        <w:spacing w:line="360" w:lineRule="auto"/>
        <w:outlineLvl w:val="1"/>
        <w:rPr>
          <w:b/>
          <w:bCs/>
          <w:color w:val="000000"/>
          <w:sz w:val="28"/>
          <w:szCs w:val="32"/>
        </w:rPr>
      </w:pPr>
      <w:bookmarkStart w:id="833" w:name="_Toc21349"/>
      <w:bookmarkStart w:id="834" w:name="_Toc24647687"/>
      <w:r>
        <w:rPr>
          <w:rFonts w:hint="eastAsia"/>
          <w:b/>
          <w:bCs/>
          <w:color w:val="000000"/>
          <w:sz w:val="28"/>
          <w:szCs w:val="32"/>
        </w:rPr>
        <w:t>评价范围</w:t>
      </w:r>
      <w:bookmarkEnd w:id="833"/>
      <w:bookmarkEnd w:id="834"/>
    </w:p>
    <w:p w14:paraId="2B4ACB34">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），本工程</w:t>
      </w:r>
      <w:r>
        <w:rPr>
          <w:rFonts w:hint="eastAsia"/>
          <w:color w:val="000000"/>
          <w:sz w:val="24"/>
          <w:szCs w:val="20"/>
          <w:lang w:val="en-US" w:eastAsia="zh-CN"/>
        </w:rPr>
        <w:t>电磁环境影响</w:t>
      </w:r>
      <w:r>
        <w:rPr>
          <w:rFonts w:hint="eastAsia"/>
          <w:color w:val="000000"/>
          <w:sz w:val="24"/>
          <w:szCs w:val="20"/>
        </w:rPr>
        <w:t>评价范围如下：</w:t>
      </w:r>
    </w:p>
    <w:p w14:paraId="25C95A49">
      <w:pPr>
        <w:spacing w:line="360" w:lineRule="auto"/>
        <w:ind w:firstLine="480" w:firstLineChars="200"/>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）变电站：</w:t>
      </w:r>
      <w:r>
        <w:rPr>
          <w:rFonts w:hint="eastAsia"/>
          <w:color w:val="000000"/>
          <w:sz w:val="24"/>
          <w:szCs w:val="20"/>
          <w:lang w:eastAsia="zh-CN"/>
        </w:rPr>
        <w:t>港城110kV变电站</w:t>
      </w:r>
      <w:r>
        <w:rPr>
          <w:rFonts w:hint="eastAsia"/>
          <w:color w:val="000000"/>
          <w:sz w:val="24"/>
          <w:szCs w:val="20"/>
        </w:rPr>
        <w:t>厂界外</w:t>
      </w:r>
      <w:r>
        <w:rPr>
          <w:rFonts w:hint="eastAsia"/>
          <w:color w:val="000000"/>
          <w:sz w:val="24"/>
          <w:szCs w:val="20"/>
          <w:lang w:val="en-US" w:eastAsia="zh-CN"/>
        </w:rPr>
        <w:t>3</w:t>
      </w:r>
      <w:r>
        <w:rPr>
          <w:color w:val="000000"/>
          <w:sz w:val="24"/>
          <w:szCs w:val="20"/>
        </w:rPr>
        <w:t>0m</w:t>
      </w:r>
      <w:r>
        <w:rPr>
          <w:rFonts w:hint="eastAsia"/>
          <w:color w:val="000000"/>
          <w:sz w:val="24"/>
          <w:szCs w:val="20"/>
        </w:rPr>
        <w:t>范围内。</w:t>
      </w:r>
    </w:p>
    <w:p w14:paraId="4475F65C">
      <w:pPr>
        <w:spacing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）输电线路：</w:t>
      </w:r>
      <w:r>
        <w:rPr>
          <w:rFonts w:hint="eastAsia"/>
          <w:color w:val="000000"/>
          <w:sz w:val="24"/>
          <w:szCs w:val="20"/>
          <w:lang w:val="en-US" w:eastAsia="zh-CN"/>
        </w:rPr>
        <w:t>11</w:t>
      </w:r>
      <w:r>
        <w:rPr>
          <w:rFonts w:hint="eastAsia"/>
          <w:color w:val="000000"/>
          <w:sz w:val="24"/>
          <w:szCs w:val="20"/>
        </w:rPr>
        <w:t>0</w:t>
      </w:r>
      <w:r>
        <w:rPr>
          <w:color w:val="000000"/>
          <w:sz w:val="24"/>
          <w:szCs w:val="20"/>
        </w:rPr>
        <w:t>kV</w:t>
      </w:r>
      <w:r>
        <w:rPr>
          <w:rFonts w:hint="eastAsia"/>
          <w:color w:val="000000"/>
          <w:sz w:val="24"/>
          <w:szCs w:val="20"/>
        </w:rPr>
        <w:t>架空线路边导线地面投影外两侧</w:t>
      </w:r>
      <w:r>
        <w:rPr>
          <w:rFonts w:hint="eastAsia"/>
          <w:color w:val="000000"/>
          <w:sz w:val="24"/>
          <w:szCs w:val="20"/>
          <w:lang w:val="en-US" w:eastAsia="zh-CN"/>
        </w:rPr>
        <w:t>3</w:t>
      </w:r>
      <w:r>
        <w:rPr>
          <w:rFonts w:hint="eastAsia"/>
          <w:color w:val="000000"/>
          <w:sz w:val="24"/>
          <w:szCs w:val="20"/>
        </w:rPr>
        <w:t>0</w:t>
      </w:r>
      <w:r>
        <w:rPr>
          <w:color w:val="000000"/>
          <w:sz w:val="24"/>
          <w:szCs w:val="20"/>
        </w:rPr>
        <w:t>m</w:t>
      </w:r>
      <w:r>
        <w:rPr>
          <w:rFonts w:hint="eastAsia"/>
          <w:color w:val="000000"/>
          <w:sz w:val="24"/>
          <w:szCs w:val="20"/>
        </w:rPr>
        <w:t>范围内。</w:t>
      </w:r>
    </w:p>
    <w:p w14:paraId="6CB5E05C">
      <w:pPr>
        <w:keepNext/>
        <w:keepLines/>
        <w:numPr>
          <w:ilvl w:val="1"/>
          <w:numId w:val="22"/>
        </w:numPr>
        <w:adjustRightInd w:val="0"/>
        <w:spacing w:line="360" w:lineRule="auto"/>
        <w:outlineLvl w:val="1"/>
        <w:rPr>
          <w:b/>
          <w:bCs/>
          <w:color w:val="000000"/>
          <w:sz w:val="28"/>
          <w:szCs w:val="32"/>
        </w:rPr>
      </w:pPr>
      <w:bookmarkStart w:id="835" w:name="_Toc413055177"/>
      <w:bookmarkStart w:id="836" w:name="_Toc5349"/>
      <w:bookmarkStart w:id="837" w:name="_Toc24647688"/>
      <w:r>
        <w:rPr>
          <w:rFonts w:hint="eastAsia"/>
          <w:b/>
          <w:bCs/>
          <w:color w:val="000000"/>
          <w:sz w:val="28"/>
          <w:szCs w:val="32"/>
        </w:rPr>
        <w:t>评价标准</w:t>
      </w:r>
      <w:bookmarkEnd w:id="835"/>
      <w:bookmarkEnd w:id="836"/>
      <w:bookmarkEnd w:id="837"/>
    </w:p>
    <w:p w14:paraId="04BA71DC">
      <w:pPr>
        <w:spacing w:line="360" w:lineRule="auto"/>
        <w:ind w:firstLine="480" w:firstLineChars="200"/>
        <w:rPr>
          <w:color w:val="000000"/>
          <w:sz w:val="24"/>
          <w:szCs w:val="20"/>
        </w:rPr>
      </w:pPr>
      <w:r>
        <w:rPr>
          <w:rFonts w:hint="eastAsia"/>
          <w:color w:val="000000"/>
          <w:sz w:val="24"/>
          <w:szCs w:val="20"/>
        </w:rPr>
        <w:t>电磁环境影响评价标准依据《电磁环境控制限值》（</w:t>
      </w:r>
      <w:r>
        <w:rPr>
          <w:color w:val="000000"/>
          <w:sz w:val="24"/>
          <w:szCs w:val="20"/>
        </w:rPr>
        <w:t>GB 8702-2014</w:t>
      </w:r>
      <w:r>
        <w:rPr>
          <w:rFonts w:hint="eastAsia"/>
          <w:color w:val="000000"/>
          <w:sz w:val="24"/>
          <w:szCs w:val="20"/>
        </w:rPr>
        <w:t>）中控制限值：即频率</w:t>
      </w:r>
      <w:r>
        <w:rPr>
          <w:color w:val="000000"/>
          <w:sz w:val="24"/>
          <w:szCs w:val="20"/>
        </w:rPr>
        <w:t>50Hz</w:t>
      </w:r>
      <w:r>
        <w:rPr>
          <w:rFonts w:hint="eastAsia"/>
          <w:color w:val="000000"/>
          <w:sz w:val="24"/>
          <w:szCs w:val="20"/>
        </w:rPr>
        <w:t>的电场强度公众曝露控制限值为</w:t>
      </w:r>
      <w:r>
        <w:rPr>
          <w:color w:val="000000"/>
          <w:sz w:val="24"/>
          <w:szCs w:val="20"/>
        </w:rPr>
        <w:t>4000V/m</w:t>
      </w:r>
      <w:r>
        <w:rPr>
          <w:rFonts w:hint="eastAsia"/>
          <w:color w:val="000000"/>
          <w:sz w:val="24"/>
          <w:szCs w:val="20"/>
        </w:rPr>
        <w:t>、磁感应强度为</w:t>
      </w:r>
      <w:r>
        <w:rPr>
          <w:color w:val="000000"/>
          <w:sz w:val="24"/>
          <w:szCs w:val="20"/>
        </w:rPr>
        <w:t>100μT</w:t>
      </w:r>
      <w:r>
        <w:rPr>
          <w:rFonts w:hint="eastAsia"/>
          <w:color w:val="000000"/>
          <w:sz w:val="24"/>
          <w:szCs w:val="20"/>
        </w:rPr>
        <w:t>；架空线路线下耕地、园地、畜禽饲养地、养殖水面、道路等场所，其电场强度控制限值为</w:t>
      </w:r>
      <w:r>
        <w:rPr>
          <w:color w:val="000000"/>
          <w:sz w:val="24"/>
          <w:szCs w:val="20"/>
        </w:rPr>
        <w:t>10kV/m</w:t>
      </w:r>
      <w:r>
        <w:rPr>
          <w:rFonts w:hint="eastAsia"/>
          <w:color w:val="000000"/>
          <w:sz w:val="24"/>
          <w:szCs w:val="20"/>
        </w:rPr>
        <w:t>。</w:t>
      </w:r>
    </w:p>
    <w:p w14:paraId="12A721F5">
      <w:pPr>
        <w:keepNext/>
        <w:keepLines/>
        <w:numPr>
          <w:ilvl w:val="1"/>
          <w:numId w:val="22"/>
        </w:numPr>
        <w:adjustRightInd w:val="0"/>
        <w:spacing w:line="360" w:lineRule="auto"/>
        <w:outlineLvl w:val="1"/>
        <w:rPr>
          <w:b/>
          <w:bCs/>
          <w:color w:val="000000"/>
          <w:sz w:val="28"/>
          <w:szCs w:val="32"/>
        </w:rPr>
      </w:pPr>
      <w:bookmarkStart w:id="838" w:name="_Toc29439"/>
      <w:r>
        <w:rPr>
          <w:rFonts w:hint="eastAsia"/>
          <w:b/>
          <w:bCs/>
          <w:color w:val="000000"/>
          <w:sz w:val="28"/>
          <w:szCs w:val="32"/>
        </w:rPr>
        <w:t>电磁环境敏感目标</w:t>
      </w:r>
      <w:bookmarkEnd w:id="838"/>
    </w:p>
    <w:p w14:paraId="5E1AD475">
      <w:pPr>
        <w:spacing w:line="360" w:lineRule="auto"/>
        <w:ind w:firstLine="480" w:firstLineChars="200"/>
        <w:rPr>
          <w:rFonts w:hint="default"/>
          <w:color w:val="000000"/>
          <w:sz w:val="24"/>
          <w:szCs w:val="20"/>
          <w:lang w:val="en-US"/>
        </w:rPr>
      </w:pPr>
      <w:r>
        <w:rPr>
          <w:rFonts w:hint="eastAsia"/>
          <w:color w:val="000000"/>
          <w:sz w:val="24"/>
          <w:szCs w:val="20"/>
        </w:rPr>
        <w:t>电磁环境敏感目标主要是变电站及输电线路附近的住宅、学校、医院、办公楼等有公众居住、工作或学习的建筑物。本工程电磁环境敏感目标概况详见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_Ref10405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29</w:t>
      </w:r>
      <w:r>
        <w:rPr>
          <w:rFonts w:hint="eastAsia"/>
          <w:b w:val="0"/>
          <w:bCs w:val="0"/>
          <w:color w:val="000000"/>
          <w:sz w:val="24"/>
          <w:szCs w:val="24"/>
          <w:lang w:eastAsia="zh-CN"/>
        </w:rPr>
        <w:fldChar w:fldCharType="end"/>
      </w:r>
      <w:r>
        <w:rPr>
          <w:rFonts w:hint="eastAsia"/>
          <w:color w:val="000000"/>
          <w:sz w:val="24"/>
          <w:szCs w:val="20"/>
          <w:lang w:eastAsia="zh-CN"/>
        </w:rPr>
        <w:t>。</w:t>
      </w:r>
    </w:p>
    <w:p w14:paraId="39FA3FE9">
      <w:pPr>
        <w:pStyle w:val="9"/>
        <w:keepNext/>
        <w:rPr>
          <w:rFonts w:ascii="Times New Roman" w:hAnsi="Times New Roman"/>
          <w:b/>
        </w:rPr>
      </w:pPr>
      <w:bookmarkStart w:id="839" w:name="_Ref10405"/>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29</w:t>
      </w:r>
      <w:r>
        <w:rPr>
          <w:rFonts w:ascii="Times New Roman" w:hAnsi="Times New Roman"/>
          <w:b/>
        </w:rPr>
        <w:fldChar w:fldCharType="end"/>
      </w:r>
      <w:bookmarkEnd w:id="839"/>
      <w:r>
        <w:rPr>
          <w:rFonts w:ascii="Times New Roman" w:hAnsi="Times New Roman"/>
          <w:b/>
        </w:rPr>
        <w:t xml:space="preserve">                     本工程电磁环境敏感目标一览表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51"/>
        <w:gridCol w:w="1068"/>
        <w:gridCol w:w="1592"/>
        <w:gridCol w:w="762"/>
        <w:gridCol w:w="1715"/>
        <w:gridCol w:w="1214"/>
        <w:gridCol w:w="1414"/>
      </w:tblGrid>
      <w:tr w14:paraId="7AB4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250" w:type="pct"/>
            <w:vAlign w:val="center"/>
          </w:tcPr>
          <w:p w14:paraId="5A882EBD">
            <w:pPr>
              <w:pStyle w:val="73"/>
              <w:spacing w:line="0" w:lineRule="atLeast"/>
              <w:rPr>
                <w:b/>
                <w:szCs w:val="21"/>
              </w:rPr>
            </w:pPr>
            <w:r>
              <w:rPr>
                <w:b/>
                <w:szCs w:val="21"/>
              </w:rPr>
              <w:t>序号</w:t>
            </w:r>
          </w:p>
        </w:tc>
        <w:tc>
          <w:tcPr>
            <w:tcW w:w="566" w:type="pct"/>
            <w:vAlign w:val="center"/>
          </w:tcPr>
          <w:p w14:paraId="1D628446">
            <w:pPr>
              <w:pStyle w:val="73"/>
              <w:spacing w:line="0" w:lineRule="atLeast"/>
              <w:rPr>
                <w:b/>
                <w:szCs w:val="21"/>
              </w:rPr>
            </w:pPr>
            <w:r>
              <w:rPr>
                <w:b/>
                <w:szCs w:val="21"/>
              </w:rPr>
              <w:t>行政区</w:t>
            </w:r>
          </w:p>
        </w:tc>
        <w:tc>
          <w:tcPr>
            <w:tcW w:w="575" w:type="pct"/>
            <w:vAlign w:val="center"/>
          </w:tcPr>
          <w:p w14:paraId="263FB071">
            <w:pPr>
              <w:pStyle w:val="73"/>
              <w:spacing w:line="0" w:lineRule="atLeast"/>
              <w:rPr>
                <w:b/>
                <w:szCs w:val="21"/>
              </w:rPr>
            </w:pPr>
            <w:r>
              <w:rPr>
                <w:b/>
                <w:szCs w:val="21"/>
              </w:rPr>
              <w:t>环境敏感目标名称</w:t>
            </w:r>
          </w:p>
        </w:tc>
        <w:tc>
          <w:tcPr>
            <w:tcW w:w="857" w:type="pct"/>
            <w:vAlign w:val="center"/>
          </w:tcPr>
          <w:p w14:paraId="0712903B">
            <w:pPr>
              <w:pStyle w:val="73"/>
              <w:spacing w:line="0" w:lineRule="atLeast"/>
              <w:rPr>
                <w:b/>
                <w:szCs w:val="21"/>
              </w:rPr>
            </w:pPr>
            <w:r>
              <w:rPr>
                <w:b/>
                <w:szCs w:val="21"/>
              </w:rPr>
              <w:t>环境敏感目标概况</w:t>
            </w:r>
          </w:p>
        </w:tc>
        <w:tc>
          <w:tcPr>
            <w:tcW w:w="410" w:type="pct"/>
            <w:vAlign w:val="center"/>
          </w:tcPr>
          <w:p w14:paraId="67616969">
            <w:pPr>
              <w:pStyle w:val="73"/>
              <w:spacing w:line="0" w:lineRule="atLeast"/>
              <w:rPr>
                <w:b/>
                <w:szCs w:val="21"/>
              </w:rPr>
            </w:pPr>
            <w:r>
              <w:rPr>
                <w:b/>
                <w:szCs w:val="21"/>
              </w:rPr>
              <w:t>建筑结构</w:t>
            </w:r>
          </w:p>
        </w:tc>
        <w:tc>
          <w:tcPr>
            <w:tcW w:w="924" w:type="pct"/>
            <w:vAlign w:val="center"/>
          </w:tcPr>
          <w:p w14:paraId="11BF98D6">
            <w:pPr>
              <w:pStyle w:val="73"/>
              <w:spacing w:line="0" w:lineRule="atLeast"/>
              <w:rPr>
                <w:b/>
                <w:szCs w:val="21"/>
              </w:rPr>
            </w:pPr>
            <w:r>
              <w:rPr>
                <w:rFonts w:hint="eastAsia"/>
                <w:b/>
                <w:szCs w:val="21"/>
              </w:rPr>
              <w:t>方位及</w:t>
            </w:r>
            <w:r>
              <w:rPr>
                <w:b/>
                <w:szCs w:val="21"/>
              </w:rPr>
              <w:t>距</w:t>
            </w:r>
            <w:r>
              <w:rPr>
                <w:rFonts w:hint="eastAsia"/>
                <w:b/>
                <w:szCs w:val="21"/>
              </w:rPr>
              <w:t>变电站围墙</w:t>
            </w:r>
            <w:r>
              <w:rPr>
                <w:rFonts w:hint="eastAsia" w:ascii="宋体" w:hAnsi="宋体" w:cs="宋体"/>
                <w:b/>
                <w:szCs w:val="21"/>
              </w:rPr>
              <w:t>/</w:t>
            </w:r>
            <w:r>
              <w:rPr>
                <w:rFonts w:hint="eastAsia"/>
                <w:b/>
                <w:szCs w:val="21"/>
              </w:rPr>
              <w:t>边导线</w:t>
            </w:r>
            <w:r>
              <w:rPr>
                <w:b/>
                <w:szCs w:val="21"/>
              </w:rPr>
              <w:t>地面投影最近</w:t>
            </w:r>
            <w:r>
              <w:rPr>
                <w:rFonts w:hint="eastAsia"/>
                <w:b/>
                <w:szCs w:val="21"/>
              </w:rPr>
              <w:t>水平</w:t>
            </w:r>
            <w:r>
              <w:rPr>
                <w:b/>
                <w:szCs w:val="21"/>
              </w:rPr>
              <w:t>距离</w:t>
            </w:r>
          </w:p>
        </w:tc>
        <w:tc>
          <w:tcPr>
            <w:tcW w:w="654" w:type="pct"/>
            <w:vAlign w:val="center"/>
          </w:tcPr>
          <w:p w14:paraId="09408669">
            <w:pPr>
              <w:pStyle w:val="73"/>
              <w:spacing w:line="0" w:lineRule="atLeast"/>
              <w:rPr>
                <w:b/>
                <w:szCs w:val="21"/>
              </w:rPr>
            </w:pPr>
            <w:r>
              <w:rPr>
                <w:b/>
                <w:szCs w:val="21"/>
              </w:rPr>
              <w:t>环境影响因子</w:t>
            </w:r>
          </w:p>
        </w:tc>
        <w:tc>
          <w:tcPr>
            <w:tcW w:w="761" w:type="pct"/>
            <w:vAlign w:val="center"/>
          </w:tcPr>
          <w:p w14:paraId="5106EB85">
            <w:pPr>
              <w:pStyle w:val="73"/>
              <w:spacing w:line="0" w:lineRule="atLeast"/>
              <w:rPr>
                <w:rFonts w:hint="eastAsia" w:eastAsia="宋体"/>
                <w:b/>
                <w:szCs w:val="21"/>
                <w:lang w:eastAsia="zh-CN"/>
              </w:rPr>
            </w:pPr>
            <w:r>
              <w:rPr>
                <w:rFonts w:hint="eastAsia"/>
                <w:b/>
                <w:szCs w:val="21"/>
                <w:lang w:val="en-US" w:eastAsia="zh-CN"/>
              </w:rPr>
              <w:t>备注</w:t>
            </w:r>
          </w:p>
        </w:tc>
      </w:tr>
      <w:tr w14:paraId="46C4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584" w:type="pct"/>
            <w:gridSpan w:val="6"/>
            <w:vAlign w:val="center"/>
          </w:tcPr>
          <w:p w14:paraId="58E9B65D">
            <w:pPr>
              <w:pStyle w:val="73"/>
              <w:spacing w:line="0" w:lineRule="atLeast"/>
              <w:jc w:val="left"/>
              <w:rPr>
                <w:color w:val="FF0000"/>
                <w:szCs w:val="21"/>
              </w:rPr>
            </w:pPr>
            <w:r>
              <w:rPr>
                <w:rFonts w:hint="eastAsia"/>
                <w:b/>
                <w:szCs w:val="21"/>
              </w:rPr>
              <w:t>一、</w:t>
            </w:r>
            <w:r>
              <w:rPr>
                <w:rFonts w:hint="eastAsia"/>
                <w:b/>
                <w:bCs/>
                <w:szCs w:val="21"/>
              </w:rPr>
              <w:t>港城变110千伏间隔扩建工程</w:t>
            </w:r>
          </w:p>
        </w:tc>
        <w:tc>
          <w:tcPr>
            <w:tcW w:w="1415" w:type="pct"/>
            <w:gridSpan w:val="2"/>
            <w:vAlign w:val="center"/>
          </w:tcPr>
          <w:p w14:paraId="19F41A98">
            <w:pPr>
              <w:pStyle w:val="73"/>
              <w:spacing w:line="0" w:lineRule="atLeast"/>
              <w:jc w:val="left"/>
              <w:rPr>
                <w:rFonts w:hint="eastAsia"/>
                <w:b/>
                <w:szCs w:val="21"/>
              </w:rPr>
            </w:pPr>
          </w:p>
        </w:tc>
      </w:tr>
      <w:tr w14:paraId="4A7A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50" w:type="pct"/>
            <w:vAlign w:val="center"/>
          </w:tcPr>
          <w:p w14:paraId="6F85F80E">
            <w:pPr>
              <w:pStyle w:val="73"/>
              <w:topLinePunct w:val="0"/>
              <w:autoSpaceDE w:val="0"/>
              <w:autoSpaceDN w:val="0"/>
              <w:snapToGrid/>
              <w:spacing w:line="0" w:lineRule="atLeast"/>
              <w:textAlignment w:val="bottom"/>
              <w:rPr>
                <w:szCs w:val="21"/>
              </w:rPr>
            </w:pPr>
            <w:r>
              <w:rPr>
                <w:rFonts w:hint="eastAsia"/>
              </w:rPr>
              <w:t>1</w:t>
            </w:r>
          </w:p>
        </w:tc>
        <w:tc>
          <w:tcPr>
            <w:tcW w:w="566" w:type="pct"/>
            <w:vAlign w:val="center"/>
          </w:tcPr>
          <w:p w14:paraId="7F4694E3">
            <w:pPr>
              <w:pStyle w:val="73"/>
              <w:spacing w:line="0" w:lineRule="atLeast"/>
              <w:rPr>
                <w:rFonts w:hint="eastAsia" w:ascii="Times New Roman" w:hAnsi="Times New Roman" w:eastAsia="宋体" w:cs="Times New Roman"/>
                <w:kern w:val="0"/>
                <w:sz w:val="21"/>
                <w:szCs w:val="21"/>
                <w:lang w:val="en-US" w:eastAsia="zh-CN" w:bidi="ar-SA"/>
              </w:rPr>
            </w:pPr>
            <w:r>
              <w:rPr>
                <w:rFonts w:hint="eastAsia"/>
              </w:rPr>
              <w:t>吐鲁番市</w:t>
            </w:r>
            <w:r>
              <w:rPr>
                <w:rFonts w:hint="eastAsia"/>
                <w:szCs w:val="21"/>
              </w:rPr>
              <w:t>高昌区</w:t>
            </w:r>
          </w:p>
        </w:tc>
        <w:tc>
          <w:tcPr>
            <w:tcW w:w="575" w:type="pct"/>
            <w:vAlign w:val="center"/>
          </w:tcPr>
          <w:p w14:paraId="655D5C60">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857" w:type="pct"/>
            <w:vAlign w:val="center"/>
          </w:tcPr>
          <w:p w14:paraId="165C450D">
            <w:pPr>
              <w:pStyle w:val="73"/>
              <w:spacing w:line="0" w:lineRule="atLeast"/>
              <w:jc w:val="left"/>
              <w:rPr>
                <w:rFonts w:ascii="Times New Roman" w:hAnsi="Times New Roman" w:eastAsia="宋体" w:cs="Times New Roman"/>
                <w:kern w:val="0"/>
                <w:sz w:val="21"/>
                <w:szCs w:val="21"/>
                <w:lang w:val="en-US" w:eastAsia="zh-CN" w:bidi="ar-SA"/>
              </w:rPr>
            </w:pPr>
            <w:r>
              <w:rPr>
                <w:szCs w:val="21"/>
              </w:rPr>
              <w:t>评价范围内</w:t>
            </w:r>
            <w:r>
              <w:rPr>
                <w:rFonts w:hint="eastAsia"/>
                <w:szCs w:val="21"/>
              </w:rPr>
              <w:t>2户，最近户</w:t>
            </w:r>
            <w:r>
              <w:rPr>
                <w:szCs w:val="21"/>
              </w:rPr>
              <w:t>为</w:t>
            </w:r>
            <w:r>
              <w:rPr>
                <w:rFonts w:hint="eastAsia"/>
                <w:szCs w:val="21"/>
              </w:rPr>
              <w:t>其他建筑a</w:t>
            </w:r>
          </w:p>
        </w:tc>
        <w:tc>
          <w:tcPr>
            <w:tcW w:w="410" w:type="pct"/>
            <w:vAlign w:val="center"/>
          </w:tcPr>
          <w:p w14:paraId="418513A6">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1层</w:t>
            </w:r>
            <w:r>
              <w:rPr>
                <w:rFonts w:hint="eastAsia"/>
                <w:szCs w:val="21"/>
                <w:lang w:val="en-US" w:eastAsia="zh-CN"/>
              </w:rPr>
              <w:t>坡顶</w:t>
            </w:r>
          </w:p>
        </w:tc>
        <w:tc>
          <w:tcPr>
            <w:tcW w:w="924" w:type="pct"/>
            <w:vAlign w:val="center"/>
          </w:tcPr>
          <w:p w14:paraId="05FB76AE">
            <w:pPr>
              <w:pStyle w:val="73"/>
              <w:spacing w:line="0" w:lineRule="atLeast"/>
              <w:rPr>
                <w:rFonts w:ascii="Times New Roman" w:hAnsi="Times New Roman" w:eastAsia="宋体" w:cs="Times New Roman"/>
                <w:kern w:val="0"/>
                <w:sz w:val="21"/>
                <w:szCs w:val="21"/>
                <w:lang w:val="en-US" w:eastAsia="zh-CN" w:bidi="ar-SA"/>
              </w:rPr>
            </w:pPr>
            <w:r>
              <w:rPr>
                <w:rFonts w:hint="eastAsia"/>
                <w:color w:val="000000"/>
                <w:szCs w:val="21"/>
              </w:rPr>
              <w:t>变电站</w:t>
            </w:r>
            <w:r>
              <w:rPr>
                <w:rFonts w:hint="eastAsia"/>
                <w:szCs w:val="21"/>
                <w:lang w:val="en-US" w:eastAsia="zh-CN"/>
              </w:rPr>
              <w:t>东</w:t>
            </w:r>
            <w:r>
              <w:rPr>
                <w:rFonts w:hint="eastAsia"/>
                <w:szCs w:val="21"/>
              </w:rPr>
              <w:t>侧约</w:t>
            </w:r>
            <w:r>
              <w:rPr>
                <w:rFonts w:hint="eastAsia"/>
                <w:szCs w:val="21"/>
                <w:lang w:val="en-US" w:eastAsia="zh-CN"/>
              </w:rPr>
              <w:t>15</w:t>
            </w:r>
            <w:r>
              <w:rPr>
                <w:rFonts w:hint="eastAsia"/>
                <w:szCs w:val="21"/>
              </w:rPr>
              <w:t>m</w:t>
            </w:r>
          </w:p>
        </w:tc>
        <w:tc>
          <w:tcPr>
            <w:tcW w:w="654" w:type="pct"/>
            <w:vAlign w:val="center"/>
          </w:tcPr>
          <w:p w14:paraId="4300E96B">
            <w:pPr>
              <w:pStyle w:val="73"/>
              <w:spacing w:line="0" w:lineRule="atLeast"/>
              <w:rPr>
                <w:rFonts w:ascii="Times New Roman" w:hAnsi="Times New Roman" w:eastAsia="宋体" w:cs="Times New Roman"/>
                <w:kern w:val="0"/>
                <w:sz w:val="21"/>
                <w:szCs w:val="21"/>
                <w:lang w:val="en-US" w:eastAsia="zh-CN" w:bidi="ar-SA"/>
              </w:rPr>
            </w:pPr>
            <w:r>
              <w:rPr>
                <w:rFonts w:hint="eastAsia"/>
                <w:szCs w:val="21"/>
                <w:lang w:val="en-US" w:eastAsia="zh-CN"/>
              </w:rPr>
              <w:t>工频电场、工频磁场</w:t>
            </w:r>
          </w:p>
        </w:tc>
        <w:tc>
          <w:tcPr>
            <w:tcW w:w="761" w:type="pct"/>
            <w:vAlign w:val="center"/>
          </w:tcPr>
          <w:p w14:paraId="653B916D">
            <w:pPr>
              <w:pStyle w:val="73"/>
              <w:spacing w:line="0" w:lineRule="atLeast"/>
              <w:rPr>
                <w:rFonts w:ascii="Times New Roman" w:hAnsi="Times New Roman" w:eastAsia="宋体" w:cs="Times New Roman"/>
                <w:kern w:val="0"/>
                <w:sz w:val="21"/>
                <w:szCs w:val="21"/>
                <w:lang w:val="en-US" w:eastAsia="zh-CN" w:bidi="ar-SA"/>
              </w:rPr>
            </w:pPr>
            <w:r>
              <w:rPr>
                <w:rFonts w:hint="eastAsia"/>
                <w:szCs w:val="21"/>
              </w:rPr>
              <w:t>/</w:t>
            </w:r>
          </w:p>
        </w:tc>
      </w:tr>
      <w:tr w14:paraId="244C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584" w:type="pct"/>
            <w:gridSpan w:val="6"/>
            <w:vAlign w:val="center"/>
          </w:tcPr>
          <w:p w14:paraId="534BB252">
            <w:pPr>
              <w:pStyle w:val="73"/>
              <w:spacing w:line="0" w:lineRule="atLeast"/>
              <w:jc w:val="left"/>
              <w:rPr>
                <w:color w:val="FF0000"/>
                <w:szCs w:val="21"/>
              </w:rPr>
            </w:pPr>
            <w:r>
              <w:rPr>
                <w:rFonts w:hint="eastAsia"/>
                <w:b/>
                <w:szCs w:val="21"/>
                <w:lang w:val="en-US" w:eastAsia="zh-CN"/>
              </w:rPr>
              <w:t>三</w:t>
            </w:r>
            <w:r>
              <w:rPr>
                <w:rFonts w:hint="eastAsia"/>
                <w:b/>
                <w:szCs w:val="21"/>
              </w:rPr>
              <w:t>、港城~新阳110千伏线路工程</w:t>
            </w:r>
          </w:p>
        </w:tc>
        <w:tc>
          <w:tcPr>
            <w:tcW w:w="1415" w:type="pct"/>
            <w:gridSpan w:val="2"/>
            <w:vAlign w:val="center"/>
          </w:tcPr>
          <w:p w14:paraId="085AA5D7">
            <w:pPr>
              <w:pStyle w:val="73"/>
              <w:spacing w:line="0" w:lineRule="atLeast"/>
              <w:jc w:val="left"/>
              <w:rPr>
                <w:rFonts w:hint="eastAsia"/>
                <w:b/>
                <w:szCs w:val="21"/>
                <w:lang w:val="en-US" w:eastAsia="zh-CN"/>
              </w:rPr>
            </w:pPr>
          </w:p>
        </w:tc>
      </w:tr>
      <w:tr w14:paraId="4FD8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14:paraId="308ABAEE">
            <w:pPr>
              <w:pStyle w:val="73"/>
              <w:spacing w:line="0" w:lineRule="atLeast"/>
              <w:rPr>
                <w:rFonts w:hint="eastAsia" w:eastAsia="宋体"/>
                <w:szCs w:val="21"/>
                <w:lang w:val="en-US" w:eastAsia="zh-CN"/>
              </w:rPr>
            </w:pPr>
            <w:r>
              <w:rPr>
                <w:rFonts w:hint="eastAsia"/>
                <w:szCs w:val="21"/>
                <w:lang w:val="en-US" w:eastAsia="zh-CN"/>
              </w:rPr>
              <w:t>2</w:t>
            </w:r>
          </w:p>
        </w:tc>
        <w:tc>
          <w:tcPr>
            <w:tcW w:w="566" w:type="pct"/>
            <w:vAlign w:val="center"/>
          </w:tcPr>
          <w:p w14:paraId="242B23AB">
            <w:pPr>
              <w:pStyle w:val="73"/>
              <w:spacing w:line="0" w:lineRule="atLeast"/>
              <w:rPr>
                <w:rFonts w:hint="eastAsia" w:ascii="Times New Roman" w:hAnsi="Times New Roman" w:eastAsia="宋体" w:cs="Times New Roman"/>
                <w:kern w:val="0"/>
                <w:sz w:val="21"/>
                <w:szCs w:val="21"/>
                <w:lang w:val="en-US" w:eastAsia="zh-CN" w:bidi="ar-SA"/>
              </w:rPr>
            </w:pPr>
            <w:r>
              <w:rPr>
                <w:rFonts w:hint="eastAsia"/>
              </w:rPr>
              <w:t>吐鲁番市</w:t>
            </w:r>
            <w:r>
              <w:rPr>
                <w:rFonts w:hint="eastAsia"/>
                <w:szCs w:val="21"/>
              </w:rPr>
              <w:t>高昌区</w:t>
            </w:r>
          </w:p>
        </w:tc>
        <w:tc>
          <w:tcPr>
            <w:tcW w:w="575" w:type="pct"/>
            <w:vAlign w:val="center"/>
          </w:tcPr>
          <w:p w14:paraId="0CCFED86">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857" w:type="pct"/>
            <w:vAlign w:val="center"/>
          </w:tcPr>
          <w:p w14:paraId="3D5D91C7">
            <w:pPr>
              <w:pStyle w:val="73"/>
              <w:spacing w:line="0" w:lineRule="atLeast"/>
              <w:jc w:val="both"/>
              <w:rPr>
                <w:rFonts w:hint="eastAsia" w:ascii="Times New Roman" w:hAnsi="Times New Roman" w:eastAsia="宋体" w:cs="Times New Roman"/>
                <w:kern w:val="0"/>
                <w:sz w:val="21"/>
                <w:szCs w:val="21"/>
                <w:lang w:val="en-US" w:eastAsia="zh-CN" w:bidi="ar-SA"/>
              </w:rPr>
            </w:pPr>
            <w:r>
              <w:rPr>
                <w:rFonts w:hint="eastAsia"/>
                <w:szCs w:val="21"/>
              </w:rPr>
              <w:t>评价范围内1户，为葡萄干打把场办公室</w:t>
            </w:r>
          </w:p>
        </w:tc>
        <w:tc>
          <w:tcPr>
            <w:tcW w:w="410" w:type="pct"/>
            <w:vAlign w:val="center"/>
          </w:tcPr>
          <w:p w14:paraId="4E03D82E">
            <w:pPr>
              <w:pStyle w:val="73"/>
              <w:spacing w:line="0" w:lineRule="atLeast"/>
              <w:rPr>
                <w:rFonts w:hint="default" w:ascii="Times New Roman" w:hAnsi="Times New Roman" w:eastAsia="宋体" w:cs="Times New Roman"/>
                <w:kern w:val="0"/>
                <w:sz w:val="21"/>
                <w:szCs w:val="21"/>
                <w:lang w:val="en-US" w:eastAsia="zh-CN" w:bidi="ar-SA"/>
              </w:rPr>
            </w:pPr>
            <w:r>
              <w:rPr>
                <w:rFonts w:hint="eastAsia"/>
                <w:szCs w:val="21"/>
                <w:lang w:val="en-US" w:eastAsia="zh-CN"/>
              </w:rPr>
              <w:t>1层坡顶</w:t>
            </w:r>
          </w:p>
        </w:tc>
        <w:tc>
          <w:tcPr>
            <w:tcW w:w="924" w:type="pct"/>
            <w:vAlign w:val="center"/>
          </w:tcPr>
          <w:p w14:paraId="498C79C3">
            <w:pPr>
              <w:pStyle w:val="73"/>
              <w:spacing w:line="0" w:lineRule="atLeast"/>
              <w:rPr>
                <w:rFonts w:hint="default" w:ascii="Times New Roman" w:hAnsi="Times New Roman" w:eastAsia="宋体" w:cs="Times New Roman"/>
                <w:kern w:val="0"/>
                <w:sz w:val="21"/>
                <w:szCs w:val="21"/>
                <w:lang w:val="en-US" w:eastAsia="zh-CN" w:bidi="ar-SA"/>
              </w:rPr>
            </w:pPr>
            <w:r>
              <w:rPr>
                <w:rFonts w:hint="eastAsia"/>
                <w:szCs w:val="21"/>
                <w:lang w:val="en-US" w:eastAsia="zh-CN"/>
              </w:rPr>
              <w:t>拟建线路西侧约25m</w:t>
            </w:r>
          </w:p>
        </w:tc>
        <w:tc>
          <w:tcPr>
            <w:tcW w:w="654" w:type="pct"/>
            <w:vAlign w:val="center"/>
          </w:tcPr>
          <w:p w14:paraId="6E4E2278">
            <w:pPr>
              <w:pStyle w:val="73"/>
              <w:spacing w:line="0" w:lineRule="atLeast"/>
              <w:rPr>
                <w:rFonts w:ascii="Times New Roman" w:hAnsi="Times New Roman" w:eastAsia="宋体" w:cs="Times New Roman"/>
                <w:kern w:val="0"/>
                <w:sz w:val="21"/>
                <w:szCs w:val="21"/>
                <w:lang w:val="en-US" w:eastAsia="zh-CN" w:bidi="ar-SA"/>
              </w:rPr>
            </w:pPr>
            <w:r>
              <w:rPr>
                <w:rFonts w:hint="eastAsia"/>
                <w:szCs w:val="21"/>
                <w:lang w:val="en-US" w:eastAsia="zh-CN"/>
              </w:rPr>
              <w:t>工频电场、工频磁场</w:t>
            </w:r>
          </w:p>
        </w:tc>
        <w:tc>
          <w:tcPr>
            <w:tcW w:w="761" w:type="pct"/>
            <w:vAlign w:val="center"/>
          </w:tcPr>
          <w:p w14:paraId="54BBCA14">
            <w:pPr>
              <w:pStyle w:val="73"/>
              <w:spacing w:line="0" w:lineRule="atLeast"/>
              <w:rPr>
                <w:rFonts w:hint="default" w:ascii="Times New Roman" w:hAnsi="Times New Roman" w:eastAsia="宋体" w:cs="Times New Roman"/>
                <w:kern w:val="0"/>
                <w:sz w:val="21"/>
                <w:szCs w:val="21"/>
                <w:lang w:val="en-US" w:eastAsia="zh-CN" w:bidi="ar-SA"/>
              </w:rPr>
            </w:pPr>
            <w:r>
              <w:rPr>
                <w:rFonts w:hint="eastAsia"/>
                <w:szCs w:val="21"/>
                <w:lang w:val="en-US" w:eastAsia="zh-CN"/>
              </w:rPr>
              <w:t>双回线路段</w:t>
            </w:r>
          </w:p>
        </w:tc>
      </w:tr>
    </w:tbl>
    <w:p w14:paraId="46CDA3E7">
      <w:pPr>
        <w:numPr>
          <w:ilvl w:val="0"/>
          <w:numId w:val="22"/>
        </w:numPr>
        <w:topLinePunct/>
        <w:spacing w:line="360" w:lineRule="auto"/>
        <w:outlineLvl w:val="0"/>
        <w:rPr>
          <w:rFonts w:cs="ˎ̥"/>
          <w:b/>
          <w:bCs/>
          <w:color w:val="000000"/>
          <w:kern w:val="44"/>
          <w:sz w:val="30"/>
          <w:szCs w:val="44"/>
        </w:rPr>
      </w:pPr>
      <w:bookmarkStart w:id="840" w:name="_Toc23439"/>
      <w:bookmarkStart w:id="841" w:name="_Toc413055179"/>
      <w:bookmarkStart w:id="842" w:name="_Toc24647690"/>
      <w:r>
        <w:rPr>
          <w:rFonts w:hint="eastAsia" w:cs="ˎ̥"/>
          <w:b/>
          <w:bCs/>
          <w:color w:val="000000"/>
          <w:kern w:val="44"/>
          <w:sz w:val="30"/>
          <w:szCs w:val="44"/>
        </w:rPr>
        <w:t>电磁环境质量现状监测与评价</w:t>
      </w:r>
      <w:bookmarkEnd w:id="840"/>
      <w:bookmarkEnd w:id="841"/>
      <w:bookmarkEnd w:id="842"/>
    </w:p>
    <w:p w14:paraId="0BCD9929">
      <w:pPr>
        <w:keepNext/>
        <w:keepLines/>
        <w:numPr>
          <w:ilvl w:val="1"/>
          <w:numId w:val="22"/>
        </w:numPr>
        <w:adjustRightInd w:val="0"/>
        <w:spacing w:line="360" w:lineRule="auto"/>
        <w:outlineLvl w:val="1"/>
        <w:rPr>
          <w:b/>
          <w:bCs/>
          <w:color w:val="000000"/>
          <w:sz w:val="28"/>
          <w:szCs w:val="32"/>
        </w:rPr>
      </w:pPr>
      <w:bookmarkStart w:id="843" w:name="_Toc6449"/>
      <w:r>
        <w:rPr>
          <w:rFonts w:hint="eastAsia"/>
          <w:b/>
          <w:bCs/>
          <w:color w:val="000000"/>
          <w:sz w:val="28"/>
          <w:szCs w:val="32"/>
        </w:rPr>
        <w:t>监测布点原则</w:t>
      </w:r>
      <w:bookmarkEnd w:id="843"/>
    </w:p>
    <w:p w14:paraId="0BE34CCB">
      <w:pPr>
        <w:spacing w:line="360" w:lineRule="auto"/>
        <w:ind w:firstLine="480" w:firstLineChars="200"/>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w:t>
      </w:r>
      <w:r>
        <w:rPr>
          <w:rFonts w:hint="eastAsia"/>
          <w:color w:val="000000"/>
          <w:sz w:val="24"/>
          <w:szCs w:val="20"/>
          <w:lang w:eastAsia="zh-CN"/>
        </w:rPr>
        <w:t>港城110kV变电站</w:t>
      </w:r>
      <w:r>
        <w:rPr>
          <w:rFonts w:hint="eastAsia"/>
          <w:color w:val="000000"/>
          <w:sz w:val="24"/>
          <w:szCs w:val="20"/>
        </w:rPr>
        <w:t>：在变电站厂界四侧及电磁环境敏感目标处进行布点监测。</w:t>
      </w:r>
    </w:p>
    <w:p w14:paraId="5258C6ED">
      <w:pPr>
        <w:spacing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）线路工程：</w:t>
      </w:r>
      <w:r>
        <w:rPr>
          <w:rFonts w:hint="eastAsia"/>
          <w:sz w:val="24"/>
          <w:szCs w:val="20"/>
        </w:rPr>
        <w:t>对线路沿线电磁环境敏感目标布点监测。</w:t>
      </w:r>
    </w:p>
    <w:p w14:paraId="3F0A0C7D">
      <w:pPr>
        <w:keepNext/>
        <w:keepLines/>
        <w:numPr>
          <w:ilvl w:val="1"/>
          <w:numId w:val="22"/>
        </w:numPr>
        <w:adjustRightInd w:val="0"/>
        <w:spacing w:line="360" w:lineRule="auto"/>
        <w:outlineLvl w:val="1"/>
        <w:rPr>
          <w:b/>
          <w:bCs/>
          <w:color w:val="000000"/>
          <w:sz w:val="28"/>
          <w:szCs w:val="32"/>
        </w:rPr>
      </w:pPr>
      <w:bookmarkStart w:id="844" w:name="_Toc14981"/>
      <w:r>
        <w:rPr>
          <w:rFonts w:hint="eastAsia"/>
          <w:b/>
          <w:bCs/>
          <w:color w:val="000000"/>
          <w:sz w:val="28"/>
          <w:szCs w:val="32"/>
        </w:rPr>
        <w:t>监测布点</w:t>
      </w:r>
      <w:bookmarkEnd w:id="844"/>
    </w:p>
    <w:p w14:paraId="5AF79BA0">
      <w:pPr>
        <w:spacing w:line="360" w:lineRule="auto"/>
        <w:ind w:firstLine="480" w:firstLineChars="200"/>
        <w:rPr>
          <w:color w:val="000000"/>
          <w:sz w:val="24"/>
          <w:szCs w:val="20"/>
        </w:rPr>
      </w:pPr>
      <w:r>
        <w:rPr>
          <w:rFonts w:hint="eastAsia"/>
          <w:color w:val="000000"/>
          <w:sz w:val="24"/>
          <w:szCs w:val="20"/>
        </w:rPr>
        <w:t>（1）变电站间隔扩建工程：</w:t>
      </w:r>
      <w:r>
        <w:rPr>
          <w:rFonts w:hint="eastAsia"/>
          <w:snapToGrid w:val="0"/>
          <w:sz w:val="24"/>
          <w:shd w:val="clear" w:color="auto" w:fill="FFFFFF"/>
        </w:rPr>
        <w:t>在</w:t>
      </w:r>
      <w:r>
        <w:rPr>
          <w:rFonts w:hint="eastAsia"/>
          <w:snapToGrid w:val="0"/>
          <w:sz w:val="24"/>
          <w:shd w:val="clear" w:color="auto" w:fill="FFFFFF"/>
          <w:lang w:eastAsia="zh-CN"/>
        </w:rPr>
        <w:t>港城110kV变电站</w:t>
      </w:r>
      <w:r>
        <w:rPr>
          <w:rFonts w:hint="eastAsia"/>
          <w:snapToGrid w:val="0"/>
          <w:sz w:val="24"/>
          <w:shd w:val="clear" w:color="auto" w:fill="FFFFFF"/>
        </w:rPr>
        <w:t>四侧厂界各布设2个监测点，共8个测点，</w:t>
      </w:r>
      <w:r>
        <w:rPr>
          <w:rFonts w:hint="eastAsia"/>
          <w:sz w:val="24"/>
          <w:szCs w:val="20"/>
        </w:rPr>
        <w:t>测点位于距离地面1.5m高度处</w:t>
      </w:r>
      <w:r>
        <w:rPr>
          <w:rFonts w:hint="eastAsia"/>
          <w:snapToGrid w:val="0"/>
          <w:sz w:val="24"/>
          <w:shd w:val="clear" w:color="auto" w:fill="FFFFFF"/>
        </w:rPr>
        <w:t>。</w:t>
      </w:r>
      <w:r>
        <w:rPr>
          <w:rFonts w:hint="eastAsia" w:cs="Times New Roman"/>
          <w:color w:val="000000" w:themeColor="text1"/>
          <w:sz w:val="24"/>
          <w:szCs w:val="32"/>
          <w:lang w:val="en-US" w:eastAsia="zh-CN"/>
          <w14:textFill>
            <w14:solidFill>
              <w14:schemeClr w14:val="tx1"/>
            </w14:solidFill>
          </w14:textFill>
        </w:rPr>
        <w:t>对变电站电磁环境敏感目标进行布点监测，测点位于建筑物户外1m，距离地面1.5m高度处，共布设1个测点。</w:t>
      </w:r>
    </w:p>
    <w:p w14:paraId="04DB10BD">
      <w:pPr>
        <w:spacing w:line="360" w:lineRule="auto"/>
        <w:ind w:firstLine="480" w:firstLineChars="200"/>
        <w:rPr>
          <w:color w:val="000000"/>
          <w:sz w:val="24"/>
          <w:szCs w:val="20"/>
        </w:rPr>
      </w:pPr>
      <w:r>
        <w:rPr>
          <w:rFonts w:hint="eastAsia"/>
          <w:color w:val="000000"/>
          <w:sz w:val="24"/>
          <w:szCs w:val="20"/>
        </w:rPr>
        <w:t>（2）线路工程：</w:t>
      </w:r>
      <w:r>
        <w:rPr>
          <w:rFonts w:hint="eastAsia"/>
          <w:sz w:val="24"/>
          <w:szCs w:val="20"/>
        </w:rPr>
        <w:t>对线路沿线电磁环境敏感目标布点监测，测点位于建筑物户外1m，距离地面1.5m高度处，共布设</w:t>
      </w:r>
      <w:r>
        <w:rPr>
          <w:rFonts w:hint="eastAsia"/>
          <w:sz w:val="24"/>
          <w:szCs w:val="20"/>
          <w:lang w:val="en-US" w:eastAsia="zh-CN"/>
        </w:rPr>
        <w:t>1</w:t>
      </w:r>
      <w:r>
        <w:rPr>
          <w:rFonts w:hint="eastAsia"/>
          <w:sz w:val="24"/>
          <w:szCs w:val="20"/>
        </w:rPr>
        <w:t>个测点。</w:t>
      </w:r>
    </w:p>
    <w:p w14:paraId="56A0D1AE">
      <w:pPr>
        <w:spacing w:line="360" w:lineRule="auto"/>
        <w:ind w:firstLine="480" w:firstLineChars="200"/>
        <w:rPr>
          <w:color w:val="000000"/>
          <w:sz w:val="24"/>
          <w:szCs w:val="20"/>
        </w:rPr>
      </w:pPr>
      <w:r>
        <w:rPr>
          <w:rFonts w:hint="eastAsia"/>
          <w:color w:val="000000"/>
          <w:sz w:val="24"/>
          <w:szCs w:val="20"/>
        </w:rPr>
        <w:t>本工程电磁环境监测布点具体见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_Ref10731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30</w:t>
      </w:r>
      <w:r>
        <w:rPr>
          <w:rFonts w:hint="eastAsia"/>
          <w:b w:val="0"/>
          <w:bCs w:val="0"/>
          <w:color w:val="000000"/>
          <w:sz w:val="24"/>
          <w:szCs w:val="24"/>
          <w:lang w:eastAsia="zh-CN"/>
        </w:rPr>
        <w:fldChar w:fldCharType="end"/>
      </w:r>
      <w:r>
        <w:rPr>
          <w:rFonts w:hint="eastAsia"/>
          <w:color w:val="000000"/>
          <w:sz w:val="24"/>
          <w:szCs w:val="20"/>
        </w:rPr>
        <w:t>。</w:t>
      </w:r>
    </w:p>
    <w:p w14:paraId="0C4B9CAE">
      <w:pPr>
        <w:rPr>
          <w:rFonts w:ascii="Times New Roman" w:hAnsi="Times New Roman"/>
          <w:b/>
        </w:rPr>
      </w:pPr>
      <w:bookmarkStart w:id="845" w:name="_Ref10731"/>
    </w:p>
    <w:p w14:paraId="6083CF8E">
      <w:pPr>
        <w:rPr>
          <w:rFonts w:ascii="黑体" w:hAnsi="黑体" w:eastAsia="黑体"/>
          <w:b/>
          <w:bCs/>
          <w:color w:val="000000"/>
          <w:szCs w:val="21"/>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30</w:t>
      </w:r>
      <w:r>
        <w:rPr>
          <w:rFonts w:ascii="Times New Roman" w:hAnsi="Times New Roman"/>
          <w:b/>
        </w:rPr>
        <w:fldChar w:fldCharType="end"/>
      </w:r>
      <w:bookmarkEnd w:id="845"/>
      <w:r>
        <w:rPr>
          <w:rFonts w:ascii="Times New Roman" w:hAnsi="Times New Roman"/>
          <w:b/>
        </w:rPr>
        <w:t xml:space="preserve"> </w:t>
      </w:r>
      <w:r>
        <w:rPr>
          <w:rFonts w:ascii="黑体" w:hAnsi="黑体" w:eastAsia="黑体"/>
          <w:b/>
          <w:bCs/>
          <w:color w:val="000000"/>
          <w:szCs w:val="21"/>
        </w:rPr>
        <w:t xml:space="preserve">         </w:t>
      </w:r>
      <w:r>
        <w:rPr>
          <w:rFonts w:hint="eastAsia" w:ascii="黑体" w:hAnsi="黑体" w:eastAsia="黑体"/>
          <w:b/>
          <w:bCs/>
          <w:color w:val="000000"/>
          <w:szCs w:val="21"/>
        </w:rPr>
        <w:t xml:space="preserve">       </w:t>
      </w:r>
      <w:r>
        <w:rPr>
          <w:rFonts w:ascii="黑体" w:hAnsi="黑体" w:eastAsia="黑体"/>
          <w:b/>
          <w:bCs/>
          <w:color w:val="000000"/>
          <w:szCs w:val="21"/>
        </w:rPr>
        <w:t xml:space="preserve">      电磁环境质量现状监测</w:t>
      </w:r>
      <w:r>
        <w:rPr>
          <w:rFonts w:hint="eastAsia" w:ascii="黑体" w:hAnsi="黑体" w:eastAsia="黑体"/>
          <w:b/>
          <w:bCs/>
          <w:color w:val="000000"/>
          <w:szCs w:val="21"/>
        </w:rPr>
        <w:t>布点</w:t>
      </w:r>
      <w:r>
        <w:rPr>
          <w:rFonts w:ascii="黑体" w:hAnsi="黑体" w:eastAsia="黑体"/>
          <w:b/>
          <w:bCs/>
          <w:color w:val="000000"/>
          <w:szCs w:val="21"/>
        </w:rPr>
        <w:t>一览表</w:t>
      </w:r>
    </w:p>
    <w:tbl>
      <w:tblPr>
        <w:tblStyle w:val="34"/>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157"/>
        <w:gridCol w:w="3681"/>
        <w:gridCol w:w="2549"/>
      </w:tblGrid>
      <w:tr w14:paraId="2BA5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7" w:type="pct"/>
            <w:vAlign w:val="center"/>
          </w:tcPr>
          <w:p w14:paraId="6321AD4E">
            <w:pPr>
              <w:widowControl/>
              <w:jc w:val="center"/>
              <w:rPr>
                <w:rFonts w:ascii="Times New Roman" w:hAnsi="Times New Roman" w:cs="ˎ̥"/>
                <w:b/>
                <w:bCs/>
                <w:color w:val="000000"/>
                <w:kern w:val="0"/>
                <w:szCs w:val="21"/>
              </w:rPr>
            </w:pPr>
            <w:r>
              <w:rPr>
                <w:rFonts w:ascii="Times New Roman" w:hAnsi="Times New Roman" w:cs="ˎ̥"/>
                <w:b/>
                <w:bCs/>
                <w:color w:val="000000"/>
                <w:kern w:val="0"/>
                <w:szCs w:val="21"/>
              </w:rPr>
              <w:t>序号</w:t>
            </w:r>
          </w:p>
        </w:tc>
        <w:tc>
          <w:tcPr>
            <w:tcW w:w="3197" w:type="pct"/>
            <w:gridSpan w:val="2"/>
            <w:vAlign w:val="center"/>
          </w:tcPr>
          <w:p w14:paraId="7F8630A8">
            <w:pPr>
              <w:widowControl/>
              <w:spacing w:line="240" w:lineRule="auto"/>
              <w:jc w:val="center"/>
              <w:rPr>
                <w:rFonts w:ascii="Times New Roman" w:hAnsi="Times New Roman" w:cs="ˎ̥"/>
                <w:b/>
                <w:bCs/>
                <w:color w:val="000000"/>
                <w:kern w:val="0"/>
                <w:szCs w:val="21"/>
              </w:rPr>
            </w:pPr>
            <w:r>
              <w:rPr>
                <w:rFonts w:ascii="Times New Roman" w:hAnsi="Times New Roman" w:cs="ˎ̥"/>
                <w:b/>
                <w:bCs/>
                <w:color w:val="000000"/>
                <w:kern w:val="0"/>
                <w:szCs w:val="21"/>
              </w:rPr>
              <w:t>监测对象</w:t>
            </w:r>
            <w:r>
              <w:rPr>
                <w:rFonts w:hint="eastAsia" w:ascii="Times New Roman" w:hAnsi="Times New Roman" w:cs="ˎ̥"/>
                <w:b/>
                <w:bCs/>
                <w:color w:val="000000"/>
                <w:kern w:val="0"/>
                <w:szCs w:val="21"/>
              </w:rPr>
              <w:t>及</w:t>
            </w:r>
            <w:r>
              <w:rPr>
                <w:rFonts w:ascii="Times New Roman" w:hAnsi="Times New Roman" w:cs="ˎ̥"/>
                <w:b/>
                <w:bCs/>
                <w:color w:val="000000"/>
                <w:kern w:val="0"/>
                <w:szCs w:val="21"/>
              </w:rPr>
              <w:t>监测点位</w:t>
            </w:r>
          </w:p>
        </w:tc>
        <w:tc>
          <w:tcPr>
            <w:tcW w:w="1394" w:type="pct"/>
            <w:vAlign w:val="center"/>
          </w:tcPr>
          <w:p w14:paraId="256E25DD">
            <w:pPr>
              <w:widowControl/>
              <w:spacing w:line="240" w:lineRule="auto"/>
              <w:jc w:val="center"/>
              <w:rPr>
                <w:rFonts w:ascii="Times New Roman" w:hAnsi="Times New Roman" w:cs="ˎ̥"/>
                <w:b/>
                <w:bCs/>
                <w:color w:val="000000"/>
                <w:kern w:val="0"/>
                <w:szCs w:val="21"/>
              </w:rPr>
            </w:pPr>
            <w:r>
              <w:rPr>
                <w:rFonts w:hint="eastAsia" w:ascii="Times New Roman" w:hAnsi="Times New Roman" w:cs="ˎ̥"/>
                <w:b/>
                <w:bCs/>
                <w:color w:val="000000"/>
                <w:kern w:val="0"/>
                <w:szCs w:val="21"/>
              </w:rPr>
              <w:t>监测点位描述</w:t>
            </w:r>
          </w:p>
        </w:tc>
      </w:tr>
      <w:tr w14:paraId="076E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EF903A6">
            <w:pPr>
              <w:widowControl/>
              <w:jc w:val="both"/>
              <w:rPr>
                <w:rFonts w:hint="eastAsia" w:ascii="Times New Roman" w:hAnsi="Times New Roman" w:eastAsia="宋体" w:cs="ˎ̥"/>
                <w:color w:val="000000"/>
                <w:sz w:val="22"/>
                <w:szCs w:val="22"/>
                <w:lang w:eastAsia="zh-CN"/>
              </w:rPr>
            </w:pPr>
            <w:r>
              <w:rPr>
                <w:rFonts w:hint="eastAsia" w:ascii="Times New Roman" w:hAnsi="Times New Roman" w:cs="ˎ̥"/>
                <w:b/>
                <w:bCs/>
                <w:color w:val="000000"/>
                <w:kern w:val="0"/>
                <w:szCs w:val="21"/>
              </w:rPr>
              <w:t>一、</w:t>
            </w:r>
            <w:r>
              <w:rPr>
                <w:rFonts w:hint="eastAsia" w:ascii="Times New Roman" w:hAnsi="Times New Roman" w:cs="ˎ̥"/>
                <w:b/>
                <w:bCs/>
                <w:color w:val="000000"/>
                <w:kern w:val="0"/>
                <w:szCs w:val="21"/>
                <w:lang w:eastAsia="zh-CN"/>
              </w:rPr>
              <w:t>港城变110千伏间隔扩建工程</w:t>
            </w:r>
          </w:p>
        </w:tc>
      </w:tr>
      <w:tr w14:paraId="3116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760EEDF2">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1</w:t>
            </w:r>
          </w:p>
        </w:tc>
        <w:tc>
          <w:tcPr>
            <w:tcW w:w="1181" w:type="pct"/>
            <w:vMerge w:val="restart"/>
            <w:vAlign w:val="center"/>
          </w:tcPr>
          <w:p w14:paraId="64999BB2">
            <w:pPr>
              <w:widowControl/>
              <w:spacing w:line="240" w:lineRule="auto"/>
              <w:jc w:val="center"/>
              <w:rPr>
                <w:rFonts w:ascii="Times New Roman" w:hAnsi="Times New Roman" w:cs="ˎ̥"/>
                <w:color w:val="000000"/>
                <w:sz w:val="22"/>
                <w:szCs w:val="22"/>
              </w:rPr>
            </w:pPr>
            <w:r>
              <w:rPr>
                <w:rFonts w:hint="eastAsia" w:ascii="Times New Roman" w:hAnsi="Times New Roman" w:cs="ˎ̥"/>
                <w:color w:val="000000"/>
                <w:sz w:val="22"/>
                <w:szCs w:val="22"/>
                <w:lang w:eastAsia="zh-CN"/>
              </w:rPr>
              <w:t>港城110kV变电站</w:t>
            </w:r>
            <w:r>
              <w:rPr>
                <w:rFonts w:hint="eastAsia" w:ascii="Times New Roman" w:hAnsi="Times New Roman" w:cs="ˎ̥"/>
                <w:color w:val="000000"/>
                <w:sz w:val="22"/>
                <w:szCs w:val="22"/>
              </w:rPr>
              <w:t>厂界</w:t>
            </w:r>
          </w:p>
        </w:tc>
        <w:tc>
          <w:tcPr>
            <w:tcW w:w="2015" w:type="pct"/>
            <w:vAlign w:val="center"/>
          </w:tcPr>
          <w:p w14:paraId="47263C7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东侧1#</w:t>
            </w:r>
          </w:p>
        </w:tc>
        <w:tc>
          <w:tcPr>
            <w:tcW w:w="1394" w:type="pct"/>
            <w:vAlign w:val="center"/>
          </w:tcPr>
          <w:p w14:paraId="38E1AA01">
            <w:pPr>
              <w:widowControl/>
              <w:spacing w:line="240" w:lineRule="auto"/>
              <w:jc w:val="center"/>
              <w:rPr>
                <w:rFonts w:ascii="Times New Roman" w:hAnsi="Times New Roman" w:cs="ˎ̥"/>
                <w:color w:val="000000"/>
                <w:sz w:val="22"/>
                <w:szCs w:val="22"/>
              </w:rPr>
            </w:pPr>
          </w:p>
        </w:tc>
      </w:tr>
      <w:tr w14:paraId="096A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538A820F">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2</w:t>
            </w:r>
          </w:p>
        </w:tc>
        <w:tc>
          <w:tcPr>
            <w:tcW w:w="1181" w:type="pct"/>
            <w:vMerge w:val="continue"/>
            <w:vAlign w:val="center"/>
          </w:tcPr>
          <w:p w14:paraId="72B82CE7">
            <w:pPr>
              <w:widowControl/>
              <w:spacing w:line="240" w:lineRule="auto"/>
              <w:jc w:val="center"/>
              <w:rPr>
                <w:rFonts w:ascii="Times New Roman" w:hAnsi="Times New Roman" w:cs="ˎ̥"/>
                <w:color w:val="000000"/>
                <w:szCs w:val="21"/>
              </w:rPr>
            </w:pPr>
          </w:p>
        </w:tc>
        <w:tc>
          <w:tcPr>
            <w:tcW w:w="2015" w:type="pct"/>
            <w:vAlign w:val="center"/>
          </w:tcPr>
          <w:p w14:paraId="323BDA1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东侧2#</w:t>
            </w:r>
          </w:p>
        </w:tc>
        <w:tc>
          <w:tcPr>
            <w:tcW w:w="1394" w:type="pct"/>
            <w:vAlign w:val="center"/>
          </w:tcPr>
          <w:p w14:paraId="371D6A4C">
            <w:pPr>
              <w:widowControl/>
              <w:spacing w:line="240" w:lineRule="auto"/>
              <w:jc w:val="center"/>
              <w:rPr>
                <w:rFonts w:ascii="Times New Roman" w:hAnsi="Times New Roman" w:eastAsia="宋体" w:cs="ˎ̥"/>
                <w:color w:val="000000"/>
                <w:sz w:val="22"/>
                <w:szCs w:val="22"/>
              </w:rPr>
            </w:pPr>
          </w:p>
        </w:tc>
      </w:tr>
      <w:tr w14:paraId="3ABB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70DA3EB0">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3</w:t>
            </w:r>
          </w:p>
        </w:tc>
        <w:tc>
          <w:tcPr>
            <w:tcW w:w="1181" w:type="pct"/>
            <w:vMerge w:val="continue"/>
            <w:vAlign w:val="center"/>
          </w:tcPr>
          <w:p w14:paraId="7CE90164">
            <w:pPr>
              <w:widowControl/>
              <w:spacing w:line="240" w:lineRule="auto"/>
              <w:jc w:val="center"/>
              <w:rPr>
                <w:rFonts w:ascii="Times New Roman" w:hAnsi="Times New Roman" w:cs="ˎ̥"/>
                <w:color w:val="000000"/>
                <w:szCs w:val="21"/>
              </w:rPr>
            </w:pPr>
          </w:p>
        </w:tc>
        <w:tc>
          <w:tcPr>
            <w:tcW w:w="2015" w:type="pct"/>
            <w:vAlign w:val="center"/>
          </w:tcPr>
          <w:p w14:paraId="561C85CD">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南侧3#</w:t>
            </w:r>
          </w:p>
        </w:tc>
        <w:tc>
          <w:tcPr>
            <w:tcW w:w="1394" w:type="pct"/>
            <w:vAlign w:val="center"/>
          </w:tcPr>
          <w:p w14:paraId="179DD726">
            <w:pPr>
              <w:widowControl/>
              <w:jc w:val="both"/>
              <w:rPr>
                <w:rFonts w:hint="eastAsia" w:ascii="Times New Roman" w:hAnsi="Times New Roman" w:eastAsia="宋体" w:cs="Times New Roman"/>
                <w:color w:val="auto"/>
                <w:kern w:val="0"/>
                <w:sz w:val="21"/>
                <w:szCs w:val="21"/>
              </w:rPr>
            </w:pPr>
            <w:r>
              <w:rPr>
                <w:rFonts w:hint="eastAsia" w:ascii="Times New Roman" w:hAnsi="Times New Roman" w:eastAsia="宋体"/>
                <w:kern w:val="0"/>
                <w:szCs w:val="21"/>
                <w:lang w:val="en-US" w:eastAsia="zh-CN"/>
              </w:rPr>
              <w:t>受站区地形影响，测点低于站区水平面</w:t>
            </w:r>
          </w:p>
        </w:tc>
      </w:tr>
      <w:tr w14:paraId="3C88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0EC418A8">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4</w:t>
            </w:r>
          </w:p>
        </w:tc>
        <w:tc>
          <w:tcPr>
            <w:tcW w:w="1181" w:type="pct"/>
            <w:vMerge w:val="continue"/>
            <w:vAlign w:val="center"/>
          </w:tcPr>
          <w:p w14:paraId="4B8619A0">
            <w:pPr>
              <w:widowControl/>
              <w:spacing w:line="240" w:lineRule="auto"/>
              <w:jc w:val="center"/>
              <w:rPr>
                <w:rFonts w:ascii="Times New Roman" w:hAnsi="Times New Roman" w:cs="ˎ̥"/>
                <w:color w:val="000000"/>
                <w:szCs w:val="21"/>
              </w:rPr>
            </w:pPr>
          </w:p>
        </w:tc>
        <w:tc>
          <w:tcPr>
            <w:tcW w:w="2015" w:type="pct"/>
            <w:vAlign w:val="center"/>
          </w:tcPr>
          <w:p w14:paraId="263B9691">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南侧4#</w:t>
            </w:r>
          </w:p>
        </w:tc>
        <w:tc>
          <w:tcPr>
            <w:tcW w:w="1394" w:type="pct"/>
            <w:vAlign w:val="center"/>
          </w:tcPr>
          <w:p w14:paraId="3BC63135">
            <w:pPr>
              <w:widowControl/>
              <w:jc w:val="both"/>
              <w:rPr>
                <w:rFonts w:ascii="Times New Roman" w:hAnsi="Times New Roman" w:eastAsia="宋体" w:cs="Times New Roman"/>
                <w:color w:val="auto"/>
                <w:kern w:val="0"/>
                <w:sz w:val="21"/>
                <w:szCs w:val="21"/>
              </w:rPr>
            </w:pPr>
            <w:r>
              <w:rPr>
                <w:rFonts w:hint="eastAsia" w:ascii="Times New Roman" w:hAnsi="Times New Roman" w:eastAsia="宋体"/>
                <w:kern w:val="0"/>
                <w:szCs w:val="21"/>
                <w:lang w:val="en-US" w:eastAsia="zh-CN"/>
              </w:rPr>
              <w:t>受站区地形影响，测点低于站区水平面</w:t>
            </w:r>
          </w:p>
        </w:tc>
      </w:tr>
      <w:tr w14:paraId="04A7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0481B6B6">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5</w:t>
            </w:r>
          </w:p>
        </w:tc>
        <w:tc>
          <w:tcPr>
            <w:tcW w:w="1181" w:type="pct"/>
            <w:vMerge w:val="continue"/>
            <w:vAlign w:val="center"/>
          </w:tcPr>
          <w:p w14:paraId="7B845556">
            <w:pPr>
              <w:widowControl/>
              <w:spacing w:line="240" w:lineRule="auto"/>
              <w:jc w:val="center"/>
              <w:rPr>
                <w:rFonts w:ascii="Times New Roman" w:hAnsi="Times New Roman" w:cs="ˎ̥"/>
                <w:color w:val="000000"/>
                <w:szCs w:val="21"/>
              </w:rPr>
            </w:pPr>
          </w:p>
        </w:tc>
        <w:tc>
          <w:tcPr>
            <w:tcW w:w="2015" w:type="pct"/>
            <w:vAlign w:val="center"/>
          </w:tcPr>
          <w:p w14:paraId="5FE3C586">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西侧5#</w:t>
            </w:r>
          </w:p>
        </w:tc>
        <w:tc>
          <w:tcPr>
            <w:tcW w:w="1394" w:type="pct"/>
            <w:vAlign w:val="center"/>
          </w:tcPr>
          <w:p w14:paraId="777D0085">
            <w:pPr>
              <w:widowControl/>
              <w:jc w:val="both"/>
              <w:rPr>
                <w:rFonts w:ascii="Times New Roman" w:hAnsi="Times New Roman" w:cs="Times New Roman"/>
                <w:color w:val="auto"/>
                <w:kern w:val="0"/>
                <w:sz w:val="21"/>
                <w:szCs w:val="21"/>
              </w:rPr>
            </w:pPr>
          </w:p>
        </w:tc>
      </w:tr>
      <w:tr w14:paraId="52C6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68F51111">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6</w:t>
            </w:r>
          </w:p>
        </w:tc>
        <w:tc>
          <w:tcPr>
            <w:tcW w:w="1181" w:type="pct"/>
            <w:vMerge w:val="continue"/>
            <w:vAlign w:val="center"/>
          </w:tcPr>
          <w:p w14:paraId="3D8F138D">
            <w:pPr>
              <w:widowControl/>
              <w:spacing w:line="240" w:lineRule="auto"/>
              <w:jc w:val="center"/>
              <w:rPr>
                <w:rFonts w:ascii="Times New Roman" w:hAnsi="Times New Roman" w:cs="ˎ̥"/>
                <w:color w:val="000000"/>
                <w:szCs w:val="21"/>
              </w:rPr>
            </w:pPr>
          </w:p>
        </w:tc>
        <w:tc>
          <w:tcPr>
            <w:tcW w:w="2015" w:type="pct"/>
            <w:vAlign w:val="center"/>
          </w:tcPr>
          <w:p w14:paraId="64ECE751">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西侧6#</w:t>
            </w:r>
          </w:p>
        </w:tc>
        <w:tc>
          <w:tcPr>
            <w:tcW w:w="1394" w:type="pct"/>
            <w:vAlign w:val="center"/>
          </w:tcPr>
          <w:p w14:paraId="132BB0E7">
            <w:pPr>
              <w:widowControl/>
              <w:jc w:val="both"/>
              <w:rPr>
                <w:rFonts w:ascii="Times New Roman" w:hAnsi="Times New Roman" w:eastAsia="宋体" w:cs="Times New Roman"/>
                <w:color w:val="auto"/>
                <w:kern w:val="0"/>
                <w:sz w:val="21"/>
                <w:szCs w:val="21"/>
              </w:rPr>
            </w:pPr>
          </w:p>
        </w:tc>
      </w:tr>
      <w:tr w14:paraId="7CE0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62FD758C">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7</w:t>
            </w:r>
          </w:p>
        </w:tc>
        <w:tc>
          <w:tcPr>
            <w:tcW w:w="1181" w:type="pct"/>
            <w:vMerge w:val="continue"/>
            <w:vAlign w:val="center"/>
          </w:tcPr>
          <w:p w14:paraId="4675006F">
            <w:pPr>
              <w:widowControl/>
              <w:spacing w:line="240" w:lineRule="auto"/>
              <w:jc w:val="center"/>
              <w:rPr>
                <w:rFonts w:ascii="Times New Roman" w:hAnsi="Times New Roman" w:cs="ˎ̥"/>
                <w:color w:val="000000"/>
                <w:szCs w:val="21"/>
              </w:rPr>
            </w:pPr>
          </w:p>
        </w:tc>
        <w:tc>
          <w:tcPr>
            <w:tcW w:w="2015" w:type="pct"/>
            <w:vAlign w:val="center"/>
          </w:tcPr>
          <w:p w14:paraId="7BC5D975">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北侧7#</w:t>
            </w:r>
          </w:p>
        </w:tc>
        <w:tc>
          <w:tcPr>
            <w:tcW w:w="1394" w:type="pct"/>
            <w:vAlign w:val="center"/>
          </w:tcPr>
          <w:p w14:paraId="00682AD4">
            <w:pPr>
              <w:widowControl/>
              <w:spacing w:line="240" w:lineRule="auto"/>
              <w:jc w:val="center"/>
              <w:rPr>
                <w:rFonts w:ascii="Times New Roman" w:hAnsi="Times New Roman" w:eastAsia="宋体" w:cs="ˎ̥"/>
                <w:color w:val="000000"/>
                <w:sz w:val="22"/>
                <w:szCs w:val="22"/>
              </w:rPr>
            </w:pPr>
          </w:p>
        </w:tc>
      </w:tr>
      <w:tr w14:paraId="51B3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16BABE3D">
            <w:pPr>
              <w:widowControl/>
              <w:jc w:val="center"/>
              <w:rPr>
                <w:rFonts w:ascii="Times New Roman" w:hAnsi="Times New Roman" w:cs="ˎ̥"/>
                <w:b/>
                <w:bCs/>
                <w:color w:val="000000"/>
                <w:kern w:val="0"/>
                <w:szCs w:val="21"/>
              </w:rPr>
            </w:pPr>
            <w:r>
              <w:rPr>
                <w:rFonts w:hint="eastAsia" w:ascii="Times New Roman" w:hAnsi="Times New Roman" w:cs="ˎ̥"/>
                <w:b/>
                <w:bCs/>
                <w:color w:val="000000"/>
                <w:kern w:val="0"/>
                <w:szCs w:val="21"/>
              </w:rPr>
              <w:t>8</w:t>
            </w:r>
          </w:p>
        </w:tc>
        <w:tc>
          <w:tcPr>
            <w:tcW w:w="1181" w:type="pct"/>
            <w:vMerge w:val="continue"/>
            <w:vAlign w:val="center"/>
          </w:tcPr>
          <w:p w14:paraId="0C711C68">
            <w:pPr>
              <w:widowControl/>
              <w:spacing w:line="240" w:lineRule="auto"/>
              <w:jc w:val="center"/>
              <w:rPr>
                <w:rFonts w:ascii="Times New Roman" w:hAnsi="Times New Roman" w:cs="ˎ̥"/>
                <w:color w:val="000000"/>
                <w:szCs w:val="21"/>
              </w:rPr>
            </w:pPr>
          </w:p>
        </w:tc>
        <w:tc>
          <w:tcPr>
            <w:tcW w:w="2015" w:type="pct"/>
            <w:vAlign w:val="center"/>
          </w:tcPr>
          <w:p w14:paraId="04CDB7EC">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北侧8#</w:t>
            </w:r>
          </w:p>
        </w:tc>
        <w:tc>
          <w:tcPr>
            <w:tcW w:w="1394" w:type="pct"/>
            <w:vAlign w:val="center"/>
          </w:tcPr>
          <w:p w14:paraId="3E99154C">
            <w:pPr>
              <w:widowControl/>
              <w:spacing w:line="240" w:lineRule="auto"/>
              <w:jc w:val="center"/>
              <w:rPr>
                <w:rFonts w:ascii="Times New Roman" w:hAnsi="Times New Roman" w:eastAsia="宋体" w:cs="ˎ̥"/>
                <w:color w:val="000000"/>
                <w:sz w:val="22"/>
                <w:szCs w:val="22"/>
              </w:rPr>
            </w:pPr>
          </w:p>
        </w:tc>
      </w:tr>
      <w:tr w14:paraId="1D2D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4C5E04BF">
            <w:pPr>
              <w:widowControl/>
              <w:jc w:val="center"/>
              <w:rPr>
                <w:rFonts w:hint="eastAsia" w:ascii="Times New Roman" w:hAnsi="Times New Roman" w:eastAsia="宋体" w:cs="ˎ̥"/>
                <w:b/>
                <w:bCs/>
                <w:color w:val="000000"/>
                <w:kern w:val="0"/>
                <w:szCs w:val="21"/>
                <w:lang w:val="en-US" w:eastAsia="zh-CN"/>
              </w:rPr>
            </w:pPr>
            <w:r>
              <w:rPr>
                <w:rFonts w:hint="eastAsia" w:ascii="Times New Roman" w:hAnsi="Times New Roman" w:cs="ˎ̥"/>
                <w:b/>
                <w:bCs/>
                <w:color w:val="000000"/>
                <w:kern w:val="0"/>
                <w:szCs w:val="21"/>
                <w:lang w:val="en-US" w:eastAsia="zh-CN"/>
              </w:rPr>
              <w:t>9</w:t>
            </w:r>
          </w:p>
        </w:tc>
        <w:tc>
          <w:tcPr>
            <w:tcW w:w="1181" w:type="pct"/>
            <w:vAlign w:val="center"/>
          </w:tcPr>
          <w:p w14:paraId="745E2A5E">
            <w:pPr>
              <w:widowControl/>
              <w:spacing w:line="240" w:lineRule="auto"/>
              <w:jc w:val="center"/>
              <w:rPr>
                <w:rFonts w:hint="eastAsia" w:ascii="Times New Roman" w:hAnsi="Times New Roman" w:eastAsia="宋体" w:cs="ˎ̥"/>
                <w:color w:val="000000"/>
                <w:kern w:val="2"/>
                <w:sz w:val="21"/>
                <w:szCs w:val="21"/>
                <w:lang w:val="en-US" w:eastAsia="zh-CN" w:bidi="ar-SA"/>
              </w:rPr>
            </w:pPr>
            <w:r>
              <w:rPr>
                <w:rFonts w:hint="eastAsia" w:ascii="Times New Roman" w:hAnsi="Times New Roman" w:eastAsia="宋体"/>
                <w:kern w:val="0"/>
                <w:szCs w:val="21"/>
              </w:rPr>
              <w:t>吐鲁番市高昌区港城社区</w:t>
            </w:r>
          </w:p>
        </w:tc>
        <w:tc>
          <w:tcPr>
            <w:tcW w:w="2015" w:type="pct"/>
            <w:vAlign w:val="center"/>
          </w:tcPr>
          <w:p w14:paraId="51A28EDD">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其他建筑a西侧</w:t>
            </w:r>
          </w:p>
        </w:tc>
        <w:tc>
          <w:tcPr>
            <w:tcW w:w="1394" w:type="pct"/>
            <w:vAlign w:val="center"/>
          </w:tcPr>
          <w:p w14:paraId="3949C1A5">
            <w:pPr>
              <w:widowControl/>
              <w:spacing w:line="240" w:lineRule="auto"/>
              <w:jc w:val="center"/>
              <w:rPr>
                <w:rFonts w:ascii="Times New Roman" w:hAnsi="Times New Roman" w:eastAsia="宋体" w:cs="ˎ̥"/>
                <w:color w:val="000000"/>
                <w:sz w:val="22"/>
                <w:szCs w:val="22"/>
              </w:rPr>
            </w:pPr>
          </w:p>
        </w:tc>
      </w:tr>
      <w:tr w14:paraId="2298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CE4CCE8">
            <w:pPr>
              <w:widowControl/>
              <w:jc w:val="both"/>
              <w:rPr>
                <w:rFonts w:hint="eastAsia" w:ascii="Times New Roman" w:hAnsi="Times New Roman" w:eastAsia="宋体" w:cs="ˎ̥"/>
                <w:color w:val="000000"/>
                <w:sz w:val="22"/>
                <w:szCs w:val="22"/>
                <w:lang w:eastAsia="zh-CN"/>
              </w:rPr>
            </w:pPr>
            <w:r>
              <w:rPr>
                <w:rFonts w:hint="eastAsia" w:ascii="Times New Roman" w:hAnsi="Times New Roman" w:cs="ˎ̥"/>
                <w:b/>
                <w:bCs/>
                <w:color w:val="000000"/>
                <w:kern w:val="0"/>
                <w:szCs w:val="21"/>
              </w:rPr>
              <w:t>二、</w:t>
            </w:r>
            <w:r>
              <w:rPr>
                <w:rFonts w:hint="eastAsia" w:ascii="Times New Roman" w:hAnsi="Times New Roman" w:cs="ˎ̥"/>
                <w:b/>
                <w:bCs/>
                <w:color w:val="000000"/>
                <w:kern w:val="0"/>
                <w:szCs w:val="21"/>
                <w:lang w:eastAsia="zh-CN"/>
              </w:rPr>
              <w:t>港城~新阳110千伏线路工程</w:t>
            </w:r>
          </w:p>
        </w:tc>
      </w:tr>
      <w:tr w14:paraId="0D2C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Align w:val="center"/>
          </w:tcPr>
          <w:p w14:paraId="783842D8">
            <w:pPr>
              <w:widowControl/>
              <w:jc w:val="center"/>
              <w:rPr>
                <w:rFonts w:hint="default" w:ascii="Times New Roman" w:hAnsi="Times New Roman" w:cs="ˎ̥"/>
                <w:b/>
                <w:bCs/>
                <w:color w:val="000000"/>
                <w:kern w:val="0"/>
                <w:szCs w:val="21"/>
              </w:rPr>
            </w:pPr>
            <w:r>
              <w:rPr>
                <w:rFonts w:hint="eastAsia" w:ascii="Times New Roman" w:hAnsi="Times New Roman" w:eastAsia="宋体" w:cs="ˎ̥"/>
                <w:b/>
                <w:bCs/>
                <w:color w:val="000000"/>
                <w:kern w:val="0"/>
                <w:szCs w:val="21"/>
                <w:lang w:eastAsia="zh-CN"/>
              </w:rPr>
              <w:t>1</w:t>
            </w:r>
            <w:r>
              <w:rPr>
                <w:rFonts w:hint="eastAsia" w:ascii="Times New Roman" w:hAnsi="Times New Roman" w:eastAsia="宋体" w:cs="ˎ̥"/>
                <w:b/>
                <w:bCs/>
                <w:color w:val="000000"/>
                <w:kern w:val="0"/>
                <w:szCs w:val="21"/>
                <w:lang w:val="en-US" w:eastAsia="zh-CN"/>
              </w:rPr>
              <w:t>0</w:t>
            </w:r>
          </w:p>
        </w:tc>
        <w:tc>
          <w:tcPr>
            <w:tcW w:w="1181" w:type="pct"/>
            <w:vAlign w:val="center"/>
          </w:tcPr>
          <w:p w14:paraId="4B9EF75F">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吐鲁番市高昌区港城社区</w:t>
            </w:r>
          </w:p>
        </w:tc>
        <w:tc>
          <w:tcPr>
            <w:tcW w:w="2015" w:type="pct"/>
            <w:vAlign w:val="center"/>
          </w:tcPr>
          <w:p w14:paraId="75047440">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葡萄干打把场办公室北侧</w:t>
            </w:r>
          </w:p>
        </w:tc>
        <w:tc>
          <w:tcPr>
            <w:tcW w:w="1394" w:type="pct"/>
            <w:vAlign w:val="center"/>
          </w:tcPr>
          <w:p w14:paraId="138F2459">
            <w:pPr>
              <w:widowControl/>
              <w:jc w:val="center"/>
              <w:rPr>
                <w:rFonts w:ascii="Times New Roman" w:hAnsi="Times New Roman" w:cs="ˎ̥"/>
                <w:color w:val="000000"/>
                <w:sz w:val="22"/>
                <w:szCs w:val="22"/>
              </w:rPr>
            </w:pPr>
          </w:p>
        </w:tc>
      </w:tr>
    </w:tbl>
    <w:p w14:paraId="3DE3308D">
      <w:pPr>
        <w:keepNext/>
        <w:keepLines/>
        <w:numPr>
          <w:ilvl w:val="1"/>
          <w:numId w:val="22"/>
        </w:numPr>
        <w:adjustRightInd w:val="0"/>
        <w:spacing w:line="360" w:lineRule="auto"/>
        <w:outlineLvl w:val="1"/>
        <w:rPr>
          <w:b/>
          <w:bCs/>
          <w:color w:val="000000"/>
          <w:sz w:val="28"/>
          <w:szCs w:val="32"/>
        </w:rPr>
      </w:pPr>
      <w:bookmarkStart w:id="846" w:name="_Toc18253"/>
      <w:r>
        <w:rPr>
          <w:rFonts w:hint="eastAsia"/>
          <w:b/>
          <w:bCs/>
          <w:color w:val="000000"/>
          <w:sz w:val="28"/>
          <w:szCs w:val="32"/>
        </w:rPr>
        <w:t>监测项目</w:t>
      </w:r>
      <w:bookmarkEnd w:id="846"/>
    </w:p>
    <w:p w14:paraId="25ECD999">
      <w:pPr>
        <w:spacing w:line="360" w:lineRule="auto"/>
        <w:ind w:firstLine="480" w:firstLineChars="200"/>
        <w:rPr>
          <w:color w:val="000000"/>
          <w:sz w:val="24"/>
          <w:szCs w:val="20"/>
        </w:rPr>
      </w:pPr>
      <w:r>
        <w:rPr>
          <w:rFonts w:hint="eastAsia"/>
          <w:color w:val="000000"/>
          <w:sz w:val="24"/>
          <w:szCs w:val="20"/>
        </w:rPr>
        <w:t>工频电场、工频磁场。</w:t>
      </w:r>
    </w:p>
    <w:p w14:paraId="45784A5A">
      <w:pPr>
        <w:keepNext/>
        <w:keepLines/>
        <w:numPr>
          <w:ilvl w:val="1"/>
          <w:numId w:val="22"/>
        </w:numPr>
        <w:adjustRightInd w:val="0"/>
        <w:spacing w:line="360" w:lineRule="auto"/>
        <w:outlineLvl w:val="1"/>
        <w:rPr>
          <w:b/>
          <w:bCs/>
          <w:color w:val="000000"/>
          <w:sz w:val="28"/>
          <w:szCs w:val="32"/>
        </w:rPr>
      </w:pPr>
      <w:bookmarkStart w:id="847" w:name="_Toc4183"/>
      <w:r>
        <w:rPr>
          <w:rFonts w:hint="eastAsia"/>
          <w:b/>
          <w:bCs/>
          <w:color w:val="000000"/>
          <w:sz w:val="28"/>
          <w:szCs w:val="32"/>
        </w:rPr>
        <w:t>监测时间、监测频次、监测单位</w:t>
      </w:r>
      <w:bookmarkEnd w:id="847"/>
    </w:p>
    <w:p w14:paraId="0D79DE4B">
      <w:pPr>
        <w:spacing w:line="360" w:lineRule="auto"/>
        <w:ind w:firstLine="480" w:firstLineChars="200"/>
        <w:rPr>
          <w:color w:val="000000"/>
          <w:sz w:val="24"/>
        </w:rPr>
      </w:pPr>
      <w:r>
        <w:rPr>
          <w:color w:val="000000"/>
          <w:sz w:val="24"/>
        </w:rPr>
        <w:t>监测时间：202</w:t>
      </w:r>
      <w:r>
        <w:rPr>
          <w:rFonts w:hint="eastAsia"/>
          <w:color w:val="000000"/>
          <w:sz w:val="24"/>
          <w:lang w:val="en-US" w:eastAsia="zh-CN"/>
        </w:rPr>
        <w:t>5</w:t>
      </w:r>
      <w:r>
        <w:rPr>
          <w:color w:val="000000"/>
          <w:sz w:val="24"/>
        </w:rPr>
        <w:t>年</w:t>
      </w:r>
      <w:r>
        <w:rPr>
          <w:rFonts w:hint="eastAsia"/>
          <w:color w:val="000000"/>
          <w:sz w:val="24"/>
          <w:lang w:val="en-US" w:eastAsia="zh-CN"/>
        </w:rPr>
        <w:t>7</w:t>
      </w:r>
      <w:r>
        <w:rPr>
          <w:color w:val="000000"/>
          <w:sz w:val="24"/>
        </w:rPr>
        <w:t>月</w:t>
      </w:r>
      <w:r>
        <w:rPr>
          <w:rFonts w:hint="eastAsia"/>
          <w:color w:val="000000"/>
          <w:sz w:val="24"/>
          <w:lang w:val="en-US" w:eastAsia="zh-CN"/>
        </w:rPr>
        <w:t>1</w:t>
      </w:r>
      <w:r>
        <w:rPr>
          <w:color w:val="000000"/>
          <w:sz w:val="24"/>
        </w:rPr>
        <w:t>日</w:t>
      </w:r>
    </w:p>
    <w:p w14:paraId="087548FE">
      <w:pPr>
        <w:spacing w:line="360" w:lineRule="auto"/>
        <w:ind w:firstLine="480" w:firstLineChars="200"/>
        <w:rPr>
          <w:color w:val="000000"/>
          <w:sz w:val="24"/>
          <w:szCs w:val="20"/>
        </w:rPr>
      </w:pPr>
      <w:r>
        <w:rPr>
          <w:rFonts w:hint="eastAsia"/>
          <w:color w:val="000000"/>
          <w:sz w:val="24"/>
          <w:szCs w:val="20"/>
        </w:rPr>
        <w:t>监测频次：昼间监测一次</w:t>
      </w:r>
    </w:p>
    <w:p w14:paraId="1EABB629">
      <w:pPr>
        <w:spacing w:line="360" w:lineRule="auto"/>
        <w:ind w:firstLine="480" w:firstLineChars="200"/>
        <w:rPr>
          <w:color w:val="000000"/>
          <w:sz w:val="24"/>
          <w:szCs w:val="20"/>
        </w:rPr>
      </w:pPr>
      <w:r>
        <w:rPr>
          <w:rFonts w:hint="eastAsia"/>
          <w:color w:val="000000"/>
          <w:sz w:val="24"/>
          <w:szCs w:val="20"/>
        </w:rPr>
        <w:t>监测单位：武汉中电工程检测有限公司</w:t>
      </w:r>
    </w:p>
    <w:p w14:paraId="3388387C">
      <w:pPr>
        <w:keepNext/>
        <w:keepLines/>
        <w:numPr>
          <w:ilvl w:val="1"/>
          <w:numId w:val="22"/>
        </w:numPr>
        <w:adjustRightInd w:val="0"/>
        <w:spacing w:line="360" w:lineRule="auto"/>
        <w:outlineLvl w:val="1"/>
        <w:rPr>
          <w:b/>
          <w:bCs/>
          <w:color w:val="000000"/>
          <w:sz w:val="28"/>
          <w:szCs w:val="32"/>
        </w:rPr>
      </w:pPr>
      <w:bookmarkStart w:id="848" w:name="_Toc25092"/>
      <w:r>
        <w:rPr>
          <w:rFonts w:hint="eastAsia"/>
          <w:b/>
          <w:bCs/>
          <w:color w:val="000000"/>
          <w:sz w:val="28"/>
          <w:szCs w:val="32"/>
        </w:rPr>
        <w:t>监测环境</w:t>
      </w:r>
      <w:bookmarkEnd w:id="848"/>
    </w:p>
    <w:p w14:paraId="3FF08794">
      <w:pPr>
        <w:spacing w:line="360" w:lineRule="auto"/>
        <w:ind w:firstLine="480" w:firstLineChars="200"/>
        <w:rPr>
          <w:color w:val="000000"/>
          <w:sz w:val="24"/>
          <w:szCs w:val="20"/>
        </w:rPr>
      </w:pPr>
      <w:r>
        <w:rPr>
          <w:rFonts w:hint="eastAsia"/>
          <w:color w:val="000000"/>
          <w:sz w:val="24"/>
          <w:szCs w:val="20"/>
        </w:rPr>
        <w:t>监测时环境条件见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_Ref11228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31</w:t>
      </w:r>
      <w:r>
        <w:rPr>
          <w:rFonts w:hint="eastAsia"/>
          <w:b w:val="0"/>
          <w:bCs w:val="0"/>
          <w:color w:val="000000"/>
          <w:sz w:val="24"/>
          <w:szCs w:val="24"/>
          <w:lang w:eastAsia="zh-CN"/>
        </w:rPr>
        <w:fldChar w:fldCharType="end"/>
      </w:r>
      <w:r>
        <w:rPr>
          <w:rFonts w:hint="eastAsia"/>
          <w:color w:val="000000"/>
          <w:sz w:val="24"/>
          <w:szCs w:val="20"/>
        </w:rPr>
        <w:t>。</w:t>
      </w:r>
    </w:p>
    <w:p w14:paraId="1C35E023">
      <w:pPr>
        <w:rPr>
          <w:rFonts w:eastAsia="黑体"/>
          <w:b/>
          <w:bCs/>
        </w:rPr>
      </w:pPr>
      <w:bookmarkStart w:id="849" w:name="_Ref11228"/>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31</w:t>
      </w:r>
      <w:r>
        <w:rPr>
          <w:rFonts w:ascii="Times New Roman" w:hAnsi="Times New Roman"/>
          <w:b/>
        </w:rPr>
        <w:fldChar w:fldCharType="end"/>
      </w:r>
      <w:bookmarkEnd w:id="849"/>
      <w:r>
        <w:rPr>
          <w:rFonts w:ascii="Times New Roman" w:hAnsi="Times New Roman"/>
          <w:b/>
        </w:rPr>
        <w:t xml:space="preserve"> </w:t>
      </w:r>
      <w:r>
        <w:rPr>
          <w:rFonts w:eastAsia="黑体"/>
          <w:b/>
          <w:bCs/>
        </w:rPr>
        <w:t xml:space="preserve">              </w:t>
      </w:r>
      <w:r>
        <w:rPr>
          <w:rFonts w:hint="eastAsia" w:eastAsia="黑体"/>
          <w:b/>
          <w:bCs/>
        </w:rPr>
        <w:t xml:space="preserve">     </w:t>
      </w:r>
      <w:r>
        <w:rPr>
          <w:rFonts w:eastAsia="黑体"/>
          <w:b/>
          <w:bCs/>
        </w:rPr>
        <w:t xml:space="preserve">  电磁环境监测时环境条件一览表</w:t>
      </w:r>
    </w:p>
    <w:tbl>
      <w:tblPr>
        <w:tblStyle w:val="34"/>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986"/>
        <w:gridCol w:w="1965"/>
        <w:gridCol w:w="2450"/>
        <w:gridCol w:w="2241"/>
      </w:tblGrid>
      <w:tr w14:paraId="649D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14:paraId="001729C8">
            <w:pPr>
              <w:widowControl/>
              <w:jc w:val="center"/>
              <w:rPr>
                <w:rFonts w:ascii="ˎ̥" w:hAnsi="ˎ̥" w:cs="ˎ̥"/>
                <w:b/>
                <w:color w:val="000000"/>
                <w:kern w:val="0"/>
                <w:szCs w:val="21"/>
              </w:rPr>
            </w:pPr>
            <w:r>
              <w:rPr>
                <w:rFonts w:hint="eastAsia" w:ascii="ˎ̥" w:hAnsi="ˎ̥" w:cs="ˎ̥"/>
                <w:b/>
                <w:color w:val="000000"/>
                <w:kern w:val="0"/>
                <w:szCs w:val="21"/>
              </w:rPr>
              <w:t>检测时间</w:t>
            </w:r>
          </w:p>
        </w:tc>
        <w:tc>
          <w:tcPr>
            <w:tcW w:w="539" w:type="pct"/>
            <w:shd w:val="clear" w:color="auto" w:fill="auto"/>
            <w:vAlign w:val="center"/>
          </w:tcPr>
          <w:p w14:paraId="248A3EA3">
            <w:pPr>
              <w:widowControl/>
              <w:jc w:val="center"/>
              <w:rPr>
                <w:rFonts w:ascii="ˎ̥" w:hAnsi="ˎ̥" w:cs="ˎ̥"/>
                <w:b/>
                <w:bCs/>
                <w:color w:val="000000"/>
                <w:kern w:val="0"/>
                <w:szCs w:val="21"/>
              </w:rPr>
            </w:pPr>
            <w:r>
              <w:rPr>
                <w:rFonts w:hint="eastAsia" w:ascii="ˎ̥" w:hAnsi="ˎ̥" w:cs="ˎ̥"/>
                <w:b/>
                <w:bCs/>
                <w:color w:val="000000"/>
                <w:kern w:val="0"/>
                <w:szCs w:val="21"/>
              </w:rPr>
              <w:t>天气</w:t>
            </w:r>
          </w:p>
        </w:tc>
        <w:tc>
          <w:tcPr>
            <w:tcW w:w="1074" w:type="pct"/>
            <w:shd w:val="clear" w:color="auto" w:fill="auto"/>
            <w:vAlign w:val="center"/>
          </w:tcPr>
          <w:p w14:paraId="5FB3C483">
            <w:pPr>
              <w:widowControl/>
              <w:jc w:val="center"/>
              <w:rPr>
                <w:rFonts w:ascii="ˎ̥" w:hAnsi="ˎ̥" w:cs="ˎ̥"/>
                <w:b/>
                <w:bCs/>
                <w:color w:val="000000"/>
                <w:kern w:val="0"/>
                <w:szCs w:val="21"/>
              </w:rPr>
            </w:pPr>
            <w:r>
              <w:rPr>
                <w:rFonts w:hint="eastAsia" w:ascii="ˎ̥" w:hAnsi="ˎ̥" w:cs="ˎ̥"/>
                <w:b/>
                <w:bCs/>
                <w:color w:val="000000"/>
                <w:kern w:val="0"/>
                <w:szCs w:val="21"/>
              </w:rPr>
              <w:t>温度（</w:t>
            </w:r>
            <w:r>
              <w:rPr>
                <w:b/>
                <w:bCs/>
                <w:color w:val="000000"/>
                <w:kern w:val="0"/>
                <w:szCs w:val="21"/>
              </w:rPr>
              <w:t>℃</w:t>
            </w:r>
            <w:r>
              <w:rPr>
                <w:rFonts w:hint="eastAsia" w:ascii="ˎ̥" w:hAnsi="ˎ̥" w:cs="ˎ̥"/>
                <w:b/>
                <w:bCs/>
                <w:color w:val="000000"/>
                <w:kern w:val="0"/>
                <w:szCs w:val="21"/>
              </w:rPr>
              <w:t>）</w:t>
            </w:r>
          </w:p>
        </w:tc>
        <w:tc>
          <w:tcPr>
            <w:tcW w:w="1339" w:type="pct"/>
            <w:tcBorders>
              <w:right w:val="single" w:color="auto" w:sz="2" w:space="0"/>
            </w:tcBorders>
            <w:shd w:val="clear" w:color="auto" w:fill="auto"/>
            <w:vAlign w:val="center"/>
          </w:tcPr>
          <w:p w14:paraId="2B131B4F">
            <w:pPr>
              <w:widowControl/>
              <w:jc w:val="center"/>
              <w:rPr>
                <w:rFonts w:ascii="ˎ̥" w:hAnsi="ˎ̥" w:cs="ˎ̥"/>
                <w:b/>
                <w:bCs/>
                <w:color w:val="000000"/>
                <w:kern w:val="0"/>
                <w:szCs w:val="21"/>
              </w:rPr>
            </w:pPr>
            <w:r>
              <w:rPr>
                <w:rFonts w:hint="eastAsia" w:ascii="ˎ̥" w:hAnsi="ˎ̥" w:cs="ˎ̥"/>
                <w:b/>
                <w:bCs/>
                <w:color w:val="000000"/>
                <w:kern w:val="0"/>
                <w:szCs w:val="21"/>
              </w:rPr>
              <w:t>湿度（RH%）</w:t>
            </w:r>
          </w:p>
        </w:tc>
        <w:tc>
          <w:tcPr>
            <w:tcW w:w="1225" w:type="pct"/>
            <w:tcBorders>
              <w:left w:val="single" w:color="auto" w:sz="2" w:space="0"/>
            </w:tcBorders>
            <w:shd w:val="clear" w:color="auto" w:fill="auto"/>
            <w:vAlign w:val="center"/>
          </w:tcPr>
          <w:p w14:paraId="76004461">
            <w:pPr>
              <w:widowControl/>
              <w:jc w:val="center"/>
              <w:rPr>
                <w:rFonts w:ascii="ˎ̥" w:hAnsi="ˎ̥" w:cs="ˎ̥"/>
                <w:b/>
                <w:bCs/>
                <w:color w:val="000000"/>
                <w:kern w:val="0"/>
                <w:szCs w:val="21"/>
              </w:rPr>
            </w:pPr>
            <w:r>
              <w:rPr>
                <w:rFonts w:hint="eastAsia" w:ascii="ˎ̥" w:hAnsi="ˎ̥" w:cs="ˎ̥"/>
                <w:b/>
                <w:bCs/>
                <w:color w:val="000000"/>
                <w:kern w:val="0"/>
                <w:szCs w:val="21"/>
              </w:rPr>
              <w:t>风速（</w:t>
            </w:r>
            <w:r>
              <w:rPr>
                <w:rFonts w:hint="eastAsia" w:ascii="ˎ̥" w:hAnsi="ˎ̥" w:cs="ˎ̥"/>
                <w:b/>
                <w:color w:val="000000"/>
                <w:sz w:val="24"/>
                <w:szCs w:val="22"/>
              </w:rPr>
              <w:t>m/s）</w:t>
            </w:r>
          </w:p>
        </w:tc>
      </w:tr>
      <w:tr w14:paraId="4F5D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14:paraId="7D849B48">
            <w:pPr>
              <w:widowControl/>
              <w:jc w:val="center"/>
              <w:rPr>
                <w:rFonts w:hint="eastAsia" w:eastAsia="宋体" w:cs="ˎ̥"/>
                <w:color w:val="000000"/>
                <w:kern w:val="0"/>
                <w:szCs w:val="21"/>
                <w:lang w:eastAsia="zh-CN"/>
              </w:rPr>
            </w:pPr>
            <w:r>
              <w:rPr>
                <w:rFonts w:ascii="ˎ̥" w:hAnsi="ˎ̥" w:cs="ˎ̥"/>
                <w:color w:val="000000"/>
                <w:kern w:val="0"/>
                <w:szCs w:val="21"/>
              </w:rPr>
              <w:t>20</w:t>
            </w:r>
            <w:r>
              <w:rPr>
                <w:rFonts w:hint="eastAsia" w:ascii="ˎ̥" w:hAnsi="ˎ̥" w:cs="ˎ̥"/>
                <w:color w:val="000000"/>
                <w:kern w:val="0"/>
                <w:szCs w:val="21"/>
              </w:rPr>
              <w:t>2</w:t>
            </w:r>
            <w:r>
              <w:rPr>
                <w:rFonts w:hint="eastAsia" w:ascii="ˎ̥" w:hAnsi="ˎ̥" w:cs="ˎ̥"/>
                <w:color w:val="000000"/>
                <w:kern w:val="0"/>
                <w:szCs w:val="21"/>
                <w:lang w:val="en-US" w:eastAsia="zh-CN"/>
              </w:rPr>
              <w:t>5</w:t>
            </w:r>
            <w:r>
              <w:rPr>
                <w:rFonts w:hint="eastAsia" w:ascii="ˎ̥" w:hAnsi="ˎ̥" w:cs="ˎ̥"/>
                <w:color w:val="000000"/>
                <w:kern w:val="0"/>
                <w:szCs w:val="21"/>
              </w:rPr>
              <w:t>.</w:t>
            </w:r>
            <w:r>
              <w:rPr>
                <w:rFonts w:hint="eastAsia" w:ascii="ˎ̥" w:hAnsi="ˎ̥" w:cs="ˎ̥"/>
                <w:color w:val="000000"/>
                <w:kern w:val="0"/>
                <w:szCs w:val="21"/>
                <w:lang w:val="en-US" w:eastAsia="zh-CN"/>
              </w:rPr>
              <w:t>7</w:t>
            </w:r>
            <w:r>
              <w:rPr>
                <w:rFonts w:hint="eastAsia" w:ascii="ˎ̥" w:hAnsi="ˎ̥" w:cs="ˎ̥"/>
                <w:color w:val="000000"/>
                <w:kern w:val="0"/>
                <w:szCs w:val="21"/>
              </w:rPr>
              <w:t>.</w:t>
            </w:r>
            <w:r>
              <w:rPr>
                <w:rFonts w:hint="eastAsia" w:ascii="ˎ̥" w:hAnsi="ˎ̥" w:cs="ˎ̥"/>
                <w:color w:val="000000"/>
                <w:kern w:val="0"/>
                <w:szCs w:val="21"/>
                <w:lang w:val="en-US" w:eastAsia="zh-CN"/>
              </w:rPr>
              <w:t>1</w:t>
            </w:r>
          </w:p>
        </w:tc>
        <w:tc>
          <w:tcPr>
            <w:tcW w:w="539" w:type="pct"/>
            <w:shd w:val="clear" w:color="auto" w:fill="auto"/>
            <w:vAlign w:val="center"/>
          </w:tcPr>
          <w:p w14:paraId="7C9AEB47">
            <w:pPr>
              <w:widowControl/>
              <w:jc w:val="center"/>
              <w:rPr>
                <w:rFonts w:hint="eastAsia" w:eastAsia="宋体" w:cs="ˎ̥"/>
                <w:color w:val="000000"/>
                <w:kern w:val="0"/>
                <w:szCs w:val="21"/>
                <w:lang w:eastAsia="zh-CN"/>
              </w:rPr>
            </w:pPr>
            <w:r>
              <w:rPr>
                <w:rFonts w:hint="eastAsia" w:ascii="ˎ̥" w:hAnsi="ˎ̥" w:cs="ˎ̥"/>
                <w:color w:val="000000"/>
                <w:kern w:val="0"/>
                <w:szCs w:val="21"/>
                <w:lang w:val="en-US" w:eastAsia="zh-CN"/>
              </w:rPr>
              <w:t>阴</w:t>
            </w:r>
          </w:p>
        </w:tc>
        <w:tc>
          <w:tcPr>
            <w:tcW w:w="1074" w:type="pct"/>
            <w:shd w:val="clear" w:color="auto" w:fill="auto"/>
            <w:vAlign w:val="center"/>
          </w:tcPr>
          <w:p w14:paraId="12FE284F">
            <w:pPr>
              <w:widowControl/>
              <w:jc w:val="center"/>
              <w:rPr>
                <w:rFonts w:hint="default" w:eastAsia="宋体" w:cs="ˎ̥"/>
                <w:color w:val="000000"/>
                <w:kern w:val="0"/>
                <w:szCs w:val="21"/>
                <w:lang w:val="en-US" w:eastAsia="zh-CN"/>
              </w:rPr>
            </w:pPr>
            <w:r>
              <w:rPr>
                <w:rFonts w:hint="eastAsia" w:ascii="ˎ̥" w:hAnsi="ˎ̥" w:cs="ˎ̥"/>
                <w:color w:val="000000"/>
                <w:kern w:val="0"/>
                <w:szCs w:val="21"/>
                <w:lang w:val="en-US" w:eastAsia="zh-CN"/>
              </w:rPr>
              <w:t>31.3~32.2</w:t>
            </w:r>
          </w:p>
        </w:tc>
        <w:tc>
          <w:tcPr>
            <w:tcW w:w="1339" w:type="pct"/>
            <w:tcBorders>
              <w:right w:val="single" w:color="auto" w:sz="2" w:space="0"/>
            </w:tcBorders>
            <w:shd w:val="clear" w:color="auto" w:fill="auto"/>
            <w:vAlign w:val="center"/>
          </w:tcPr>
          <w:p w14:paraId="1522510F">
            <w:pPr>
              <w:widowControl/>
              <w:jc w:val="center"/>
              <w:rPr>
                <w:rFonts w:hint="default" w:eastAsia="宋体" w:cs="ˎ̥"/>
                <w:color w:val="000000"/>
                <w:kern w:val="0"/>
                <w:szCs w:val="21"/>
                <w:lang w:val="en-US" w:eastAsia="zh-CN"/>
              </w:rPr>
            </w:pPr>
            <w:r>
              <w:rPr>
                <w:rFonts w:hint="eastAsia" w:ascii="ˎ̥" w:hAnsi="ˎ̥" w:cs="ˎ̥"/>
                <w:color w:val="000000"/>
                <w:kern w:val="0"/>
                <w:szCs w:val="21"/>
                <w:lang w:val="en-US" w:eastAsia="zh-CN"/>
              </w:rPr>
              <w:t>22.9~24.6</w:t>
            </w:r>
          </w:p>
        </w:tc>
        <w:tc>
          <w:tcPr>
            <w:tcW w:w="1225" w:type="pct"/>
            <w:tcBorders>
              <w:left w:val="single" w:color="auto" w:sz="2" w:space="0"/>
            </w:tcBorders>
            <w:shd w:val="clear" w:color="auto" w:fill="auto"/>
            <w:vAlign w:val="center"/>
          </w:tcPr>
          <w:p w14:paraId="1782A7D3">
            <w:pPr>
              <w:widowControl/>
              <w:jc w:val="center"/>
              <w:rPr>
                <w:rFonts w:hint="default" w:eastAsia="宋体" w:cs="ˎ̥"/>
                <w:color w:val="000000"/>
                <w:kern w:val="0"/>
                <w:szCs w:val="21"/>
                <w:lang w:val="en-US" w:eastAsia="zh-CN"/>
              </w:rPr>
            </w:pPr>
            <w:r>
              <w:rPr>
                <w:rFonts w:hint="eastAsia" w:ascii="ˎ̥" w:hAnsi="ˎ̥" w:cs="ˎ̥"/>
                <w:color w:val="000000"/>
                <w:kern w:val="0"/>
                <w:szCs w:val="21"/>
                <w:lang w:val="en-US" w:eastAsia="zh-CN"/>
              </w:rPr>
              <w:t>0.4~0.8</w:t>
            </w:r>
          </w:p>
        </w:tc>
      </w:tr>
    </w:tbl>
    <w:p w14:paraId="7D711417">
      <w:pPr>
        <w:widowControl/>
        <w:numPr>
          <w:ilvl w:val="255"/>
          <w:numId w:val="0"/>
        </w:numPr>
        <w:spacing w:before="120" w:beforeLines="50" w:line="360" w:lineRule="auto"/>
        <w:ind w:firstLine="480" w:firstLineChars="200"/>
        <w:jc w:val="left"/>
        <w:rPr>
          <w:sz w:val="24"/>
          <w:szCs w:val="32"/>
        </w:rPr>
      </w:pPr>
      <w:r>
        <w:rPr>
          <w:rFonts w:hint="eastAsia"/>
          <w:color w:val="000000"/>
          <w:sz w:val="24"/>
          <w:szCs w:val="20"/>
        </w:rPr>
        <w:t>监测期间运行工况见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_Ref11339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32</w:t>
      </w:r>
      <w:r>
        <w:rPr>
          <w:rFonts w:hint="eastAsia"/>
          <w:b w:val="0"/>
          <w:bCs w:val="0"/>
          <w:color w:val="000000"/>
          <w:sz w:val="24"/>
          <w:szCs w:val="24"/>
          <w:lang w:eastAsia="zh-CN"/>
        </w:rPr>
        <w:fldChar w:fldCharType="end"/>
      </w:r>
      <w:r>
        <w:rPr>
          <w:rFonts w:hint="eastAsia"/>
          <w:color w:val="000000"/>
          <w:sz w:val="24"/>
          <w:szCs w:val="20"/>
        </w:rPr>
        <w:t>。</w:t>
      </w:r>
    </w:p>
    <w:p w14:paraId="6E9B2B24">
      <w:pPr>
        <w:rPr>
          <w:rFonts w:eastAsia="黑体"/>
          <w:b/>
          <w:szCs w:val="21"/>
        </w:rPr>
      </w:pPr>
      <w:bookmarkStart w:id="850" w:name="_Ref11339"/>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32</w:t>
      </w:r>
      <w:r>
        <w:rPr>
          <w:rFonts w:ascii="Times New Roman" w:hAnsi="Times New Roman"/>
          <w:b/>
        </w:rPr>
        <w:fldChar w:fldCharType="end"/>
      </w:r>
      <w:bookmarkEnd w:id="850"/>
      <w:r>
        <w:rPr>
          <w:rFonts w:ascii="Times New Roman" w:hAnsi="Times New Roman"/>
          <w:b/>
        </w:rPr>
        <w:t xml:space="preserve"> </w:t>
      </w:r>
      <w:r>
        <w:rPr>
          <w:rFonts w:hint="eastAsia" w:eastAsia="黑体"/>
          <w:b/>
          <w:szCs w:val="21"/>
        </w:rPr>
        <w:t xml:space="preserve"> </w:t>
      </w:r>
      <w:r>
        <w:rPr>
          <w:rFonts w:eastAsia="黑体"/>
          <w:b/>
          <w:szCs w:val="21"/>
        </w:rPr>
        <w:t xml:space="preserve">                  </w:t>
      </w:r>
      <w:r>
        <w:rPr>
          <w:rFonts w:hint="eastAsia" w:eastAsia="黑体"/>
          <w:b/>
          <w:szCs w:val="21"/>
          <w:lang w:val="en-US" w:eastAsia="zh-CN"/>
        </w:rPr>
        <w:t>港城110kV变电站</w:t>
      </w:r>
      <w:r>
        <w:rPr>
          <w:rFonts w:hint="eastAsia" w:eastAsia="黑体"/>
          <w:b/>
          <w:szCs w:val="21"/>
        </w:rPr>
        <w:t>监测时的运行工况</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70"/>
        <w:gridCol w:w="1274"/>
        <w:gridCol w:w="1618"/>
        <w:gridCol w:w="1650"/>
        <w:gridCol w:w="1421"/>
        <w:gridCol w:w="1321"/>
      </w:tblGrid>
      <w:tr w14:paraId="6314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5" w:type="pct"/>
            <w:vAlign w:val="center"/>
          </w:tcPr>
          <w:p w14:paraId="7D3F7B29">
            <w:pPr>
              <w:widowControl/>
              <w:jc w:val="center"/>
              <w:rPr>
                <w:b/>
                <w:bCs w:val="0"/>
                <w:kern w:val="0"/>
                <w:szCs w:val="21"/>
              </w:rPr>
            </w:pPr>
            <w:r>
              <w:rPr>
                <w:rFonts w:hint="eastAsia"/>
                <w:b/>
                <w:bCs w:val="0"/>
                <w:kern w:val="0"/>
                <w:szCs w:val="21"/>
                <w:lang w:val="en-US" w:eastAsia="zh-CN"/>
              </w:rPr>
              <w:t>监</w:t>
            </w:r>
            <w:r>
              <w:rPr>
                <w:rFonts w:hint="eastAsia"/>
                <w:b/>
                <w:bCs w:val="0"/>
                <w:kern w:val="0"/>
                <w:szCs w:val="21"/>
              </w:rPr>
              <w:t>测日期</w:t>
            </w:r>
          </w:p>
        </w:tc>
        <w:tc>
          <w:tcPr>
            <w:tcW w:w="1317" w:type="pct"/>
            <w:gridSpan w:val="2"/>
            <w:vAlign w:val="center"/>
          </w:tcPr>
          <w:p w14:paraId="12443DE8">
            <w:pPr>
              <w:widowControl/>
              <w:jc w:val="center"/>
              <w:rPr>
                <w:b/>
                <w:bCs w:val="0"/>
                <w:kern w:val="0"/>
                <w:szCs w:val="21"/>
              </w:rPr>
            </w:pPr>
            <w:r>
              <w:rPr>
                <w:b/>
                <w:bCs w:val="0"/>
                <w:kern w:val="0"/>
                <w:szCs w:val="21"/>
              </w:rPr>
              <w:t>项目</w:t>
            </w:r>
          </w:p>
        </w:tc>
        <w:tc>
          <w:tcPr>
            <w:tcW w:w="871" w:type="pct"/>
            <w:vAlign w:val="center"/>
          </w:tcPr>
          <w:p w14:paraId="621F92DF">
            <w:pPr>
              <w:widowControl/>
              <w:jc w:val="center"/>
              <w:rPr>
                <w:b/>
                <w:bCs w:val="0"/>
                <w:kern w:val="0"/>
                <w:szCs w:val="21"/>
              </w:rPr>
            </w:pPr>
            <w:r>
              <w:rPr>
                <w:b/>
                <w:bCs w:val="0"/>
                <w:kern w:val="0"/>
                <w:szCs w:val="21"/>
              </w:rPr>
              <w:t>电压（kV）</w:t>
            </w:r>
          </w:p>
        </w:tc>
        <w:tc>
          <w:tcPr>
            <w:tcW w:w="888" w:type="pct"/>
            <w:vAlign w:val="center"/>
          </w:tcPr>
          <w:p w14:paraId="633D0413">
            <w:pPr>
              <w:widowControl/>
              <w:jc w:val="center"/>
              <w:rPr>
                <w:b/>
                <w:bCs w:val="0"/>
                <w:kern w:val="0"/>
                <w:szCs w:val="21"/>
              </w:rPr>
            </w:pPr>
            <w:r>
              <w:rPr>
                <w:b/>
                <w:bCs w:val="0"/>
                <w:kern w:val="0"/>
                <w:szCs w:val="21"/>
              </w:rPr>
              <w:t>电流（A）</w:t>
            </w:r>
          </w:p>
        </w:tc>
        <w:tc>
          <w:tcPr>
            <w:tcW w:w="765" w:type="pct"/>
            <w:vAlign w:val="center"/>
          </w:tcPr>
          <w:p w14:paraId="2916523D">
            <w:pPr>
              <w:widowControl/>
              <w:jc w:val="center"/>
              <w:rPr>
                <w:b/>
                <w:bCs w:val="0"/>
                <w:kern w:val="0"/>
                <w:szCs w:val="21"/>
              </w:rPr>
            </w:pPr>
            <w:r>
              <w:rPr>
                <w:b/>
                <w:bCs w:val="0"/>
                <w:kern w:val="0"/>
                <w:szCs w:val="21"/>
              </w:rPr>
              <w:t>有功功率（MW）</w:t>
            </w:r>
          </w:p>
        </w:tc>
        <w:tc>
          <w:tcPr>
            <w:tcW w:w="711" w:type="pct"/>
            <w:vAlign w:val="center"/>
          </w:tcPr>
          <w:p w14:paraId="1BA32883">
            <w:pPr>
              <w:widowControl/>
              <w:jc w:val="center"/>
              <w:rPr>
                <w:b/>
                <w:bCs w:val="0"/>
                <w:kern w:val="0"/>
                <w:szCs w:val="21"/>
              </w:rPr>
            </w:pPr>
            <w:r>
              <w:rPr>
                <w:b/>
                <w:bCs w:val="0"/>
                <w:kern w:val="0"/>
                <w:szCs w:val="21"/>
              </w:rPr>
              <w:t>无功功率（Mvar）</w:t>
            </w:r>
          </w:p>
        </w:tc>
      </w:tr>
      <w:tr w14:paraId="10EA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pct"/>
            <w:vMerge w:val="restart"/>
            <w:vAlign w:val="center"/>
          </w:tcPr>
          <w:p w14:paraId="7C1BE3A7">
            <w:pPr>
              <w:widowControl/>
              <w:jc w:val="center"/>
              <w:rPr>
                <w:rFonts w:hint="eastAsia" w:eastAsia="宋体"/>
                <w:bCs/>
                <w:kern w:val="0"/>
                <w:szCs w:val="21"/>
                <w:highlight w:val="yellow"/>
                <w:lang w:eastAsia="zh-CN"/>
              </w:rPr>
            </w:pPr>
            <w:r>
              <w:rPr>
                <w:rFonts w:hint="eastAsia"/>
                <w:szCs w:val="21"/>
              </w:rPr>
              <w:t>202</w:t>
            </w:r>
            <w:r>
              <w:rPr>
                <w:rFonts w:hint="eastAsia"/>
                <w:szCs w:val="21"/>
                <w:lang w:val="en-US" w:eastAsia="zh-CN"/>
              </w:rPr>
              <w:t>5</w:t>
            </w:r>
            <w:r>
              <w:rPr>
                <w:rFonts w:hint="eastAsia"/>
                <w:szCs w:val="21"/>
              </w:rPr>
              <w:t>.</w:t>
            </w:r>
            <w:r>
              <w:rPr>
                <w:rFonts w:hint="eastAsia"/>
                <w:szCs w:val="21"/>
                <w:lang w:val="en-US" w:eastAsia="zh-CN"/>
              </w:rPr>
              <w:t>7</w:t>
            </w:r>
            <w:r>
              <w:rPr>
                <w:rFonts w:hint="eastAsia"/>
                <w:szCs w:val="21"/>
              </w:rPr>
              <w:t>.</w:t>
            </w:r>
            <w:r>
              <w:rPr>
                <w:rFonts w:hint="eastAsia"/>
                <w:szCs w:val="21"/>
                <w:lang w:val="en-US" w:eastAsia="zh-CN"/>
              </w:rPr>
              <w:t>1</w:t>
            </w:r>
          </w:p>
        </w:tc>
        <w:tc>
          <w:tcPr>
            <w:tcW w:w="630" w:type="pct"/>
            <w:vMerge w:val="restart"/>
            <w:vAlign w:val="center"/>
          </w:tcPr>
          <w:p w14:paraId="365CE3C6">
            <w:pPr>
              <w:widowControl/>
              <w:jc w:val="center"/>
              <w:rPr>
                <w:rFonts w:hint="eastAsia" w:eastAsia="宋体"/>
                <w:bCs/>
                <w:kern w:val="0"/>
                <w:szCs w:val="21"/>
                <w:lang w:eastAsia="zh-CN"/>
              </w:rPr>
            </w:pPr>
            <w:r>
              <w:rPr>
                <w:rFonts w:hint="eastAsia"/>
                <w:bCs/>
                <w:kern w:val="0"/>
                <w:szCs w:val="21"/>
                <w:lang w:eastAsia="zh-CN"/>
              </w:rPr>
              <w:t>港城110kV变电站</w:t>
            </w:r>
          </w:p>
        </w:tc>
        <w:tc>
          <w:tcPr>
            <w:tcW w:w="686" w:type="pct"/>
            <w:vAlign w:val="center"/>
          </w:tcPr>
          <w:p w14:paraId="6ADDD9C9">
            <w:pPr>
              <w:pStyle w:val="105"/>
              <w:tabs>
                <w:tab w:val="center" w:pos="4462"/>
              </w:tabs>
              <w:snapToGrid w:val="0"/>
              <w:spacing w:line="276" w:lineRule="auto"/>
              <w:ind w:firstLine="0" w:firstLineChars="0"/>
              <w:jc w:val="center"/>
              <w:rPr>
                <w:bCs/>
                <w:kern w:val="0"/>
                <w:szCs w:val="21"/>
                <w:highlight w:val="yellow"/>
              </w:rPr>
            </w:pPr>
            <w:r>
              <w:rPr>
                <w:snapToGrid w:val="0"/>
                <w:kern w:val="0"/>
                <w:szCs w:val="21"/>
              </w:rPr>
              <w:t>#1主变</w:t>
            </w:r>
          </w:p>
        </w:tc>
        <w:tc>
          <w:tcPr>
            <w:tcW w:w="871" w:type="pct"/>
            <w:vAlign w:val="center"/>
          </w:tcPr>
          <w:p w14:paraId="7F4F3B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11</w:t>
            </w:r>
            <w:r>
              <w:rPr>
                <w:rFonts w:hint="eastAsia" w:ascii="Times New Roman" w:hAnsi="Times New Roman"/>
                <w:kern w:val="0"/>
                <w:szCs w:val="21"/>
                <w:lang w:val="en-US" w:eastAsia="zh-CN"/>
              </w:rPr>
              <w:t>6</w:t>
            </w:r>
            <w:r>
              <w:rPr>
                <w:rFonts w:ascii="Times New Roman" w:hAnsi="Times New Roman"/>
                <w:kern w:val="0"/>
                <w:szCs w:val="21"/>
              </w:rPr>
              <w:t>.26~11</w:t>
            </w:r>
            <w:r>
              <w:rPr>
                <w:rFonts w:hint="eastAsia" w:ascii="Times New Roman" w:hAnsi="Times New Roman"/>
                <w:kern w:val="0"/>
                <w:szCs w:val="21"/>
                <w:lang w:val="en-US" w:eastAsia="zh-CN"/>
              </w:rPr>
              <w:t>7</w:t>
            </w:r>
            <w:r>
              <w:rPr>
                <w:rFonts w:ascii="Times New Roman" w:hAnsi="Times New Roman"/>
                <w:kern w:val="0"/>
                <w:szCs w:val="21"/>
              </w:rPr>
              <w:t>.74</w:t>
            </w:r>
          </w:p>
        </w:tc>
        <w:tc>
          <w:tcPr>
            <w:tcW w:w="888" w:type="pct"/>
            <w:vAlign w:val="center"/>
          </w:tcPr>
          <w:p w14:paraId="7F0F59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5</w:t>
            </w:r>
            <w:r>
              <w:rPr>
                <w:rFonts w:ascii="Times New Roman" w:hAnsi="Times New Roman"/>
                <w:kern w:val="0"/>
                <w:szCs w:val="21"/>
              </w:rPr>
              <w:t>.61~4</w:t>
            </w:r>
            <w:r>
              <w:rPr>
                <w:rFonts w:hint="eastAsia" w:ascii="Times New Roman" w:hAnsi="Times New Roman"/>
                <w:kern w:val="0"/>
                <w:szCs w:val="21"/>
                <w:lang w:val="en-US" w:eastAsia="zh-CN"/>
              </w:rPr>
              <w:t>7</w:t>
            </w:r>
            <w:r>
              <w:rPr>
                <w:rFonts w:ascii="Times New Roman" w:hAnsi="Times New Roman"/>
                <w:kern w:val="0"/>
                <w:szCs w:val="21"/>
              </w:rPr>
              <w:t>.41</w:t>
            </w:r>
          </w:p>
        </w:tc>
        <w:tc>
          <w:tcPr>
            <w:tcW w:w="765" w:type="pct"/>
            <w:vAlign w:val="center"/>
          </w:tcPr>
          <w:p w14:paraId="092D1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kern w:val="2"/>
                <w:sz w:val="21"/>
                <w:szCs w:val="21"/>
                <w:lang w:val="en-US" w:eastAsia="zh-CN" w:bidi="ar-SA"/>
              </w:rPr>
            </w:pPr>
            <w:r>
              <w:rPr>
                <w:rFonts w:ascii="Times New Roman" w:hAnsi="Times New Roman"/>
                <w:kern w:val="0"/>
                <w:szCs w:val="21"/>
              </w:rPr>
              <w:t>8.</w:t>
            </w:r>
            <w:r>
              <w:rPr>
                <w:rFonts w:hint="eastAsia" w:ascii="Times New Roman" w:hAnsi="Times New Roman"/>
                <w:kern w:val="0"/>
                <w:szCs w:val="21"/>
                <w:lang w:val="en-US" w:eastAsia="zh-CN"/>
              </w:rPr>
              <w:t>5</w:t>
            </w:r>
            <w:r>
              <w:rPr>
                <w:rFonts w:ascii="Times New Roman" w:hAnsi="Times New Roman"/>
                <w:kern w:val="0"/>
                <w:szCs w:val="21"/>
              </w:rPr>
              <w:t>3~9.</w:t>
            </w:r>
            <w:r>
              <w:rPr>
                <w:rFonts w:hint="eastAsia" w:ascii="Times New Roman" w:hAnsi="Times New Roman"/>
                <w:kern w:val="0"/>
                <w:szCs w:val="21"/>
                <w:lang w:val="en-US" w:eastAsia="zh-CN"/>
              </w:rPr>
              <w:t>0</w:t>
            </w:r>
            <w:r>
              <w:rPr>
                <w:rFonts w:ascii="Times New Roman" w:hAnsi="Times New Roman"/>
                <w:kern w:val="0"/>
                <w:szCs w:val="21"/>
              </w:rPr>
              <w:t>1</w:t>
            </w:r>
          </w:p>
        </w:tc>
        <w:tc>
          <w:tcPr>
            <w:tcW w:w="711" w:type="pct"/>
            <w:vAlign w:val="center"/>
          </w:tcPr>
          <w:p w14:paraId="7CA6A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spacing w:val="-8"/>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9</w:t>
            </w:r>
            <w:r>
              <w:rPr>
                <w:rFonts w:ascii="Times New Roman" w:hAnsi="Times New Roman"/>
                <w:kern w:val="0"/>
                <w:szCs w:val="21"/>
              </w:rPr>
              <w:t>4~-4.</w:t>
            </w:r>
            <w:r>
              <w:rPr>
                <w:rFonts w:hint="eastAsia" w:ascii="Times New Roman" w:hAnsi="Times New Roman"/>
                <w:kern w:val="0"/>
                <w:szCs w:val="21"/>
                <w:lang w:val="en-US" w:eastAsia="zh-CN"/>
              </w:rPr>
              <w:t>4</w:t>
            </w:r>
            <w:r>
              <w:rPr>
                <w:rFonts w:ascii="Times New Roman" w:hAnsi="Times New Roman"/>
                <w:kern w:val="0"/>
                <w:szCs w:val="21"/>
              </w:rPr>
              <w:t>3</w:t>
            </w:r>
          </w:p>
        </w:tc>
      </w:tr>
      <w:tr w14:paraId="50FB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pct"/>
            <w:vMerge w:val="continue"/>
            <w:vAlign w:val="center"/>
          </w:tcPr>
          <w:p w14:paraId="05629E82">
            <w:pPr>
              <w:widowControl/>
              <w:jc w:val="center"/>
              <w:rPr>
                <w:rFonts w:hint="eastAsia"/>
                <w:szCs w:val="21"/>
              </w:rPr>
            </w:pPr>
          </w:p>
        </w:tc>
        <w:tc>
          <w:tcPr>
            <w:tcW w:w="630" w:type="pct"/>
            <w:vMerge w:val="continue"/>
            <w:vAlign w:val="center"/>
          </w:tcPr>
          <w:p w14:paraId="457AFF94">
            <w:pPr>
              <w:widowControl/>
              <w:jc w:val="center"/>
              <w:rPr>
                <w:rFonts w:hint="eastAsia"/>
                <w:bCs/>
                <w:kern w:val="0"/>
                <w:szCs w:val="21"/>
                <w:lang w:eastAsia="zh-CN"/>
              </w:rPr>
            </w:pPr>
          </w:p>
        </w:tc>
        <w:tc>
          <w:tcPr>
            <w:tcW w:w="686" w:type="pct"/>
            <w:vAlign w:val="center"/>
          </w:tcPr>
          <w:p w14:paraId="7BE00229">
            <w:pPr>
              <w:pStyle w:val="105"/>
              <w:tabs>
                <w:tab w:val="center" w:pos="4462"/>
              </w:tabs>
              <w:snapToGrid w:val="0"/>
              <w:spacing w:line="276" w:lineRule="auto"/>
              <w:ind w:firstLine="0" w:firstLineChars="0"/>
              <w:jc w:val="center"/>
              <w:rPr>
                <w:snapToGrid w:val="0"/>
                <w:kern w:val="0"/>
                <w:szCs w:val="21"/>
              </w:rPr>
            </w:pPr>
            <w:r>
              <w:rPr>
                <w:snapToGrid w:val="0"/>
                <w:kern w:val="0"/>
                <w:szCs w:val="21"/>
              </w:rPr>
              <w:t>#</w:t>
            </w:r>
            <w:r>
              <w:rPr>
                <w:rFonts w:hint="eastAsia"/>
                <w:snapToGrid w:val="0"/>
                <w:kern w:val="0"/>
                <w:szCs w:val="21"/>
                <w:lang w:val="en-US" w:eastAsia="zh-CN"/>
              </w:rPr>
              <w:t>2</w:t>
            </w:r>
            <w:r>
              <w:rPr>
                <w:snapToGrid w:val="0"/>
                <w:kern w:val="0"/>
                <w:szCs w:val="21"/>
              </w:rPr>
              <w:t>主变</w:t>
            </w:r>
          </w:p>
        </w:tc>
        <w:tc>
          <w:tcPr>
            <w:tcW w:w="871" w:type="pct"/>
            <w:vAlign w:val="center"/>
          </w:tcPr>
          <w:p w14:paraId="74C20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11</w:t>
            </w:r>
            <w:r>
              <w:rPr>
                <w:rFonts w:hint="eastAsia" w:ascii="Times New Roman" w:hAnsi="Times New Roman"/>
                <w:kern w:val="0"/>
                <w:szCs w:val="21"/>
                <w:lang w:val="en-US" w:eastAsia="zh-CN"/>
              </w:rPr>
              <w:t>4</w:t>
            </w:r>
            <w:r>
              <w:rPr>
                <w:rFonts w:ascii="Times New Roman" w:hAnsi="Times New Roman"/>
                <w:kern w:val="0"/>
                <w:szCs w:val="21"/>
              </w:rPr>
              <w:t>.</w:t>
            </w:r>
            <w:r>
              <w:rPr>
                <w:rFonts w:hint="eastAsia" w:ascii="Times New Roman" w:hAnsi="Times New Roman"/>
                <w:kern w:val="0"/>
                <w:szCs w:val="21"/>
              </w:rPr>
              <w:t>47</w:t>
            </w:r>
            <w:r>
              <w:rPr>
                <w:rFonts w:ascii="Times New Roman" w:hAnsi="Times New Roman"/>
                <w:kern w:val="0"/>
                <w:szCs w:val="21"/>
              </w:rPr>
              <w:t>~11</w:t>
            </w:r>
            <w:r>
              <w:rPr>
                <w:rFonts w:hint="eastAsia" w:ascii="Times New Roman" w:hAnsi="Times New Roman"/>
                <w:kern w:val="0"/>
                <w:szCs w:val="21"/>
                <w:lang w:val="en-US" w:eastAsia="zh-CN"/>
              </w:rPr>
              <w:t>5</w:t>
            </w:r>
            <w:r>
              <w:rPr>
                <w:rFonts w:ascii="Times New Roman" w:hAnsi="Times New Roman"/>
                <w:kern w:val="0"/>
                <w:szCs w:val="21"/>
              </w:rPr>
              <w:t>.</w:t>
            </w:r>
            <w:r>
              <w:rPr>
                <w:rFonts w:hint="eastAsia" w:ascii="Times New Roman" w:hAnsi="Times New Roman"/>
                <w:kern w:val="0"/>
                <w:szCs w:val="21"/>
              </w:rPr>
              <w:t>86</w:t>
            </w:r>
          </w:p>
        </w:tc>
        <w:tc>
          <w:tcPr>
            <w:tcW w:w="888" w:type="pct"/>
            <w:vAlign w:val="center"/>
          </w:tcPr>
          <w:p w14:paraId="14B20A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4</w:t>
            </w:r>
            <w:r>
              <w:rPr>
                <w:rFonts w:ascii="Times New Roman" w:hAnsi="Times New Roman"/>
                <w:kern w:val="0"/>
                <w:szCs w:val="21"/>
              </w:rPr>
              <w:t>.</w:t>
            </w:r>
            <w:r>
              <w:rPr>
                <w:rFonts w:hint="eastAsia" w:ascii="Times New Roman" w:hAnsi="Times New Roman"/>
                <w:kern w:val="0"/>
                <w:szCs w:val="21"/>
              </w:rPr>
              <w:t>97</w:t>
            </w:r>
            <w:r>
              <w:rPr>
                <w:rFonts w:ascii="Times New Roman" w:hAnsi="Times New Roman"/>
                <w:kern w:val="0"/>
                <w:szCs w:val="21"/>
              </w:rPr>
              <w:t>~4</w:t>
            </w:r>
            <w:r>
              <w:rPr>
                <w:rFonts w:hint="eastAsia" w:ascii="Times New Roman" w:hAnsi="Times New Roman"/>
                <w:kern w:val="0"/>
                <w:szCs w:val="21"/>
                <w:lang w:val="en-US" w:eastAsia="zh-CN"/>
              </w:rPr>
              <w:t>6</w:t>
            </w:r>
            <w:r>
              <w:rPr>
                <w:rFonts w:ascii="Times New Roman" w:hAnsi="Times New Roman"/>
                <w:kern w:val="0"/>
                <w:szCs w:val="21"/>
              </w:rPr>
              <w:t>.</w:t>
            </w:r>
            <w:r>
              <w:rPr>
                <w:rFonts w:hint="eastAsia" w:ascii="Times New Roman" w:hAnsi="Times New Roman"/>
                <w:kern w:val="0"/>
                <w:szCs w:val="21"/>
              </w:rPr>
              <w:t>35</w:t>
            </w:r>
          </w:p>
        </w:tc>
        <w:tc>
          <w:tcPr>
            <w:tcW w:w="765" w:type="pct"/>
            <w:vAlign w:val="center"/>
          </w:tcPr>
          <w:p w14:paraId="7C3B3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ascii="Times New Roman" w:hAnsi="Times New Roman"/>
                <w:kern w:val="0"/>
                <w:szCs w:val="21"/>
              </w:rPr>
              <w:t>8.</w:t>
            </w:r>
            <w:r>
              <w:rPr>
                <w:rFonts w:hint="eastAsia" w:ascii="Times New Roman" w:hAnsi="Times New Roman"/>
                <w:kern w:val="0"/>
                <w:szCs w:val="21"/>
                <w:lang w:val="en-US" w:eastAsia="zh-CN"/>
              </w:rPr>
              <w:t>7</w:t>
            </w:r>
            <w:r>
              <w:rPr>
                <w:rFonts w:hint="eastAsia" w:ascii="Times New Roman" w:hAnsi="Times New Roman"/>
                <w:kern w:val="0"/>
                <w:szCs w:val="21"/>
              </w:rPr>
              <w:t>2</w:t>
            </w:r>
            <w:r>
              <w:rPr>
                <w:rFonts w:ascii="Times New Roman" w:hAnsi="Times New Roman"/>
                <w:kern w:val="0"/>
                <w:szCs w:val="21"/>
              </w:rPr>
              <w:t>~</w:t>
            </w:r>
            <w:r>
              <w:rPr>
                <w:rFonts w:hint="eastAsia" w:ascii="Times New Roman" w:hAnsi="Times New Roman"/>
                <w:kern w:val="0"/>
                <w:szCs w:val="21"/>
              </w:rPr>
              <w:t>8</w:t>
            </w:r>
            <w:r>
              <w:rPr>
                <w:rFonts w:ascii="Times New Roman" w:hAnsi="Times New Roman"/>
                <w:kern w:val="0"/>
                <w:szCs w:val="21"/>
              </w:rPr>
              <w:t>.</w:t>
            </w:r>
            <w:r>
              <w:rPr>
                <w:rFonts w:hint="eastAsia" w:ascii="Times New Roman" w:hAnsi="Times New Roman"/>
                <w:kern w:val="0"/>
                <w:szCs w:val="21"/>
                <w:lang w:val="en-US" w:eastAsia="zh-CN"/>
              </w:rPr>
              <w:t>9</w:t>
            </w:r>
            <w:r>
              <w:rPr>
                <w:rFonts w:hint="eastAsia" w:ascii="Times New Roman" w:hAnsi="Times New Roman"/>
                <w:kern w:val="0"/>
                <w:szCs w:val="21"/>
              </w:rPr>
              <w:t>7</w:t>
            </w:r>
          </w:p>
        </w:tc>
        <w:tc>
          <w:tcPr>
            <w:tcW w:w="711" w:type="pct"/>
            <w:vAlign w:val="center"/>
          </w:tcPr>
          <w:p w14:paraId="548758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pacing w:val="-8"/>
                <w:kern w:val="2"/>
                <w:sz w:val="21"/>
                <w:szCs w:val="21"/>
                <w:lang w:val="en-US" w:eastAsia="zh-CN" w:bidi="ar-SA"/>
              </w:rPr>
            </w:pPr>
            <w:r>
              <w:rPr>
                <w:rFonts w:ascii="Times New Roman" w:hAnsi="Times New Roman"/>
                <w:kern w:val="0"/>
                <w:szCs w:val="21"/>
              </w:rPr>
              <w:t>-4.</w:t>
            </w:r>
            <w:r>
              <w:rPr>
                <w:rFonts w:hint="eastAsia" w:ascii="Times New Roman" w:hAnsi="Times New Roman"/>
                <w:kern w:val="0"/>
                <w:szCs w:val="21"/>
                <w:lang w:val="en-US" w:eastAsia="zh-CN"/>
              </w:rPr>
              <w:t>7</w:t>
            </w:r>
            <w:r>
              <w:rPr>
                <w:rFonts w:hint="eastAsia" w:ascii="Times New Roman" w:hAnsi="Times New Roman"/>
                <w:kern w:val="0"/>
                <w:szCs w:val="21"/>
              </w:rPr>
              <w:t>4</w:t>
            </w:r>
            <w:r>
              <w:rPr>
                <w:rFonts w:ascii="Times New Roman" w:hAnsi="Times New Roman"/>
                <w:kern w:val="0"/>
                <w:szCs w:val="21"/>
              </w:rPr>
              <w:t>~-4.</w:t>
            </w:r>
            <w:r>
              <w:rPr>
                <w:rFonts w:hint="eastAsia" w:ascii="Times New Roman" w:hAnsi="Times New Roman"/>
                <w:kern w:val="0"/>
                <w:szCs w:val="21"/>
                <w:lang w:val="en-US" w:eastAsia="zh-CN"/>
              </w:rPr>
              <w:t>3</w:t>
            </w:r>
            <w:r>
              <w:rPr>
                <w:rFonts w:hint="eastAsia" w:ascii="Times New Roman" w:hAnsi="Times New Roman"/>
                <w:kern w:val="0"/>
                <w:szCs w:val="21"/>
              </w:rPr>
              <w:t>8</w:t>
            </w:r>
          </w:p>
        </w:tc>
      </w:tr>
    </w:tbl>
    <w:p w14:paraId="260824E0"/>
    <w:p w14:paraId="1840C372">
      <w:pPr>
        <w:keepNext/>
        <w:keepLines/>
        <w:numPr>
          <w:ilvl w:val="1"/>
          <w:numId w:val="22"/>
        </w:numPr>
        <w:adjustRightInd w:val="0"/>
        <w:spacing w:line="360" w:lineRule="auto"/>
        <w:outlineLvl w:val="1"/>
        <w:rPr>
          <w:b/>
          <w:bCs/>
          <w:color w:val="000000"/>
          <w:sz w:val="28"/>
          <w:szCs w:val="32"/>
        </w:rPr>
      </w:pPr>
      <w:bookmarkStart w:id="851" w:name="_Toc13775"/>
      <w:r>
        <w:rPr>
          <w:rFonts w:hint="eastAsia"/>
          <w:b/>
          <w:bCs/>
          <w:color w:val="000000"/>
          <w:sz w:val="28"/>
          <w:szCs w:val="32"/>
        </w:rPr>
        <w:t>监测方法</w:t>
      </w:r>
      <w:bookmarkEnd w:id="851"/>
    </w:p>
    <w:p w14:paraId="1D454DB4">
      <w:pPr>
        <w:spacing w:line="360" w:lineRule="auto"/>
        <w:ind w:firstLine="480" w:firstLineChars="200"/>
        <w:rPr>
          <w:color w:val="000000"/>
          <w:sz w:val="24"/>
          <w:szCs w:val="20"/>
        </w:rPr>
      </w:pPr>
      <w:r>
        <w:rPr>
          <w:rFonts w:hint="eastAsia"/>
          <w:color w:val="000000"/>
          <w:sz w:val="24"/>
          <w:szCs w:val="20"/>
        </w:rPr>
        <w:t>按《交流输变电工程电磁环境监测方法（试行）》（</w:t>
      </w:r>
      <w:r>
        <w:rPr>
          <w:color w:val="000000"/>
          <w:sz w:val="24"/>
          <w:szCs w:val="20"/>
        </w:rPr>
        <w:t>HJ681-2013</w:t>
      </w:r>
      <w:r>
        <w:rPr>
          <w:rFonts w:hint="eastAsia"/>
          <w:color w:val="000000"/>
          <w:sz w:val="24"/>
          <w:szCs w:val="20"/>
        </w:rPr>
        <w:t>）规定的方法执行。</w:t>
      </w:r>
    </w:p>
    <w:p w14:paraId="5A3FF9A7">
      <w:pPr>
        <w:keepNext/>
        <w:keepLines/>
        <w:numPr>
          <w:ilvl w:val="1"/>
          <w:numId w:val="22"/>
        </w:numPr>
        <w:adjustRightInd w:val="0"/>
        <w:spacing w:line="360" w:lineRule="auto"/>
        <w:outlineLvl w:val="1"/>
        <w:rPr>
          <w:b/>
          <w:bCs/>
          <w:color w:val="000000"/>
          <w:sz w:val="28"/>
          <w:szCs w:val="32"/>
        </w:rPr>
      </w:pPr>
      <w:bookmarkStart w:id="852" w:name="_Toc12904"/>
      <w:r>
        <w:rPr>
          <w:rFonts w:hint="eastAsia"/>
          <w:b/>
          <w:bCs/>
          <w:color w:val="000000"/>
          <w:sz w:val="28"/>
          <w:szCs w:val="32"/>
        </w:rPr>
        <w:t>监测仪器</w:t>
      </w:r>
      <w:bookmarkEnd w:id="852"/>
    </w:p>
    <w:p w14:paraId="2EE13976">
      <w:pPr>
        <w:spacing w:line="360" w:lineRule="auto"/>
        <w:ind w:firstLine="480" w:firstLineChars="200"/>
        <w:rPr>
          <w:color w:val="000000"/>
          <w:sz w:val="24"/>
          <w:szCs w:val="20"/>
        </w:rPr>
      </w:pPr>
      <w:r>
        <w:rPr>
          <w:rFonts w:hint="eastAsia"/>
          <w:color w:val="000000"/>
          <w:sz w:val="24"/>
          <w:szCs w:val="20"/>
        </w:rPr>
        <w:t>电磁环境现状监测仪器见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_Ref11639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33</w:t>
      </w:r>
      <w:r>
        <w:rPr>
          <w:rFonts w:hint="eastAsia"/>
          <w:b w:val="0"/>
          <w:bCs w:val="0"/>
          <w:color w:val="000000"/>
          <w:sz w:val="24"/>
          <w:szCs w:val="24"/>
          <w:lang w:eastAsia="zh-CN"/>
        </w:rPr>
        <w:fldChar w:fldCharType="end"/>
      </w:r>
      <w:r>
        <w:rPr>
          <w:rFonts w:hint="eastAsia"/>
          <w:color w:val="000000"/>
          <w:sz w:val="24"/>
          <w:szCs w:val="20"/>
        </w:rPr>
        <w:t>。</w:t>
      </w:r>
    </w:p>
    <w:p w14:paraId="57A00F6B">
      <w:pPr>
        <w:keepNext/>
        <w:keepLines/>
        <w:numPr>
          <w:ilvl w:val="1"/>
          <w:numId w:val="22"/>
        </w:numPr>
        <w:adjustRightInd w:val="0"/>
        <w:spacing w:line="360" w:lineRule="auto"/>
        <w:outlineLvl w:val="1"/>
        <w:rPr>
          <w:b/>
          <w:bCs/>
          <w:color w:val="000000"/>
          <w:sz w:val="28"/>
          <w:szCs w:val="32"/>
        </w:rPr>
      </w:pPr>
      <w:bookmarkStart w:id="853" w:name="_Toc7517"/>
      <w:r>
        <w:rPr>
          <w:rFonts w:hint="eastAsia"/>
          <w:b/>
          <w:bCs/>
          <w:color w:val="000000"/>
          <w:sz w:val="28"/>
          <w:szCs w:val="32"/>
        </w:rPr>
        <w:t>监测结果及分析</w:t>
      </w:r>
      <w:bookmarkEnd w:id="853"/>
    </w:p>
    <w:p w14:paraId="17336CDA">
      <w:pPr>
        <w:spacing w:line="360" w:lineRule="auto"/>
        <w:ind w:firstLine="480" w:firstLineChars="200"/>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）监测结果</w:t>
      </w:r>
    </w:p>
    <w:p w14:paraId="55F4E1BF">
      <w:pPr>
        <w:spacing w:line="360" w:lineRule="auto"/>
        <w:ind w:firstLine="480" w:firstLineChars="200"/>
        <w:rPr>
          <w:color w:val="000000"/>
          <w:sz w:val="24"/>
          <w:szCs w:val="20"/>
        </w:rPr>
      </w:pPr>
      <w:r>
        <w:rPr>
          <w:rFonts w:hint="eastAsia"/>
          <w:color w:val="000000"/>
          <w:sz w:val="24"/>
          <w:szCs w:val="20"/>
        </w:rPr>
        <w:t>本工程电磁环境现状监测结果见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_Ref11721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34</w:t>
      </w:r>
      <w:r>
        <w:rPr>
          <w:rFonts w:hint="eastAsia"/>
          <w:b w:val="0"/>
          <w:bCs w:val="0"/>
          <w:color w:val="000000"/>
          <w:sz w:val="24"/>
          <w:szCs w:val="24"/>
          <w:lang w:eastAsia="zh-CN"/>
        </w:rPr>
        <w:fldChar w:fldCharType="end"/>
      </w:r>
      <w:r>
        <w:rPr>
          <w:rFonts w:hint="eastAsia"/>
          <w:color w:val="000000"/>
          <w:sz w:val="24"/>
          <w:szCs w:val="20"/>
        </w:rPr>
        <w:t>。</w:t>
      </w:r>
    </w:p>
    <w:p w14:paraId="66CF1568">
      <w:pPr>
        <w:adjustRightInd w:val="0"/>
        <w:snapToGrid w:val="0"/>
        <w:rPr>
          <w:rFonts w:ascii="黑体" w:hAnsi="黑体" w:eastAsia="黑体"/>
          <w:color w:val="000000"/>
          <w:szCs w:val="20"/>
        </w:rPr>
      </w:pPr>
      <w:bookmarkStart w:id="854" w:name="_Ref11721"/>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34</w:t>
      </w:r>
      <w:r>
        <w:rPr>
          <w:rFonts w:ascii="Times New Roman" w:hAnsi="Times New Roman"/>
          <w:b/>
        </w:rPr>
        <w:fldChar w:fldCharType="end"/>
      </w:r>
      <w:bookmarkEnd w:id="854"/>
      <w:r>
        <w:rPr>
          <w:rFonts w:ascii="Times New Roman" w:hAnsi="Times New Roman"/>
          <w:b/>
        </w:rPr>
        <w:t xml:space="preserve"> </w:t>
      </w:r>
      <w:r>
        <w:rPr>
          <w:rFonts w:eastAsia="黑体"/>
          <w:b/>
          <w:bCs/>
          <w:color w:val="000000"/>
          <w:szCs w:val="20"/>
        </w:rPr>
        <w:t xml:space="preserve">                    </w:t>
      </w:r>
      <w:r>
        <w:rPr>
          <w:rFonts w:eastAsia="黑体" w:cs="宋体"/>
          <w:b/>
          <w:bCs/>
          <w:color w:val="000000"/>
          <w:szCs w:val="20"/>
        </w:rPr>
        <w:t xml:space="preserve">      电磁环境现状监测结果</w:t>
      </w:r>
      <w:r>
        <w:rPr>
          <w:rFonts w:ascii="黑体" w:hAnsi="黑体" w:eastAsia="黑体"/>
          <w:color w:val="000000"/>
          <w:szCs w:val="20"/>
        </w:rPr>
        <w:t xml:space="preserve">                </w:t>
      </w:r>
    </w:p>
    <w:tbl>
      <w:tblPr>
        <w:tblStyle w:val="34"/>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2156"/>
        <w:gridCol w:w="2245"/>
        <w:gridCol w:w="1270"/>
        <w:gridCol w:w="1323"/>
        <w:gridCol w:w="1867"/>
      </w:tblGrid>
      <w:tr w14:paraId="7342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8" w:type="pct"/>
            <w:shd w:val="clear" w:color="auto" w:fill="auto"/>
            <w:vAlign w:val="center"/>
          </w:tcPr>
          <w:p w14:paraId="0C602985">
            <w:pPr>
              <w:widowControl/>
              <w:jc w:val="center"/>
              <w:rPr>
                <w:rFonts w:ascii="Times New Roman" w:hAnsi="Times New Roman" w:eastAsia="宋体"/>
                <w:b/>
                <w:bCs/>
                <w:kern w:val="0"/>
                <w:szCs w:val="21"/>
              </w:rPr>
            </w:pPr>
            <w:r>
              <w:rPr>
                <w:rFonts w:ascii="Times New Roman" w:hAnsi="Times New Roman" w:eastAsia="宋体"/>
                <w:b/>
                <w:bCs/>
                <w:kern w:val="0"/>
                <w:szCs w:val="21"/>
              </w:rPr>
              <w:t>序号</w:t>
            </w:r>
          </w:p>
        </w:tc>
        <w:tc>
          <w:tcPr>
            <w:tcW w:w="2359" w:type="pct"/>
            <w:gridSpan w:val="2"/>
            <w:shd w:val="clear" w:color="auto" w:fill="auto"/>
            <w:vAlign w:val="center"/>
          </w:tcPr>
          <w:p w14:paraId="497D13C0">
            <w:pPr>
              <w:widowControl/>
              <w:jc w:val="center"/>
              <w:rPr>
                <w:rFonts w:ascii="Times New Roman" w:hAnsi="Times New Roman" w:eastAsia="宋体"/>
                <w:b/>
                <w:bCs/>
                <w:kern w:val="0"/>
                <w:szCs w:val="21"/>
              </w:rPr>
            </w:pPr>
            <w:r>
              <w:rPr>
                <w:rFonts w:ascii="Times New Roman" w:hAnsi="Times New Roman" w:eastAsia="宋体"/>
                <w:b/>
                <w:bCs/>
                <w:kern w:val="0"/>
                <w:szCs w:val="21"/>
              </w:rPr>
              <w:t>检测点位</w:t>
            </w:r>
          </w:p>
        </w:tc>
        <w:tc>
          <w:tcPr>
            <w:tcW w:w="680" w:type="pct"/>
            <w:shd w:val="clear" w:color="auto" w:fill="auto"/>
            <w:vAlign w:val="center"/>
          </w:tcPr>
          <w:p w14:paraId="540A38A7">
            <w:pPr>
              <w:widowControl/>
              <w:jc w:val="center"/>
              <w:rPr>
                <w:rFonts w:ascii="Times New Roman" w:hAnsi="Times New Roman" w:eastAsia="宋体"/>
                <w:b/>
                <w:bCs/>
                <w:kern w:val="0"/>
                <w:szCs w:val="21"/>
              </w:rPr>
            </w:pPr>
            <w:r>
              <w:rPr>
                <w:rFonts w:ascii="Times New Roman" w:hAnsi="Times New Roman" w:eastAsia="宋体"/>
                <w:b/>
                <w:bCs/>
                <w:kern w:val="0"/>
                <w:szCs w:val="21"/>
              </w:rPr>
              <w:t>电场强度（V/m）</w:t>
            </w:r>
          </w:p>
        </w:tc>
        <w:tc>
          <w:tcPr>
            <w:tcW w:w="709" w:type="pct"/>
            <w:shd w:val="clear" w:color="auto" w:fill="auto"/>
            <w:vAlign w:val="center"/>
          </w:tcPr>
          <w:p w14:paraId="578858D2">
            <w:pPr>
              <w:widowControl/>
              <w:jc w:val="center"/>
              <w:rPr>
                <w:rFonts w:ascii="Times New Roman" w:hAnsi="Times New Roman" w:eastAsia="宋体"/>
                <w:b/>
                <w:bCs/>
                <w:kern w:val="0"/>
                <w:szCs w:val="21"/>
              </w:rPr>
            </w:pPr>
            <w:r>
              <w:rPr>
                <w:rFonts w:ascii="Times New Roman" w:hAnsi="Times New Roman" w:eastAsia="宋体"/>
                <w:b/>
                <w:bCs/>
                <w:kern w:val="0"/>
                <w:szCs w:val="21"/>
              </w:rPr>
              <w:t>磁感应强度（μT）</w:t>
            </w:r>
          </w:p>
        </w:tc>
        <w:tc>
          <w:tcPr>
            <w:tcW w:w="1001" w:type="pct"/>
            <w:vAlign w:val="center"/>
          </w:tcPr>
          <w:p w14:paraId="10BF1311">
            <w:pPr>
              <w:widowControl/>
              <w:jc w:val="center"/>
              <w:rPr>
                <w:rFonts w:ascii="Times New Roman" w:hAnsi="Times New Roman" w:eastAsia="宋体"/>
                <w:b/>
                <w:bCs/>
                <w:kern w:val="0"/>
                <w:szCs w:val="21"/>
              </w:rPr>
            </w:pPr>
            <w:r>
              <w:rPr>
                <w:rFonts w:ascii="Times New Roman" w:hAnsi="Times New Roman" w:eastAsia="宋体"/>
                <w:b/>
                <w:bCs/>
                <w:kern w:val="0"/>
                <w:szCs w:val="21"/>
              </w:rPr>
              <w:t>备注</w:t>
            </w:r>
          </w:p>
        </w:tc>
      </w:tr>
      <w:tr w14:paraId="42EF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000" w:type="pct"/>
            <w:gridSpan w:val="6"/>
            <w:shd w:val="clear" w:color="auto" w:fill="auto"/>
            <w:vAlign w:val="center"/>
          </w:tcPr>
          <w:p w14:paraId="0D06EB36">
            <w:pPr>
              <w:widowControl/>
              <w:jc w:val="both"/>
              <w:rPr>
                <w:rFonts w:ascii="Times New Roman" w:hAnsi="Times New Roman" w:eastAsia="宋体"/>
                <w:szCs w:val="21"/>
                <w:highlight w:val="yellow"/>
              </w:rPr>
            </w:pPr>
            <w:r>
              <w:rPr>
                <w:rFonts w:hint="eastAsia" w:ascii="Times New Roman" w:hAnsi="Times New Roman" w:eastAsia="宋体"/>
                <w:b/>
                <w:kern w:val="0"/>
                <w:szCs w:val="21"/>
              </w:rPr>
              <w:t>（一）港城变110千伏间隔扩建工程</w:t>
            </w:r>
          </w:p>
        </w:tc>
      </w:tr>
      <w:tr w14:paraId="3E6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6E804863">
            <w:pPr>
              <w:pStyle w:val="105"/>
              <w:widowControl/>
              <w:numPr>
                <w:ilvl w:val="0"/>
                <w:numId w:val="23"/>
              </w:numPr>
              <w:ind w:firstLineChars="0"/>
              <w:jc w:val="center"/>
              <w:rPr>
                <w:rFonts w:ascii="Times New Roman" w:hAnsi="Times New Roman" w:eastAsia="宋体"/>
                <w:kern w:val="0"/>
                <w:szCs w:val="21"/>
              </w:rPr>
            </w:pPr>
          </w:p>
        </w:tc>
        <w:tc>
          <w:tcPr>
            <w:tcW w:w="1156" w:type="pct"/>
            <w:vMerge w:val="restart"/>
            <w:shd w:val="clear" w:color="auto" w:fill="auto"/>
            <w:vAlign w:val="center"/>
          </w:tcPr>
          <w:p w14:paraId="4EB485F8">
            <w:pPr>
              <w:widowControl/>
              <w:jc w:val="center"/>
              <w:rPr>
                <w:rFonts w:ascii="Times New Roman" w:hAnsi="Times New Roman" w:eastAsia="宋体"/>
                <w:b/>
                <w:bCs/>
                <w:kern w:val="0"/>
                <w:szCs w:val="21"/>
              </w:rPr>
            </w:pPr>
            <w:r>
              <w:rPr>
                <w:rFonts w:hint="eastAsia" w:ascii="Times New Roman" w:hAnsi="Times New Roman" w:eastAsia="宋体"/>
                <w:kern w:val="0"/>
                <w:szCs w:val="21"/>
              </w:rPr>
              <w:t>港城110kV变电站厂界</w:t>
            </w:r>
          </w:p>
        </w:tc>
        <w:tc>
          <w:tcPr>
            <w:tcW w:w="1203" w:type="pct"/>
            <w:shd w:val="clear" w:color="auto" w:fill="auto"/>
            <w:vAlign w:val="center"/>
          </w:tcPr>
          <w:p w14:paraId="1E9E1E57">
            <w:pPr>
              <w:widowControl/>
              <w:jc w:val="center"/>
              <w:rPr>
                <w:rFonts w:hint="eastAsia" w:ascii="Times New Roman" w:hAnsi="Times New Roman" w:eastAsia="宋体"/>
                <w:kern w:val="0"/>
                <w:szCs w:val="21"/>
              </w:rPr>
            </w:pPr>
            <w:r>
              <w:rPr>
                <w:rFonts w:hint="eastAsia" w:ascii="Times New Roman" w:hAnsi="Times New Roman" w:eastAsia="宋体"/>
                <w:kern w:val="0"/>
                <w:szCs w:val="21"/>
              </w:rPr>
              <w:t>东侧1#</w:t>
            </w:r>
          </w:p>
        </w:tc>
        <w:tc>
          <w:tcPr>
            <w:tcW w:w="680" w:type="pct"/>
            <w:shd w:val="clear" w:color="auto" w:fill="auto"/>
            <w:vAlign w:val="center"/>
          </w:tcPr>
          <w:p w14:paraId="0966A4D4">
            <w:pPr>
              <w:widowControl/>
              <w:jc w:val="center"/>
              <w:rPr>
                <w:rFonts w:ascii="Times New Roman" w:hAnsi="Times New Roman" w:eastAsia="宋体"/>
                <w:kern w:val="0"/>
                <w:szCs w:val="21"/>
              </w:rPr>
            </w:pPr>
            <w:r>
              <w:rPr>
                <w:rFonts w:ascii="Times New Roman" w:hAnsi="Times New Roman" w:eastAsia="宋体"/>
                <w:kern w:val="0"/>
                <w:szCs w:val="21"/>
              </w:rPr>
              <w:t xml:space="preserve">29.12 </w:t>
            </w:r>
          </w:p>
        </w:tc>
        <w:tc>
          <w:tcPr>
            <w:tcW w:w="709" w:type="pct"/>
            <w:shd w:val="clear" w:color="auto" w:fill="auto"/>
            <w:vAlign w:val="center"/>
          </w:tcPr>
          <w:p w14:paraId="0FDB8C1D">
            <w:pPr>
              <w:widowControl/>
              <w:jc w:val="center"/>
              <w:rPr>
                <w:rFonts w:ascii="Times New Roman" w:hAnsi="Times New Roman" w:eastAsia="宋体"/>
                <w:kern w:val="0"/>
                <w:szCs w:val="21"/>
              </w:rPr>
            </w:pPr>
            <w:r>
              <w:rPr>
                <w:rFonts w:ascii="Times New Roman" w:hAnsi="Times New Roman" w:eastAsia="宋体"/>
                <w:kern w:val="0"/>
                <w:szCs w:val="21"/>
              </w:rPr>
              <w:t xml:space="preserve">0.084 </w:t>
            </w:r>
          </w:p>
        </w:tc>
        <w:tc>
          <w:tcPr>
            <w:tcW w:w="1001" w:type="pct"/>
            <w:vAlign w:val="center"/>
          </w:tcPr>
          <w:p w14:paraId="6E6B51CF">
            <w:pPr>
              <w:widowControl/>
              <w:jc w:val="center"/>
              <w:rPr>
                <w:rFonts w:ascii="Times New Roman" w:hAnsi="Times New Roman" w:eastAsia="宋体"/>
                <w:kern w:val="0"/>
                <w:szCs w:val="21"/>
              </w:rPr>
            </w:pPr>
          </w:p>
        </w:tc>
      </w:tr>
      <w:tr w14:paraId="3536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237176E8">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24394E6E">
            <w:pPr>
              <w:widowControl/>
              <w:jc w:val="center"/>
              <w:rPr>
                <w:rFonts w:ascii="Times New Roman" w:hAnsi="Times New Roman" w:eastAsia="宋体"/>
                <w:kern w:val="0"/>
                <w:szCs w:val="21"/>
              </w:rPr>
            </w:pPr>
          </w:p>
        </w:tc>
        <w:tc>
          <w:tcPr>
            <w:tcW w:w="1203" w:type="pct"/>
            <w:shd w:val="clear" w:color="auto" w:fill="auto"/>
            <w:vAlign w:val="center"/>
          </w:tcPr>
          <w:p w14:paraId="716C3ECC">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东侧2#</w:t>
            </w:r>
          </w:p>
        </w:tc>
        <w:tc>
          <w:tcPr>
            <w:tcW w:w="680" w:type="pct"/>
            <w:shd w:val="clear" w:color="auto" w:fill="auto"/>
            <w:vAlign w:val="center"/>
          </w:tcPr>
          <w:p w14:paraId="6DFC2712">
            <w:pPr>
              <w:widowControl/>
              <w:jc w:val="center"/>
              <w:rPr>
                <w:rFonts w:ascii="Times New Roman" w:hAnsi="Times New Roman" w:eastAsia="宋体"/>
                <w:kern w:val="0"/>
                <w:szCs w:val="21"/>
              </w:rPr>
            </w:pPr>
            <w:r>
              <w:rPr>
                <w:rFonts w:ascii="Times New Roman" w:hAnsi="Times New Roman" w:eastAsia="宋体"/>
                <w:kern w:val="0"/>
                <w:szCs w:val="21"/>
              </w:rPr>
              <w:t xml:space="preserve">30.48 </w:t>
            </w:r>
          </w:p>
        </w:tc>
        <w:tc>
          <w:tcPr>
            <w:tcW w:w="709" w:type="pct"/>
            <w:shd w:val="clear" w:color="auto" w:fill="auto"/>
            <w:vAlign w:val="center"/>
          </w:tcPr>
          <w:p w14:paraId="3E3D0B6B">
            <w:pPr>
              <w:widowControl/>
              <w:jc w:val="center"/>
              <w:rPr>
                <w:rFonts w:ascii="Times New Roman" w:hAnsi="Times New Roman" w:eastAsia="宋体"/>
                <w:kern w:val="0"/>
                <w:szCs w:val="21"/>
              </w:rPr>
            </w:pPr>
            <w:r>
              <w:rPr>
                <w:rFonts w:ascii="Times New Roman" w:hAnsi="Times New Roman" w:eastAsia="宋体"/>
                <w:kern w:val="0"/>
                <w:szCs w:val="21"/>
              </w:rPr>
              <w:t xml:space="preserve">0.094 </w:t>
            </w:r>
          </w:p>
        </w:tc>
        <w:tc>
          <w:tcPr>
            <w:tcW w:w="1001" w:type="pct"/>
            <w:vAlign w:val="center"/>
          </w:tcPr>
          <w:p w14:paraId="1A96EA05">
            <w:pPr>
              <w:widowControl/>
              <w:jc w:val="center"/>
              <w:rPr>
                <w:rFonts w:ascii="Times New Roman" w:hAnsi="Times New Roman" w:eastAsia="宋体"/>
                <w:kern w:val="0"/>
                <w:szCs w:val="21"/>
              </w:rPr>
            </w:pPr>
          </w:p>
        </w:tc>
      </w:tr>
      <w:tr w14:paraId="232C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6D148DC7">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59086BC4">
            <w:pPr>
              <w:widowControl/>
              <w:jc w:val="center"/>
              <w:rPr>
                <w:rFonts w:ascii="Times New Roman" w:hAnsi="Times New Roman" w:eastAsia="宋体"/>
                <w:kern w:val="0"/>
                <w:szCs w:val="21"/>
              </w:rPr>
            </w:pPr>
          </w:p>
        </w:tc>
        <w:tc>
          <w:tcPr>
            <w:tcW w:w="1203" w:type="pct"/>
            <w:shd w:val="clear" w:color="auto" w:fill="auto"/>
            <w:vAlign w:val="center"/>
          </w:tcPr>
          <w:p w14:paraId="4F268BE8">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南侧3#</w:t>
            </w:r>
          </w:p>
        </w:tc>
        <w:tc>
          <w:tcPr>
            <w:tcW w:w="680" w:type="pct"/>
            <w:shd w:val="clear" w:color="auto" w:fill="auto"/>
            <w:vAlign w:val="center"/>
          </w:tcPr>
          <w:p w14:paraId="1D928354">
            <w:pPr>
              <w:widowControl/>
              <w:jc w:val="center"/>
              <w:rPr>
                <w:rFonts w:ascii="Times New Roman" w:hAnsi="Times New Roman" w:eastAsia="宋体"/>
                <w:kern w:val="0"/>
                <w:szCs w:val="21"/>
              </w:rPr>
            </w:pPr>
            <w:r>
              <w:rPr>
                <w:rFonts w:ascii="Times New Roman" w:hAnsi="Times New Roman" w:eastAsia="宋体"/>
                <w:kern w:val="0"/>
                <w:szCs w:val="21"/>
              </w:rPr>
              <w:t xml:space="preserve">77.98 </w:t>
            </w:r>
          </w:p>
        </w:tc>
        <w:tc>
          <w:tcPr>
            <w:tcW w:w="709" w:type="pct"/>
            <w:shd w:val="clear" w:color="auto" w:fill="auto"/>
            <w:vAlign w:val="center"/>
          </w:tcPr>
          <w:p w14:paraId="38F5A870">
            <w:pPr>
              <w:widowControl/>
              <w:jc w:val="center"/>
              <w:rPr>
                <w:rFonts w:ascii="Times New Roman" w:hAnsi="Times New Roman" w:eastAsia="宋体"/>
                <w:kern w:val="0"/>
                <w:szCs w:val="21"/>
              </w:rPr>
            </w:pPr>
            <w:r>
              <w:rPr>
                <w:rFonts w:ascii="Times New Roman" w:hAnsi="Times New Roman" w:eastAsia="宋体"/>
                <w:kern w:val="0"/>
                <w:szCs w:val="21"/>
              </w:rPr>
              <w:t xml:space="preserve">0.316 </w:t>
            </w:r>
          </w:p>
        </w:tc>
        <w:tc>
          <w:tcPr>
            <w:tcW w:w="1001" w:type="pct"/>
            <w:vAlign w:val="center"/>
          </w:tcPr>
          <w:p w14:paraId="2728B3F8">
            <w:pPr>
              <w:widowControl/>
              <w:jc w:val="both"/>
              <w:rPr>
                <w:rFonts w:hint="eastAsia" w:ascii="Times New Roman" w:hAnsi="Times New Roman" w:eastAsia="宋体"/>
                <w:kern w:val="0"/>
                <w:szCs w:val="21"/>
                <w:lang w:eastAsia="zh-CN"/>
              </w:rPr>
            </w:pPr>
            <w:r>
              <w:rPr>
                <w:rFonts w:hint="eastAsia" w:ascii="Times New Roman" w:hAnsi="Times New Roman" w:eastAsia="宋体"/>
                <w:kern w:val="0"/>
                <w:szCs w:val="21"/>
              </w:rPr>
              <w:t>距110kV交港线</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14m，线高</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11m</w:t>
            </w:r>
          </w:p>
        </w:tc>
      </w:tr>
      <w:tr w14:paraId="0B71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2AFEF726">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44227E82">
            <w:pPr>
              <w:widowControl/>
              <w:jc w:val="center"/>
              <w:rPr>
                <w:rFonts w:ascii="Times New Roman" w:hAnsi="Times New Roman" w:eastAsia="宋体"/>
                <w:kern w:val="0"/>
                <w:szCs w:val="21"/>
              </w:rPr>
            </w:pPr>
          </w:p>
        </w:tc>
        <w:tc>
          <w:tcPr>
            <w:tcW w:w="1203" w:type="pct"/>
            <w:shd w:val="clear" w:color="auto" w:fill="auto"/>
            <w:vAlign w:val="center"/>
          </w:tcPr>
          <w:p w14:paraId="05C99475">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南侧4#</w:t>
            </w:r>
          </w:p>
        </w:tc>
        <w:tc>
          <w:tcPr>
            <w:tcW w:w="680" w:type="pct"/>
            <w:shd w:val="clear" w:color="auto" w:fill="auto"/>
            <w:vAlign w:val="center"/>
          </w:tcPr>
          <w:p w14:paraId="022C519E">
            <w:pPr>
              <w:widowControl/>
              <w:jc w:val="center"/>
              <w:rPr>
                <w:rFonts w:ascii="Times New Roman" w:hAnsi="Times New Roman" w:eastAsia="宋体"/>
                <w:kern w:val="0"/>
                <w:szCs w:val="21"/>
              </w:rPr>
            </w:pPr>
            <w:r>
              <w:rPr>
                <w:rFonts w:ascii="Times New Roman" w:hAnsi="Times New Roman" w:eastAsia="宋体"/>
                <w:kern w:val="0"/>
                <w:szCs w:val="21"/>
              </w:rPr>
              <w:t xml:space="preserve">217.04 </w:t>
            </w:r>
          </w:p>
        </w:tc>
        <w:tc>
          <w:tcPr>
            <w:tcW w:w="709" w:type="pct"/>
            <w:shd w:val="clear" w:color="auto" w:fill="auto"/>
            <w:vAlign w:val="center"/>
          </w:tcPr>
          <w:p w14:paraId="5CDD1CA0">
            <w:pPr>
              <w:widowControl/>
              <w:jc w:val="center"/>
              <w:rPr>
                <w:rFonts w:ascii="Times New Roman" w:hAnsi="Times New Roman" w:eastAsia="宋体"/>
                <w:kern w:val="0"/>
                <w:szCs w:val="21"/>
              </w:rPr>
            </w:pPr>
            <w:r>
              <w:rPr>
                <w:rFonts w:ascii="Times New Roman" w:hAnsi="Times New Roman" w:eastAsia="宋体"/>
                <w:kern w:val="0"/>
                <w:szCs w:val="21"/>
              </w:rPr>
              <w:t xml:space="preserve">0.272 </w:t>
            </w:r>
          </w:p>
        </w:tc>
        <w:tc>
          <w:tcPr>
            <w:tcW w:w="1001" w:type="pct"/>
            <w:vAlign w:val="center"/>
          </w:tcPr>
          <w:p w14:paraId="42616C4F">
            <w:pPr>
              <w:widowControl/>
              <w:jc w:val="both"/>
              <w:rPr>
                <w:rFonts w:hint="default" w:ascii="Times New Roman" w:hAnsi="Times New Roman" w:eastAsia="宋体"/>
                <w:kern w:val="0"/>
                <w:szCs w:val="21"/>
                <w:lang w:val="en-US" w:eastAsia="zh-CN"/>
              </w:rPr>
            </w:pPr>
            <w:r>
              <w:rPr>
                <w:rFonts w:hint="eastAsia" w:ascii="Times New Roman" w:hAnsi="Times New Roman" w:eastAsia="宋体"/>
                <w:kern w:val="0"/>
                <w:szCs w:val="21"/>
              </w:rPr>
              <w:t>距110kV港新线</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7m，线高</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11m</w:t>
            </w:r>
          </w:p>
        </w:tc>
      </w:tr>
      <w:tr w14:paraId="4808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30115F8A">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0BFBB658">
            <w:pPr>
              <w:widowControl/>
              <w:jc w:val="center"/>
              <w:rPr>
                <w:rFonts w:ascii="Times New Roman" w:hAnsi="Times New Roman" w:eastAsia="宋体"/>
                <w:kern w:val="0"/>
                <w:szCs w:val="21"/>
              </w:rPr>
            </w:pPr>
          </w:p>
        </w:tc>
        <w:tc>
          <w:tcPr>
            <w:tcW w:w="1203" w:type="pct"/>
            <w:shd w:val="clear" w:color="auto" w:fill="auto"/>
            <w:vAlign w:val="center"/>
          </w:tcPr>
          <w:p w14:paraId="10ED51B3">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西侧5#</w:t>
            </w:r>
          </w:p>
        </w:tc>
        <w:tc>
          <w:tcPr>
            <w:tcW w:w="680" w:type="pct"/>
            <w:shd w:val="clear" w:color="auto" w:fill="auto"/>
            <w:vAlign w:val="center"/>
          </w:tcPr>
          <w:p w14:paraId="6EE51AF9">
            <w:pPr>
              <w:widowControl/>
              <w:jc w:val="center"/>
              <w:rPr>
                <w:rFonts w:ascii="Times New Roman" w:hAnsi="Times New Roman" w:eastAsia="宋体"/>
                <w:kern w:val="0"/>
                <w:szCs w:val="21"/>
              </w:rPr>
            </w:pPr>
            <w:r>
              <w:rPr>
                <w:rFonts w:ascii="Times New Roman" w:hAnsi="Times New Roman" w:eastAsia="宋体"/>
                <w:kern w:val="0"/>
                <w:szCs w:val="21"/>
              </w:rPr>
              <w:t xml:space="preserve">14.27 </w:t>
            </w:r>
          </w:p>
        </w:tc>
        <w:tc>
          <w:tcPr>
            <w:tcW w:w="709" w:type="pct"/>
            <w:shd w:val="clear" w:color="auto" w:fill="auto"/>
            <w:vAlign w:val="center"/>
          </w:tcPr>
          <w:p w14:paraId="659C036E">
            <w:pPr>
              <w:widowControl/>
              <w:jc w:val="center"/>
              <w:rPr>
                <w:rFonts w:ascii="Times New Roman" w:hAnsi="Times New Roman" w:eastAsia="宋体"/>
                <w:kern w:val="0"/>
                <w:szCs w:val="21"/>
              </w:rPr>
            </w:pPr>
            <w:r>
              <w:rPr>
                <w:rFonts w:ascii="Times New Roman" w:hAnsi="Times New Roman" w:eastAsia="宋体"/>
                <w:kern w:val="0"/>
                <w:szCs w:val="21"/>
              </w:rPr>
              <w:t xml:space="preserve">0.454 </w:t>
            </w:r>
          </w:p>
        </w:tc>
        <w:tc>
          <w:tcPr>
            <w:tcW w:w="1001" w:type="pct"/>
            <w:vAlign w:val="center"/>
          </w:tcPr>
          <w:p w14:paraId="0D8EBBF8">
            <w:pPr>
              <w:widowControl/>
              <w:jc w:val="both"/>
              <w:rPr>
                <w:rFonts w:ascii="Times New Roman" w:hAnsi="Times New Roman" w:eastAsia="宋体"/>
                <w:kern w:val="0"/>
                <w:szCs w:val="21"/>
              </w:rPr>
            </w:pPr>
            <w:r>
              <w:rPr>
                <w:rFonts w:hint="eastAsia" w:ascii="Times New Roman" w:hAnsi="Times New Roman" w:eastAsia="宋体"/>
                <w:kern w:val="0"/>
                <w:szCs w:val="21"/>
              </w:rPr>
              <w:t>距10kV机场一线</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5m，线高</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8m</w:t>
            </w:r>
          </w:p>
        </w:tc>
      </w:tr>
      <w:tr w14:paraId="7323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08497F6E">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7432C734">
            <w:pPr>
              <w:widowControl/>
              <w:jc w:val="center"/>
              <w:rPr>
                <w:rFonts w:ascii="Times New Roman" w:hAnsi="Times New Roman" w:eastAsia="宋体"/>
                <w:kern w:val="0"/>
                <w:szCs w:val="21"/>
              </w:rPr>
            </w:pPr>
          </w:p>
        </w:tc>
        <w:tc>
          <w:tcPr>
            <w:tcW w:w="1203" w:type="pct"/>
            <w:shd w:val="clear" w:color="auto" w:fill="auto"/>
            <w:vAlign w:val="center"/>
          </w:tcPr>
          <w:p w14:paraId="14723863">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西侧6#</w:t>
            </w:r>
          </w:p>
        </w:tc>
        <w:tc>
          <w:tcPr>
            <w:tcW w:w="680" w:type="pct"/>
            <w:shd w:val="clear" w:color="auto" w:fill="auto"/>
            <w:vAlign w:val="center"/>
          </w:tcPr>
          <w:p w14:paraId="23E8ADE5">
            <w:pPr>
              <w:widowControl/>
              <w:jc w:val="center"/>
              <w:rPr>
                <w:rFonts w:ascii="Times New Roman" w:hAnsi="Times New Roman" w:eastAsia="宋体"/>
                <w:kern w:val="0"/>
                <w:szCs w:val="21"/>
              </w:rPr>
            </w:pPr>
            <w:r>
              <w:rPr>
                <w:rFonts w:ascii="Times New Roman" w:hAnsi="Times New Roman" w:eastAsia="宋体"/>
                <w:kern w:val="0"/>
                <w:szCs w:val="21"/>
              </w:rPr>
              <w:t xml:space="preserve">24.65 </w:t>
            </w:r>
          </w:p>
        </w:tc>
        <w:tc>
          <w:tcPr>
            <w:tcW w:w="709" w:type="pct"/>
            <w:shd w:val="clear" w:color="auto" w:fill="auto"/>
            <w:vAlign w:val="center"/>
          </w:tcPr>
          <w:p w14:paraId="677FC7BE">
            <w:pPr>
              <w:widowControl/>
              <w:jc w:val="center"/>
              <w:rPr>
                <w:rFonts w:ascii="Times New Roman" w:hAnsi="Times New Roman" w:eastAsia="宋体"/>
                <w:kern w:val="0"/>
                <w:szCs w:val="21"/>
              </w:rPr>
            </w:pPr>
            <w:r>
              <w:rPr>
                <w:rFonts w:ascii="Times New Roman" w:hAnsi="Times New Roman" w:eastAsia="宋体"/>
                <w:kern w:val="0"/>
                <w:szCs w:val="21"/>
              </w:rPr>
              <w:t xml:space="preserve">0.456 </w:t>
            </w:r>
          </w:p>
        </w:tc>
        <w:tc>
          <w:tcPr>
            <w:tcW w:w="1001" w:type="pct"/>
            <w:vAlign w:val="center"/>
          </w:tcPr>
          <w:p w14:paraId="7C9191A5">
            <w:pPr>
              <w:widowControl/>
              <w:jc w:val="both"/>
              <w:rPr>
                <w:rFonts w:ascii="Times New Roman" w:hAnsi="Times New Roman" w:eastAsia="宋体"/>
                <w:kern w:val="0"/>
                <w:szCs w:val="21"/>
              </w:rPr>
            </w:pPr>
            <w:r>
              <w:rPr>
                <w:rFonts w:hint="eastAsia" w:ascii="Times New Roman" w:hAnsi="Times New Roman" w:eastAsia="宋体"/>
                <w:kern w:val="0"/>
                <w:szCs w:val="21"/>
              </w:rPr>
              <w:t>距10kV机场一线</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7m，线高</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7m</w:t>
            </w:r>
          </w:p>
        </w:tc>
      </w:tr>
      <w:tr w14:paraId="620D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391DC9DA">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6243CC39">
            <w:pPr>
              <w:widowControl/>
              <w:jc w:val="center"/>
              <w:rPr>
                <w:rFonts w:ascii="Times New Roman" w:hAnsi="Times New Roman" w:eastAsia="宋体"/>
                <w:kern w:val="0"/>
                <w:szCs w:val="21"/>
              </w:rPr>
            </w:pPr>
          </w:p>
        </w:tc>
        <w:tc>
          <w:tcPr>
            <w:tcW w:w="1203" w:type="pct"/>
            <w:shd w:val="clear" w:color="auto" w:fill="auto"/>
            <w:vAlign w:val="center"/>
          </w:tcPr>
          <w:p w14:paraId="7761BF3B">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北侧7#</w:t>
            </w:r>
          </w:p>
        </w:tc>
        <w:tc>
          <w:tcPr>
            <w:tcW w:w="680" w:type="pct"/>
            <w:shd w:val="clear" w:color="auto" w:fill="auto"/>
            <w:vAlign w:val="center"/>
          </w:tcPr>
          <w:p w14:paraId="5FC2A11D">
            <w:pPr>
              <w:widowControl/>
              <w:jc w:val="center"/>
              <w:rPr>
                <w:rFonts w:ascii="Times New Roman" w:hAnsi="Times New Roman" w:eastAsia="宋体"/>
                <w:kern w:val="0"/>
                <w:szCs w:val="21"/>
              </w:rPr>
            </w:pPr>
            <w:r>
              <w:rPr>
                <w:rFonts w:ascii="Times New Roman" w:hAnsi="Times New Roman" w:eastAsia="宋体"/>
                <w:kern w:val="0"/>
                <w:szCs w:val="21"/>
              </w:rPr>
              <w:t xml:space="preserve">1.44 </w:t>
            </w:r>
          </w:p>
        </w:tc>
        <w:tc>
          <w:tcPr>
            <w:tcW w:w="709" w:type="pct"/>
            <w:shd w:val="clear" w:color="auto" w:fill="auto"/>
            <w:vAlign w:val="center"/>
          </w:tcPr>
          <w:p w14:paraId="1EFCDB19">
            <w:pPr>
              <w:widowControl/>
              <w:jc w:val="center"/>
              <w:rPr>
                <w:rFonts w:ascii="Times New Roman" w:hAnsi="Times New Roman" w:eastAsia="宋体"/>
                <w:kern w:val="0"/>
                <w:szCs w:val="21"/>
              </w:rPr>
            </w:pPr>
            <w:r>
              <w:rPr>
                <w:rFonts w:ascii="Times New Roman" w:hAnsi="Times New Roman" w:eastAsia="宋体"/>
                <w:kern w:val="0"/>
                <w:szCs w:val="21"/>
              </w:rPr>
              <w:t xml:space="preserve">0.458 </w:t>
            </w:r>
          </w:p>
        </w:tc>
        <w:tc>
          <w:tcPr>
            <w:tcW w:w="1001" w:type="pct"/>
            <w:vAlign w:val="center"/>
          </w:tcPr>
          <w:p w14:paraId="345108CF">
            <w:pPr>
              <w:widowControl/>
              <w:jc w:val="both"/>
              <w:rPr>
                <w:rFonts w:hint="default" w:ascii="Times New Roman" w:hAnsi="Times New Roman" w:eastAsia="宋体"/>
                <w:kern w:val="0"/>
                <w:szCs w:val="21"/>
                <w:lang w:val="en-US" w:eastAsia="zh-CN"/>
              </w:rPr>
            </w:pPr>
            <w:r>
              <w:rPr>
                <w:rFonts w:hint="eastAsia"/>
                <w:kern w:val="0"/>
                <w:szCs w:val="21"/>
                <w:lang w:val="en-US" w:eastAsia="zh-CN"/>
              </w:rPr>
              <w:t>邻近变电站无功补偿装置</w:t>
            </w:r>
          </w:p>
        </w:tc>
      </w:tr>
      <w:tr w14:paraId="5E94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386E70AF">
            <w:pPr>
              <w:pStyle w:val="105"/>
              <w:widowControl/>
              <w:numPr>
                <w:ilvl w:val="0"/>
                <w:numId w:val="23"/>
              </w:numPr>
              <w:ind w:firstLineChars="0"/>
              <w:jc w:val="center"/>
              <w:rPr>
                <w:rFonts w:ascii="Times New Roman" w:hAnsi="Times New Roman" w:eastAsia="宋体"/>
                <w:kern w:val="0"/>
                <w:szCs w:val="21"/>
              </w:rPr>
            </w:pPr>
          </w:p>
        </w:tc>
        <w:tc>
          <w:tcPr>
            <w:tcW w:w="1156" w:type="pct"/>
            <w:vMerge w:val="continue"/>
            <w:shd w:val="clear" w:color="auto" w:fill="auto"/>
            <w:vAlign w:val="center"/>
          </w:tcPr>
          <w:p w14:paraId="754C205E">
            <w:pPr>
              <w:widowControl/>
              <w:jc w:val="center"/>
              <w:rPr>
                <w:rFonts w:ascii="Times New Roman" w:hAnsi="Times New Roman" w:eastAsia="宋体"/>
                <w:kern w:val="0"/>
                <w:szCs w:val="21"/>
              </w:rPr>
            </w:pPr>
          </w:p>
        </w:tc>
        <w:tc>
          <w:tcPr>
            <w:tcW w:w="1203" w:type="pct"/>
            <w:shd w:val="clear" w:color="auto" w:fill="auto"/>
            <w:vAlign w:val="center"/>
          </w:tcPr>
          <w:p w14:paraId="5C91EA62">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北侧8#</w:t>
            </w:r>
          </w:p>
        </w:tc>
        <w:tc>
          <w:tcPr>
            <w:tcW w:w="680" w:type="pct"/>
            <w:shd w:val="clear" w:color="auto" w:fill="auto"/>
            <w:vAlign w:val="center"/>
          </w:tcPr>
          <w:p w14:paraId="28219F45">
            <w:pPr>
              <w:widowControl/>
              <w:jc w:val="center"/>
              <w:rPr>
                <w:rFonts w:ascii="Times New Roman" w:hAnsi="Times New Roman" w:eastAsia="宋体"/>
                <w:kern w:val="0"/>
                <w:szCs w:val="21"/>
              </w:rPr>
            </w:pPr>
            <w:r>
              <w:rPr>
                <w:rFonts w:ascii="Times New Roman" w:hAnsi="Times New Roman" w:eastAsia="宋体"/>
                <w:kern w:val="0"/>
                <w:szCs w:val="21"/>
              </w:rPr>
              <w:t xml:space="preserve">0.21 </w:t>
            </w:r>
          </w:p>
        </w:tc>
        <w:tc>
          <w:tcPr>
            <w:tcW w:w="709" w:type="pct"/>
            <w:shd w:val="clear" w:color="auto" w:fill="auto"/>
            <w:vAlign w:val="center"/>
          </w:tcPr>
          <w:p w14:paraId="50175C01">
            <w:pPr>
              <w:widowControl/>
              <w:jc w:val="center"/>
              <w:rPr>
                <w:rFonts w:ascii="Times New Roman" w:hAnsi="Times New Roman" w:eastAsia="宋体"/>
                <w:kern w:val="0"/>
                <w:szCs w:val="21"/>
              </w:rPr>
            </w:pPr>
            <w:r>
              <w:rPr>
                <w:rFonts w:ascii="Times New Roman" w:hAnsi="Times New Roman" w:eastAsia="宋体"/>
                <w:kern w:val="0"/>
                <w:szCs w:val="21"/>
              </w:rPr>
              <w:t xml:space="preserve">0.120 </w:t>
            </w:r>
          </w:p>
        </w:tc>
        <w:tc>
          <w:tcPr>
            <w:tcW w:w="1001" w:type="pct"/>
            <w:vAlign w:val="center"/>
          </w:tcPr>
          <w:p w14:paraId="1E96F071">
            <w:pPr>
              <w:widowControl/>
              <w:jc w:val="center"/>
              <w:rPr>
                <w:rFonts w:ascii="Times New Roman" w:hAnsi="Times New Roman" w:eastAsia="宋体"/>
                <w:kern w:val="0"/>
                <w:szCs w:val="21"/>
              </w:rPr>
            </w:pPr>
          </w:p>
        </w:tc>
      </w:tr>
      <w:tr w14:paraId="265D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737A0295">
            <w:pPr>
              <w:pStyle w:val="105"/>
              <w:widowControl/>
              <w:numPr>
                <w:ilvl w:val="0"/>
                <w:numId w:val="23"/>
              </w:numPr>
              <w:ind w:firstLineChars="0"/>
              <w:jc w:val="center"/>
              <w:rPr>
                <w:rFonts w:ascii="Times New Roman" w:hAnsi="Times New Roman" w:eastAsia="宋体"/>
                <w:kern w:val="0"/>
                <w:szCs w:val="21"/>
              </w:rPr>
            </w:pPr>
          </w:p>
        </w:tc>
        <w:tc>
          <w:tcPr>
            <w:tcW w:w="1156" w:type="pct"/>
            <w:shd w:val="clear" w:color="auto" w:fill="auto"/>
            <w:vAlign w:val="center"/>
          </w:tcPr>
          <w:p w14:paraId="15C6AB3E">
            <w:pPr>
              <w:widowControl/>
              <w:spacing w:line="240" w:lineRule="auto"/>
              <w:jc w:val="center"/>
              <w:rPr>
                <w:rFonts w:hint="eastAsia" w:ascii="Times New Roman" w:hAnsi="Times New Roman" w:eastAsia="宋体" w:cs="ˎ̥"/>
                <w:color w:val="000000"/>
                <w:kern w:val="2"/>
                <w:sz w:val="21"/>
                <w:szCs w:val="21"/>
                <w:lang w:val="en-US" w:eastAsia="zh-CN" w:bidi="ar-SA"/>
              </w:rPr>
            </w:pPr>
            <w:r>
              <w:rPr>
                <w:rFonts w:hint="eastAsia" w:ascii="Times New Roman" w:hAnsi="Times New Roman" w:eastAsia="宋体"/>
                <w:kern w:val="0"/>
                <w:szCs w:val="21"/>
              </w:rPr>
              <w:t>吐鲁番市高昌区港城社区</w:t>
            </w:r>
          </w:p>
        </w:tc>
        <w:tc>
          <w:tcPr>
            <w:tcW w:w="1203" w:type="pct"/>
            <w:shd w:val="clear" w:color="auto" w:fill="auto"/>
            <w:vAlign w:val="center"/>
          </w:tcPr>
          <w:p w14:paraId="078F54C3">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其他建筑a西侧</w:t>
            </w:r>
          </w:p>
        </w:tc>
        <w:tc>
          <w:tcPr>
            <w:tcW w:w="680" w:type="pct"/>
            <w:shd w:val="clear" w:color="auto" w:fill="auto"/>
            <w:vAlign w:val="center"/>
          </w:tcPr>
          <w:p w14:paraId="20C62F41">
            <w:pPr>
              <w:widowControl/>
              <w:jc w:val="center"/>
              <w:rPr>
                <w:rFonts w:ascii="Times New Roman" w:hAnsi="Times New Roman" w:eastAsia="宋体"/>
                <w:kern w:val="0"/>
                <w:szCs w:val="21"/>
              </w:rPr>
            </w:pPr>
            <w:r>
              <w:rPr>
                <w:rFonts w:ascii="Times New Roman" w:hAnsi="Times New Roman" w:eastAsia="宋体"/>
                <w:kern w:val="0"/>
                <w:szCs w:val="21"/>
              </w:rPr>
              <w:t xml:space="preserve">11.87 </w:t>
            </w:r>
          </w:p>
        </w:tc>
        <w:tc>
          <w:tcPr>
            <w:tcW w:w="709" w:type="pct"/>
            <w:shd w:val="clear" w:color="auto" w:fill="auto"/>
            <w:vAlign w:val="center"/>
          </w:tcPr>
          <w:p w14:paraId="2054EB93">
            <w:pPr>
              <w:widowControl/>
              <w:jc w:val="center"/>
              <w:rPr>
                <w:rFonts w:ascii="Times New Roman" w:hAnsi="Times New Roman" w:eastAsia="宋体"/>
                <w:kern w:val="0"/>
                <w:szCs w:val="21"/>
              </w:rPr>
            </w:pPr>
            <w:r>
              <w:rPr>
                <w:rFonts w:ascii="Times New Roman" w:hAnsi="Times New Roman" w:eastAsia="宋体"/>
                <w:kern w:val="0"/>
                <w:szCs w:val="21"/>
              </w:rPr>
              <w:t xml:space="preserve">0.035 </w:t>
            </w:r>
          </w:p>
        </w:tc>
        <w:tc>
          <w:tcPr>
            <w:tcW w:w="1001" w:type="pct"/>
            <w:vAlign w:val="center"/>
          </w:tcPr>
          <w:p w14:paraId="151D1428">
            <w:pPr>
              <w:widowControl/>
              <w:jc w:val="center"/>
              <w:rPr>
                <w:rFonts w:ascii="Times New Roman" w:hAnsi="Times New Roman" w:eastAsia="宋体"/>
                <w:kern w:val="0"/>
                <w:szCs w:val="21"/>
              </w:rPr>
            </w:pPr>
          </w:p>
        </w:tc>
      </w:tr>
      <w:tr w14:paraId="24A8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shd w:val="clear" w:color="auto" w:fill="auto"/>
            <w:vAlign w:val="center"/>
          </w:tcPr>
          <w:p w14:paraId="6154A0A3">
            <w:pPr>
              <w:widowControl/>
              <w:jc w:val="both"/>
              <w:rPr>
                <w:rFonts w:ascii="Times New Roman" w:hAnsi="Times New Roman" w:eastAsia="宋体"/>
                <w:szCs w:val="21"/>
              </w:rPr>
            </w:pPr>
            <w:r>
              <w:rPr>
                <w:rFonts w:hint="eastAsia" w:ascii="Times New Roman" w:hAnsi="Times New Roman" w:eastAsia="宋体"/>
                <w:b/>
                <w:kern w:val="0"/>
                <w:szCs w:val="21"/>
              </w:rPr>
              <w:t>（二）港城~新阳110千伏线路工程</w:t>
            </w:r>
          </w:p>
        </w:tc>
      </w:tr>
      <w:tr w14:paraId="7741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48" w:type="pct"/>
            <w:shd w:val="clear" w:color="auto" w:fill="auto"/>
            <w:vAlign w:val="center"/>
          </w:tcPr>
          <w:p w14:paraId="69E39964">
            <w:pPr>
              <w:pStyle w:val="105"/>
              <w:widowControl/>
              <w:numPr>
                <w:ilvl w:val="0"/>
                <w:numId w:val="23"/>
              </w:numPr>
              <w:ind w:left="582" w:leftChars="0" w:hanging="440" w:firstLineChars="0"/>
              <w:jc w:val="center"/>
              <w:rPr>
                <w:rFonts w:ascii="Times New Roman" w:hAnsi="Times New Roman" w:eastAsia="宋体"/>
                <w:kern w:val="0"/>
                <w:szCs w:val="21"/>
              </w:rPr>
            </w:pPr>
          </w:p>
        </w:tc>
        <w:tc>
          <w:tcPr>
            <w:tcW w:w="1156" w:type="pct"/>
            <w:shd w:val="clear" w:color="auto" w:fill="auto"/>
            <w:vAlign w:val="center"/>
          </w:tcPr>
          <w:p w14:paraId="045DA1C5">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吐鲁番市高昌区港城社区</w:t>
            </w:r>
          </w:p>
        </w:tc>
        <w:tc>
          <w:tcPr>
            <w:tcW w:w="1203" w:type="pct"/>
            <w:shd w:val="clear" w:color="auto" w:fill="auto"/>
            <w:vAlign w:val="center"/>
          </w:tcPr>
          <w:p w14:paraId="7568FAF7">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Cs w:val="21"/>
              </w:rPr>
              <w:t>葡萄干打把场办公室北侧</w:t>
            </w:r>
          </w:p>
        </w:tc>
        <w:tc>
          <w:tcPr>
            <w:tcW w:w="680" w:type="pct"/>
            <w:shd w:val="clear" w:color="auto" w:fill="auto"/>
            <w:vAlign w:val="center"/>
          </w:tcPr>
          <w:p w14:paraId="7078FD4D">
            <w:pPr>
              <w:widowControl/>
              <w:jc w:val="center"/>
              <w:rPr>
                <w:rFonts w:ascii="Times New Roman" w:hAnsi="Times New Roman" w:eastAsia="宋体"/>
                <w:kern w:val="0"/>
                <w:szCs w:val="21"/>
              </w:rPr>
            </w:pPr>
            <w:r>
              <w:rPr>
                <w:rFonts w:ascii="Times New Roman" w:hAnsi="Times New Roman" w:eastAsia="宋体"/>
                <w:kern w:val="0"/>
                <w:szCs w:val="21"/>
              </w:rPr>
              <w:t xml:space="preserve">12.47 </w:t>
            </w:r>
          </w:p>
        </w:tc>
        <w:tc>
          <w:tcPr>
            <w:tcW w:w="709" w:type="pct"/>
            <w:shd w:val="clear" w:color="auto" w:fill="auto"/>
            <w:vAlign w:val="center"/>
          </w:tcPr>
          <w:p w14:paraId="598FFD0C">
            <w:pPr>
              <w:widowControl/>
              <w:jc w:val="center"/>
              <w:rPr>
                <w:rFonts w:ascii="Times New Roman" w:hAnsi="Times New Roman" w:eastAsia="宋体"/>
                <w:kern w:val="0"/>
                <w:szCs w:val="21"/>
              </w:rPr>
            </w:pPr>
            <w:r>
              <w:rPr>
                <w:rFonts w:ascii="Times New Roman" w:hAnsi="Times New Roman" w:eastAsia="宋体"/>
                <w:kern w:val="0"/>
                <w:szCs w:val="21"/>
              </w:rPr>
              <w:t xml:space="preserve">0.288 </w:t>
            </w:r>
          </w:p>
        </w:tc>
        <w:tc>
          <w:tcPr>
            <w:tcW w:w="1001" w:type="pct"/>
            <w:vAlign w:val="center"/>
          </w:tcPr>
          <w:p w14:paraId="00272364">
            <w:pPr>
              <w:widowControl/>
              <w:jc w:val="both"/>
              <w:rPr>
                <w:rFonts w:ascii="Times New Roman" w:hAnsi="Times New Roman" w:eastAsia="宋体"/>
                <w:kern w:val="0"/>
                <w:szCs w:val="21"/>
              </w:rPr>
            </w:pPr>
            <w:r>
              <w:rPr>
                <w:rFonts w:hint="eastAsia" w:ascii="Times New Roman" w:hAnsi="Times New Roman" w:eastAsia="宋体"/>
                <w:kern w:val="0"/>
                <w:szCs w:val="21"/>
              </w:rPr>
              <w:t>距10kV港能二线</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4m，线高</w:t>
            </w:r>
            <w:r>
              <w:rPr>
                <w:rFonts w:hint="eastAsia" w:ascii="Times New Roman" w:hAnsi="Times New Roman" w:eastAsia="宋体"/>
                <w:kern w:val="0"/>
                <w:szCs w:val="21"/>
                <w:lang w:val="en-US" w:eastAsia="zh-CN"/>
              </w:rPr>
              <w:t>约</w:t>
            </w:r>
            <w:r>
              <w:rPr>
                <w:rFonts w:hint="eastAsia" w:ascii="Times New Roman" w:hAnsi="Times New Roman" w:eastAsia="宋体"/>
                <w:kern w:val="0"/>
                <w:szCs w:val="21"/>
              </w:rPr>
              <w:t>11m</w:t>
            </w:r>
          </w:p>
        </w:tc>
      </w:tr>
    </w:tbl>
    <w:p w14:paraId="3A5E3AF5">
      <w:pPr>
        <w:spacing w:before="120" w:beforeLines="50"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）监测结果分析</w:t>
      </w:r>
    </w:p>
    <w:p w14:paraId="178A0306">
      <w:pPr>
        <w:spacing w:line="360" w:lineRule="auto"/>
        <w:ind w:firstLine="480" w:firstLineChars="200"/>
        <w:rPr>
          <w:rFonts w:hint="eastAsia"/>
          <w:color w:val="000000"/>
          <w:sz w:val="24"/>
        </w:rPr>
      </w:pPr>
      <w:bookmarkStart w:id="855" w:name="_Toc413055182"/>
      <w:r>
        <w:rPr>
          <w:rFonts w:hint="eastAsia"/>
          <w:color w:val="000000"/>
          <w:sz w:val="24"/>
          <w:lang w:val="en-US" w:eastAsia="zh-CN"/>
        </w:rPr>
        <w:t>1）</w:t>
      </w:r>
      <w:r>
        <w:rPr>
          <w:rFonts w:hint="eastAsia"/>
          <w:color w:val="000000"/>
          <w:sz w:val="24"/>
        </w:rPr>
        <w:t>港城变110千伏间隔扩建工程</w:t>
      </w:r>
    </w:p>
    <w:p w14:paraId="0D1B994E">
      <w:pPr>
        <w:spacing w:line="360" w:lineRule="auto"/>
        <w:ind w:firstLine="480" w:firstLineChars="200"/>
        <w:rPr>
          <w:rFonts w:hint="eastAsia"/>
          <w:color w:val="000000"/>
          <w:sz w:val="24"/>
        </w:rPr>
      </w:pPr>
      <w:r>
        <w:rPr>
          <w:rFonts w:hint="eastAsia"/>
          <w:color w:val="000000"/>
          <w:sz w:val="24"/>
          <w:lang w:eastAsia="zh-CN"/>
        </w:rPr>
        <w:t>港城110kV变电站</w:t>
      </w:r>
      <w:r>
        <w:rPr>
          <w:rFonts w:hint="eastAsia"/>
          <w:color w:val="000000"/>
          <w:sz w:val="24"/>
        </w:rPr>
        <w:t>厂界</w:t>
      </w:r>
      <w:r>
        <w:rPr>
          <w:color w:val="000000"/>
          <w:sz w:val="24"/>
        </w:rPr>
        <w:t>工频电场强度监测值范围为</w:t>
      </w:r>
      <w:r>
        <w:rPr>
          <w:rFonts w:hint="eastAsia"/>
          <w:color w:val="000000"/>
          <w:sz w:val="24"/>
          <w:lang w:val="en-US" w:eastAsia="zh-CN"/>
        </w:rPr>
        <w:t>0.21</w:t>
      </w:r>
      <w:r>
        <w:rPr>
          <w:color w:val="000000"/>
          <w:sz w:val="24"/>
        </w:rPr>
        <w:t>V/m</w:t>
      </w:r>
      <w:r>
        <w:rPr>
          <w:rFonts w:hint="eastAsia"/>
          <w:color w:val="000000"/>
          <w:sz w:val="24"/>
        </w:rPr>
        <w:t>~</w:t>
      </w:r>
      <w:r>
        <w:rPr>
          <w:rFonts w:hint="eastAsia"/>
          <w:color w:val="000000"/>
          <w:sz w:val="24"/>
          <w:lang w:val="en-US" w:eastAsia="zh-CN"/>
        </w:rPr>
        <w:t>217.04</w:t>
      </w:r>
      <w:r>
        <w:rPr>
          <w:color w:val="000000"/>
          <w:sz w:val="24"/>
        </w:rPr>
        <w:t>V/m</w:t>
      </w:r>
      <w:r>
        <w:rPr>
          <w:rFonts w:hint="eastAsia"/>
          <w:color w:val="000000"/>
          <w:sz w:val="24"/>
        </w:rPr>
        <w:t>、</w:t>
      </w:r>
      <w:r>
        <w:rPr>
          <w:color w:val="000000"/>
          <w:sz w:val="24"/>
        </w:rPr>
        <w:t>工频磁感应强度监测值范围为</w:t>
      </w:r>
      <w:r>
        <w:rPr>
          <w:rFonts w:hint="eastAsia"/>
          <w:color w:val="000000"/>
          <w:sz w:val="24"/>
        </w:rPr>
        <w:t>0.0</w:t>
      </w:r>
      <w:r>
        <w:rPr>
          <w:rFonts w:hint="eastAsia"/>
          <w:color w:val="000000"/>
          <w:sz w:val="24"/>
          <w:lang w:val="en-US" w:eastAsia="zh-CN"/>
        </w:rPr>
        <w:t>84</w:t>
      </w:r>
      <w:r>
        <w:rPr>
          <w:color w:val="000000"/>
          <w:sz w:val="24"/>
        </w:rPr>
        <w:t>μT</w:t>
      </w:r>
      <w:r>
        <w:rPr>
          <w:rFonts w:hint="eastAsia"/>
          <w:color w:val="000000"/>
          <w:sz w:val="24"/>
        </w:rPr>
        <w:t>~0.</w:t>
      </w:r>
      <w:r>
        <w:rPr>
          <w:rFonts w:hint="eastAsia"/>
          <w:color w:val="000000"/>
          <w:sz w:val="24"/>
          <w:lang w:val="en-US" w:eastAsia="zh-CN"/>
        </w:rPr>
        <w:t>458</w:t>
      </w:r>
      <w:r>
        <w:rPr>
          <w:color w:val="000000"/>
          <w:sz w:val="24"/>
        </w:rPr>
        <w:t>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14:paraId="0F66C900">
      <w:pPr>
        <w:spacing w:line="360" w:lineRule="auto"/>
        <w:ind w:firstLine="480" w:firstLineChars="200"/>
        <w:rPr>
          <w:color w:val="000000"/>
          <w:sz w:val="24"/>
        </w:rPr>
      </w:pPr>
      <w:r>
        <w:rPr>
          <w:rFonts w:hint="eastAsia"/>
          <w:color w:val="000000"/>
          <w:sz w:val="24"/>
        </w:rPr>
        <w:t>变电站评价范围内电磁环境敏感目标</w:t>
      </w:r>
      <w:r>
        <w:rPr>
          <w:rFonts w:hint="eastAsia"/>
          <w:color w:val="000000"/>
          <w:sz w:val="24"/>
          <w:lang w:val="en-US" w:eastAsia="zh-CN"/>
        </w:rPr>
        <w:t>处</w:t>
      </w:r>
      <w:r>
        <w:rPr>
          <w:color w:val="000000"/>
          <w:sz w:val="24"/>
        </w:rPr>
        <w:t>工频电场强度监测值为</w:t>
      </w:r>
      <w:r>
        <w:rPr>
          <w:rFonts w:hint="eastAsia"/>
          <w:color w:val="000000"/>
          <w:sz w:val="24"/>
          <w:lang w:val="en-US" w:eastAsia="zh-CN"/>
        </w:rPr>
        <w:t>11.87</w:t>
      </w:r>
      <w:r>
        <w:rPr>
          <w:color w:val="000000"/>
          <w:sz w:val="24"/>
        </w:rPr>
        <w:t>V/m</w:t>
      </w:r>
      <w:r>
        <w:rPr>
          <w:rFonts w:hint="eastAsia"/>
          <w:color w:val="000000"/>
          <w:sz w:val="24"/>
        </w:rPr>
        <w:t>、</w:t>
      </w:r>
      <w:r>
        <w:rPr>
          <w:color w:val="000000"/>
          <w:sz w:val="24"/>
        </w:rPr>
        <w:t>工频磁感应强度监测值为</w:t>
      </w:r>
      <w:r>
        <w:rPr>
          <w:rFonts w:hint="eastAsia"/>
          <w:color w:val="000000"/>
          <w:sz w:val="24"/>
          <w:lang w:val="en-US" w:eastAsia="zh-CN"/>
        </w:rPr>
        <w:t>0.035</w:t>
      </w:r>
      <w:r>
        <w:rPr>
          <w:color w:val="000000"/>
          <w:sz w:val="24"/>
        </w:rPr>
        <w:t>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14:paraId="227FCF06">
      <w:pPr>
        <w:spacing w:line="360" w:lineRule="auto"/>
        <w:ind w:firstLine="480" w:firstLineChars="200"/>
        <w:rPr>
          <w:rFonts w:hint="eastAsia" w:eastAsia="宋体"/>
          <w:color w:val="000000"/>
          <w:sz w:val="24"/>
          <w:lang w:val="en-US" w:eastAsia="zh-CN"/>
        </w:rPr>
      </w:pPr>
      <w:r>
        <w:rPr>
          <w:rFonts w:hint="eastAsia"/>
          <w:color w:val="000000"/>
          <w:sz w:val="24"/>
          <w:lang w:val="en-US" w:eastAsia="zh-CN"/>
        </w:rPr>
        <w:t>2）</w:t>
      </w:r>
      <w:r>
        <w:rPr>
          <w:rFonts w:hint="eastAsia"/>
          <w:color w:val="000000"/>
          <w:sz w:val="24"/>
        </w:rPr>
        <w:t>港城~新阳110千伏线路工程</w:t>
      </w:r>
    </w:p>
    <w:p w14:paraId="5A1B07E5">
      <w:pPr>
        <w:spacing w:line="360" w:lineRule="auto"/>
        <w:ind w:firstLine="480" w:firstLineChars="200"/>
        <w:rPr>
          <w:color w:val="000000"/>
          <w:sz w:val="24"/>
        </w:rPr>
      </w:pPr>
      <w:r>
        <w:rPr>
          <w:rFonts w:hint="eastAsia"/>
          <w:color w:val="000000"/>
          <w:sz w:val="24"/>
        </w:rPr>
        <w:t>本工程拟建线路沿线环境敏感保护目标处的工频电场强度监测值为</w:t>
      </w:r>
      <w:r>
        <w:rPr>
          <w:rFonts w:hint="eastAsia"/>
          <w:color w:val="000000"/>
          <w:sz w:val="24"/>
          <w:lang w:val="en-US" w:eastAsia="zh-CN"/>
        </w:rPr>
        <w:t>12.47</w:t>
      </w:r>
      <w:r>
        <w:rPr>
          <w:rFonts w:hint="eastAsia"/>
          <w:color w:val="000000"/>
          <w:sz w:val="24"/>
        </w:rPr>
        <w:t>V/m、工频磁感应强度监测值为</w:t>
      </w:r>
      <w:r>
        <w:rPr>
          <w:rFonts w:hint="eastAsia"/>
          <w:color w:val="000000"/>
          <w:sz w:val="24"/>
          <w:lang w:val="en-US" w:eastAsia="zh-CN"/>
        </w:rPr>
        <w:t>0.288</w:t>
      </w:r>
      <w:r>
        <w:rPr>
          <w:rFonts w:hint="default"/>
          <w:color w:val="000000"/>
          <w:sz w:val="24"/>
        </w:rPr>
        <w:t>μ</w:t>
      </w:r>
      <w:r>
        <w:rPr>
          <w:rFonts w:hint="eastAsia"/>
          <w:color w:val="000000"/>
          <w:sz w:val="24"/>
        </w:rPr>
        <w:t>T，工频电场强度、磁感应强度分别满足4000V/m、100</w:t>
      </w:r>
      <w:r>
        <w:rPr>
          <w:rFonts w:hint="default"/>
          <w:color w:val="000000"/>
          <w:sz w:val="24"/>
        </w:rPr>
        <w:t>μ</w:t>
      </w:r>
      <w:r>
        <w:rPr>
          <w:rFonts w:hint="eastAsia"/>
          <w:color w:val="000000"/>
          <w:sz w:val="24"/>
        </w:rPr>
        <w:t>T的限值要求。</w:t>
      </w:r>
    </w:p>
    <w:p w14:paraId="5DC5559D">
      <w:pPr>
        <w:numPr>
          <w:ilvl w:val="0"/>
          <w:numId w:val="22"/>
        </w:numPr>
        <w:topLinePunct/>
        <w:spacing w:line="360" w:lineRule="auto"/>
        <w:outlineLvl w:val="0"/>
        <w:rPr>
          <w:rFonts w:cs="ˎ̥"/>
          <w:b/>
          <w:bCs/>
          <w:color w:val="000000"/>
          <w:kern w:val="44"/>
          <w:sz w:val="30"/>
          <w:szCs w:val="44"/>
        </w:rPr>
      </w:pPr>
      <w:bookmarkStart w:id="856" w:name="_Toc24647693"/>
      <w:bookmarkStart w:id="857" w:name="_Toc8237"/>
      <w:r>
        <w:rPr>
          <w:rFonts w:hint="eastAsia" w:cs="ˎ̥"/>
          <w:b/>
          <w:bCs/>
          <w:color w:val="000000"/>
          <w:kern w:val="44"/>
          <w:sz w:val="30"/>
          <w:szCs w:val="44"/>
        </w:rPr>
        <w:t>电磁环境影响预测与评价</w:t>
      </w:r>
      <w:bookmarkEnd w:id="856"/>
      <w:bookmarkEnd w:id="857"/>
    </w:p>
    <w:bookmarkEnd w:id="855"/>
    <w:p w14:paraId="3F7C6DB5">
      <w:pPr>
        <w:keepNext/>
        <w:keepLines/>
        <w:numPr>
          <w:ilvl w:val="1"/>
          <w:numId w:val="22"/>
        </w:numPr>
        <w:adjustRightInd w:val="0"/>
        <w:spacing w:line="360" w:lineRule="auto"/>
        <w:outlineLvl w:val="1"/>
        <w:rPr>
          <w:b/>
          <w:bCs/>
          <w:color w:val="000000"/>
          <w:sz w:val="28"/>
          <w:szCs w:val="32"/>
        </w:rPr>
      </w:pPr>
      <w:bookmarkStart w:id="858" w:name="_Toc23268"/>
      <w:bookmarkStart w:id="859" w:name="_Toc413680604"/>
      <w:bookmarkStart w:id="860" w:name="_Toc344398023"/>
      <w:bookmarkStart w:id="861" w:name="_Toc344399759"/>
      <w:r>
        <w:rPr>
          <w:rFonts w:hint="eastAsia"/>
          <w:b/>
          <w:bCs/>
          <w:color w:val="000000"/>
          <w:sz w:val="28"/>
          <w:szCs w:val="32"/>
          <w:lang w:eastAsia="zh-CN"/>
        </w:rPr>
        <w:t>港城变110千伏间隔扩建工程</w:t>
      </w:r>
      <w:r>
        <w:rPr>
          <w:rFonts w:hint="eastAsia"/>
          <w:b/>
          <w:bCs/>
          <w:color w:val="000000"/>
          <w:sz w:val="28"/>
          <w:szCs w:val="32"/>
        </w:rPr>
        <w:t>电磁环境影响预测与评价</w:t>
      </w:r>
      <w:bookmarkEnd w:id="858"/>
    </w:p>
    <w:p w14:paraId="594D198C">
      <w:pPr>
        <w:keepNext/>
        <w:keepLines/>
        <w:numPr>
          <w:ilvl w:val="2"/>
          <w:numId w:val="22"/>
        </w:numPr>
        <w:spacing w:line="360" w:lineRule="auto"/>
        <w:outlineLvl w:val="2"/>
        <w:rPr>
          <w:rFonts w:cs="ˎ̥"/>
          <w:b/>
          <w:bCs/>
          <w:color w:val="000000"/>
          <w:sz w:val="24"/>
          <w:szCs w:val="32"/>
        </w:rPr>
      </w:pPr>
      <w:bookmarkStart w:id="862" w:name="_Toc30396"/>
      <w:r>
        <w:rPr>
          <w:rFonts w:hint="eastAsia" w:cs="ˎ̥"/>
          <w:b/>
          <w:bCs/>
          <w:color w:val="000000"/>
          <w:sz w:val="24"/>
          <w:szCs w:val="32"/>
        </w:rPr>
        <w:t>预测与评价方法</w:t>
      </w:r>
      <w:bookmarkEnd w:id="862"/>
    </w:p>
    <w:p w14:paraId="77099FBB">
      <w:pPr>
        <w:adjustRightInd w:val="0"/>
        <w:snapToGrid w:val="0"/>
        <w:spacing w:line="360" w:lineRule="auto"/>
        <w:ind w:firstLine="480" w:firstLineChars="200"/>
        <w:rPr>
          <w:rFonts w:ascii="ˎ̥" w:hAnsi="ˎ̥" w:cs="ˎ̥"/>
          <w:sz w:val="24"/>
          <w:szCs w:val="22"/>
        </w:rPr>
      </w:pPr>
      <w:r>
        <w:rPr>
          <w:rFonts w:hint="eastAsia" w:ascii="ˎ̥" w:hAnsi="ˎ̥" w:cs="ˎ̥"/>
          <w:sz w:val="24"/>
          <w:szCs w:val="22"/>
        </w:rPr>
        <w:t>本工程评价等级根据主体工程电压等级确定，本期</w:t>
      </w:r>
      <w:r>
        <w:rPr>
          <w:rFonts w:hint="eastAsia" w:ascii="ˎ̥" w:hAnsi="ˎ̥" w:cs="ˎ̥"/>
          <w:sz w:val="24"/>
          <w:szCs w:val="22"/>
          <w:lang w:eastAsia="zh-CN"/>
        </w:rPr>
        <w:t>港城110kV变电站</w:t>
      </w:r>
      <w:r>
        <w:rPr>
          <w:rFonts w:hint="eastAsia" w:ascii="ˎ̥" w:hAnsi="ˎ̥" w:cs="ˎ̥"/>
          <w:sz w:val="24"/>
          <w:szCs w:val="22"/>
        </w:rPr>
        <w:t>为户外站，根据《环境影响评价技术导则 输变电》（HJ24-2020）的规定，本工程电磁环境影响评价等级为二级。因此，本次评价采用类比分析的方式进行电磁环境影响预测。</w:t>
      </w:r>
    </w:p>
    <w:p w14:paraId="3E747EAC">
      <w:pPr>
        <w:keepNext/>
        <w:keepLines/>
        <w:numPr>
          <w:ilvl w:val="2"/>
          <w:numId w:val="22"/>
        </w:numPr>
        <w:spacing w:line="360" w:lineRule="auto"/>
        <w:outlineLvl w:val="2"/>
        <w:rPr>
          <w:rFonts w:cs="ˎ̥"/>
          <w:b/>
          <w:bCs/>
          <w:color w:val="000000"/>
          <w:sz w:val="24"/>
          <w:szCs w:val="32"/>
        </w:rPr>
      </w:pPr>
      <w:bookmarkStart w:id="863" w:name="_Toc16110"/>
      <w:r>
        <w:rPr>
          <w:rFonts w:hint="eastAsia" w:cs="ˎ̥"/>
          <w:b/>
          <w:bCs/>
          <w:color w:val="000000"/>
          <w:sz w:val="24"/>
          <w:szCs w:val="32"/>
        </w:rPr>
        <w:t>类比对象选择及可行性分析</w:t>
      </w:r>
      <w:bookmarkEnd w:id="863"/>
    </w:p>
    <w:p w14:paraId="6B16E78A">
      <w:pPr>
        <w:spacing w:line="360" w:lineRule="auto"/>
        <w:ind w:firstLine="482"/>
        <w:rPr>
          <w:rFonts w:ascii="ˎ̥" w:hAnsi="ˎ̥" w:cs="ˎ̥"/>
          <w:bCs/>
          <w:sz w:val="24"/>
          <w:szCs w:val="22"/>
        </w:rPr>
      </w:pPr>
      <w:r>
        <w:rPr>
          <w:rFonts w:hint="eastAsia" w:ascii="ˎ̥" w:hAnsi="ˎ̥" w:cs="ˎ̥"/>
          <w:bCs/>
          <w:sz w:val="24"/>
          <w:szCs w:val="22"/>
        </w:rPr>
        <w:t>本工程选用</w:t>
      </w:r>
      <w:r>
        <w:rPr>
          <w:rFonts w:hint="eastAsia" w:ascii="ˎ̥" w:hAnsi="ˎ̥" w:cs="ˎ̥"/>
          <w:bCs/>
          <w:sz w:val="24"/>
          <w:szCs w:val="22"/>
          <w:lang w:eastAsia="zh-CN"/>
        </w:rPr>
        <w:t>港城110kV变电站</w:t>
      </w:r>
      <w:r>
        <w:rPr>
          <w:rFonts w:hint="eastAsia" w:ascii="ˎ̥" w:hAnsi="ˎ̥" w:cs="ˎ̥"/>
          <w:bCs/>
          <w:sz w:val="24"/>
          <w:szCs w:val="22"/>
        </w:rPr>
        <w:t>现状相似间隔作为本期间隔扩建工程的类比对象，间隔扩建工程建设前后变电站电压等级、出线方式、主要设备的布置方式均相同，变电站建设前后具有较好的可类比性。</w:t>
      </w:r>
    </w:p>
    <w:p w14:paraId="16739EDB">
      <w:pPr>
        <w:spacing w:line="360" w:lineRule="auto"/>
        <w:ind w:firstLine="480" w:firstLineChars="200"/>
        <w:rPr>
          <w:sz w:val="24"/>
          <w:szCs w:val="32"/>
        </w:rPr>
      </w:pPr>
      <w:r>
        <w:rPr>
          <w:rFonts w:hint="eastAsia" w:ascii="ˎ̥" w:hAnsi="ˎ̥" w:cs="ˎ̥"/>
          <w:bCs/>
          <w:sz w:val="24"/>
          <w:szCs w:val="22"/>
          <w:lang w:eastAsia="zh-CN"/>
        </w:rPr>
        <w:t>港城110kV变电站</w:t>
      </w:r>
      <w:r>
        <w:rPr>
          <w:rFonts w:hint="eastAsia" w:ascii="ˎ̥" w:hAnsi="ˎ̥" w:cs="ˎ̥"/>
          <w:bCs/>
          <w:sz w:val="24"/>
          <w:szCs w:val="22"/>
        </w:rPr>
        <w:t>本期</w:t>
      </w:r>
      <w:r>
        <w:rPr>
          <w:rFonts w:hint="eastAsia"/>
          <w:sz w:val="24"/>
          <w:szCs w:val="32"/>
        </w:rPr>
        <w:t>建设前后仅增加</w:t>
      </w:r>
      <w:r>
        <w:rPr>
          <w:rFonts w:hint="eastAsia"/>
          <w:sz w:val="24"/>
          <w:szCs w:val="32"/>
          <w:lang w:val="en-US" w:eastAsia="zh-CN"/>
        </w:rPr>
        <w:t>11</w:t>
      </w:r>
      <w:r>
        <w:rPr>
          <w:rFonts w:hint="eastAsia"/>
          <w:sz w:val="24"/>
          <w:szCs w:val="32"/>
        </w:rPr>
        <w:t>0kV出线间隔，对变电站厂界的影响主要位于本期拟扩建间隔位置。本期扩建间隔设备及布置与前期已建间隔类似，母线及构架高度与前期工程相同，新增间隔设备对厂界的影响与前期已建设备的影响相似，已建间隔附近的电磁环境水平能够反映本工程间隔扩建后的电磁环境水平。因此本环评选用</w:t>
      </w:r>
      <w:r>
        <w:rPr>
          <w:rFonts w:hint="eastAsia"/>
          <w:sz w:val="24"/>
          <w:szCs w:val="32"/>
          <w:lang w:eastAsia="zh-CN"/>
        </w:rPr>
        <w:t>港城110kV变电站</w:t>
      </w:r>
      <w:r>
        <w:rPr>
          <w:rFonts w:hint="eastAsia"/>
          <w:sz w:val="24"/>
          <w:szCs w:val="32"/>
        </w:rPr>
        <w:t>本身作为类比对象是可行的。</w:t>
      </w:r>
    </w:p>
    <w:p w14:paraId="34D389B1">
      <w:pPr>
        <w:keepNext/>
        <w:keepLines/>
        <w:numPr>
          <w:ilvl w:val="2"/>
          <w:numId w:val="22"/>
        </w:numPr>
        <w:spacing w:line="360" w:lineRule="auto"/>
        <w:outlineLvl w:val="2"/>
        <w:rPr>
          <w:rFonts w:cs="ˎ̥"/>
          <w:b/>
          <w:bCs/>
          <w:color w:val="000000"/>
          <w:sz w:val="24"/>
          <w:szCs w:val="32"/>
        </w:rPr>
      </w:pPr>
      <w:bookmarkStart w:id="864" w:name="_Toc21525"/>
      <w:r>
        <w:rPr>
          <w:rFonts w:hint="eastAsia" w:cs="ˎ̥"/>
          <w:b/>
          <w:bCs/>
          <w:color w:val="000000"/>
          <w:sz w:val="24"/>
          <w:szCs w:val="32"/>
        </w:rPr>
        <w:t>变电站间隔扩建工程环境影响分析</w:t>
      </w:r>
      <w:bookmarkEnd w:id="864"/>
    </w:p>
    <w:p w14:paraId="05D68B11">
      <w:pPr>
        <w:spacing w:line="360" w:lineRule="auto"/>
        <w:ind w:firstLine="482"/>
        <w:rPr>
          <w:rFonts w:hint="eastAsia"/>
          <w:color w:val="000000"/>
          <w:sz w:val="24"/>
        </w:rPr>
      </w:pPr>
      <w:r>
        <w:rPr>
          <w:rFonts w:hint="eastAsia"/>
          <w:color w:val="000000"/>
          <w:sz w:val="24"/>
        </w:rPr>
        <w:t>现状监测结果表明，</w:t>
      </w:r>
      <w:r>
        <w:rPr>
          <w:rFonts w:hint="eastAsia"/>
          <w:color w:val="000000"/>
          <w:sz w:val="24"/>
          <w:lang w:eastAsia="zh-CN"/>
        </w:rPr>
        <w:t>港城变电站</w:t>
      </w:r>
      <w:r>
        <w:rPr>
          <w:rFonts w:hint="eastAsia"/>
          <w:color w:val="000000"/>
          <w:sz w:val="24"/>
        </w:rPr>
        <w:t>已建</w:t>
      </w:r>
      <w:r>
        <w:rPr>
          <w:rFonts w:hint="eastAsia"/>
          <w:color w:val="000000"/>
          <w:sz w:val="24"/>
          <w:lang w:val="en-US" w:eastAsia="zh-CN"/>
        </w:rPr>
        <w:t>11</w:t>
      </w:r>
      <w:r>
        <w:rPr>
          <w:rFonts w:hint="eastAsia"/>
          <w:color w:val="000000"/>
          <w:sz w:val="24"/>
        </w:rPr>
        <w:t>0kV出线间隔侧（变电站南侧厂界）工频电场强度监测值范围为</w:t>
      </w:r>
      <w:r>
        <w:rPr>
          <w:rFonts w:hint="eastAsia" w:ascii="ˎ̥" w:hAnsi="ˎ̥" w:cs="ˎ̥"/>
          <w:color w:val="000000"/>
          <w:sz w:val="24"/>
          <w:szCs w:val="32"/>
          <w:lang w:val="en-US" w:eastAsia="zh-CN"/>
        </w:rPr>
        <w:t>77.98</w:t>
      </w:r>
      <w:r>
        <w:rPr>
          <w:rFonts w:ascii="ˎ̥" w:hAnsi="ˎ̥" w:cs="ˎ̥"/>
          <w:color w:val="000000"/>
          <w:sz w:val="24"/>
          <w:szCs w:val="32"/>
        </w:rPr>
        <w:t>V/m</w:t>
      </w:r>
      <w:r>
        <w:rPr>
          <w:rFonts w:hint="eastAsia" w:ascii="ˎ̥" w:hAnsi="ˎ̥" w:cs="ˎ̥"/>
          <w:color w:val="000000"/>
          <w:sz w:val="24"/>
          <w:szCs w:val="32"/>
        </w:rPr>
        <w:t>~</w:t>
      </w:r>
      <w:r>
        <w:rPr>
          <w:rFonts w:hint="eastAsia" w:ascii="ˎ̥" w:hAnsi="ˎ̥" w:cs="ˎ̥"/>
          <w:color w:val="000000"/>
          <w:sz w:val="24"/>
          <w:szCs w:val="32"/>
          <w:lang w:val="en-US" w:eastAsia="zh-CN"/>
        </w:rPr>
        <w:t>217.04</w:t>
      </w:r>
      <w:r>
        <w:rPr>
          <w:rFonts w:ascii="ˎ̥" w:hAnsi="ˎ̥" w:cs="ˎ̥"/>
          <w:color w:val="000000"/>
          <w:sz w:val="24"/>
          <w:szCs w:val="32"/>
        </w:rPr>
        <w:t>V/m</w:t>
      </w:r>
      <w:r>
        <w:rPr>
          <w:rFonts w:hint="eastAsia"/>
          <w:color w:val="000000"/>
          <w:sz w:val="24"/>
        </w:rPr>
        <w:t>，工频磁感应强度监测值范围为</w:t>
      </w:r>
      <w:r>
        <w:rPr>
          <w:rFonts w:hint="eastAsia" w:ascii="ˎ̥" w:hAnsi="ˎ̥" w:cs="ˎ̥"/>
          <w:color w:val="000000"/>
          <w:sz w:val="24"/>
          <w:szCs w:val="32"/>
        </w:rPr>
        <w:t>0.</w:t>
      </w:r>
      <w:r>
        <w:rPr>
          <w:rFonts w:hint="eastAsia" w:ascii="ˎ̥" w:hAnsi="ˎ̥" w:cs="ˎ̥"/>
          <w:color w:val="000000"/>
          <w:sz w:val="24"/>
          <w:szCs w:val="32"/>
          <w:lang w:val="en-US" w:eastAsia="zh-CN"/>
        </w:rPr>
        <w:t>272</w:t>
      </w:r>
      <w:r>
        <w:rPr>
          <w:rFonts w:ascii="ˎ̥" w:hAnsi="ˎ̥" w:cs="ˎ̥"/>
          <w:color w:val="000000"/>
          <w:sz w:val="24"/>
          <w:szCs w:val="32"/>
        </w:rPr>
        <w:t>μT</w:t>
      </w:r>
      <w:r>
        <w:rPr>
          <w:rFonts w:hint="eastAsia" w:ascii="ˎ̥" w:hAnsi="ˎ̥" w:cs="ˎ̥"/>
          <w:color w:val="000000"/>
          <w:sz w:val="24"/>
          <w:szCs w:val="32"/>
        </w:rPr>
        <w:t>~0.</w:t>
      </w:r>
      <w:r>
        <w:rPr>
          <w:rFonts w:hint="eastAsia" w:ascii="ˎ̥" w:hAnsi="ˎ̥" w:cs="ˎ̥"/>
          <w:color w:val="000000"/>
          <w:sz w:val="24"/>
          <w:szCs w:val="32"/>
          <w:lang w:val="en-US" w:eastAsia="zh-CN"/>
        </w:rPr>
        <w:t>316</w:t>
      </w:r>
      <w:r>
        <w:rPr>
          <w:rFonts w:ascii="ˎ̥" w:hAnsi="ˎ̥" w:cs="ˎ̥"/>
          <w:color w:val="000000"/>
          <w:sz w:val="24"/>
          <w:szCs w:val="32"/>
        </w:rPr>
        <w:t>μT</w:t>
      </w:r>
      <w:r>
        <w:rPr>
          <w:rFonts w:hint="eastAsia"/>
          <w:color w:val="000000"/>
          <w:sz w:val="24"/>
        </w:rPr>
        <w:t>，分别满足《电磁环境控制限值》（GB 8702-2014）中4000V/m、100µT的控制限值要求。</w:t>
      </w:r>
    </w:p>
    <w:p w14:paraId="5E5B59E4">
      <w:pPr>
        <w:spacing w:line="360" w:lineRule="auto"/>
        <w:ind w:firstLine="482"/>
        <w:rPr>
          <w:color w:val="000000"/>
          <w:sz w:val="24"/>
        </w:rPr>
      </w:pPr>
      <w:r>
        <w:rPr>
          <w:rFonts w:hint="eastAsia"/>
          <w:color w:val="000000"/>
          <w:sz w:val="24"/>
          <w:lang w:eastAsia="zh-CN"/>
        </w:rPr>
        <w:t>港城110kV变电站</w:t>
      </w:r>
      <w:r>
        <w:rPr>
          <w:rFonts w:hint="eastAsia"/>
          <w:color w:val="000000"/>
          <w:sz w:val="24"/>
          <w:lang w:val="en-US" w:eastAsia="zh-CN"/>
        </w:rPr>
        <w:t>评价范围内有1处电磁环境敏感目标，其</w:t>
      </w:r>
      <w:r>
        <w:rPr>
          <w:rFonts w:hint="eastAsia"/>
          <w:color w:val="000000"/>
          <w:sz w:val="24"/>
        </w:rPr>
        <w:t>工频电场强度监测值为</w:t>
      </w:r>
      <w:r>
        <w:rPr>
          <w:rFonts w:hint="eastAsia" w:ascii="ˎ̥" w:hAnsi="ˎ̥" w:cs="ˎ̥"/>
          <w:color w:val="000000"/>
          <w:sz w:val="24"/>
          <w:szCs w:val="32"/>
          <w:highlight w:val="none"/>
          <w:lang w:val="en-US" w:eastAsia="zh-CN"/>
        </w:rPr>
        <w:t>11.87</w:t>
      </w:r>
      <w:r>
        <w:rPr>
          <w:rFonts w:ascii="ˎ̥" w:hAnsi="ˎ̥" w:cs="ˎ̥"/>
          <w:color w:val="000000"/>
          <w:sz w:val="24"/>
          <w:szCs w:val="32"/>
          <w:highlight w:val="none"/>
        </w:rPr>
        <w:t>V/m</w:t>
      </w:r>
      <w:r>
        <w:rPr>
          <w:rFonts w:hint="eastAsia"/>
          <w:color w:val="000000"/>
          <w:sz w:val="24"/>
          <w:highlight w:val="none"/>
        </w:rPr>
        <w:t>，工频磁感应强度监测值为</w:t>
      </w:r>
      <w:r>
        <w:rPr>
          <w:rFonts w:hint="eastAsia" w:ascii="ˎ̥" w:hAnsi="ˎ̥" w:cs="ˎ̥"/>
          <w:color w:val="000000"/>
          <w:sz w:val="24"/>
          <w:szCs w:val="32"/>
          <w:highlight w:val="none"/>
          <w:lang w:val="en-US" w:eastAsia="zh-CN"/>
        </w:rPr>
        <w:t>0.035</w:t>
      </w:r>
      <w:r>
        <w:rPr>
          <w:rFonts w:ascii="ˎ̥" w:hAnsi="ˎ̥" w:cs="ˎ̥"/>
          <w:color w:val="000000"/>
          <w:sz w:val="24"/>
          <w:szCs w:val="32"/>
          <w:highlight w:val="none"/>
        </w:rPr>
        <w:t>μT</w:t>
      </w:r>
      <w:r>
        <w:rPr>
          <w:rFonts w:hint="eastAsia"/>
          <w:color w:val="000000"/>
          <w:sz w:val="24"/>
          <w:highlight w:val="none"/>
        </w:rPr>
        <w:t>，分别满</w:t>
      </w:r>
      <w:r>
        <w:rPr>
          <w:rFonts w:hint="eastAsia"/>
          <w:color w:val="000000"/>
          <w:sz w:val="24"/>
        </w:rPr>
        <w:t>足《电磁环境控制限值》（GB 8702-2014）中4000V/m、100µT的控制限值要求。</w:t>
      </w:r>
    </w:p>
    <w:p w14:paraId="199D0E8E">
      <w:pPr>
        <w:spacing w:line="360" w:lineRule="auto"/>
        <w:ind w:firstLine="480" w:firstLineChars="200"/>
        <w:rPr>
          <w:color w:val="000000"/>
          <w:sz w:val="24"/>
        </w:rPr>
      </w:pPr>
      <w:r>
        <w:rPr>
          <w:rFonts w:hint="eastAsia"/>
          <w:color w:val="000000"/>
          <w:sz w:val="24"/>
        </w:rPr>
        <w:t>可以预测，本期间隔扩建工程投产后，</w:t>
      </w:r>
      <w:r>
        <w:rPr>
          <w:rFonts w:hint="eastAsia"/>
          <w:color w:val="000000"/>
          <w:sz w:val="24"/>
          <w:lang w:eastAsia="zh-CN"/>
        </w:rPr>
        <w:t>港城110kV变电站</w:t>
      </w:r>
      <w:r>
        <w:rPr>
          <w:rFonts w:hint="eastAsia"/>
          <w:color w:val="000000"/>
          <w:sz w:val="24"/>
        </w:rPr>
        <w:t>间隔扩建侧厂界（南侧厂界）</w:t>
      </w:r>
      <w:r>
        <w:rPr>
          <w:rFonts w:hint="eastAsia"/>
          <w:color w:val="000000"/>
          <w:sz w:val="24"/>
          <w:lang w:val="en-US" w:eastAsia="zh-CN"/>
        </w:rPr>
        <w:t>及环境敏感目标处</w:t>
      </w:r>
      <w:r>
        <w:rPr>
          <w:rFonts w:hint="eastAsia"/>
          <w:color w:val="000000"/>
          <w:sz w:val="24"/>
        </w:rPr>
        <w:t>的电磁环境影响将基本保持在前期工程水平，依然能满足《电磁环境控制限值》（GB8702-2014）中4000V/m、100µT的限值要求。</w:t>
      </w:r>
    </w:p>
    <w:bookmarkEnd w:id="859"/>
    <w:p w14:paraId="2E6818C5">
      <w:pPr>
        <w:keepNext/>
        <w:keepLines/>
        <w:numPr>
          <w:ilvl w:val="1"/>
          <w:numId w:val="22"/>
        </w:numPr>
        <w:adjustRightInd w:val="0"/>
        <w:spacing w:line="360" w:lineRule="auto"/>
        <w:outlineLvl w:val="1"/>
        <w:rPr>
          <w:b/>
          <w:bCs/>
          <w:color w:val="000000"/>
          <w:sz w:val="28"/>
          <w:szCs w:val="32"/>
        </w:rPr>
      </w:pPr>
      <w:bookmarkStart w:id="865" w:name="_Toc383540737"/>
      <w:bookmarkStart w:id="866" w:name="_Toc24647696"/>
      <w:bookmarkStart w:id="867" w:name="_Toc429663111"/>
      <w:bookmarkStart w:id="868" w:name="_Toc18585"/>
      <w:r>
        <w:rPr>
          <w:rFonts w:hint="eastAsia"/>
          <w:b/>
          <w:bCs/>
          <w:color w:val="000000"/>
          <w:sz w:val="28"/>
          <w:szCs w:val="32"/>
          <w:lang w:eastAsia="zh-CN"/>
        </w:rPr>
        <w:t>港城~新阳110千伏线路工程</w:t>
      </w:r>
      <w:r>
        <w:rPr>
          <w:rFonts w:hint="eastAsia"/>
          <w:b/>
          <w:bCs/>
          <w:color w:val="000000"/>
          <w:sz w:val="28"/>
          <w:szCs w:val="32"/>
        </w:rPr>
        <w:t>电磁环境影响</w:t>
      </w:r>
      <w:bookmarkEnd w:id="865"/>
      <w:bookmarkEnd w:id="866"/>
      <w:bookmarkEnd w:id="867"/>
      <w:r>
        <w:rPr>
          <w:rFonts w:hint="eastAsia"/>
          <w:b/>
          <w:bCs/>
          <w:color w:val="000000"/>
          <w:sz w:val="28"/>
          <w:szCs w:val="32"/>
        </w:rPr>
        <w:t>预测与评价</w:t>
      </w:r>
      <w:bookmarkEnd w:id="868"/>
    </w:p>
    <w:p w14:paraId="11E6EEC4">
      <w:pPr>
        <w:keepNext/>
        <w:keepLines/>
        <w:numPr>
          <w:ilvl w:val="2"/>
          <w:numId w:val="22"/>
        </w:numPr>
        <w:spacing w:line="360" w:lineRule="auto"/>
        <w:outlineLvl w:val="2"/>
        <w:rPr>
          <w:rFonts w:cs="ˎ̥"/>
          <w:b/>
          <w:bCs/>
          <w:color w:val="000000"/>
          <w:sz w:val="24"/>
          <w:szCs w:val="32"/>
        </w:rPr>
      </w:pPr>
      <w:bookmarkStart w:id="869" w:name="_Toc6039"/>
      <w:bookmarkStart w:id="870" w:name="_Toc24647697"/>
      <w:bookmarkStart w:id="871" w:name="_Toc68794565"/>
      <w:bookmarkStart w:id="872" w:name="_Toc383540738"/>
      <w:r>
        <w:rPr>
          <w:rFonts w:hint="eastAsia" w:cs="ˎ̥"/>
          <w:b/>
          <w:bCs/>
          <w:color w:val="000000"/>
          <w:sz w:val="24"/>
          <w:szCs w:val="32"/>
        </w:rPr>
        <w:t>评价方法</w:t>
      </w:r>
      <w:bookmarkEnd w:id="869"/>
    </w:p>
    <w:p w14:paraId="4DA479FE">
      <w:pPr>
        <w:spacing w:line="360" w:lineRule="auto"/>
        <w:ind w:firstLine="482"/>
        <w:rPr>
          <w:color w:val="000000"/>
          <w:sz w:val="24"/>
          <w:szCs w:val="22"/>
        </w:rPr>
      </w:pPr>
      <w:r>
        <w:rPr>
          <w:rFonts w:hint="eastAsia"/>
          <w:color w:val="000000"/>
          <w:sz w:val="24"/>
          <w:szCs w:val="22"/>
        </w:rPr>
        <w:t>本工程新建架空线路电磁环境影响采用模式预测的方法来分析与评价工程投运后产生的电磁环境影响。</w:t>
      </w:r>
    </w:p>
    <w:bookmarkEnd w:id="870"/>
    <w:bookmarkEnd w:id="871"/>
    <w:p w14:paraId="457DA86B">
      <w:pPr>
        <w:keepNext/>
        <w:keepLines/>
        <w:numPr>
          <w:ilvl w:val="2"/>
          <w:numId w:val="22"/>
        </w:numPr>
        <w:spacing w:line="360" w:lineRule="auto"/>
        <w:outlineLvl w:val="2"/>
        <w:rPr>
          <w:rFonts w:cs="ˎ̥"/>
          <w:b/>
          <w:bCs/>
          <w:color w:val="000000"/>
          <w:sz w:val="24"/>
          <w:szCs w:val="32"/>
        </w:rPr>
      </w:pPr>
      <w:bookmarkStart w:id="873" w:name="_Toc2990"/>
      <w:r>
        <w:rPr>
          <w:rFonts w:hint="eastAsia" w:cs="ˎ̥"/>
          <w:b/>
          <w:bCs/>
          <w:color w:val="000000"/>
          <w:sz w:val="24"/>
          <w:szCs w:val="32"/>
        </w:rPr>
        <w:t>预测模式</w:t>
      </w:r>
      <w:bookmarkEnd w:id="873"/>
    </w:p>
    <w:bookmarkEnd w:id="872"/>
    <w:p w14:paraId="2B7E53E4">
      <w:pPr>
        <w:spacing w:line="360" w:lineRule="auto"/>
        <w:ind w:firstLine="480" w:firstLineChars="200"/>
        <w:jc w:val="left"/>
        <w:rPr>
          <w:color w:val="000000"/>
          <w:sz w:val="24"/>
          <w:szCs w:val="20"/>
        </w:rPr>
      </w:pPr>
      <w:r>
        <w:rPr>
          <w:rFonts w:hint="eastAsia"/>
          <w:color w:val="000000"/>
          <w:sz w:val="24"/>
          <w:szCs w:val="20"/>
        </w:rPr>
        <w:t>本工程输电线路的工频电场强度和工频磁感应强度影响预测根据《环境影响评价技术导则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）附录</w:t>
      </w:r>
      <w:r>
        <w:rPr>
          <w:color w:val="000000"/>
          <w:sz w:val="24"/>
          <w:szCs w:val="20"/>
        </w:rPr>
        <w:t>C</w:t>
      </w:r>
      <w:r>
        <w:rPr>
          <w:rFonts w:hint="eastAsia"/>
          <w:color w:val="000000"/>
          <w:sz w:val="24"/>
          <w:szCs w:val="20"/>
        </w:rPr>
        <w:t>、</w:t>
      </w:r>
      <w:r>
        <w:rPr>
          <w:color w:val="000000"/>
          <w:sz w:val="24"/>
          <w:szCs w:val="20"/>
        </w:rPr>
        <w:t>D</w:t>
      </w:r>
      <w:r>
        <w:rPr>
          <w:rFonts w:hint="eastAsia"/>
          <w:color w:val="000000"/>
          <w:sz w:val="24"/>
          <w:szCs w:val="20"/>
        </w:rPr>
        <w:t>推荐的计算模式进行。</w:t>
      </w:r>
    </w:p>
    <w:p w14:paraId="4E4838FE">
      <w:pPr>
        <w:keepNext/>
        <w:keepLines/>
        <w:numPr>
          <w:ilvl w:val="2"/>
          <w:numId w:val="22"/>
        </w:numPr>
        <w:spacing w:line="360" w:lineRule="auto"/>
        <w:outlineLvl w:val="2"/>
        <w:rPr>
          <w:rFonts w:cs="ˎ̥"/>
          <w:b/>
          <w:bCs/>
          <w:color w:val="000000"/>
          <w:sz w:val="24"/>
          <w:szCs w:val="32"/>
        </w:rPr>
      </w:pPr>
      <w:bookmarkStart w:id="874" w:name="_Toc6178"/>
      <w:r>
        <w:rPr>
          <w:rFonts w:hint="eastAsia" w:cs="ˎ̥"/>
          <w:b/>
          <w:bCs/>
          <w:color w:val="000000"/>
          <w:sz w:val="24"/>
          <w:szCs w:val="32"/>
        </w:rPr>
        <w:t>预测内容及参数选取</w:t>
      </w:r>
      <w:bookmarkEnd w:id="874"/>
    </w:p>
    <w:p w14:paraId="47FED506">
      <w:pPr>
        <w:spacing w:line="360" w:lineRule="auto"/>
        <w:ind w:firstLine="480" w:firstLineChars="200"/>
        <w:rPr>
          <w:color w:val="000000"/>
          <w:sz w:val="24"/>
          <w:szCs w:val="20"/>
        </w:rPr>
      </w:pPr>
      <w:bookmarkStart w:id="875" w:name="_Ref132618000"/>
      <w:r>
        <w:rPr>
          <w:rFonts w:hint="eastAsia"/>
          <w:color w:val="000000"/>
          <w:sz w:val="24"/>
          <w:szCs w:val="20"/>
        </w:rPr>
        <w:t>（</w:t>
      </w:r>
      <w:r>
        <w:rPr>
          <w:color w:val="000000"/>
          <w:sz w:val="24"/>
          <w:szCs w:val="20"/>
        </w:rPr>
        <w:t>1</w:t>
      </w:r>
      <w:r>
        <w:rPr>
          <w:rFonts w:hint="eastAsia"/>
          <w:color w:val="000000"/>
          <w:sz w:val="24"/>
          <w:szCs w:val="20"/>
        </w:rPr>
        <w:t>）预测内容</w:t>
      </w:r>
    </w:p>
    <w:p w14:paraId="316537DF">
      <w:pPr>
        <w:spacing w:line="360" w:lineRule="auto"/>
        <w:ind w:firstLine="482"/>
        <w:rPr>
          <w:rFonts w:ascii="ˎ̥" w:hAnsi="ˎ̥" w:cs="ˎ̥"/>
          <w:color w:val="000000"/>
          <w:sz w:val="24"/>
          <w:szCs w:val="22"/>
        </w:rPr>
      </w:pPr>
      <w:r>
        <w:rPr>
          <w:rFonts w:hint="eastAsia" w:ascii="ˎ̥" w:hAnsi="ˎ̥" w:cs="ˎ̥"/>
          <w:color w:val="000000"/>
          <w:sz w:val="24"/>
          <w:szCs w:val="22"/>
        </w:rPr>
        <w:t>预测</w:t>
      </w:r>
      <w:r>
        <w:rPr>
          <w:rFonts w:hint="eastAsia" w:ascii="ˎ̥" w:hAnsi="ˎ̥" w:cs="ˎ̥"/>
          <w:color w:val="000000"/>
          <w:sz w:val="24"/>
          <w:szCs w:val="22"/>
          <w:lang w:val="en-US" w:eastAsia="zh-CN"/>
        </w:rPr>
        <w:t>11</w:t>
      </w:r>
      <w:r>
        <w:rPr>
          <w:rFonts w:hint="eastAsia" w:ascii="ˎ̥" w:hAnsi="ˎ̥" w:cs="ˎ̥"/>
          <w:color w:val="000000"/>
          <w:sz w:val="24"/>
          <w:szCs w:val="22"/>
        </w:rPr>
        <w:t>0kV</w:t>
      </w:r>
      <w:r>
        <w:rPr>
          <w:rFonts w:hint="eastAsia" w:ascii="ˎ̥" w:hAnsi="ˎ̥" w:cs="ˎ̥"/>
          <w:color w:val="000000"/>
          <w:sz w:val="24"/>
          <w:szCs w:val="22"/>
          <w:lang w:val="en-US" w:eastAsia="zh-CN"/>
        </w:rPr>
        <w:t>单回及同塔</w:t>
      </w:r>
      <w:r>
        <w:rPr>
          <w:rFonts w:hint="eastAsia" w:ascii="ˎ̥" w:hAnsi="ˎ̥" w:cs="ˎ̥"/>
          <w:color w:val="000000"/>
          <w:sz w:val="24"/>
          <w:szCs w:val="22"/>
        </w:rPr>
        <w:t>双回线路工频电场强度、工频磁感应强度影响程度及范围。</w:t>
      </w:r>
    </w:p>
    <w:p w14:paraId="73F9F48E">
      <w:pPr>
        <w:spacing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）预测方案</w:t>
      </w:r>
    </w:p>
    <w:p w14:paraId="2181BD35">
      <w:pPr>
        <w:spacing w:line="360" w:lineRule="auto"/>
        <w:ind w:firstLine="480" w:firstLineChars="200"/>
        <w:rPr>
          <w:color w:val="000000"/>
          <w:sz w:val="24"/>
          <w:szCs w:val="20"/>
        </w:rPr>
      </w:pPr>
      <w:r>
        <w:rPr>
          <w:rFonts w:hint="eastAsia"/>
          <w:color w:val="000000"/>
          <w:sz w:val="24"/>
          <w:szCs w:val="20"/>
        </w:rPr>
        <w:t>线路通过非居民区，导线最小对地高度</w:t>
      </w:r>
      <w:r>
        <w:rPr>
          <w:color w:val="000000"/>
          <w:sz w:val="24"/>
          <w:szCs w:val="20"/>
        </w:rPr>
        <w:t>6</w:t>
      </w:r>
      <w:r>
        <w:rPr>
          <w:rFonts w:hint="eastAsia"/>
          <w:color w:val="000000"/>
          <w:sz w:val="24"/>
          <w:szCs w:val="20"/>
        </w:rPr>
        <w:t>.</w:t>
      </w:r>
      <w:r>
        <w:rPr>
          <w:rFonts w:hint="eastAsia"/>
          <w:color w:val="000000"/>
          <w:sz w:val="24"/>
          <w:szCs w:val="20"/>
          <w:lang w:val="en-US" w:eastAsia="zh-CN"/>
        </w:rPr>
        <w:t>0</w:t>
      </w:r>
      <w:r>
        <w:rPr>
          <w:color w:val="000000"/>
          <w:sz w:val="24"/>
          <w:szCs w:val="20"/>
        </w:rPr>
        <w:t>m</w:t>
      </w:r>
      <w:r>
        <w:rPr>
          <w:rFonts w:hint="eastAsia"/>
          <w:color w:val="000000"/>
          <w:sz w:val="24"/>
          <w:szCs w:val="20"/>
        </w:rPr>
        <w:t>、距离地面</w:t>
      </w:r>
      <w:r>
        <w:rPr>
          <w:color w:val="000000"/>
          <w:sz w:val="24"/>
          <w:szCs w:val="20"/>
        </w:rPr>
        <w:t>1.5m</w:t>
      </w:r>
      <w:r>
        <w:rPr>
          <w:rFonts w:hint="eastAsia"/>
          <w:color w:val="000000"/>
          <w:sz w:val="24"/>
          <w:szCs w:val="20"/>
        </w:rPr>
        <w:t>高度的电磁环境。</w:t>
      </w:r>
    </w:p>
    <w:p w14:paraId="5AC58A2E">
      <w:pPr>
        <w:spacing w:line="360" w:lineRule="auto"/>
        <w:ind w:firstLine="480" w:firstLineChars="200"/>
        <w:rPr>
          <w:color w:val="000000"/>
          <w:sz w:val="24"/>
          <w:szCs w:val="20"/>
        </w:rPr>
      </w:pPr>
      <w:r>
        <w:rPr>
          <w:rFonts w:hint="eastAsia"/>
          <w:color w:val="000000"/>
          <w:sz w:val="24"/>
          <w:szCs w:val="20"/>
        </w:rPr>
        <w:t>线路通过居民区，导线最小对地高度7.</w:t>
      </w:r>
      <w:r>
        <w:rPr>
          <w:rFonts w:hint="eastAsia"/>
          <w:color w:val="000000"/>
          <w:sz w:val="24"/>
          <w:szCs w:val="20"/>
          <w:lang w:val="en-US" w:eastAsia="zh-CN"/>
        </w:rPr>
        <w:t>0</w:t>
      </w:r>
      <w:r>
        <w:rPr>
          <w:color w:val="000000"/>
          <w:sz w:val="24"/>
          <w:szCs w:val="20"/>
        </w:rPr>
        <w:t>m</w:t>
      </w:r>
      <w:r>
        <w:rPr>
          <w:rFonts w:hint="eastAsia"/>
          <w:color w:val="000000"/>
          <w:sz w:val="24"/>
          <w:szCs w:val="20"/>
        </w:rPr>
        <w:t>、距离地面</w:t>
      </w:r>
      <w:r>
        <w:rPr>
          <w:color w:val="000000"/>
          <w:sz w:val="24"/>
          <w:szCs w:val="20"/>
        </w:rPr>
        <w:t>1.5m</w:t>
      </w:r>
      <w:r>
        <w:rPr>
          <w:rFonts w:hint="eastAsia"/>
          <w:color w:val="000000"/>
          <w:sz w:val="24"/>
          <w:szCs w:val="20"/>
        </w:rPr>
        <w:t>高度的电磁环境。</w:t>
      </w:r>
    </w:p>
    <w:p w14:paraId="65BCDD07">
      <w:pPr>
        <w:spacing w:line="360" w:lineRule="auto"/>
        <w:ind w:firstLine="480" w:firstLineChars="200"/>
        <w:rPr>
          <w:color w:val="000000"/>
          <w:sz w:val="24"/>
          <w:szCs w:val="20"/>
        </w:rPr>
      </w:pPr>
      <w:r>
        <w:rPr>
          <w:rFonts w:hint="eastAsia"/>
          <w:color w:val="000000"/>
          <w:sz w:val="24"/>
          <w:szCs w:val="20"/>
        </w:rPr>
        <w:t>（</w:t>
      </w:r>
      <w:r>
        <w:rPr>
          <w:color w:val="000000"/>
          <w:sz w:val="24"/>
          <w:szCs w:val="20"/>
        </w:rPr>
        <w:t>3</w:t>
      </w:r>
      <w:r>
        <w:rPr>
          <w:rFonts w:hint="eastAsia"/>
          <w:color w:val="000000"/>
          <w:sz w:val="24"/>
          <w:szCs w:val="20"/>
        </w:rPr>
        <w:t>）预测参数</w:t>
      </w:r>
    </w:p>
    <w:p w14:paraId="4C2E21A7">
      <w:pPr>
        <w:spacing w:line="360" w:lineRule="auto"/>
        <w:ind w:firstLine="482"/>
        <w:rPr>
          <w:rFonts w:ascii="ˎ̥" w:hAnsi="ˎ̥" w:cs="ˎ̥"/>
          <w:color w:val="000000"/>
          <w:sz w:val="24"/>
          <w:szCs w:val="22"/>
        </w:rPr>
      </w:pPr>
      <w:r>
        <w:rPr>
          <w:rFonts w:hint="eastAsia" w:ascii="ˎ̥" w:hAnsi="ˎ̥" w:cs="ˎ̥"/>
          <w:color w:val="000000"/>
          <w:sz w:val="24"/>
          <w:szCs w:val="22"/>
          <w:u w:val="none"/>
        </w:rPr>
        <w:t>根据设计资料，</w:t>
      </w:r>
      <w:r>
        <w:rPr>
          <w:rFonts w:hint="eastAsia" w:ascii="ˎ̥" w:hAnsi="ˎ̥" w:cs="ˎ̥"/>
          <w:color w:val="000000"/>
          <w:sz w:val="24"/>
          <w:szCs w:val="22"/>
          <w:u w:val="none"/>
          <w:lang w:val="en-US" w:eastAsia="zh-CN"/>
        </w:rPr>
        <w:t>11</w:t>
      </w:r>
      <w:r>
        <w:rPr>
          <w:rFonts w:hint="eastAsia" w:ascii="ˎ̥" w:hAnsi="ˎ̥" w:cs="ˎ̥"/>
          <w:color w:val="000000"/>
          <w:sz w:val="24"/>
          <w:szCs w:val="22"/>
          <w:u w:val="none"/>
        </w:rPr>
        <w:t>0kV线路工程采用的导线型号为JL3/G1A-240/30型钢芯高导电率铝绞线。</w:t>
      </w:r>
      <w:r>
        <w:rPr>
          <w:rFonts w:hint="eastAsia" w:ascii="ˎ̥" w:hAnsi="ˎ̥" w:cs="ˎ̥"/>
          <w:color w:val="000000"/>
          <w:sz w:val="24"/>
          <w:szCs w:val="22"/>
        </w:rPr>
        <w:t>根据设计资料，本工程</w:t>
      </w:r>
      <w:r>
        <w:rPr>
          <w:rFonts w:hint="eastAsia" w:ascii="ˎ̥" w:hAnsi="ˎ̥" w:cs="ˎ̥"/>
          <w:color w:val="000000"/>
          <w:kern w:val="0"/>
          <w:sz w:val="24"/>
          <w:szCs w:val="22"/>
        </w:rPr>
        <w:t>选用</w:t>
      </w:r>
      <w:r>
        <w:rPr>
          <w:rFonts w:hint="eastAsia"/>
          <w:color w:val="000000"/>
          <w:sz w:val="24"/>
        </w:rPr>
        <w:t>选用</w:t>
      </w:r>
      <w:r>
        <w:rPr>
          <w:rFonts w:hint="eastAsia"/>
          <w:color w:val="000000"/>
          <w:sz w:val="24"/>
          <w:lang w:val="en-US" w:eastAsia="zh-CN"/>
        </w:rPr>
        <w:t>自行</w:t>
      </w:r>
      <w:r>
        <w:rPr>
          <w:rFonts w:hint="eastAsia"/>
          <w:color w:val="000000"/>
          <w:sz w:val="24"/>
        </w:rPr>
        <w:t>设计</w:t>
      </w:r>
      <w:r>
        <w:rPr>
          <w:rFonts w:hint="eastAsia"/>
          <w:color w:val="000000"/>
          <w:sz w:val="24"/>
          <w:lang w:val="en-US" w:eastAsia="zh-CN"/>
        </w:rPr>
        <w:t>的110</w:t>
      </w:r>
      <w:r>
        <w:rPr>
          <w:rFonts w:hint="eastAsia"/>
          <w:color w:val="000000"/>
          <w:sz w:val="24"/>
        </w:rPr>
        <w:t>-</w:t>
      </w:r>
      <w:r>
        <w:rPr>
          <w:rFonts w:hint="eastAsia"/>
          <w:color w:val="000000"/>
          <w:sz w:val="24"/>
          <w:lang w:val="en-US" w:eastAsia="zh-CN"/>
        </w:rPr>
        <w:t>XY</w:t>
      </w:r>
      <w:r>
        <w:rPr>
          <w:rFonts w:hint="eastAsia"/>
          <w:color w:val="000000"/>
          <w:sz w:val="24"/>
        </w:rPr>
        <w:t>模块</w:t>
      </w:r>
      <w:r>
        <w:rPr>
          <w:rFonts w:hint="eastAsia"/>
          <w:color w:val="000000"/>
          <w:sz w:val="24"/>
          <w:lang w:val="en-US" w:eastAsia="zh-CN"/>
        </w:rPr>
        <w:t>铁塔，</w:t>
      </w:r>
      <w:r>
        <w:rPr>
          <w:rFonts w:hint="eastAsia" w:ascii="ˎ̥" w:hAnsi="ˎ̥" w:cs="ˎ̥"/>
          <w:color w:val="000000"/>
          <w:sz w:val="24"/>
          <w:szCs w:val="22"/>
        </w:rPr>
        <w:t>本环评按保守原则选用电磁环境影响较大的塔型为代表的进行预测：</w:t>
      </w:r>
      <w:r>
        <w:rPr>
          <w:rFonts w:hint="eastAsia" w:ascii="ˎ̥" w:hAnsi="ˎ̥" w:cs="ˎ̥"/>
          <w:color w:val="000000"/>
          <w:sz w:val="24"/>
          <w:szCs w:val="22"/>
          <w:lang w:val="en-US" w:eastAsia="zh-CN"/>
        </w:rPr>
        <w:t>单回路选用110-XY-ZB1型塔进行预测</w:t>
      </w:r>
      <w:r>
        <w:rPr>
          <w:rFonts w:hint="eastAsia" w:ascii="ˎ̥" w:hAnsi="ˎ̥" w:cs="ˎ̥"/>
          <w:color w:val="000000"/>
          <w:sz w:val="24"/>
          <w:szCs w:val="22"/>
          <w:lang w:eastAsia="zh-CN"/>
        </w:rPr>
        <w:t>；</w:t>
      </w:r>
      <w:r>
        <w:rPr>
          <w:rFonts w:hint="eastAsia" w:ascii="ˎ̥" w:hAnsi="ˎ̥" w:cs="ˎ̥"/>
          <w:color w:val="000000"/>
          <w:sz w:val="24"/>
          <w:szCs w:val="22"/>
          <w:lang w:val="en-US" w:eastAsia="zh-CN"/>
        </w:rPr>
        <w:t>同塔双回路</w:t>
      </w:r>
      <w:r>
        <w:rPr>
          <w:rFonts w:hint="eastAsia" w:ascii="ˎ̥" w:hAnsi="ˎ̥" w:cs="ˎ̥"/>
          <w:color w:val="000000"/>
          <w:sz w:val="24"/>
          <w:szCs w:val="22"/>
        </w:rPr>
        <w:t>选用</w:t>
      </w:r>
      <w:r>
        <w:rPr>
          <w:rFonts w:hint="eastAsia" w:ascii="ˎ̥" w:hAnsi="ˎ̥" w:cs="ˎ̥"/>
          <w:color w:val="000000"/>
          <w:kern w:val="0"/>
          <w:sz w:val="24"/>
          <w:szCs w:val="22"/>
          <w:lang w:val="en-US" w:eastAsia="zh-CN"/>
        </w:rPr>
        <w:t>110</w:t>
      </w:r>
      <w:r>
        <w:rPr>
          <w:rFonts w:hint="eastAsia" w:ascii="ˎ̥" w:hAnsi="ˎ̥" w:cs="ˎ̥"/>
          <w:color w:val="000000"/>
          <w:kern w:val="0"/>
          <w:sz w:val="24"/>
          <w:szCs w:val="22"/>
        </w:rPr>
        <w:t>-</w:t>
      </w:r>
      <w:r>
        <w:rPr>
          <w:rFonts w:hint="eastAsia" w:ascii="ˎ̥" w:hAnsi="ˎ̥" w:cs="ˎ̥"/>
          <w:color w:val="000000"/>
          <w:kern w:val="0"/>
          <w:sz w:val="24"/>
          <w:szCs w:val="22"/>
          <w:lang w:val="en-US" w:eastAsia="zh-CN"/>
        </w:rPr>
        <w:t>XY</w:t>
      </w:r>
      <w:r>
        <w:rPr>
          <w:rFonts w:hint="eastAsia" w:ascii="ˎ̥" w:hAnsi="ˎ̥" w:cs="ˎ̥"/>
          <w:color w:val="000000"/>
          <w:kern w:val="0"/>
          <w:sz w:val="24"/>
          <w:szCs w:val="22"/>
        </w:rPr>
        <w:t>-</w:t>
      </w:r>
      <w:r>
        <w:rPr>
          <w:rFonts w:hint="eastAsia" w:ascii="ˎ̥" w:hAnsi="ˎ̥" w:cs="ˎ̥"/>
          <w:color w:val="000000"/>
          <w:kern w:val="0"/>
          <w:sz w:val="24"/>
          <w:szCs w:val="22"/>
          <w:lang w:val="en-US" w:eastAsia="zh-CN"/>
        </w:rPr>
        <w:t>SDJ型塔</w:t>
      </w:r>
      <w:r>
        <w:rPr>
          <w:rFonts w:hint="eastAsia" w:ascii="ˎ̥" w:hAnsi="ˎ̥" w:cs="ˎ̥"/>
          <w:color w:val="000000"/>
          <w:kern w:val="0"/>
          <w:sz w:val="24"/>
          <w:szCs w:val="22"/>
        </w:rPr>
        <w:t>进行预测。</w:t>
      </w:r>
    </w:p>
    <w:p w14:paraId="0B34ACC6">
      <w:pPr>
        <w:spacing w:line="360" w:lineRule="auto"/>
        <w:ind w:firstLine="480" w:firstLineChars="200"/>
        <w:rPr>
          <w:color w:val="000000"/>
          <w:sz w:val="24"/>
          <w:szCs w:val="20"/>
        </w:rPr>
      </w:pPr>
      <w:r>
        <w:rPr>
          <w:color w:val="000000"/>
          <w:sz w:val="24"/>
          <w:szCs w:val="20"/>
        </w:rPr>
        <w:t>相关预测参数及预测计算方案详见</w:t>
      </w:r>
      <w:r>
        <w:rPr>
          <w:rFonts w:hint="default"/>
          <w:b w:val="0"/>
          <w:bCs w:val="0"/>
          <w:color w:val="000000"/>
          <w:sz w:val="24"/>
          <w:szCs w:val="24"/>
          <w:lang w:val="en-US"/>
        </w:rPr>
        <w:fldChar w:fldCharType="begin"/>
      </w:r>
      <w:r>
        <w:rPr>
          <w:rFonts w:hint="default"/>
          <w:b w:val="0"/>
          <w:bCs w:val="0"/>
          <w:color w:val="000000"/>
          <w:sz w:val="24"/>
          <w:szCs w:val="24"/>
          <w:lang w:val="en-US"/>
        </w:rPr>
        <w:instrText xml:space="preserve"> REF _Ref11861 \h </w:instrText>
      </w:r>
      <w:r>
        <w:rPr>
          <w:rFonts w:hint="default"/>
          <w:b w:val="0"/>
          <w:bCs w:val="0"/>
          <w:color w:val="000000"/>
          <w:sz w:val="24"/>
          <w:szCs w:val="24"/>
          <w:lang w:val="en-US"/>
        </w:rPr>
        <w:fldChar w:fldCharType="separate"/>
      </w:r>
      <w:r>
        <w:rPr>
          <w:rFonts w:ascii="Times New Roman" w:hAnsi="Times New Roman"/>
          <w:b w:val="0"/>
          <w:bCs w:val="0"/>
          <w:sz w:val="24"/>
          <w:szCs w:val="24"/>
        </w:rPr>
        <w:t>表 35</w:t>
      </w:r>
      <w:r>
        <w:rPr>
          <w:rFonts w:hint="default"/>
          <w:b w:val="0"/>
          <w:bCs w:val="0"/>
          <w:color w:val="000000"/>
          <w:sz w:val="24"/>
          <w:szCs w:val="24"/>
          <w:lang w:val="en-US"/>
        </w:rPr>
        <w:fldChar w:fldCharType="end"/>
      </w:r>
      <w:r>
        <w:rPr>
          <w:rFonts w:hint="eastAsia"/>
          <w:color w:val="000000"/>
          <w:sz w:val="24"/>
          <w:szCs w:val="20"/>
        </w:rPr>
        <w:t>。</w:t>
      </w:r>
    </w:p>
    <w:bookmarkEnd w:id="875"/>
    <w:p w14:paraId="5E25728B">
      <w:pPr>
        <w:adjustRightInd w:val="0"/>
        <w:snapToGrid w:val="0"/>
        <w:rPr>
          <w:rFonts w:eastAsia="黑体"/>
          <w:b/>
          <w:bCs/>
          <w:color w:val="000000"/>
          <w:szCs w:val="20"/>
        </w:rPr>
      </w:pPr>
      <w:bookmarkStart w:id="876" w:name="_Ref11861"/>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35</w:t>
      </w:r>
      <w:r>
        <w:rPr>
          <w:rFonts w:ascii="Times New Roman" w:hAnsi="Times New Roman"/>
          <w:b/>
        </w:rPr>
        <w:fldChar w:fldCharType="end"/>
      </w:r>
      <w:bookmarkEnd w:id="876"/>
      <w:r>
        <w:rPr>
          <w:rFonts w:ascii="Times New Roman" w:hAnsi="Times New Roman"/>
          <w:b/>
        </w:rPr>
        <w:t xml:space="preserve"> </w:t>
      </w:r>
      <w:r>
        <w:rPr>
          <w:rFonts w:eastAsia="黑体"/>
          <w:b/>
          <w:bCs/>
          <w:color w:val="000000"/>
          <w:szCs w:val="20"/>
        </w:rPr>
        <w:t xml:space="preserve">                          本工程线路预测参数及方案</w:t>
      </w:r>
    </w:p>
    <w:tbl>
      <w:tblPr>
        <w:tblStyle w:val="34"/>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1"/>
        <w:gridCol w:w="1045"/>
        <w:gridCol w:w="3959"/>
        <w:gridCol w:w="3407"/>
      </w:tblGrid>
      <w:tr w14:paraId="03EC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1D41BE2E">
            <w:pPr>
              <w:jc w:val="center"/>
              <w:rPr>
                <w:b/>
                <w:bCs w:val="0"/>
                <w:color w:val="000000"/>
                <w:szCs w:val="21"/>
              </w:rPr>
            </w:pPr>
            <w:r>
              <w:rPr>
                <w:rFonts w:hint="eastAsia"/>
                <w:b/>
                <w:bCs w:val="0"/>
                <w:color w:val="000000"/>
                <w:szCs w:val="21"/>
              </w:rPr>
              <w:t>线路回路数</w:t>
            </w:r>
          </w:p>
        </w:tc>
        <w:tc>
          <w:tcPr>
            <w:tcW w:w="2132" w:type="pct"/>
            <w:tcBorders>
              <w:left w:val="single" w:color="auto" w:sz="4" w:space="0"/>
              <w:right w:val="single" w:color="auto" w:sz="4" w:space="0"/>
            </w:tcBorders>
            <w:vAlign w:val="center"/>
          </w:tcPr>
          <w:p w14:paraId="24AC6890">
            <w:pPr>
              <w:jc w:val="center"/>
              <w:rPr>
                <w:b/>
                <w:color w:val="000000"/>
                <w:szCs w:val="21"/>
              </w:rPr>
            </w:pPr>
            <w:r>
              <w:rPr>
                <w:rFonts w:hint="eastAsia"/>
                <w:b/>
                <w:color w:val="000000"/>
                <w:szCs w:val="21"/>
                <w:lang w:eastAsia="zh-CN"/>
              </w:rPr>
              <w:t>1</w:t>
            </w:r>
            <w:r>
              <w:rPr>
                <w:rFonts w:hint="eastAsia"/>
                <w:b/>
                <w:color w:val="000000"/>
                <w:szCs w:val="21"/>
                <w:lang w:val="en-US" w:eastAsia="zh-CN"/>
              </w:rPr>
              <w:t>1</w:t>
            </w:r>
            <w:r>
              <w:rPr>
                <w:b/>
                <w:color w:val="000000"/>
                <w:szCs w:val="21"/>
              </w:rPr>
              <w:t>0kV</w:t>
            </w:r>
            <w:r>
              <w:rPr>
                <w:rFonts w:hint="eastAsia"/>
                <w:b/>
                <w:color w:val="000000"/>
                <w:szCs w:val="21"/>
                <w:lang w:val="en-US" w:eastAsia="zh-CN"/>
              </w:rPr>
              <w:t>单</w:t>
            </w:r>
            <w:r>
              <w:rPr>
                <w:rFonts w:hint="eastAsia"/>
                <w:b/>
                <w:color w:val="000000"/>
                <w:szCs w:val="21"/>
              </w:rPr>
              <w:t>回线路</w:t>
            </w:r>
          </w:p>
        </w:tc>
        <w:tc>
          <w:tcPr>
            <w:tcW w:w="1835" w:type="pct"/>
            <w:tcBorders>
              <w:left w:val="single" w:color="auto" w:sz="4" w:space="0"/>
              <w:right w:val="single" w:color="auto" w:sz="4" w:space="0"/>
            </w:tcBorders>
            <w:vAlign w:val="center"/>
          </w:tcPr>
          <w:p w14:paraId="19A6D668">
            <w:pPr>
              <w:jc w:val="center"/>
              <w:rPr>
                <w:rFonts w:hint="default"/>
                <w:b/>
                <w:color w:val="000000"/>
                <w:szCs w:val="21"/>
                <w:lang w:val="en-US" w:eastAsia="zh-CN"/>
              </w:rPr>
            </w:pPr>
            <w:r>
              <w:rPr>
                <w:rFonts w:hint="eastAsia"/>
                <w:b/>
                <w:color w:val="000000"/>
                <w:szCs w:val="21"/>
                <w:lang w:val="en-US" w:eastAsia="zh-CN"/>
              </w:rPr>
              <w:t>110kV同塔双回线路</w:t>
            </w:r>
          </w:p>
        </w:tc>
      </w:tr>
      <w:tr w14:paraId="4C1E2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1C7E1F33">
            <w:pPr>
              <w:jc w:val="center"/>
              <w:rPr>
                <w:bCs/>
                <w:color w:val="000000"/>
                <w:szCs w:val="21"/>
              </w:rPr>
            </w:pPr>
            <w:r>
              <w:rPr>
                <w:rFonts w:hint="eastAsia"/>
                <w:bCs/>
                <w:color w:val="000000"/>
                <w:szCs w:val="21"/>
              </w:rPr>
              <w:t>杆塔型式</w:t>
            </w:r>
          </w:p>
        </w:tc>
        <w:tc>
          <w:tcPr>
            <w:tcW w:w="2132" w:type="pct"/>
            <w:tcBorders>
              <w:left w:val="single" w:color="auto" w:sz="4" w:space="0"/>
              <w:right w:val="single" w:color="auto" w:sz="4" w:space="0"/>
            </w:tcBorders>
            <w:vAlign w:val="center"/>
          </w:tcPr>
          <w:p w14:paraId="4A42311A">
            <w:pPr>
              <w:jc w:val="center"/>
              <w:rPr>
                <w:color w:val="000000"/>
                <w:szCs w:val="21"/>
              </w:rPr>
            </w:pPr>
            <w:r>
              <w:rPr>
                <w:rFonts w:hint="eastAsia"/>
                <w:color w:val="000000"/>
                <w:szCs w:val="21"/>
              </w:rPr>
              <w:t>110-XY-ZB1型</w:t>
            </w:r>
          </w:p>
        </w:tc>
        <w:tc>
          <w:tcPr>
            <w:tcW w:w="1835" w:type="pct"/>
            <w:tcBorders>
              <w:left w:val="single" w:color="auto" w:sz="4" w:space="0"/>
              <w:right w:val="single" w:color="auto" w:sz="4" w:space="0"/>
            </w:tcBorders>
            <w:vAlign w:val="center"/>
          </w:tcPr>
          <w:p w14:paraId="50B8B3FA">
            <w:pPr>
              <w:jc w:val="center"/>
              <w:rPr>
                <w:rFonts w:hint="eastAsia"/>
                <w:color w:val="000000"/>
                <w:szCs w:val="21"/>
              </w:rPr>
            </w:pPr>
            <w:r>
              <w:rPr>
                <w:rFonts w:hint="eastAsia"/>
                <w:color w:val="000000"/>
                <w:szCs w:val="21"/>
              </w:rPr>
              <w:t>110-XY-SDJ型</w:t>
            </w:r>
          </w:p>
        </w:tc>
      </w:tr>
      <w:tr w14:paraId="0FA10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67D53C29">
            <w:pPr>
              <w:jc w:val="center"/>
              <w:rPr>
                <w:bCs/>
                <w:color w:val="000000"/>
                <w:szCs w:val="21"/>
              </w:rPr>
            </w:pPr>
            <w:r>
              <w:rPr>
                <w:rFonts w:hint="eastAsia"/>
                <w:bCs/>
                <w:color w:val="000000"/>
                <w:szCs w:val="21"/>
              </w:rPr>
              <w:t>导线类型</w:t>
            </w:r>
          </w:p>
        </w:tc>
        <w:tc>
          <w:tcPr>
            <w:tcW w:w="3967" w:type="pct"/>
            <w:gridSpan w:val="2"/>
            <w:tcBorders>
              <w:left w:val="single" w:color="auto" w:sz="4" w:space="0"/>
              <w:right w:val="single" w:color="auto" w:sz="4" w:space="0"/>
            </w:tcBorders>
            <w:vAlign w:val="center"/>
          </w:tcPr>
          <w:p w14:paraId="4B406539">
            <w:pPr>
              <w:jc w:val="center"/>
              <w:rPr>
                <w:rFonts w:hint="eastAsia" w:cs="ˎ̥"/>
                <w:color w:val="000000"/>
                <w:szCs w:val="21"/>
              </w:rPr>
            </w:pPr>
            <w:r>
              <w:rPr>
                <w:rFonts w:hint="eastAsia" w:cs="ˎ̥"/>
                <w:color w:val="000000"/>
                <w:szCs w:val="21"/>
              </w:rPr>
              <w:t>JL3/G1A-240/30型</w:t>
            </w:r>
          </w:p>
        </w:tc>
      </w:tr>
      <w:tr w14:paraId="36BC4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5A7B1B08">
            <w:pPr>
              <w:jc w:val="center"/>
              <w:rPr>
                <w:bCs/>
                <w:color w:val="000000"/>
                <w:szCs w:val="21"/>
              </w:rPr>
            </w:pPr>
            <w:r>
              <w:rPr>
                <w:rFonts w:hint="eastAsia"/>
                <w:bCs/>
                <w:color w:val="000000"/>
                <w:szCs w:val="21"/>
              </w:rPr>
              <w:t>导线半径（</w:t>
            </w:r>
            <w:r>
              <w:rPr>
                <w:bCs/>
                <w:color w:val="000000"/>
                <w:szCs w:val="21"/>
              </w:rPr>
              <w:t>m</w:t>
            </w:r>
            <w:r>
              <w:rPr>
                <w:rFonts w:hint="eastAsia"/>
                <w:bCs/>
                <w:color w:val="000000"/>
                <w:szCs w:val="21"/>
              </w:rPr>
              <w:t>）</w:t>
            </w:r>
          </w:p>
        </w:tc>
        <w:tc>
          <w:tcPr>
            <w:tcW w:w="3967" w:type="pct"/>
            <w:gridSpan w:val="2"/>
            <w:tcBorders>
              <w:left w:val="single" w:color="auto" w:sz="4" w:space="0"/>
              <w:right w:val="single" w:color="auto" w:sz="4" w:space="0"/>
            </w:tcBorders>
            <w:vAlign w:val="center"/>
          </w:tcPr>
          <w:p w14:paraId="70C4331C">
            <w:pPr>
              <w:jc w:val="center"/>
              <w:rPr>
                <w:rFonts w:hint="default" w:eastAsia="宋体"/>
                <w:color w:val="000000"/>
                <w:szCs w:val="21"/>
                <w:lang w:val="en-US" w:eastAsia="zh-CN"/>
              </w:rPr>
            </w:pPr>
            <w:r>
              <w:rPr>
                <w:rFonts w:hint="eastAsia"/>
                <w:color w:val="000000"/>
                <w:szCs w:val="21"/>
                <w:lang w:val="en-US" w:eastAsia="zh-CN"/>
              </w:rPr>
              <w:t>0.0108</w:t>
            </w:r>
          </w:p>
        </w:tc>
      </w:tr>
      <w:tr w14:paraId="1B417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60357A5A">
            <w:pPr>
              <w:jc w:val="center"/>
              <w:rPr>
                <w:bCs/>
                <w:color w:val="000000"/>
                <w:szCs w:val="21"/>
              </w:rPr>
            </w:pPr>
            <w:r>
              <w:rPr>
                <w:rFonts w:hint="eastAsia"/>
                <w:bCs/>
                <w:color w:val="000000"/>
                <w:szCs w:val="21"/>
              </w:rPr>
              <w:t>允许载流量（</w:t>
            </w:r>
            <w:r>
              <w:rPr>
                <w:bCs/>
                <w:color w:val="000000"/>
                <w:szCs w:val="21"/>
              </w:rPr>
              <w:t>A</w:t>
            </w:r>
            <w:r>
              <w:rPr>
                <w:rFonts w:hint="eastAsia"/>
                <w:bCs/>
                <w:color w:val="000000"/>
                <w:szCs w:val="21"/>
              </w:rPr>
              <w:t>）</w:t>
            </w:r>
          </w:p>
        </w:tc>
        <w:tc>
          <w:tcPr>
            <w:tcW w:w="3967" w:type="pct"/>
            <w:gridSpan w:val="2"/>
            <w:tcBorders>
              <w:left w:val="single" w:color="auto" w:sz="4" w:space="0"/>
              <w:right w:val="single" w:color="auto" w:sz="4" w:space="0"/>
            </w:tcBorders>
            <w:vAlign w:val="center"/>
          </w:tcPr>
          <w:p w14:paraId="5D9FA982">
            <w:pPr>
              <w:jc w:val="center"/>
              <w:rPr>
                <w:rFonts w:hint="default" w:eastAsia="宋体"/>
                <w:color w:val="000000"/>
                <w:szCs w:val="21"/>
                <w:lang w:val="en-US" w:eastAsia="zh-CN"/>
              </w:rPr>
            </w:pPr>
            <w:r>
              <w:rPr>
                <w:rFonts w:hint="eastAsia"/>
                <w:color w:val="000000"/>
                <w:szCs w:val="21"/>
                <w:lang w:val="en-US" w:eastAsia="zh-CN"/>
              </w:rPr>
              <w:t>597</w:t>
            </w:r>
          </w:p>
        </w:tc>
      </w:tr>
      <w:tr w14:paraId="6CA91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469" w:type="pct"/>
            <w:vMerge w:val="restart"/>
            <w:vAlign w:val="center"/>
          </w:tcPr>
          <w:p w14:paraId="11FC59F5">
            <w:pPr>
              <w:rPr>
                <w:bCs/>
                <w:color w:val="000000"/>
                <w:szCs w:val="21"/>
              </w:rPr>
            </w:pPr>
            <w:r>
              <w:rPr>
                <w:rFonts w:hint="eastAsia"/>
                <w:bCs/>
                <w:color w:val="000000"/>
                <w:szCs w:val="21"/>
              </w:rPr>
              <w:t>导线间距（</w:t>
            </w:r>
            <w:r>
              <w:rPr>
                <w:bCs/>
                <w:color w:val="000000"/>
                <w:szCs w:val="21"/>
              </w:rPr>
              <w:t>m</w:t>
            </w:r>
            <w:r>
              <w:rPr>
                <w:rFonts w:hint="eastAsia"/>
                <w:bCs/>
                <w:color w:val="000000"/>
                <w:szCs w:val="21"/>
              </w:rPr>
              <w:t>）</w:t>
            </w:r>
          </w:p>
        </w:tc>
        <w:tc>
          <w:tcPr>
            <w:tcW w:w="563" w:type="pct"/>
            <w:vAlign w:val="center"/>
          </w:tcPr>
          <w:p w14:paraId="4B66A658">
            <w:pPr>
              <w:jc w:val="center"/>
              <w:rPr>
                <w:bCs/>
                <w:color w:val="000000"/>
                <w:szCs w:val="21"/>
              </w:rPr>
            </w:pPr>
            <w:r>
              <w:rPr>
                <w:rFonts w:hint="eastAsia"/>
                <w:bCs/>
                <w:color w:val="000000"/>
                <w:szCs w:val="21"/>
              </w:rPr>
              <w:t>水平</w:t>
            </w:r>
          </w:p>
        </w:tc>
        <w:tc>
          <w:tcPr>
            <w:tcW w:w="2132" w:type="pct"/>
            <w:tcBorders>
              <w:left w:val="single" w:color="auto" w:sz="4" w:space="0"/>
              <w:right w:val="single" w:color="auto" w:sz="4" w:space="0"/>
            </w:tcBorders>
            <w:vAlign w:val="center"/>
          </w:tcPr>
          <w:p w14:paraId="7EBAF83A">
            <w:pPr>
              <w:jc w:val="center"/>
              <w:rPr>
                <w:rFonts w:hint="default" w:eastAsia="宋体"/>
                <w:color w:val="000000"/>
                <w:szCs w:val="21"/>
                <w:lang w:val="en-US" w:eastAsia="zh-CN"/>
              </w:rPr>
            </w:pPr>
            <w:r>
              <w:rPr>
                <w:rFonts w:hint="eastAsia"/>
                <w:color w:val="000000"/>
                <w:szCs w:val="21"/>
                <w:lang w:val="en-US" w:eastAsia="zh-CN"/>
              </w:rPr>
              <w:t>5.64</w:t>
            </w:r>
          </w:p>
        </w:tc>
        <w:tc>
          <w:tcPr>
            <w:tcW w:w="1835" w:type="pct"/>
            <w:tcBorders>
              <w:left w:val="single" w:color="auto" w:sz="4" w:space="0"/>
              <w:right w:val="single" w:color="auto" w:sz="4" w:space="0"/>
            </w:tcBorders>
            <w:vAlign w:val="center"/>
          </w:tcPr>
          <w:p w14:paraId="50BFC982">
            <w:pPr>
              <w:jc w:val="center"/>
              <w:rPr>
                <w:rFonts w:hint="default" w:eastAsia="宋体"/>
                <w:color w:val="000000"/>
                <w:szCs w:val="21"/>
                <w:lang w:val="en-US" w:eastAsia="zh-CN"/>
              </w:rPr>
            </w:pPr>
            <w:r>
              <w:rPr>
                <w:rFonts w:hint="eastAsia"/>
                <w:color w:val="000000"/>
                <w:szCs w:val="21"/>
              </w:rPr>
              <w:t>上</w:t>
            </w:r>
            <w:r>
              <w:rPr>
                <w:color w:val="000000"/>
                <w:szCs w:val="21"/>
              </w:rPr>
              <w:t>/</w:t>
            </w:r>
            <w:r>
              <w:rPr>
                <w:rFonts w:hint="eastAsia"/>
                <w:color w:val="000000"/>
                <w:szCs w:val="21"/>
              </w:rPr>
              <w:t>中</w:t>
            </w:r>
            <w:r>
              <w:rPr>
                <w:color w:val="000000"/>
                <w:szCs w:val="21"/>
              </w:rPr>
              <w:t>/</w:t>
            </w:r>
            <w:r>
              <w:rPr>
                <w:rFonts w:hint="eastAsia"/>
                <w:color w:val="000000"/>
                <w:szCs w:val="21"/>
              </w:rPr>
              <w:t>下：4.</w:t>
            </w:r>
            <w:r>
              <w:rPr>
                <w:rFonts w:hint="eastAsia"/>
                <w:color w:val="000000"/>
                <w:szCs w:val="21"/>
                <w:lang w:val="en-US" w:eastAsia="zh-CN"/>
              </w:rPr>
              <w:t>3</w:t>
            </w:r>
            <w:r>
              <w:rPr>
                <w:color w:val="000000"/>
                <w:szCs w:val="21"/>
              </w:rPr>
              <w:t>/</w:t>
            </w:r>
            <w:r>
              <w:rPr>
                <w:rFonts w:hint="eastAsia"/>
                <w:color w:val="000000"/>
                <w:szCs w:val="21"/>
                <w:lang w:val="en-US" w:eastAsia="zh-CN"/>
              </w:rPr>
              <w:t>4.5</w:t>
            </w:r>
            <w:r>
              <w:rPr>
                <w:color w:val="000000"/>
                <w:szCs w:val="21"/>
              </w:rPr>
              <w:t>/</w:t>
            </w:r>
            <w:r>
              <w:rPr>
                <w:rFonts w:hint="eastAsia"/>
                <w:color w:val="000000"/>
                <w:szCs w:val="21"/>
                <w:lang w:val="en-US" w:eastAsia="zh-CN"/>
              </w:rPr>
              <w:t>4.7</w:t>
            </w:r>
          </w:p>
        </w:tc>
      </w:tr>
      <w:tr w14:paraId="23707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69" w:type="pct"/>
            <w:vMerge w:val="continue"/>
            <w:vAlign w:val="center"/>
          </w:tcPr>
          <w:p w14:paraId="1F32ED56">
            <w:pPr>
              <w:jc w:val="center"/>
              <w:rPr>
                <w:bCs/>
                <w:color w:val="000000"/>
                <w:szCs w:val="21"/>
              </w:rPr>
            </w:pPr>
          </w:p>
        </w:tc>
        <w:tc>
          <w:tcPr>
            <w:tcW w:w="563" w:type="pct"/>
            <w:vAlign w:val="center"/>
          </w:tcPr>
          <w:p w14:paraId="363AA73F">
            <w:pPr>
              <w:jc w:val="center"/>
              <w:rPr>
                <w:bCs/>
                <w:color w:val="000000"/>
                <w:szCs w:val="21"/>
              </w:rPr>
            </w:pPr>
            <w:r>
              <w:rPr>
                <w:rFonts w:hint="eastAsia"/>
                <w:bCs/>
                <w:color w:val="000000"/>
                <w:szCs w:val="21"/>
              </w:rPr>
              <w:t>垂直</w:t>
            </w:r>
          </w:p>
        </w:tc>
        <w:tc>
          <w:tcPr>
            <w:tcW w:w="2132" w:type="pct"/>
            <w:tcBorders>
              <w:left w:val="single" w:color="auto" w:sz="4" w:space="0"/>
              <w:right w:val="single" w:color="auto" w:sz="4" w:space="0"/>
            </w:tcBorders>
            <w:vAlign w:val="center"/>
          </w:tcPr>
          <w:p w14:paraId="2D21C040">
            <w:pPr>
              <w:jc w:val="center"/>
              <w:rPr>
                <w:rFonts w:hint="eastAsia" w:eastAsia="宋体"/>
                <w:color w:val="000000"/>
                <w:szCs w:val="21"/>
                <w:lang w:val="en-US" w:eastAsia="zh-CN"/>
              </w:rPr>
            </w:pPr>
            <w:r>
              <w:rPr>
                <w:rFonts w:hint="eastAsia"/>
                <w:color w:val="000000"/>
                <w:szCs w:val="21"/>
                <w:lang w:val="en-US" w:eastAsia="zh-CN"/>
              </w:rPr>
              <w:t>0</w:t>
            </w:r>
          </w:p>
        </w:tc>
        <w:tc>
          <w:tcPr>
            <w:tcW w:w="1835" w:type="pct"/>
            <w:tcBorders>
              <w:left w:val="single" w:color="auto" w:sz="4" w:space="0"/>
              <w:right w:val="single" w:color="auto" w:sz="4" w:space="0"/>
            </w:tcBorders>
            <w:vAlign w:val="center"/>
          </w:tcPr>
          <w:p w14:paraId="49A73B53">
            <w:pPr>
              <w:jc w:val="center"/>
              <w:rPr>
                <w:rFonts w:hint="eastAsia"/>
                <w:color w:val="000000"/>
                <w:szCs w:val="21"/>
              </w:rPr>
            </w:pPr>
            <w:r>
              <w:rPr>
                <w:rFonts w:hint="eastAsia"/>
                <w:color w:val="000000"/>
                <w:szCs w:val="21"/>
              </w:rPr>
              <w:t>上</w:t>
            </w:r>
            <w:r>
              <w:rPr>
                <w:color w:val="000000"/>
                <w:szCs w:val="21"/>
              </w:rPr>
              <w:t>/</w:t>
            </w:r>
            <w:r>
              <w:rPr>
                <w:rFonts w:hint="eastAsia"/>
                <w:color w:val="000000"/>
                <w:szCs w:val="21"/>
              </w:rPr>
              <w:t>下：</w:t>
            </w:r>
            <w:r>
              <w:rPr>
                <w:rFonts w:hint="eastAsia"/>
                <w:color w:val="000000"/>
                <w:szCs w:val="21"/>
                <w:lang w:val="en-US" w:eastAsia="zh-CN"/>
              </w:rPr>
              <w:t>4.1</w:t>
            </w:r>
            <w:r>
              <w:rPr>
                <w:color w:val="000000"/>
                <w:szCs w:val="21"/>
              </w:rPr>
              <w:t>/</w:t>
            </w:r>
            <w:r>
              <w:rPr>
                <w:rFonts w:hint="eastAsia"/>
                <w:color w:val="000000"/>
                <w:szCs w:val="21"/>
                <w:lang w:val="en-US" w:eastAsia="zh-CN"/>
              </w:rPr>
              <w:t>4</w:t>
            </w:r>
            <w:r>
              <w:rPr>
                <w:rFonts w:hint="eastAsia"/>
                <w:color w:val="000000"/>
                <w:szCs w:val="21"/>
              </w:rPr>
              <w:t>.0</w:t>
            </w:r>
          </w:p>
        </w:tc>
      </w:tr>
      <w:tr w14:paraId="057F0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000" w:type="pct"/>
            <w:gridSpan w:val="4"/>
            <w:tcBorders>
              <w:right w:val="single" w:color="auto" w:sz="4" w:space="0"/>
            </w:tcBorders>
            <w:vAlign w:val="center"/>
          </w:tcPr>
          <w:p w14:paraId="616EF383">
            <w:pPr>
              <w:jc w:val="left"/>
              <w:rPr>
                <w:rFonts w:hint="eastAsia"/>
                <w:bCs/>
                <w:color w:val="000000"/>
                <w:szCs w:val="21"/>
              </w:rPr>
            </w:pPr>
            <w:r>
              <w:rPr>
                <w:rFonts w:hint="eastAsia"/>
                <w:bCs/>
                <w:color w:val="000000"/>
                <w:szCs w:val="21"/>
              </w:rPr>
              <w:t>一、底层导线对地最小距离</w:t>
            </w:r>
          </w:p>
        </w:tc>
      </w:tr>
      <w:tr w14:paraId="7C96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20D36C07">
            <w:pPr>
              <w:jc w:val="center"/>
              <w:rPr>
                <w:bCs/>
                <w:color w:val="000000"/>
                <w:szCs w:val="21"/>
              </w:rPr>
            </w:pPr>
            <w:r>
              <w:rPr>
                <w:rFonts w:hint="eastAsia"/>
                <w:bCs/>
                <w:color w:val="000000"/>
                <w:szCs w:val="21"/>
              </w:rPr>
              <w:t>非居民区（</w:t>
            </w:r>
            <w:r>
              <w:rPr>
                <w:bCs/>
                <w:color w:val="000000"/>
                <w:szCs w:val="21"/>
              </w:rPr>
              <w:t>m</w:t>
            </w:r>
            <w:r>
              <w:rPr>
                <w:rFonts w:hint="eastAsia"/>
                <w:bCs/>
                <w:color w:val="000000"/>
                <w:szCs w:val="21"/>
              </w:rPr>
              <w:t>）</w:t>
            </w:r>
          </w:p>
        </w:tc>
        <w:tc>
          <w:tcPr>
            <w:tcW w:w="3967" w:type="pct"/>
            <w:gridSpan w:val="2"/>
            <w:tcBorders>
              <w:left w:val="single" w:color="auto" w:sz="4" w:space="0"/>
              <w:right w:val="single" w:color="auto" w:sz="4" w:space="0"/>
            </w:tcBorders>
            <w:vAlign w:val="center"/>
          </w:tcPr>
          <w:p w14:paraId="497CCFFE">
            <w:pPr>
              <w:jc w:val="center"/>
              <w:rPr>
                <w:rFonts w:hint="eastAsia"/>
                <w:color w:val="000000"/>
                <w:szCs w:val="21"/>
              </w:rPr>
            </w:pPr>
            <w:r>
              <w:rPr>
                <w:rFonts w:hint="eastAsia"/>
                <w:color w:val="000000"/>
                <w:szCs w:val="21"/>
              </w:rPr>
              <w:t>6.</w:t>
            </w:r>
            <w:r>
              <w:rPr>
                <w:rFonts w:hint="eastAsia"/>
                <w:color w:val="000000"/>
                <w:szCs w:val="21"/>
                <w:lang w:val="en-US" w:eastAsia="zh-CN"/>
              </w:rPr>
              <w:t>0</w:t>
            </w:r>
          </w:p>
        </w:tc>
      </w:tr>
      <w:tr w14:paraId="1CAC9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14:paraId="6C16FCE9">
            <w:pPr>
              <w:jc w:val="center"/>
              <w:rPr>
                <w:bCs/>
                <w:color w:val="000000"/>
                <w:szCs w:val="21"/>
              </w:rPr>
            </w:pPr>
            <w:r>
              <w:rPr>
                <w:rFonts w:hint="eastAsia"/>
                <w:bCs/>
                <w:color w:val="000000"/>
                <w:szCs w:val="21"/>
              </w:rPr>
              <w:t>居民区（m）</w:t>
            </w:r>
          </w:p>
        </w:tc>
        <w:tc>
          <w:tcPr>
            <w:tcW w:w="3967" w:type="pct"/>
            <w:gridSpan w:val="2"/>
            <w:tcBorders>
              <w:left w:val="single" w:color="auto" w:sz="4" w:space="0"/>
              <w:right w:val="single" w:color="auto" w:sz="4" w:space="0"/>
            </w:tcBorders>
            <w:vAlign w:val="center"/>
          </w:tcPr>
          <w:p w14:paraId="17DF8B35">
            <w:pPr>
              <w:jc w:val="center"/>
              <w:rPr>
                <w:rFonts w:hint="eastAsia"/>
                <w:color w:val="000000"/>
                <w:szCs w:val="21"/>
              </w:rPr>
            </w:pPr>
            <w:r>
              <w:rPr>
                <w:rFonts w:hint="eastAsia"/>
                <w:color w:val="000000"/>
                <w:szCs w:val="21"/>
              </w:rPr>
              <w:t>7.</w:t>
            </w:r>
            <w:r>
              <w:rPr>
                <w:rFonts w:hint="eastAsia"/>
                <w:color w:val="000000"/>
                <w:szCs w:val="21"/>
                <w:lang w:val="en-US" w:eastAsia="zh-CN"/>
              </w:rPr>
              <w:t>0</w:t>
            </w:r>
          </w:p>
        </w:tc>
      </w:tr>
      <w:tr w14:paraId="57FD1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000" w:type="pct"/>
            <w:gridSpan w:val="4"/>
            <w:tcBorders>
              <w:right w:val="single" w:color="auto" w:sz="4" w:space="0"/>
            </w:tcBorders>
            <w:vAlign w:val="center"/>
          </w:tcPr>
          <w:p w14:paraId="1C35465D">
            <w:pPr>
              <w:jc w:val="left"/>
              <w:rPr>
                <w:rFonts w:hint="eastAsia"/>
                <w:bCs/>
                <w:color w:val="000000"/>
                <w:szCs w:val="21"/>
              </w:rPr>
            </w:pPr>
            <w:r>
              <w:rPr>
                <w:rFonts w:hint="eastAsia"/>
                <w:bCs/>
                <w:color w:val="000000"/>
                <w:szCs w:val="21"/>
              </w:rPr>
              <w:t>二、电磁环境敏感目标预测</w:t>
            </w:r>
          </w:p>
        </w:tc>
      </w:tr>
      <w:tr w14:paraId="7AFAA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 w:hRule="atLeast"/>
          <w:jc w:val="center"/>
        </w:trPr>
        <w:tc>
          <w:tcPr>
            <w:tcW w:w="1032" w:type="pct"/>
            <w:gridSpan w:val="2"/>
            <w:vAlign w:val="center"/>
          </w:tcPr>
          <w:p w14:paraId="5AC45AA0">
            <w:pPr>
              <w:jc w:val="center"/>
              <w:rPr>
                <w:bCs/>
                <w:color w:val="000000"/>
                <w:szCs w:val="21"/>
              </w:rPr>
            </w:pPr>
            <w:r>
              <w:rPr>
                <w:rFonts w:hint="eastAsia"/>
                <w:bCs/>
                <w:color w:val="000000"/>
                <w:szCs w:val="21"/>
              </w:rPr>
              <w:t>预测点高度（m）</w:t>
            </w:r>
          </w:p>
        </w:tc>
        <w:tc>
          <w:tcPr>
            <w:tcW w:w="3967" w:type="pct"/>
            <w:gridSpan w:val="2"/>
            <w:tcBorders>
              <w:left w:val="single" w:color="auto" w:sz="4" w:space="0"/>
              <w:right w:val="single" w:color="auto" w:sz="4" w:space="0"/>
            </w:tcBorders>
            <w:vAlign w:val="center"/>
          </w:tcPr>
          <w:p w14:paraId="07FD1F2D">
            <w:pPr>
              <w:jc w:val="center"/>
              <w:rPr>
                <w:rFonts w:hint="eastAsia"/>
                <w:color w:val="000000"/>
                <w:szCs w:val="21"/>
              </w:rPr>
            </w:pPr>
            <w:r>
              <w:rPr>
                <w:rFonts w:hint="eastAsia"/>
                <w:color w:val="000000"/>
                <w:szCs w:val="21"/>
              </w:rPr>
              <w:t>1.5</w:t>
            </w:r>
          </w:p>
        </w:tc>
      </w:tr>
      <w:tr w14:paraId="14194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 w:hRule="atLeast"/>
          <w:jc w:val="center"/>
        </w:trPr>
        <w:tc>
          <w:tcPr>
            <w:tcW w:w="1032" w:type="pct"/>
            <w:gridSpan w:val="2"/>
            <w:vAlign w:val="center"/>
          </w:tcPr>
          <w:p w14:paraId="3538BD3C">
            <w:pPr>
              <w:ind w:firstLine="0" w:firstLineChars="0"/>
              <w:jc w:val="center"/>
              <w:rPr>
                <w:b/>
                <w:color w:val="000000"/>
                <w:szCs w:val="21"/>
              </w:rPr>
            </w:pPr>
            <w:r>
              <w:rPr>
                <w:rFonts w:hint="eastAsia"/>
                <w:bCs/>
                <w:color w:val="000000"/>
                <w:szCs w:val="21"/>
              </w:rPr>
              <w:t>预测杆塔示意图</w:t>
            </w:r>
          </w:p>
        </w:tc>
        <w:tc>
          <w:tcPr>
            <w:tcW w:w="2132" w:type="pct"/>
            <w:tcBorders>
              <w:left w:val="single" w:color="auto" w:sz="4" w:space="0"/>
              <w:right w:val="single" w:color="auto" w:sz="4" w:space="0"/>
            </w:tcBorders>
            <w:vAlign w:val="center"/>
          </w:tcPr>
          <w:p w14:paraId="1A26E28F">
            <w:pPr>
              <w:jc w:val="center"/>
              <w:rPr>
                <w:rFonts w:cs="ˎ̥"/>
                <w:szCs w:val="21"/>
              </w:rPr>
            </w:pPr>
            <w:r>
              <w:drawing>
                <wp:inline distT="0" distB="0" distL="114300" distR="114300">
                  <wp:extent cx="1266190" cy="2124075"/>
                  <wp:effectExtent l="0" t="0" r="10160" b="9525"/>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pic:cNvPicPr>
                            <a:picLocks noChangeAspect="1"/>
                          </pic:cNvPicPr>
                        </pic:nvPicPr>
                        <pic:blipFill>
                          <a:blip r:embed="rId26"/>
                          <a:stretch>
                            <a:fillRect/>
                          </a:stretch>
                        </pic:blipFill>
                        <pic:spPr>
                          <a:xfrm>
                            <a:off x="0" y="0"/>
                            <a:ext cx="1266190" cy="2124075"/>
                          </a:xfrm>
                          <a:prstGeom prst="rect">
                            <a:avLst/>
                          </a:prstGeom>
                          <a:noFill/>
                          <a:ln>
                            <a:noFill/>
                          </a:ln>
                        </pic:spPr>
                      </pic:pic>
                    </a:graphicData>
                  </a:graphic>
                </wp:inline>
              </w:drawing>
            </w:r>
          </w:p>
        </w:tc>
        <w:tc>
          <w:tcPr>
            <w:tcW w:w="1835" w:type="pct"/>
            <w:tcBorders>
              <w:left w:val="single" w:color="auto" w:sz="4" w:space="0"/>
              <w:right w:val="single" w:color="auto" w:sz="4" w:space="0"/>
            </w:tcBorders>
            <w:vAlign w:val="center"/>
          </w:tcPr>
          <w:p w14:paraId="782C8F22">
            <w:pPr>
              <w:jc w:val="center"/>
              <w:rPr>
                <w:rFonts w:hint="default" w:eastAsia="宋体" w:cs="ˎ̥"/>
                <w:szCs w:val="21"/>
                <w:lang w:val="en-US" w:eastAsia="zh-CN"/>
              </w:rPr>
            </w:pPr>
            <w:r>
              <w:drawing>
                <wp:inline distT="0" distB="0" distL="114300" distR="114300">
                  <wp:extent cx="638175" cy="2087880"/>
                  <wp:effectExtent l="0" t="0" r="9525" b="7620"/>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pic:cNvPicPr>
                            <a:picLocks noChangeAspect="1"/>
                          </pic:cNvPicPr>
                        </pic:nvPicPr>
                        <pic:blipFill>
                          <a:blip r:embed="rId27"/>
                          <a:stretch>
                            <a:fillRect/>
                          </a:stretch>
                        </pic:blipFill>
                        <pic:spPr>
                          <a:xfrm>
                            <a:off x="0" y="0"/>
                            <a:ext cx="638175" cy="2087880"/>
                          </a:xfrm>
                          <a:prstGeom prst="rect">
                            <a:avLst/>
                          </a:prstGeom>
                          <a:noFill/>
                          <a:ln>
                            <a:noFill/>
                          </a:ln>
                        </pic:spPr>
                      </pic:pic>
                    </a:graphicData>
                  </a:graphic>
                </wp:inline>
              </w:drawing>
            </w:r>
          </w:p>
        </w:tc>
      </w:tr>
    </w:tbl>
    <w:p w14:paraId="4AC881B8">
      <w:pPr>
        <w:keepNext/>
        <w:keepLines/>
        <w:numPr>
          <w:ilvl w:val="2"/>
          <w:numId w:val="22"/>
        </w:numPr>
        <w:spacing w:line="360" w:lineRule="auto"/>
        <w:outlineLvl w:val="2"/>
        <w:rPr>
          <w:rFonts w:cs="ˎ̥"/>
          <w:b/>
          <w:bCs/>
          <w:color w:val="000000"/>
          <w:sz w:val="24"/>
          <w:szCs w:val="32"/>
        </w:rPr>
      </w:pPr>
      <w:bookmarkStart w:id="877" w:name="_Toc21708"/>
      <w:r>
        <w:rPr>
          <w:rFonts w:hint="eastAsia" w:cs="ˎ̥"/>
          <w:b/>
          <w:bCs/>
          <w:color w:val="000000"/>
          <w:sz w:val="24"/>
          <w:szCs w:val="32"/>
        </w:rPr>
        <w:t>预测结果</w:t>
      </w:r>
      <w:bookmarkEnd w:id="877"/>
    </w:p>
    <w:p w14:paraId="59EF9863">
      <w:pPr>
        <w:spacing w:line="360" w:lineRule="auto"/>
        <w:ind w:firstLine="480" w:firstLineChars="200"/>
        <w:rPr>
          <w:rFonts w:hint="default" w:eastAsia="宋体"/>
          <w:color w:val="000000"/>
          <w:sz w:val="24"/>
          <w:szCs w:val="20"/>
          <w:lang w:val="en-US" w:eastAsia="zh-CN"/>
        </w:rPr>
      </w:pPr>
      <w:r>
        <w:rPr>
          <w:rFonts w:hint="eastAsia"/>
          <w:color w:val="000000"/>
          <w:sz w:val="24"/>
          <w:szCs w:val="20"/>
          <w:lang w:eastAsia="zh-CN"/>
        </w:rPr>
        <w:t>（</w:t>
      </w:r>
      <w:r>
        <w:rPr>
          <w:rFonts w:hint="eastAsia"/>
          <w:color w:val="000000"/>
          <w:sz w:val="24"/>
          <w:szCs w:val="20"/>
          <w:lang w:val="en-US" w:eastAsia="zh-CN"/>
        </w:rPr>
        <w:t>1）单回线路</w:t>
      </w:r>
    </w:p>
    <w:p w14:paraId="7E04EF24">
      <w:pPr>
        <w:spacing w:line="360" w:lineRule="auto"/>
        <w:ind w:firstLine="480" w:firstLineChars="200"/>
        <w:rPr>
          <w:rFonts w:hint="eastAsia"/>
          <w:color w:val="000000"/>
          <w:sz w:val="24"/>
          <w:szCs w:val="20"/>
        </w:rPr>
      </w:pPr>
      <w:r>
        <w:rPr>
          <w:rFonts w:hint="eastAsia"/>
          <w:color w:val="000000"/>
          <w:sz w:val="24"/>
          <w:szCs w:val="20"/>
        </w:rPr>
        <w:t>新建</w:t>
      </w:r>
      <w:r>
        <w:rPr>
          <w:rFonts w:hint="eastAsia"/>
          <w:color w:val="000000"/>
          <w:sz w:val="24"/>
          <w:szCs w:val="20"/>
          <w:lang w:val="en-US" w:eastAsia="zh-CN"/>
        </w:rPr>
        <w:t>单</w:t>
      </w:r>
      <w:r>
        <w:rPr>
          <w:rFonts w:hint="eastAsia"/>
          <w:color w:val="000000"/>
          <w:sz w:val="24"/>
          <w:szCs w:val="20"/>
        </w:rPr>
        <w:t>回线路最低线高下的工频电场及工频磁场预测计算见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_Ref11962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36</w:t>
      </w:r>
      <w:r>
        <w:rPr>
          <w:rFonts w:hint="eastAsia"/>
          <w:b w:val="0"/>
          <w:bCs w:val="0"/>
          <w:color w:val="000000"/>
          <w:sz w:val="24"/>
          <w:szCs w:val="24"/>
          <w:lang w:eastAsia="zh-CN"/>
        </w:rPr>
        <w:fldChar w:fldCharType="end"/>
      </w:r>
      <w:r>
        <w:rPr>
          <w:rFonts w:hint="eastAsia"/>
          <w:color w:val="000000"/>
          <w:sz w:val="24"/>
          <w:szCs w:val="20"/>
        </w:rPr>
        <w:t>，相应变化趋势见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_Ref14898 \h </w:instrText>
      </w:r>
      <w:r>
        <w:rPr>
          <w:rFonts w:hint="eastAsia"/>
          <w:b w:val="0"/>
          <w:bCs w:val="0"/>
          <w:color w:val="000000"/>
          <w:sz w:val="24"/>
          <w:szCs w:val="24"/>
          <w:lang w:eastAsia="zh-CN"/>
        </w:rPr>
        <w:fldChar w:fldCharType="separate"/>
      </w:r>
      <w:r>
        <w:rPr>
          <w:rFonts w:hint="eastAsia" w:ascii="宋体" w:hAnsi="宋体" w:eastAsia="宋体" w:cs="宋体"/>
          <w:b w:val="0"/>
          <w:bCs w:val="0"/>
          <w:color w:val="000000"/>
          <w:sz w:val="24"/>
          <w:szCs w:val="24"/>
        </w:rPr>
        <w:t>图</w:t>
      </w:r>
      <w:r>
        <w:rPr>
          <w:rFonts w:eastAsia="黑体"/>
          <w:b w:val="0"/>
          <w:bCs w:val="0"/>
          <w:color w:val="000000"/>
          <w:sz w:val="24"/>
          <w:szCs w:val="24"/>
        </w:rPr>
        <w:t>12</w:t>
      </w:r>
      <w:r>
        <w:rPr>
          <w:rFonts w:hint="eastAsia"/>
          <w:b w:val="0"/>
          <w:bCs w:val="0"/>
          <w:color w:val="000000"/>
          <w:sz w:val="24"/>
          <w:szCs w:val="24"/>
          <w:lang w:eastAsia="zh-CN"/>
        </w:rPr>
        <w:fldChar w:fldCharType="end"/>
      </w:r>
      <w:r>
        <w:rPr>
          <w:rFonts w:hint="eastAsia" w:cs="宋体"/>
          <w:b w:val="0"/>
          <w:bCs w:val="0"/>
          <w:color w:val="000000"/>
          <w:sz w:val="24"/>
          <w:szCs w:val="24"/>
        </w:rPr>
        <w:t>~</w:t>
      </w:r>
      <w:r>
        <w:rPr>
          <w:rFonts w:hint="eastAsia" w:ascii="宋体" w:hAnsi="宋体" w:eastAsia="宋体" w:cs="宋体"/>
          <w:b w:val="0"/>
          <w:bCs w:val="0"/>
          <w:color w:val="000000"/>
          <w:sz w:val="24"/>
          <w:szCs w:val="24"/>
          <w:lang w:eastAsia="zh-CN"/>
        </w:rPr>
        <w:fldChar w:fldCharType="begin"/>
      </w:r>
      <w:r>
        <w:rPr>
          <w:rFonts w:hint="eastAsia" w:ascii="宋体" w:hAnsi="宋体" w:eastAsia="宋体" w:cs="宋体"/>
          <w:b w:val="0"/>
          <w:bCs w:val="0"/>
          <w:color w:val="000000"/>
          <w:sz w:val="24"/>
          <w:szCs w:val="24"/>
          <w:lang w:eastAsia="zh-CN"/>
        </w:rPr>
        <w:instrText xml:space="preserve"> REF _Ref15127 \h </w:instrText>
      </w:r>
      <w:r>
        <w:rPr>
          <w:rFonts w:hint="eastAsia" w:ascii="宋体" w:hAnsi="宋体" w:eastAsia="宋体" w:cs="宋体"/>
          <w:b w:val="0"/>
          <w:bCs w:val="0"/>
          <w:color w:val="000000"/>
          <w:sz w:val="24"/>
          <w:szCs w:val="24"/>
          <w:lang w:eastAsia="zh-CN"/>
        </w:rPr>
        <w:fldChar w:fldCharType="separate"/>
      </w:r>
      <w:r>
        <w:rPr>
          <w:rFonts w:hint="eastAsia" w:ascii="宋体" w:hAnsi="宋体" w:eastAsia="宋体" w:cs="宋体"/>
          <w:b w:val="0"/>
          <w:bCs w:val="0"/>
          <w:color w:val="000000"/>
          <w:sz w:val="24"/>
          <w:szCs w:val="24"/>
        </w:rPr>
        <w:t>图</w:t>
      </w:r>
      <w:r>
        <w:rPr>
          <w:rFonts w:hint="default" w:ascii="Times New Roman" w:hAnsi="Times New Roman" w:eastAsia="宋体" w:cs="Times New Roman"/>
          <w:b w:val="0"/>
          <w:bCs w:val="0"/>
          <w:color w:val="000000"/>
          <w:sz w:val="24"/>
          <w:szCs w:val="24"/>
        </w:rPr>
        <w:t>19</w:t>
      </w:r>
      <w:r>
        <w:rPr>
          <w:rFonts w:hint="eastAsia" w:ascii="宋体" w:hAnsi="宋体" w:eastAsia="宋体" w:cs="宋体"/>
          <w:b w:val="0"/>
          <w:bCs w:val="0"/>
          <w:color w:val="000000"/>
          <w:sz w:val="24"/>
          <w:szCs w:val="24"/>
          <w:lang w:eastAsia="zh-CN"/>
        </w:rPr>
        <w:fldChar w:fldCharType="end"/>
      </w:r>
      <w:r>
        <w:rPr>
          <w:rFonts w:hint="eastAsia"/>
          <w:color w:val="000000"/>
          <w:sz w:val="24"/>
          <w:szCs w:val="20"/>
        </w:rPr>
        <w:t>。</w:t>
      </w:r>
    </w:p>
    <w:p w14:paraId="1DD1C2D0">
      <w:pPr>
        <w:adjustRightInd w:val="0"/>
        <w:snapToGrid w:val="0"/>
        <w:jc w:val="left"/>
        <w:rPr>
          <w:rFonts w:eastAsia="黑体"/>
          <w:b/>
          <w:bCs/>
          <w:color w:val="000000"/>
          <w:szCs w:val="20"/>
        </w:rPr>
      </w:pPr>
      <w:bookmarkStart w:id="878" w:name="_Ref11962"/>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36</w:t>
      </w:r>
      <w:r>
        <w:rPr>
          <w:rFonts w:ascii="Times New Roman" w:hAnsi="Times New Roman"/>
          <w:b/>
        </w:rPr>
        <w:fldChar w:fldCharType="end"/>
      </w:r>
      <w:bookmarkEnd w:id="878"/>
      <w:r>
        <w:rPr>
          <w:rFonts w:ascii="Times New Roman" w:hAnsi="Times New Roman"/>
          <w:b/>
        </w:rPr>
        <w:t xml:space="preserve"> </w:t>
      </w:r>
      <w:r>
        <w:rPr>
          <w:rFonts w:eastAsia="黑体"/>
          <w:b/>
          <w:bCs/>
          <w:color w:val="000000"/>
          <w:szCs w:val="21"/>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lang w:val="en-US" w:eastAsia="zh-CN"/>
        </w:rPr>
        <w:t>单</w:t>
      </w:r>
      <w:r>
        <w:rPr>
          <w:rFonts w:hint="eastAsia" w:eastAsia="黑体"/>
          <w:b/>
          <w:bCs/>
          <w:color w:val="000000"/>
          <w:szCs w:val="20"/>
        </w:rPr>
        <w:t>回</w:t>
      </w:r>
      <w:r>
        <w:rPr>
          <w:rFonts w:eastAsia="黑体"/>
          <w:b/>
          <w:bCs/>
          <w:color w:val="000000"/>
          <w:szCs w:val="20"/>
        </w:rPr>
        <w:t>线路工频电场强度</w:t>
      </w:r>
      <w:r>
        <w:rPr>
          <w:rFonts w:hint="eastAsia" w:eastAsia="黑体"/>
          <w:b/>
          <w:bCs/>
          <w:color w:val="000000"/>
          <w:szCs w:val="20"/>
        </w:rPr>
        <w:t>、工频磁感应强度</w:t>
      </w:r>
      <w:r>
        <w:rPr>
          <w:rFonts w:eastAsia="黑体"/>
          <w:b/>
          <w:bCs/>
          <w:color w:val="000000"/>
          <w:szCs w:val="20"/>
        </w:rPr>
        <w:t xml:space="preserve">预测结果  </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587"/>
        <w:gridCol w:w="1424"/>
        <w:gridCol w:w="1496"/>
        <w:gridCol w:w="1538"/>
        <w:gridCol w:w="1524"/>
      </w:tblGrid>
      <w:tr w14:paraId="7AA3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21" w:type="pct"/>
            <w:vMerge w:val="restart"/>
            <w:shd w:val="clear" w:color="auto" w:fill="auto"/>
            <w:vAlign w:val="center"/>
          </w:tcPr>
          <w:p w14:paraId="1085F701">
            <w:pPr>
              <w:widowControl/>
              <w:jc w:val="center"/>
              <w:rPr>
                <w:b/>
                <w:bCs/>
                <w:color w:val="000000"/>
                <w:kern w:val="0"/>
                <w:szCs w:val="21"/>
              </w:rPr>
            </w:pPr>
            <w:r>
              <w:rPr>
                <w:rFonts w:hint="eastAsia"/>
                <w:b/>
                <w:bCs/>
                <w:color w:val="000000"/>
                <w:kern w:val="0"/>
                <w:szCs w:val="21"/>
              </w:rPr>
              <w:t>距线路中心的距离</w:t>
            </w:r>
            <w:r>
              <w:rPr>
                <w:b/>
                <w:bCs/>
                <w:color w:val="000000"/>
                <w:kern w:val="0"/>
                <w:szCs w:val="21"/>
              </w:rPr>
              <w:t>(m)</w:t>
            </w:r>
          </w:p>
        </w:tc>
        <w:tc>
          <w:tcPr>
            <w:tcW w:w="855" w:type="pct"/>
            <w:vMerge w:val="restart"/>
            <w:shd w:val="clear" w:color="auto" w:fill="auto"/>
            <w:vAlign w:val="center"/>
          </w:tcPr>
          <w:p w14:paraId="6C3B3A77">
            <w:pPr>
              <w:widowControl/>
              <w:jc w:val="center"/>
              <w:rPr>
                <w:b/>
                <w:bCs/>
                <w:color w:val="000000"/>
                <w:kern w:val="0"/>
                <w:szCs w:val="21"/>
              </w:rPr>
            </w:pPr>
            <w:r>
              <w:rPr>
                <w:rFonts w:hint="eastAsia"/>
                <w:b/>
                <w:bCs/>
                <w:color w:val="000000"/>
                <w:kern w:val="0"/>
                <w:szCs w:val="21"/>
              </w:rPr>
              <w:t>距边导线距离</w:t>
            </w:r>
            <w:r>
              <w:rPr>
                <w:b/>
                <w:bCs/>
                <w:color w:val="000000"/>
                <w:kern w:val="0"/>
                <w:szCs w:val="21"/>
              </w:rPr>
              <w:t>(m)</w:t>
            </w:r>
          </w:p>
        </w:tc>
        <w:tc>
          <w:tcPr>
            <w:tcW w:w="1573" w:type="pct"/>
            <w:gridSpan w:val="2"/>
            <w:shd w:val="clear" w:color="auto" w:fill="auto"/>
            <w:vAlign w:val="center"/>
          </w:tcPr>
          <w:p w14:paraId="43DA6BB0">
            <w:pPr>
              <w:widowControl/>
              <w:jc w:val="center"/>
              <w:rPr>
                <w:b/>
                <w:bCs/>
                <w:color w:val="000000"/>
                <w:kern w:val="0"/>
                <w:szCs w:val="21"/>
              </w:rPr>
            </w:pPr>
            <w:r>
              <w:rPr>
                <w:rFonts w:hint="eastAsia"/>
                <w:b/>
                <w:bCs/>
                <w:color w:val="000000"/>
                <w:kern w:val="0"/>
                <w:szCs w:val="21"/>
              </w:rPr>
              <w:t>非居民区（导线对地</w:t>
            </w:r>
            <w:r>
              <w:rPr>
                <w:b/>
                <w:bCs/>
                <w:color w:val="000000"/>
                <w:kern w:val="0"/>
                <w:szCs w:val="21"/>
              </w:rPr>
              <w:t>6</w:t>
            </w:r>
            <w:r>
              <w:rPr>
                <w:rFonts w:hint="eastAsia"/>
                <w:b/>
                <w:bCs/>
                <w:color w:val="000000"/>
                <w:kern w:val="0"/>
                <w:szCs w:val="21"/>
              </w:rPr>
              <w:t>.</w:t>
            </w:r>
            <w:r>
              <w:rPr>
                <w:rFonts w:hint="eastAsia"/>
                <w:b/>
                <w:bCs/>
                <w:color w:val="000000"/>
                <w:kern w:val="0"/>
                <w:szCs w:val="21"/>
                <w:lang w:val="en-US" w:eastAsia="zh-CN"/>
              </w:rPr>
              <w:t>0</w:t>
            </w:r>
            <w:r>
              <w:rPr>
                <w:b/>
                <w:bCs/>
                <w:color w:val="000000"/>
                <w:kern w:val="0"/>
                <w:szCs w:val="21"/>
              </w:rPr>
              <w:t>m</w:t>
            </w:r>
            <w:r>
              <w:rPr>
                <w:rFonts w:hint="eastAsia"/>
                <w:b/>
                <w:bCs/>
                <w:color w:val="000000"/>
                <w:kern w:val="0"/>
                <w:szCs w:val="21"/>
              </w:rPr>
              <w:t>，距地面</w:t>
            </w:r>
            <w:r>
              <w:rPr>
                <w:b/>
                <w:bCs/>
                <w:color w:val="000000"/>
                <w:kern w:val="0"/>
                <w:szCs w:val="21"/>
              </w:rPr>
              <w:t>1.5m</w:t>
            </w:r>
            <w:r>
              <w:rPr>
                <w:rFonts w:hint="eastAsia"/>
                <w:b/>
                <w:bCs/>
                <w:color w:val="000000"/>
                <w:kern w:val="0"/>
                <w:szCs w:val="21"/>
              </w:rPr>
              <w:t>处）</w:t>
            </w:r>
          </w:p>
        </w:tc>
        <w:tc>
          <w:tcPr>
            <w:tcW w:w="1650" w:type="pct"/>
            <w:gridSpan w:val="2"/>
            <w:shd w:val="clear" w:color="auto" w:fill="auto"/>
            <w:vAlign w:val="center"/>
          </w:tcPr>
          <w:p w14:paraId="6536B77D">
            <w:pPr>
              <w:widowControl/>
              <w:jc w:val="center"/>
              <w:rPr>
                <w:b/>
                <w:bCs/>
                <w:color w:val="000000"/>
                <w:kern w:val="0"/>
                <w:szCs w:val="21"/>
              </w:rPr>
            </w:pPr>
            <w:r>
              <w:rPr>
                <w:rFonts w:hint="eastAsia"/>
                <w:b/>
                <w:bCs/>
                <w:color w:val="000000"/>
                <w:kern w:val="0"/>
                <w:szCs w:val="21"/>
              </w:rPr>
              <w:t>居民区（导线对地7.</w:t>
            </w:r>
            <w:r>
              <w:rPr>
                <w:rFonts w:hint="eastAsia"/>
                <w:b/>
                <w:bCs/>
                <w:color w:val="000000"/>
                <w:kern w:val="0"/>
                <w:szCs w:val="21"/>
                <w:lang w:val="en-US" w:eastAsia="zh-CN"/>
              </w:rPr>
              <w:t>0</w:t>
            </w:r>
            <w:r>
              <w:rPr>
                <w:b/>
                <w:bCs/>
                <w:color w:val="000000"/>
                <w:kern w:val="0"/>
                <w:szCs w:val="21"/>
              </w:rPr>
              <w:t>m</w:t>
            </w:r>
            <w:r>
              <w:rPr>
                <w:rFonts w:hint="eastAsia"/>
                <w:b/>
                <w:bCs/>
                <w:color w:val="000000"/>
                <w:kern w:val="0"/>
                <w:szCs w:val="21"/>
              </w:rPr>
              <w:t>，距地面</w:t>
            </w:r>
            <w:r>
              <w:rPr>
                <w:b/>
                <w:bCs/>
                <w:color w:val="000000"/>
                <w:kern w:val="0"/>
                <w:szCs w:val="21"/>
              </w:rPr>
              <w:t>1.5m</w:t>
            </w:r>
            <w:r>
              <w:rPr>
                <w:rFonts w:hint="eastAsia"/>
                <w:b/>
                <w:bCs/>
                <w:color w:val="000000"/>
                <w:kern w:val="0"/>
                <w:szCs w:val="21"/>
              </w:rPr>
              <w:t>处）</w:t>
            </w:r>
          </w:p>
        </w:tc>
      </w:tr>
      <w:tr w14:paraId="4364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21" w:type="pct"/>
            <w:vMerge w:val="continue"/>
            <w:vAlign w:val="center"/>
          </w:tcPr>
          <w:p w14:paraId="2BD501B5">
            <w:pPr>
              <w:widowControl/>
              <w:jc w:val="center"/>
              <w:rPr>
                <w:b/>
                <w:bCs/>
                <w:color w:val="000000"/>
                <w:kern w:val="0"/>
                <w:szCs w:val="21"/>
              </w:rPr>
            </w:pPr>
          </w:p>
        </w:tc>
        <w:tc>
          <w:tcPr>
            <w:tcW w:w="855" w:type="pct"/>
            <w:vMerge w:val="continue"/>
            <w:vAlign w:val="center"/>
          </w:tcPr>
          <w:p w14:paraId="03D8DE42">
            <w:pPr>
              <w:widowControl/>
              <w:jc w:val="center"/>
              <w:rPr>
                <w:b/>
                <w:bCs/>
                <w:color w:val="000000"/>
                <w:kern w:val="0"/>
                <w:szCs w:val="21"/>
              </w:rPr>
            </w:pPr>
          </w:p>
        </w:tc>
        <w:tc>
          <w:tcPr>
            <w:tcW w:w="767" w:type="pct"/>
            <w:shd w:val="clear" w:color="auto" w:fill="auto"/>
            <w:vAlign w:val="center"/>
          </w:tcPr>
          <w:p w14:paraId="196C09D3">
            <w:pPr>
              <w:widowControl/>
              <w:jc w:val="center"/>
              <w:rPr>
                <w:b/>
                <w:bCs/>
                <w:color w:val="000000"/>
                <w:kern w:val="0"/>
                <w:szCs w:val="21"/>
              </w:rPr>
            </w:pPr>
            <w:r>
              <w:rPr>
                <w:rFonts w:hint="eastAsia"/>
                <w:b/>
                <w:bCs/>
                <w:color w:val="000000"/>
                <w:kern w:val="0"/>
                <w:szCs w:val="21"/>
              </w:rPr>
              <w:t>工频电场（</w:t>
            </w:r>
            <w:r>
              <w:rPr>
                <w:rFonts w:cs="ˎ̥"/>
                <w:b/>
                <w:bCs/>
                <w:color w:val="000000"/>
                <w:szCs w:val="21"/>
              </w:rPr>
              <w:t>kV</w:t>
            </w:r>
            <w:r>
              <w:rPr>
                <w:rFonts w:hint="eastAsia" w:cs="ˎ̥"/>
                <w:b/>
                <w:bCs/>
                <w:color w:val="000000"/>
                <w:szCs w:val="21"/>
              </w:rPr>
              <w:t>/m)</w:t>
            </w:r>
          </w:p>
        </w:tc>
        <w:tc>
          <w:tcPr>
            <w:tcW w:w="805" w:type="pct"/>
            <w:vAlign w:val="center"/>
          </w:tcPr>
          <w:p w14:paraId="07CC4979">
            <w:pPr>
              <w:widowControl/>
              <w:jc w:val="center"/>
              <w:rPr>
                <w:b/>
                <w:bCs/>
                <w:color w:val="000000"/>
                <w:kern w:val="0"/>
                <w:szCs w:val="21"/>
              </w:rPr>
            </w:pPr>
            <w:r>
              <w:rPr>
                <w:rFonts w:hint="eastAsia"/>
                <w:b/>
                <w:bCs/>
                <w:color w:val="000000"/>
                <w:kern w:val="0"/>
                <w:szCs w:val="21"/>
              </w:rPr>
              <w:t>工频磁感应强度（</w:t>
            </w:r>
            <w:r>
              <w:rPr>
                <w:rFonts w:hint="eastAsia"/>
                <w:color w:val="000000"/>
                <w:sz w:val="21"/>
                <w:szCs w:val="21"/>
              </w:rPr>
              <w:t>µT）</w:t>
            </w:r>
          </w:p>
        </w:tc>
        <w:tc>
          <w:tcPr>
            <w:tcW w:w="828" w:type="pct"/>
            <w:vAlign w:val="center"/>
          </w:tcPr>
          <w:p w14:paraId="38E3D0AD">
            <w:pPr>
              <w:widowControl/>
              <w:jc w:val="center"/>
              <w:rPr>
                <w:b/>
                <w:bCs/>
                <w:color w:val="000000"/>
                <w:kern w:val="0"/>
                <w:szCs w:val="21"/>
              </w:rPr>
            </w:pPr>
            <w:r>
              <w:rPr>
                <w:rFonts w:hint="eastAsia"/>
                <w:b/>
                <w:bCs/>
                <w:color w:val="000000"/>
                <w:kern w:val="0"/>
                <w:szCs w:val="21"/>
              </w:rPr>
              <w:t>工频电场（</w:t>
            </w:r>
            <w:r>
              <w:rPr>
                <w:rFonts w:cs="ˎ̥"/>
                <w:b/>
                <w:bCs/>
                <w:color w:val="000000"/>
                <w:szCs w:val="21"/>
              </w:rPr>
              <w:t>kV</w:t>
            </w:r>
            <w:r>
              <w:rPr>
                <w:rFonts w:hint="eastAsia" w:cs="ˎ̥"/>
                <w:b/>
                <w:bCs/>
                <w:color w:val="000000"/>
                <w:szCs w:val="21"/>
              </w:rPr>
              <w:t>/m)</w:t>
            </w:r>
          </w:p>
        </w:tc>
        <w:tc>
          <w:tcPr>
            <w:tcW w:w="821" w:type="pct"/>
            <w:vAlign w:val="center"/>
          </w:tcPr>
          <w:p w14:paraId="11F5CED9">
            <w:pPr>
              <w:widowControl/>
              <w:jc w:val="center"/>
              <w:rPr>
                <w:b/>
                <w:bCs/>
                <w:color w:val="000000"/>
                <w:kern w:val="0"/>
                <w:szCs w:val="21"/>
              </w:rPr>
            </w:pPr>
            <w:r>
              <w:rPr>
                <w:rFonts w:hint="eastAsia"/>
                <w:b/>
                <w:bCs/>
                <w:color w:val="000000"/>
                <w:kern w:val="0"/>
                <w:szCs w:val="21"/>
              </w:rPr>
              <w:t>工频磁感应强度（</w:t>
            </w:r>
            <w:r>
              <w:rPr>
                <w:rFonts w:hint="eastAsia"/>
                <w:color w:val="000000"/>
                <w:sz w:val="21"/>
                <w:szCs w:val="21"/>
              </w:rPr>
              <w:t>µT）</w:t>
            </w:r>
          </w:p>
        </w:tc>
      </w:tr>
      <w:tr w14:paraId="3E5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4DD598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-35.64</w:t>
            </w:r>
          </w:p>
        </w:tc>
        <w:tc>
          <w:tcPr>
            <w:tcW w:w="855" w:type="pct"/>
            <w:vAlign w:val="center"/>
          </w:tcPr>
          <w:p w14:paraId="2A16FE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30m</w:t>
            </w:r>
          </w:p>
        </w:tc>
        <w:tc>
          <w:tcPr>
            <w:tcW w:w="767" w:type="pct"/>
            <w:shd w:val="clear" w:color="auto" w:fill="auto"/>
            <w:vAlign w:val="center"/>
          </w:tcPr>
          <w:p w14:paraId="69ABA8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805" w:type="pct"/>
            <w:vAlign w:val="center"/>
          </w:tcPr>
          <w:p w14:paraId="192E556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0.93 </w:t>
            </w:r>
          </w:p>
        </w:tc>
        <w:tc>
          <w:tcPr>
            <w:tcW w:w="828" w:type="pct"/>
            <w:vAlign w:val="center"/>
          </w:tcPr>
          <w:p w14:paraId="6E93234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21" w:type="pct"/>
            <w:vAlign w:val="center"/>
          </w:tcPr>
          <w:p w14:paraId="06FBCA7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0.92 </w:t>
            </w:r>
          </w:p>
        </w:tc>
      </w:tr>
      <w:tr w14:paraId="36BA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166A5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-34.64</w:t>
            </w:r>
          </w:p>
        </w:tc>
        <w:tc>
          <w:tcPr>
            <w:tcW w:w="855" w:type="pct"/>
            <w:vAlign w:val="center"/>
          </w:tcPr>
          <w:p w14:paraId="43FC24E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29m</w:t>
            </w:r>
          </w:p>
        </w:tc>
        <w:tc>
          <w:tcPr>
            <w:tcW w:w="767" w:type="pct"/>
            <w:shd w:val="clear" w:color="auto" w:fill="auto"/>
            <w:vAlign w:val="center"/>
          </w:tcPr>
          <w:p w14:paraId="0B25F10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05" w:type="pct"/>
            <w:vAlign w:val="center"/>
          </w:tcPr>
          <w:p w14:paraId="293CE49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c>
          <w:tcPr>
            <w:tcW w:w="828" w:type="pct"/>
            <w:vAlign w:val="center"/>
          </w:tcPr>
          <w:p w14:paraId="2BC3759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21" w:type="pct"/>
            <w:vAlign w:val="center"/>
          </w:tcPr>
          <w:p w14:paraId="1C61161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r>
      <w:tr w14:paraId="07AA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5EF7C7D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-33.64</w:t>
            </w:r>
          </w:p>
        </w:tc>
        <w:tc>
          <w:tcPr>
            <w:tcW w:w="855" w:type="pct"/>
            <w:vAlign w:val="center"/>
          </w:tcPr>
          <w:p w14:paraId="2CBBF7D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28m</w:t>
            </w:r>
          </w:p>
        </w:tc>
        <w:tc>
          <w:tcPr>
            <w:tcW w:w="767" w:type="pct"/>
            <w:vAlign w:val="center"/>
          </w:tcPr>
          <w:p w14:paraId="4E6D72A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05" w:type="pct"/>
            <w:vAlign w:val="center"/>
          </w:tcPr>
          <w:p w14:paraId="186B0FA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1.05 </w:t>
            </w:r>
          </w:p>
        </w:tc>
        <w:tc>
          <w:tcPr>
            <w:tcW w:w="828" w:type="pct"/>
            <w:vAlign w:val="center"/>
          </w:tcPr>
          <w:p w14:paraId="1162CD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21" w:type="pct"/>
            <w:vAlign w:val="center"/>
          </w:tcPr>
          <w:p w14:paraId="02906C2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1.04 </w:t>
            </w:r>
          </w:p>
        </w:tc>
      </w:tr>
      <w:tr w14:paraId="1592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60BF1D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-32.64</w:t>
            </w:r>
          </w:p>
        </w:tc>
        <w:tc>
          <w:tcPr>
            <w:tcW w:w="855" w:type="pct"/>
            <w:vAlign w:val="center"/>
          </w:tcPr>
          <w:p w14:paraId="2279BB0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27m</w:t>
            </w:r>
          </w:p>
        </w:tc>
        <w:tc>
          <w:tcPr>
            <w:tcW w:w="767" w:type="pct"/>
            <w:vAlign w:val="center"/>
          </w:tcPr>
          <w:p w14:paraId="54CD99D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05" w:type="pct"/>
            <w:vAlign w:val="center"/>
          </w:tcPr>
          <w:p w14:paraId="5DFBCED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1.11 </w:t>
            </w:r>
          </w:p>
        </w:tc>
        <w:tc>
          <w:tcPr>
            <w:tcW w:w="828" w:type="pct"/>
            <w:vAlign w:val="center"/>
          </w:tcPr>
          <w:p w14:paraId="6C3DE65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21" w:type="pct"/>
            <w:vAlign w:val="center"/>
          </w:tcPr>
          <w:p w14:paraId="0459E6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1.10 </w:t>
            </w:r>
          </w:p>
        </w:tc>
      </w:tr>
      <w:tr w14:paraId="7091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10316F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-31.64</w:t>
            </w:r>
          </w:p>
        </w:tc>
        <w:tc>
          <w:tcPr>
            <w:tcW w:w="855" w:type="pct"/>
            <w:vAlign w:val="center"/>
          </w:tcPr>
          <w:p w14:paraId="0BB555E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26m</w:t>
            </w:r>
          </w:p>
        </w:tc>
        <w:tc>
          <w:tcPr>
            <w:tcW w:w="767" w:type="pct"/>
            <w:vAlign w:val="center"/>
          </w:tcPr>
          <w:p w14:paraId="4400328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05" w:type="pct"/>
            <w:vAlign w:val="center"/>
          </w:tcPr>
          <w:p w14:paraId="72CF3A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1.18 </w:t>
            </w:r>
          </w:p>
        </w:tc>
        <w:tc>
          <w:tcPr>
            <w:tcW w:w="828" w:type="pct"/>
            <w:vAlign w:val="center"/>
          </w:tcPr>
          <w:p w14:paraId="41908A1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21" w:type="pct"/>
            <w:vAlign w:val="center"/>
          </w:tcPr>
          <w:p w14:paraId="13EEFBF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1.17 </w:t>
            </w:r>
          </w:p>
        </w:tc>
      </w:tr>
      <w:tr w14:paraId="656A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BF1E84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-30.64</w:t>
            </w:r>
          </w:p>
        </w:tc>
        <w:tc>
          <w:tcPr>
            <w:tcW w:w="855" w:type="pct"/>
            <w:vAlign w:val="center"/>
          </w:tcPr>
          <w:p w14:paraId="7D0B72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25m</w:t>
            </w:r>
          </w:p>
        </w:tc>
        <w:tc>
          <w:tcPr>
            <w:tcW w:w="767" w:type="pct"/>
            <w:vAlign w:val="center"/>
          </w:tcPr>
          <w:p w14:paraId="6423CA9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05" w:type="pct"/>
            <w:vAlign w:val="center"/>
          </w:tcPr>
          <w:p w14:paraId="599A0E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1.26 </w:t>
            </w:r>
          </w:p>
        </w:tc>
        <w:tc>
          <w:tcPr>
            <w:tcW w:w="828" w:type="pct"/>
            <w:vAlign w:val="center"/>
          </w:tcPr>
          <w:p w14:paraId="37C98C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21" w:type="pct"/>
            <w:vAlign w:val="center"/>
          </w:tcPr>
          <w:p w14:paraId="17EEAFE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1.25 </w:t>
            </w:r>
          </w:p>
        </w:tc>
      </w:tr>
      <w:tr w14:paraId="58D8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429292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-29.64</w:t>
            </w:r>
          </w:p>
        </w:tc>
        <w:tc>
          <w:tcPr>
            <w:tcW w:w="855" w:type="pct"/>
            <w:vAlign w:val="center"/>
          </w:tcPr>
          <w:p w14:paraId="7B56C87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24m</w:t>
            </w:r>
          </w:p>
        </w:tc>
        <w:tc>
          <w:tcPr>
            <w:tcW w:w="767" w:type="pct"/>
            <w:vAlign w:val="center"/>
          </w:tcPr>
          <w:p w14:paraId="1B2EC15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05" w:type="pct"/>
            <w:vAlign w:val="center"/>
          </w:tcPr>
          <w:p w14:paraId="2B2845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1.35 </w:t>
            </w:r>
          </w:p>
        </w:tc>
        <w:tc>
          <w:tcPr>
            <w:tcW w:w="828" w:type="pct"/>
            <w:vAlign w:val="center"/>
          </w:tcPr>
          <w:p w14:paraId="199E70D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0.10 </w:t>
            </w:r>
          </w:p>
        </w:tc>
        <w:tc>
          <w:tcPr>
            <w:tcW w:w="821" w:type="pct"/>
            <w:vAlign w:val="center"/>
          </w:tcPr>
          <w:p w14:paraId="4980438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 </w:t>
            </w:r>
          </w:p>
        </w:tc>
      </w:tr>
      <w:tr w14:paraId="4F1F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A3134A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-28.64</w:t>
            </w:r>
          </w:p>
        </w:tc>
        <w:tc>
          <w:tcPr>
            <w:tcW w:w="855" w:type="pct"/>
            <w:vAlign w:val="center"/>
          </w:tcPr>
          <w:p w14:paraId="49B0834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23m</w:t>
            </w:r>
          </w:p>
        </w:tc>
        <w:tc>
          <w:tcPr>
            <w:tcW w:w="767" w:type="pct"/>
            <w:vAlign w:val="center"/>
          </w:tcPr>
          <w:p w14:paraId="6F225D9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0.10 </w:t>
            </w:r>
          </w:p>
        </w:tc>
        <w:tc>
          <w:tcPr>
            <w:tcW w:w="805" w:type="pct"/>
            <w:vAlign w:val="center"/>
          </w:tcPr>
          <w:p w14:paraId="31393B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1.45 </w:t>
            </w:r>
          </w:p>
        </w:tc>
        <w:tc>
          <w:tcPr>
            <w:tcW w:w="828" w:type="pct"/>
            <w:vAlign w:val="center"/>
          </w:tcPr>
          <w:p w14:paraId="255C5DA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821" w:type="pct"/>
            <w:vAlign w:val="center"/>
          </w:tcPr>
          <w:p w14:paraId="5AC02B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1.43 </w:t>
            </w:r>
          </w:p>
        </w:tc>
      </w:tr>
      <w:tr w14:paraId="76CE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F02BF0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-27.64</w:t>
            </w:r>
          </w:p>
        </w:tc>
        <w:tc>
          <w:tcPr>
            <w:tcW w:w="855" w:type="pct"/>
            <w:vAlign w:val="center"/>
          </w:tcPr>
          <w:p w14:paraId="30A9D0F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22m</w:t>
            </w:r>
          </w:p>
        </w:tc>
        <w:tc>
          <w:tcPr>
            <w:tcW w:w="767" w:type="pct"/>
            <w:vAlign w:val="center"/>
          </w:tcPr>
          <w:p w14:paraId="62D1217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805" w:type="pct"/>
            <w:vAlign w:val="center"/>
          </w:tcPr>
          <w:p w14:paraId="5EF1A6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1.56 </w:t>
            </w:r>
          </w:p>
        </w:tc>
        <w:tc>
          <w:tcPr>
            <w:tcW w:w="828" w:type="pct"/>
            <w:vAlign w:val="center"/>
          </w:tcPr>
          <w:p w14:paraId="2F4C7CD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0.13 </w:t>
            </w:r>
          </w:p>
        </w:tc>
        <w:tc>
          <w:tcPr>
            <w:tcW w:w="821" w:type="pct"/>
            <w:vAlign w:val="center"/>
          </w:tcPr>
          <w:p w14:paraId="0C2F9C3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 </w:t>
            </w:r>
          </w:p>
        </w:tc>
      </w:tr>
      <w:tr w14:paraId="7C56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BC9A6D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-26.64</w:t>
            </w:r>
          </w:p>
        </w:tc>
        <w:tc>
          <w:tcPr>
            <w:tcW w:w="855" w:type="pct"/>
            <w:vAlign w:val="center"/>
          </w:tcPr>
          <w:p w14:paraId="215E33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21m</w:t>
            </w:r>
          </w:p>
        </w:tc>
        <w:tc>
          <w:tcPr>
            <w:tcW w:w="767" w:type="pct"/>
            <w:vAlign w:val="center"/>
          </w:tcPr>
          <w:p w14:paraId="683DC71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0.13 </w:t>
            </w:r>
          </w:p>
        </w:tc>
        <w:tc>
          <w:tcPr>
            <w:tcW w:w="805" w:type="pct"/>
            <w:vAlign w:val="center"/>
          </w:tcPr>
          <w:p w14:paraId="0126EDC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1.68 </w:t>
            </w:r>
          </w:p>
        </w:tc>
        <w:tc>
          <w:tcPr>
            <w:tcW w:w="828" w:type="pct"/>
            <w:vAlign w:val="center"/>
          </w:tcPr>
          <w:p w14:paraId="03B6B9F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0.14 </w:t>
            </w:r>
          </w:p>
        </w:tc>
        <w:tc>
          <w:tcPr>
            <w:tcW w:w="821" w:type="pct"/>
            <w:vAlign w:val="center"/>
          </w:tcPr>
          <w:p w14:paraId="4C1DC5E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1.65 </w:t>
            </w:r>
          </w:p>
        </w:tc>
      </w:tr>
      <w:tr w14:paraId="5C53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A9CF34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-25.64</w:t>
            </w:r>
          </w:p>
        </w:tc>
        <w:tc>
          <w:tcPr>
            <w:tcW w:w="855" w:type="pct"/>
            <w:vAlign w:val="center"/>
          </w:tcPr>
          <w:p w14:paraId="30C31F3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20m</w:t>
            </w:r>
          </w:p>
        </w:tc>
        <w:tc>
          <w:tcPr>
            <w:tcW w:w="767" w:type="pct"/>
            <w:vAlign w:val="center"/>
          </w:tcPr>
          <w:p w14:paraId="108D86E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0.14 </w:t>
            </w:r>
          </w:p>
        </w:tc>
        <w:tc>
          <w:tcPr>
            <w:tcW w:w="805" w:type="pct"/>
            <w:vAlign w:val="center"/>
          </w:tcPr>
          <w:p w14:paraId="6DD627D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1.81 </w:t>
            </w:r>
          </w:p>
        </w:tc>
        <w:tc>
          <w:tcPr>
            <w:tcW w:w="828" w:type="pct"/>
            <w:vAlign w:val="center"/>
          </w:tcPr>
          <w:p w14:paraId="1D4DCF2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821" w:type="pct"/>
            <w:vAlign w:val="center"/>
          </w:tcPr>
          <w:p w14:paraId="414DFF1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1.78 </w:t>
            </w:r>
          </w:p>
        </w:tc>
      </w:tr>
      <w:tr w14:paraId="4E4D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5243D24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-24.64</w:t>
            </w:r>
          </w:p>
        </w:tc>
        <w:tc>
          <w:tcPr>
            <w:tcW w:w="855" w:type="pct"/>
            <w:vAlign w:val="center"/>
          </w:tcPr>
          <w:p w14:paraId="15228F7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19m</w:t>
            </w:r>
          </w:p>
        </w:tc>
        <w:tc>
          <w:tcPr>
            <w:tcW w:w="767" w:type="pct"/>
            <w:vAlign w:val="center"/>
          </w:tcPr>
          <w:p w14:paraId="25A79F2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805" w:type="pct"/>
            <w:vAlign w:val="center"/>
          </w:tcPr>
          <w:p w14:paraId="1C357F7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1.97 </w:t>
            </w:r>
          </w:p>
        </w:tc>
        <w:tc>
          <w:tcPr>
            <w:tcW w:w="828" w:type="pct"/>
            <w:vAlign w:val="center"/>
          </w:tcPr>
          <w:p w14:paraId="12E32CB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821" w:type="pct"/>
            <w:vAlign w:val="center"/>
          </w:tcPr>
          <w:p w14:paraId="2D500AE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1.93 </w:t>
            </w:r>
          </w:p>
        </w:tc>
      </w:tr>
      <w:tr w14:paraId="57D8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65775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-23.64</w:t>
            </w:r>
          </w:p>
        </w:tc>
        <w:tc>
          <w:tcPr>
            <w:tcW w:w="855" w:type="pct"/>
            <w:vAlign w:val="center"/>
          </w:tcPr>
          <w:p w14:paraId="206819F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18m</w:t>
            </w:r>
          </w:p>
        </w:tc>
        <w:tc>
          <w:tcPr>
            <w:tcW w:w="767" w:type="pct"/>
            <w:vAlign w:val="center"/>
          </w:tcPr>
          <w:p w14:paraId="0BCE2E7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805" w:type="pct"/>
            <w:vAlign w:val="center"/>
          </w:tcPr>
          <w:p w14:paraId="2F4B71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2.14 </w:t>
            </w:r>
          </w:p>
        </w:tc>
        <w:tc>
          <w:tcPr>
            <w:tcW w:w="828" w:type="pct"/>
            <w:vAlign w:val="center"/>
          </w:tcPr>
          <w:p w14:paraId="2999522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0.20 </w:t>
            </w:r>
          </w:p>
        </w:tc>
        <w:tc>
          <w:tcPr>
            <w:tcW w:w="821" w:type="pct"/>
            <w:vAlign w:val="center"/>
          </w:tcPr>
          <w:p w14:paraId="1D3536E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2.10 </w:t>
            </w:r>
          </w:p>
        </w:tc>
      </w:tr>
      <w:tr w14:paraId="5411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4A991D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-22.64</w:t>
            </w:r>
          </w:p>
        </w:tc>
        <w:tc>
          <w:tcPr>
            <w:tcW w:w="855" w:type="pct"/>
            <w:vAlign w:val="center"/>
          </w:tcPr>
          <w:p w14:paraId="76AEDFE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17m</w:t>
            </w:r>
          </w:p>
        </w:tc>
        <w:tc>
          <w:tcPr>
            <w:tcW w:w="767" w:type="pct"/>
            <w:vAlign w:val="center"/>
          </w:tcPr>
          <w:p w14:paraId="3DFD225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0.20 </w:t>
            </w:r>
          </w:p>
        </w:tc>
        <w:tc>
          <w:tcPr>
            <w:tcW w:w="805" w:type="pct"/>
            <w:vAlign w:val="center"/>
          </w:tcPr>
          <w:p w14:paraId="6A28353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2.34 </w:t>
            </w:r>
          </w:p>
        </w:tc>
        <w:tc>
          <w:tcPr>
            <w:tcW w:w="828" w:type="pct"/>
            <w:vAlign w:val="center"/>
          </w:tcPr>
          <w:p w14:paraId="37355A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0.22 </w:t>
            </w:r>
          </w:p>
        </w:tc>
        <w:tc>
          <w:tcPr>
            <w:tcW w:w="821" w:type="pct"/>
            <w:vAlign w:val="center"/>
          </w:tcPr>
          <w:p w14:paraId="17F4685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2.29 </w:t>
            </w:r>
          </w:p>
        </w:tc>
      </w:tr>
      <w:tr w14:paraId="6F63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EBA1E9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-21.64</w:t>
            </w:r>
          </w:p>
        </w:tc>
        <w:tc>
          <w:tcPr>
            <w:tcW w:w="855" w:type="pct"/>
            <w:vAlign w:val="center"/>
          </w:tcPr>
          <w:p w14:paraId="1375EDF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16m</w:t>
            </w:r>
          </w:p>
        </w:tc>
        <w:tc>
          <w:tcPr>
            <w:tcW w:w="767" w:type="pct"/>
            <w:vAlign w:val="center"/>
          </w:tcPr>
          <w:p w14:paraId="7732F5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0.23 </w:t>
            </w:r>
          </w:p>
        </w:tc>
        <w:tc>
          <w:tcPr>
            <w:tcW w:w="805" w:type="pct"/>
            <w:vAlign w:val="center"/>
          </w:tcPr>
          <w:p w14:paraId="684982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2.57 </w:t>
            </w:r>
          </w:p>
        </w:tc>
        <w:tc>
          <w:tcPr>
            <w:tcW w:w="828" w:type="pct"/>
            <w:vAlign w:val="center"/>
          </w:tcPr>
          <w:p w14:paraId="10E1850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0.25 </w:t>
            </w:r>
          </w:p>
        </w:tc>
        <w:tc>
          <w:tcPr>
            <w:tcW w:w="821" w:type="pct"/>
            <w:vAlign w:val="center"/>
          </w:tcPr>
          <w:p w14:paraId="4BF7BC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2.50 </w:t>
            </w:r>
          </w:p>
        </w:tc>
      </w:tr>
      <w:tr w14:paraId="0C48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A6B0F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-20.64</w:t>
            </w:r>
          </w:p>
        </w:tc>
        <w:tc>
          <w:tcPr>
            <w:tcW w:w="855" w:type="pct"/>
            <w:vAlign w:val="center"/>
          </w:tcPr>
          <w:p w14:paraId="2B437F7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15m</w:t>
            </w:r>
          </w:p>
        </w:tc>
        <w:tc>
          <w:tcPr>
            <w:tcW w:w="767" w:type="pct"/>
            <w:vAlign w:val="center"/>
          </w:tcPr>
          <w:p w14:paraId="4EDADC6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0.27 </w:t>
            </w:r>
          </w:p>
        </w:tc>
        <w:tc>
          <w:tcPr>
            <w:tcW w:w="805" w:type="pct"/>
            <w:vAlign w:val="center"/>
          </w:tcPr>
          <w:p w14:paraId="342C72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2.83 </w:t>
            </w:r>
          </w:p>
        </w:tc>
        <w:tc>
          <w:tcPr>
            <w:tcW w:w="828" w:type="pct"/>
            <w:vAlign w:val="center"/>
          </w:tcPr>
          <w:p w14:paraId="4911642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0.29 </w:t>
            </w:r>
          </w:p>
        </w:tc>
        <w:tc>
          <w:tcPr>
            <w:tcW w:w="821" w:type="pct"/>
            <w:vAlign w:val="center"/>
          </w:tcPr>
          <w:p w14:paraId="513F4DE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2.75 </w:t>
            </w:r>
          </w:p>
        </w:tc>
      </w:tr>
      <w:tr w14:paraId="37F8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37EAF5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-19.64</w:t>
            </w:r>
          </w:p>
        </w:tc>
        <w:tc>
          <w:tcPr>
            <w:tcW w:w="855" w:type="pct"/>
            <w:vAlign w:val="center"/>
          </w:tcPr>
          <w:p w14:paraId="74A4B8C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14m</w:t>
            </w:r>
          </w:p>
        </w:tc>
        <w:tc>
          <w:tcPr>
            <w:tcW w:w="767" w:type="pct"/>
            <w:vAlign w:val="center"/>
          </w:tcPr>
          <w:p w14:paraId="47F3D54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0.31 </w:t>
            </w:r>
          </w:p>
        </w:tc>
        <w:tc>
          <w:tcPr>
            <w:tcW w:w="805" w:type="pct"/>
            <w:vAlign w:val="center"/>
          </w:tcPr>
          <w:p w14:paraId="744CC88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3.13 </w:t>
            </w:r>
          </w:p>
        </w:tc>
        <w:tc>
          <w:tcPr>
            <w:tcW w:w="828" w:type="pct"/>
            <w:vAlign w:val="center"/>
          </w:tcPr>
          <w:p w14:paraId="06BA40C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0.33 </w:t>
            </w:r>
          </w:p>
        </w:tc>
        <w:tc>
          <w:tcPr>
            <w:tcW w:w="821" w:type="pct"/>
            <w:vAlign w:val="center"/>
          </w:tcPr>
          <w:p w14:paraId="15A58F4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3.04 </w:t>
            </w:r>
          </w:p>
        </w:tc>
      </w:tr>
      <w:tr w14:paraId="630B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902464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-18.64</w:t>
            </w:r>
          </w:p>
        </w:tc>
        <w:tc>
          <w:tcPr>
            <w:tcW w:w="855" w:type="pct"/>
            <w:vAlign w:val="center"/>
          </w:tcPr>
          <w:p w14:paraId="32CC852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13m</w:t>
            </w:r>
          </w:p>
        </w:tc>
        <w:tc>
          <w:tcPr>
            <w:tcW w:w="767" w:type="pct"/>
            <w:vAlign w:val="center"/>
          </w:tcPr>
          <w:p w14:paraId="4AA3B1C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0.36 </w:t>
            </w:r>
          </w:p>
        </w:tc>
        <w:tc>
          <w:tcPr>
            <w:tcW w:w="805" w:type="pct"/>
            <w:vAlign w:val="center"/>
          </w:tcPr>
          <w:p w14:paraId="26C1913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3.48 </w:t>
            </w:r>
          </w:p>
        </w:tc>
        <w:tc>
          <w:tcPr>
            <w:tcW w:w="828" w:type="pct"/>
            <w:vAlign w:val="center"/>
          </w:tcPr>
          <w:p w14:paraId="68EF33B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0.38 </w:t>
            </w:r>
          </w:p>
        </w:tc>
        <w:tc>
          <w:tcPr>
            <w:tcW w:w="821" w:type="pct"/>
            <w:vAlign w:val="center"/>
          </w:tcPr>
          <w:p w14:paraId="7F0D189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3.37 </w:t>
            </w:r>
          </w:p>
        </w:tc>
      </w:tr>
      <w:tr w14:paraId="3B26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9B0BD7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-17.64</w:t>
            </w:r>
          </w:p>
        </w:tc>
        <w:tc>
          <w:tcPr>
            <w:tcW w:w="855" w:type="pct"/>
            <w:vAlign w:val="center"/>
          </w:tcPr>
          <w:p w14:paraId="3F98A7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12m</w:t>
            </w:r>
          </w:p>
        </w:tc>
        <w:tc>
          <w:tcPr>
            <w:tcW w:w="767" w:type="pct"/>
            <w:vAlign w:val="center"/>
          </w:tcPr>
          <w:p w14:paraId="1682396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0.42 </w:t>
            </w:r>
          </w:p>
        </w:tc>
        <w:tc>
          <w:tcPr>
            <w:tcW w:w="805" w:type="pct"/>
            <w:vAlign w:val="center"/>
          </w:tcPr>
          <w:p w14:paraId="02E0D10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3.90 </w:t>
            </w:r>
          </w:p>
        </w:tc>
        <w:tc>
          <w:tcPr>
            <w:tcW w:w="828" w:type="pct"/>
            <w:vAlign w:val="center"/>
          </w:tcPr>
          <w:p w14:paraId="0E624CA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0.44 </w:t>
            </w:r>
          </w:p>
        </w:tc>
        <w:tc>
          <w:tcPr>
            <w:tcW w:w="821" w:type="pct"/>
            <w:vAlign w:val="center"/>
          </w:tcPr>
          <w:p w14:paraId="359D61F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3.75 </w:t>
            </w:r>
          </w:p>
        </w:tc>
      </w:tr>
      <w:tr w14:paraId="402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2CE073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-16.64</w:t>
            </w:r>
          </w:p>
        </w:tc>
        <w:tc>
          <w:tcPr>
            <w:tcW w:w="855" w:type="pct"/>
            <w:vAlign w:val="center"/>
          </w:tcPr>
          <w:p w14:paraId="3E2F852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11m</w:t>
            </w:r>
          </w:p>
        </w:tc>
        <w:tc>
          <w:tcPr>
            <w:tcW w:w="767" w:type="pct"/>
            <w:vAlign w:val="center"/>
          </w:tcPr>
          <w:p w14:paraId="64B47E9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0.49 </w:t>
            </w:r>
          </w:p>
        </w:tc>
        <w:tc>
          <w:tcPr>
            <w:tcW w:w="805" w:type="pct"/>
            <w:vAlign w:val="center"/>
          </w:tcPr>
          <w:p w14:paraId="3376C2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4.39 </w:t>
            </w:r>
          </w:p>
        </w:tc>
        <w:tc>
          <w:tcPr>
            <w:tcW w:w="828" w:type="pct"/>
            <w:vAlign w:val="center"/>
          </w:tcPr>
          <w:p w14:paraId="450EC2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0.51 </w:t>
            </w:r>
          </w:p>
        </w:tc>
        <w:tc>
          <w:tcPr>
            <w:tcW w:w="821" w:type="pct"/>
            <w:vAlign w:val="center"/>
          </w:tcPr>
          <w:p w14:paraId="6EE6D1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4.20 </w:t>
            </w:r>
          </w:p>
        </w:tc>
      </w:tr>
      <w:tr w14:paraId="271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5D32333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-15.64</w:t>
            </w:r>
          </w:p>
        </w:tc>
        <w:tc>
          <w:tcPr>
            <w:tcW w:w="855" w:type="pct"/>
            <w:vAlign w:val="center"/>
          </w:tcPr>
          <w:p w14:paraId="382377B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10m</w:t>
            </w:r>
          </w:p>
        </w:tc>
        <w:tc>
          <w:tcPr>
            <w:tcW w:w="767" w:type="pct"/>
            <w:vAlign w:val="center"/>
          </w:tcPr>
          <w:p w14:paraId="768C76A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0.58 </w:t>
            </w:r>
          </w:p>
        </w:tc>
        <w:tc>
          <w:tcPr>
            <w:tcW w:w="805" w:type="pct"/>
            <w:vAlign w:val="center"/>
          </w:tcPr>
          <w:p w14:paraId="1F48524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4.99 </w:t>
            </w:r>
          </w:p>
        </w:tc>
        <w:tc>
          <w:tcPr>
            <w:tcW w:w="828" w:type="pct"/>
            <w:vAlign w:val="center"/>
          </w:tcPr>
          <w:p w14:paraId="0DB921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0.60 </w:t>
            </w:r>
          </w:p>
        </w:tc>
        <w:tc>
          <w:tcPr>
            <w:tcW w:w="821" w:type="pct"/>
            <w:vAlign w:val="center"/>
          </w:tcPr>
          <w:p w14:paraId="6AFDF62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4.74 </w:t>
            </w:r>
          </w:p>
        </w:tc>
      </w:tr>
      <w:tr w14:paraId="5F53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B42DAB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-14.64</w:t>
            </w:r>
          </w:p>
        </w:tc>
        <w:tc>
          <w:tcPr>
            <w:tcW w:w="855" w:type="pct"/>
            <w:vAlign w:val="center"/>
          </w:tcPr>
          <w:p w14:paraId="79FC97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9m</w:t>
            </w:r>
          </w:p>
        </w:tc>
        <w:tc>
          <w:tcPr>
            <w:tcW w:w="767" w:type="pct"/>
            <w:vAlign w:val="center"/>
          </w:tcPr>
          <w:p w14:paraId="0B0ADAE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0.69 </w:t>
            </w:r>
          </w:p>
        </w:tc>
        <w:tc>
          <w:tcPr>
            <w:tcW w:w="805" w:type="pct"/>
            <w:vAlign w:val="center"/>
          </w:tcPr>
          <w:p w14:paraId="389478B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5.70 </w:t>
            </w:r>
          </w:p>
        </w:tc>
        <w:tc>
          <w:tcPr>
            <w:tcW w:w="828" w:type="pct"/>
            <w:vAlign w:val="center"/>
          </w:tcPr>
          <w:p w14:paraId="3B4A65C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c>
          <w:tcPr>
            <w:tcW w:w="821" w:type="pct"/>
            <w:vAlign w:val="center"/>
          </w:tcPr>
          <w:p w14:paraId="382B1D0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5.38 </w:t>
            </w:r>
          </w:p>
        </w:tc>
      </w:tr>
      <w:tr w14:paraId="1E1D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58062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-13.64</w:t>
            </w:r>
          </w:p>
        </w:tc>
        <w:tc>
          <w:tcPr>
            <w:tcW w:w="855" w:type="pct"/>
            <w:vAlign w:val="center"/>
          </w:tcPr>
          <w:p w14:paraId="322A4F4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8m</w:t>
            </w:r>
          </w:p>
        </w:tc>
        <w:tc>
          <w:tcPr>
            <w:tcW w:w="767" w:type="pct"/>
            <w:vAlign w:val="center"/>
          </w:tcPr>
          <w:p w14:paraId="23B16A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0.83 </w:t>
            </w:r>
          </w:p>
        </w:tc>
        <w:tc>
          <w:tcPr>
            <w:tcW w:w="805" w:type="pct"/>
            <w:vAlign w:val="center"/>
          </w:tcPr>
          <w:p w14:paraId="222B9E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6.58 </w:t>
            </w:r>
          </w:p>
        </w:tc>
        <w:tc>
          <w:tcPr>
            <w:tcW w:w="828" w:type="pct"/>
            <w:vAlign w:val="center"/>
          </w:tcPr>
          <w:p w14:paraId="7C59D0C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0.82 </w:t>
            </w:r>
          </w:p>
        </w:tc>
        <w:tc>
          <w:tcPr>
            <w:tcW w:w="821" w:type="pct"/>
            <w:vAlign w:val="center"/>
          </w:tcPr>
          <w:p w14:paraId="30B6E88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6.14 </w:t>
            </w:r>
          </w:p>
        </w:tc>
      </w:tr>
      <w:tr w14:paraId="2217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5884F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-12.64</w:t>
            </w:r>
          </w:p>
        </w:tc>
        <w:tc>
          <w:tcPr>
            <w:tcW w:w="855" w:type="pct"/>
            <w:vAlign w:val="center"/>
          </w:tcPr>
          <w:p w14:paraId="062198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7m</w:t>
            </w:r>
          </w:p>
        </w:tc>
        <w:tc>
          <w:tcPr>
            <w:tcW w:w="767" w:type="pct"/>
            <w:vAlign w:val="center"/>
          </w:tcPr>
          <w:p w14:paraId="6746144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1.00 </w:t>
            </w:r>
          </w:p>
        </w:tc>
        <w:tc>
          <w:tcPr>
            <w:tcW w:w="805" w:type="pct"/>
            <w:vAlign w:val="center"/>
          </w:tcPr>
          <w:p w14:paraId="22548D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7.66 </w:t>
            </w:r>
          </w:p>
        </w:tc>
        <w:tc>
          <w:tcPr>
            <w:tcW w:w="828" w:type="pct"/>
            <w:vAlign w:val="center"/>
          </w:tcPr>
          <w:p w14:paraId="69D5FCF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0.97 </w:t>
            </w:r>
          </w:p>
        </w:tc>
        <w:tc>
          <w:tcPr>
            <w:tcW w:w="821" w:type="pct"/>
            <w:vAlign w:val="center"/>
          </w:tcPr>
          <w:p w14:paraId="03495B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7.05 </w:t>
            </w:r>
          </w:p>
        </w:tc>
      </w:tr>
      <w:tr w14:paraId="1B92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CFC76C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-11.64</w:t>
            </w:r>
          </w:p>
        </w:tc>
        <w:tc>
          <w:tcPr>
            <w:tcW w:w="855" w:type="pct"/>
            <w:vAlign w:val="center"/>
          </w:tcPr>
          <w:p w14:paraId="0F5A51E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6m</w:t>
            </w:r>
          </w:p>
        </w:tc>
        <w:tc>
          <w:tcPr>
            <w:tcW w:w="767" w:type="pct"/>
            <w:vAlign w:val="center"/>
          </w:tcPr>
          <w:p w14:paraId="2E16710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1.21 </w:t>
            </w:r>
          </w:p>
        </w:tc>
        <w:tc>
          <w:tcPr>
            <w:tcW w:w="805" w:type="pct"/>
            <w:vAlign w:val="center"/>
          </w:tcPr>
          <w:p w14:paraId="30483F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9.00 </w:t>
            </w:r>
          </w:p>
        </w:tc>
        <w:tc>
          <w:tcPr>
            <w:tcW w:w="828" w:type="pct"/>
            <w:vAlign w:val="center"/>
          </w:tcPr>
          <w:p w14:paraId="72A546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1.14 </w:t>
            </w:r>
          </w:p>
        </w:tc>
        <w:tc>
          <w:tcPr>
            <w:tcW w:w="821" w:type="pct"/>
            <w:vAlign w:val="center"/>
          </w:tcPr>
          <w:p w14:paraId="08AB72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8.15 </w:t>
            </w:r>
          </w:p>
        </w:tc>
      </w:tr>
      <w:tr w14:paraId="52F9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32CCFC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-10.64</w:t>
            </w:r>
          </w:p>
        </w:tc>
        <w:tc>
          <w:tcPr>
            <w:tcW w:w="855" w:type="pct"/>
            <w:vAlign w:val="center"/>
          </w:tcPr>
          <w:p w14:paraId="56398F6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5m</w:t>
            </w:r>
          </w:p>
        </w:tc>
        <w:tc>
          <w:tcPr>
            <w:tcW w:w="767" w:type="pct"/>
            <w:vAlign w:val="center"/>
          </w:tcPr>
          <w:p w14:paraId="230AAA5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1.47 </w:t>
            </w:r>
          </w:p>
        </w:tc>
        <w:tc>
          <w:tcPr>
            <w:tcW w:w="805" w:type="pct"/>
            <w:vAlign w:val="center"/>
          </w:tcPr>
          <w:p w14:paraId="6B2A4F7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10.67 </w:t>
            </w:r>
          </w:p>
        </w:tc>
        <w:tc>
          <w:tcPr>
            <w:tcW w:w="828" w:type="pct"/>
            <w:vAlign w:val="center"/>
          </w:tcPr>
          <w:p w14:paraId="25C3B13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 </w:t>
            </w:r>
          </w:p>
        </w:tc>
        <w:tc>
          <w:tcPr>
            <w:tcW w:w="821" w:type="pct"/>
            <w:vAlign w:val="center"/>
          </w:tcPr>
          <w:p w14:paraId="200E4F6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9.46 </w:t>
            </w:r>
          </w:p>
        </w:tc>
      </w:tr>
      <w:tr w14:paraId="0331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77797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-9.64</w:t>
            </w:r>
          </w:p>
        </w:tc>
        <w:tc>
          <w:tcPr>
            <w:tcW w:w="855" w:type="pct"/>
            <w:vAlign w:val="center"/>
          </w:tcPr>
          <w:p w14:paraId="0701ACC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4m</w:t>
            </w:r>
          </w:p>
        </w:tc>
        <w:tc>
          <w:tcPr>
            <w:tcW w:w="767" w:type="pct"/>
            <w:vAlign w:val="center"/>
          </w:tcPr>
          <w:p w14:paraId="7DE741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1.76 </w:t>
            </w:r>
          </w:p>
        </w:tc>
        <w:tc>
          <w:tcPr>
            <w:tcW w:w="805" w:type="pct"/>
            <w:vAlign w:val="center"/>
          </w:tcPr>
          <w:p w14:paraId="667D69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12.72 </w:t>
            </w:r>
          </w:p>
        </w:tc>
        <w:tc>
          <w:tcPr>
            <w:tcW w:w="828" w:type="pct"/>
            <w:vAlign w:val="center"/>
          </w:tcPr>
          <w:p w14:paraId="361C7C2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1.54 </w:t>
            </w:r>
          </w:p>
        </w:tc>
        <w:tc>
          <w:tcPr>
            <w:tcW w:w="821" w:type="pct"/>
            <w:vAlign w:val="center"/>
          </w:tcPr>
          <w:p w14:paraId="5E0F5B3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11.01 </w:t>
            </w:r>
          </w:p>
        </w:tc>
      </w:tr>
      <w:tr w14:paraId="027B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CCBAFD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-8.64</w:t>
            </w:r>
          </w:p>
        </w:tc>
        <w:tc>
          <w:tcPr>
            <w:tcW w:w="855" w:type="pct"/>
            <w:vAlign w:val="center"/>
          </w:tcPr>
          <w:p w14:paraId="13C1D8D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3m</w:t>
            </w:r>
          </w:p>
        </w:tc>
        <w:tc>
          <w:tcPr>
            <w:tcW w:w="767" w:type="pct"/>
            <w:vAlign w:val="center"/>
          </w:tcPr>
          <w:p w14:paraId="7A9141A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 </w:t>
            </w:r>
          </w:p>
        </w:tc>
        <w:tc>
          <w:tcPr>
            <w:tcW w:w="805" w:type="pct"/>
            <w:vAlign w:val="center"/>
          </w:tcPr>
          <w:p w14:paraId="1D57745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15.19 </w:t>
            </w:r>
          </w:p>
        </w:tc>
        <w:tc>
          <w:tcPr>
            <w:tcW w:w="828" w:type="pct"/>
            <w:vAlign w:val="center"/>
          </w:tcPr>
          <w:p w14:paraId="3EC06BF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1.74 </w:t>
            </w:r>
          </w:p>
        </w:tc>
        <w:tc>
          <w:tcPr>
            <w:tcW w:w="821" w:type="pct"/>
            <w:vAlign w:val="center"/>
          </w:tcPr>
          <w:p w14:paraId="28BF7FD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12.77 </w:t>
            </w:r>
          </w:p>
        </w:tc>
      </w:tr>
      <w:tr w14:paraId="64DE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68E58A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-7.64</w:t>
            </w:r>
          </w:p>
        </w:tc>
        <w:tc>
          <w:tcPr>
            <w:tcW w:w="855" w:type="pct"/>
            <w:vAlign w:val="center"/>
          </w:tcPr>
          <w:p w14:paraId="6B6EEF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2m</w:t>
            </w:r>
          </w:p>
        </w:tc>
        <w:tc>
          <w:tcPr>
            <w:tcW w:w="767" w:type="pct"/>
            <w:vAlign w:val="center"/>
          </w:tcPr>
          <w:p w14:paraId="47FAE86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2.37 </w:t>
            </w:r>
          </w:p>
        </w:tc>
        <w:tc>
          <w:tcPr>
            <w:tcW w:w="805" w:type="pct"/>
            <w:vAlign w:val="center"/>
          </w:tcPr>
          <w:p w14:paraId="36160E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18.00 </w:t>
            </w:r>
          </w:p>
        </w:tc>
        <w:tc>
          <w:tcPr>
            <w:tcW w:w="828" w:type="pct"/>
            <w:vAlign w:val="center"/>
          </w:tcPr>
          <w:p w14:paraId="3C4A0C1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1.91 </w:t>
            </w:r>
          </w:p>
        </w:tc>
        <w:tc>
          <w:tcPr>
            <w:tcW w:w="821" w:type="pct"/>
            <w:vAlign w:val="center"/>
          </w:tcPr>
          <w:p w14:paraId="29DC464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14.67 </w:t>
            </w:r>
          </w:p>
        </w:tc>
      </w:tr>
      <w:tr w14:paraId="635A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DBA41C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-6.64</w:t>
            </w:r>
          </w:p>
        </w:tc>
        <w:tc>
          <w:tcPr>
            <w:tcW w:w="855" w:type="pct"/>
            <w:vAlign w:val="center"/>
          </w:tcPr>
          <w:p w14:paraId="3BD396D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1m</w:t>
            </w:r>
          </w:p>
        </w:tc>
        <w:tc>
          <w:tcPr>
            <w:tcW w:w="767" w:type="pct"/>
            <w:vAlign w:val="center"/>
          </w:tcPr>
          <w:p w14:paraId="1957857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2.56 </w:t>
            </w:r>
          </w:p>
        </w:tc>
        <w:tc>
          <w:tcPr>
            <w:tcW w:w="805" w:type="pct"/>
            <w:vAlign w:val="center"/>
          </w:tcPr>
          <w:p w14:paraId="34D9DE9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20.88 </w:t>
            </w:r>
          </w:p>
        </w:tc>
        <w:tc>
          <w:tcPr>
            <w:tcW w:w="828" w:type="pct"/>
            <w:vAlign w:val="center"/>
          </w:tcPr>
          <w:p w14:paraId="3E6040D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1.99 </w:t>
            </w:r>
          </w:p>
        </w:tc>
        <w:tc>
          <w:tcPr>
            <w:tcW w:w="821" w:type="pct"/>
            <w:vAlign w:val="center"/>
          </w:tcPr>
          <w:p w14:paraId="6F3936E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16.58 </w:t>
            </w:r>
          </w:p>
        </w:tc>
      </w:tr>
      <w:tr w14:paraId="4E51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006D4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-5.64</w:t>
            </w:r>
          </w:p>
        </w:tc>
        <w:tc>
          <w:tcPr>
            <w:tcW w:w="855" w:type="pct"/>
            <w:vAlign w:val="center"/>
          </w:tcPr>
          <w:p w14:paraId="10DEC62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边导线下</w:t>
            </w:r>
          </w:p>
        </w:tc>
        <w:tc>
          <w:tcPr>
            <w:tcW w:w="767" w:type="pct"/>
            <w:vAlign w:val="center"/>
          </w:tcPr>
          <w:p w14:paraId="33B36BBC">
            <w:pPr>
              <w:keepNext w:val="0"/>
              <w:keepLines w:val="0"/>
              <w:widowControl/>
              <w:suppressLineNumbers w:val="0"/>
              <w:jc w:val="center"/>
              <w:textAlignment w:val="center"/>
              <w:rPr>
                <w:rFonts w:hint="eastAsia" w:ascii="Times New Roman" w:hAnsi="Times New Roman" w:eastAsia="宋体" w:cs="宋体"/>
                <w:b/>
                <w:bCs/>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2.58 </w:t>
            </w:r>
          </w:p>
        </w:tc>
        <w:tc>
          <w:tcPr>
            <w:tcW w:w="805" w:type="pct"/>
            <w:vAlign w:val="center"/>
          </w:tcPr>
          <w:p w14:paraId="1477930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23.42 </w:t>
            </w:r>
          </w:p>
        </w:tc>
        <w:tc>
          <w:tcPr>
            <w:tcW w:w="828" w:type="pct"/>
            <w:vAlign w:val="center"/>
          </w:tcPr>
          <w:p w14:paraId="5D60F3C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1.97 </w:t>
            </w:r>
          </w:p>
        </w:tc>
        <w:tc>
          <w:tcPr>
            <w:tcW w:w="821" w:type="pct"/>
            <w:vAlign w:val="center"/>
          </w:tcPr>
          <w:p w14:paraId="5D63D66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18.29 </w:t>
            </w:r>
          </w:p>
        </w:tc>
      </w:tr>
      <w:tr w14:paraId="5582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DEDC9C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w:t>
            </w:r>
          </w:p>
        </w:tc>
        <w:tc>
          <w:tcPr>
            <w:tcW w:w="855" w:type="pct"/>
            <w:vMerge w:val="restart"/>
            <w:vAlign w:val="center"/>
          </w:tcPr>
          <w:p w14:paraId="7B98CF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边导线内</w:t>
            </w:r>
          </w:p>
        </w:tc>
        <w:tc>
          <w:tcPr>
            <w:tcW w:w="767" w:type="pct"/>
            <w:vAlign w:val="center"/>
          </w:tcPr>
          <w:p w14:paraId="0E84F25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2.48 </w:t>
            </w:r>
          </w:p>
        </w:tc>
        <w:tc>
          <w:tcPr>
            <w:tcW w:w="805" w:type="pct"/>
            <w:vAlign w:val="center"/>
          </w:tcPr>
          <w:p w14:paraId="086526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24.68 </w:t>
            </w:r>
          </w:p>
        </w:tc>
        <w:tc>
          <w:tcPr>
            <w:tcW w:w="828" w:type="pct"/>
            <w:vAlign w:val="center"/>
          </w:tcPr>
          <w:p w14:paraId="20249CE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1.89 </w:t>
            </w:r>
          </w:p>
        </w:tc>
        <w:tc>
          <w:tcPr>
            <w:tcW w:w="821" w:type="pct"/>
            <w:vAlign w:val="center"/>
          </w:tcPr>
          <w:p w14:paraId="70B6934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19.20 </w:t>
            </w:r>
          </w:p>
        </w:tc>
      </w:tr>
      <w:tr w14:paraId="6A6E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6C41A5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w:t>
            </w:r>
          </w:p>
        </w:tc>
        <w:tc>
          <w:tcPr>
            <w:tcW w:w="855" w:type="pct"/>
            <w:vMerge w:val="continue"/>
          </w:tcPr>
          <w:p w14:paraId="4DD16F39">
            <w:pPr>
              <w:widowControl/>
              <w:jc w:val="center"/>
              <w:rPr>
                <w:b/>
                <w:bCs/>
                <w:color w:val="000000"/>
                <w:kern w:val="0"/>
                <w:szCs w:val="21"/>
              </w:rPr>
            </w:pPr>
          </w:p>
        </w:tc>
        <w:tc>
          <w:tcPr>
            <w:tcW w:w="767" w:type="pct"/>
            <w:vAlign w:val="center"/>
          </w:tcPr>
          <w:p w14:paraId="1A991E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2.23 </w:t>
            </w:r>
          </w:p>
        </w:tc>
        <w:tc>
          <w:tcPr>
            <w:tcW w:w="805" w:type="pct"/>
            <w:vAlign w:val="center"/>
          </w:tcPr>
          <w:p w14:paraId="13FCC30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26.02 </w:t>
            </w:r>
          </w:p>
        </w:tc>
        <w:tc>
          <w:tcPr>
            <w:tcW w:w="828" w:type="pct"/>
            <w:vAlign w:val="center"/>
          </w:tcPr>
          <w:p w14:paraId="6C1A586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1.72 </w:t>
            </w:r>
          </w:p>
        </w:tc>
        <w:tc>
          <w:tcPr>
            <w:tcW w:w="821" w:type="pct"/>
            <w:vAlign w:val="center"/>
          </w:tcPr>
          <w:p w14:paraId="637FE31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20.30 </w:t>
            </w:r>
          </w:p>
        </w:tc>
      </w:tr>
      <w:tr w14:paraId="5CB3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39DAD5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w:t>
            </w:r>
          </w:p>
        </w:tc>
        <w:tc>
          <w:tcPr>
            <w:tcW w:w="855" w:type="pct"/>
            <w:vMerge w:val="continue"/>
          </w:tcPr>
          <w:p w14:paraId="0D33BEC7">
            <w:pPr>
              <w:widowControl/>
              <w:jc w:val="center"/>
              <w:rPr>
                <w:b/>
                <w:bCs/>
                <w:color w:val="000000"/>
                <w:kern w:val="0"/>
                <w:szCs w:val="21"/>
              </w:rPr>
            </w:pPr>
          </w:p>
        </w:tc>
        <w:tc>
          <w:tcPr>
            <w:tcW w:w="767" w:type="pct"/>
            <w:vAlign w:val="center"/>
          </w:tcPr>
          <w:p w14:paraId="5ACDB8A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2.01 </w:t>
            </w:r>
          </w:p>
        </w:tc>
        <w:tc>
          <w:tcPr>
            <w:tcW w:w="805" w:type="pct"/>
            <w:vAlign w:val="center"/>
          </w:tcPr>
          <w:p w14:paraId="5CE6A0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26.79 </w:t>
            </w:r>
          </w:p>
        </w:tc>
        <w:tc>
          <w:tcPr>
            <w:tcW w:w="828" w:type="pct"/>
            <w:vAlign w:val="center"/>
          </w:tcPr>
          <w:p w14:paraId="34FAE19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1.55 </w:t>
            </w:r>
          </w:p>
        </w:tc>
        <w:tc>
          <w:tcPr>
            <w:tcW w:w="821" w:type="pct"/>
            <w:vAlign w:val="center"/>
          </w:tcPr>
          <w:p w14:paraId="66095A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21.04 </w:t>
            </w:r>
          </w:p>
        </w:tc>
      </w:tr>
      <w:tr w14:paraId="6624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E8232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w:t>
            </w:r>
          </w:p>
        </w:tc>
        <w:tc>
          <w:tcPr>
            <w:tcW w:w="855" w:type="pct"/>
            <w:vMerge w:val="continue"/>
          </w:tcPr>
          <w:p w14:paraId="1E7744C9">
            <w:pPr>
              <w:widowControl/>
              <w:jc w:val="center"/>
              <w:rPr>
                <w:b/>
                <w:bCs/>
                <w:color w:val="000000"/>
                <w:kern w:val="0"/>
                <w:szCs w:val="21"/>
              </w:rPr>
            </w:pPr>
          </w:p>
        </w:tc>
        <w:tc>
          <w:tcPr>
            <w:tcW w:w="767" w:type="pct"/>
            <w:vAlign w:val="center"/>
          </w:tcPr>
          <w:p w14:paraId="3B10342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1.94 </w:t>
            </w:r>
          </w:p>
        </w:tc>
        <w:tc>
          <w:tcPr>
            <w:tcW w:w="805" w:type="pct"/>
            <w:vAlign w:val="center"/>
          </w:tcPr>
          <w:p w14:paraId="5E83F62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27.25 </w:t>
            </w:r>
          </w:p>
        </w:tc>
        <w:tc>
          <w:tcPr>
            <w:tcW w:w="828" w:type="pct"/>
            <w:vAlign w:val="center"/>
          </w:tcPr>
          <w:p w14:paraId="2A55C79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1.45 </w:t>
            </w:r>
          </w:p>
        </w:tc>
        <w:tc>
          <w:tcPr>
            <w:tcW w:w="821" w:type="pct"/>
            <w:vAlign w:val="center"/>
          </w:tcPr>
          <w:p w14:paraId="2059BD2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21.50 </w:t>
            </w:r>
          </w:p>
        </w:tc>
      </w:tr>
      <w:tr w14:paraId="1CE3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8B0620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w:t>
            </w:r>
          </w:p>
        </w:tc>
        <w:tc>
          <w:tcPr>
            <w:tcW w:w="855" w:type="pct"/>
            <w:vMerge w:val="continue"/>
          </w:tcPr>
          <w:p w14:paraId="38017339">
            <w:pPr>
              <w:widowControl/>
              <w:jc w:val="center"/>
              <w:rPr>
                <w:b/>
                <w:bCs/>
                <w:color w:val="000000"/>
                <w:kern w:val="0"/>
                <w:szCs w:val="21"/>
              </w:rPr>
            </w:pPr>
          </w:p>
        </w:tc>
        <w:tc>
          <w:tcPr>
            <w:tcW w:w="767" w:type="pct"/>
            <w:vAlign w:val="center"/>
          </w:tcPr>
          <w:p w14:paraId="4579EBB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2.00 </w:t>
            </w:r>
          </w:p>
        </w:tc>
        <w:tc>
          <w:tcPr>
            <w:tcW w:w="805" w:type="pct"/>
            <w:vAlign w:val="center"/>
          </w:tcPr>
          <w:p w14:paraId="6BFF48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27.54 </w:t>
            </w:r>
          </w:p>
        </w:tc>
        <w:tc>
          <w:tcPr>
            <w:tcW w:w="828" w:type="pct"/>
            <w:vAlign w:val="center"/>
          </w:tcPr>
          <w:p w14:paraId="7C3DE00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1.44 </w:t>
            </w:r>
          </w:p>
        </w:tc>
        <w:tc>
          <w:tcPr>
            <w:tcW w:w="821" w:type="pct"/>
            <w:vAlign w:val="center"/>
          </w:tcPr>
          <w:p w14:paraId="5E3A9E9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21.76 </w:t>
            </w:r>
          </w:p>
        </w:tc>
      </w:tr>
      <w:tr w14:paraId="67E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8C8DE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w:t>
            </w:r>
          </w:p>
        </w:tc>
        <w:tc>
          <w:tcPr>
            <w:tcW w:w="855" w:type="pct"/>
            <w:vMerge w:val="continue"/>
          </w:tcPr>
          <w:p w14:paraId="0F5B5A3A">
            <w:pPr>
              <w:widowControl/>
              <w:jc w:val="center"/>
              <w:rPr>
                <w:b/>
                <w:bCs/>
                <w:color w:val="000000"/>
                <w:kern w:val="0"/>
                <w:szCs w:val="21"/>
              </w:rPr>
            </w:pPr>
          </w:p>
        </w:tc>
        <w:tc>
          <w:tcPr>
            <w:tcW w:w="767" w:type="pct"/>
            <w:vAlign w:val="center"/>
          </w:tcPr>
          <w:p w14:paraId="1727809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2.05 </w:t>
            </w:r>
          </w:p>
        </w:tc>
        <w:tc>
          <w:tcPr>
            <w:tcW w:w="805" w:type="pct"/>
            <w:vAlign w:val="center"/>
          </w:tcPr>
          <w:p w14:paraId="050A66B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27.66 </w:t>
            </w:r>
          </w:p>
        </w:tc>
        <w:tc>
          <w:tcPr>
            <w:tcW w:w="828" w:type="pct"/>
            <w:vAlign w:val="center"/>
          </w:tcPr>
          <w:p w14:paraId="120A9C3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1.44 </w:t>
            </w:r>
          </w:p>
        </w:tc>
        <w:tc>
          <w:tcPr>
            <w:tcW w:w="821" w:type="pct"/>
            <w:vAlign w:val="center"/>
          </w:tcPr>
          <w:p w14:paraId="6E9F761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21.84 </w:t>
            </w:r>
          </w:p>
        </w:tc>
      </w:tr>
      <w:tr w14:paraId="038D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83FA6D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w:t>
            </w:r>
          </w:p>
        </w:tc>
        <w:tc>
          <w:tcPr>
            <w:tcW w:w="855" w:type="pct"/>
            <w:vMerge w:val="continue"/>
          </w:tcPr>
          <w:p w14:paraId="62F8AC8C">
            <w:pPr>
              <w:widowControl/>
              <w:jc w:val="center"/>
              <w:rPr>
                <w:b/>
                <w:bCs/>
                <w:color w:val="000000"/>
                <w:kern w:val="0"/>
                <w:szCs w:val="21"/>
              </w:rPr>
            </w:pPr>
          </w:p>
        </w:tc>
        <w:tc>
          <w:tcPr>
            <w:tcW w:w="767" w:type="pct"/>
            <w:vAlign w:val="center"/>
          </w:tcPr>
          <w:p w14:paraId="2B439D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2.00 </w:t>
            </w:r>
          </w:p>
        </w:tc>
        <w:tc>
          <w:tcPr>
            <w:tcW w:w="805" w:type="pct"/>
            <w:vAlign w:val="center"/>
          </w:tcPr>
          <w:p w14:paraId="68B7DF0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27.54 </w:t>
            </w:r>
          </w:p>
        </w:tc>
        <w:tc>
          <w:tcPr>
            <w:tcW w:w="828" w:type="pct"/>
            <w:vAlign w:val="center"/>
          </w:tcPr>
          <w:p w14:paraId="366C26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1.44 </w:t>
            </w:r>
          </w:p>
        </w:tc>
        <w:tc>
          <w:tcPr>
            <w:tcW w:w="821" w:type="pct"/>
            <w:vAlign w:val="center"/>
          </w:tcPr>
          <w:p w14:paraId="60E2D04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21.76 </w:t>
            </w:r>
          </w:p>
        </w:tc>
      </w:tr>
      <w:tr w14:paraId="2770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2AF3FF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w:t>
            </w:r>
          </w:p>
        </w:tc>
        <w:tc>
          <w:tcPr>
            <w:tcW w:w="855" w:type="pct"/>
            <w:vMerge w:val="continue"/>
          </w:tcPr>
          <w:p w14:paraId="6654C815">
            <w:pPr>
              <w:widowControl/>
              <w:jc w:val="center"/>
              <w:rPr>
                <w:b/>
                <w:bCs/>
                <w:color w:val="000000"/>
                <w:kern w:val="0"/>
                <w:szCs w:val="21"/>
              </w:rPr>
            </w:pPr>
          </w:p>
        </w:tc>
        <w:tc>
          <w:tcPr>
            <w:tcW w:w="767" w:type="pct"/>
            <w:vAlign w:val="center"/>
          </w:tcPr>
          <w:p w14:paraId="0D3FD11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1.94 </w:t>
            </w:r>
          </w:p>
        </w:tc>
        <w:tc>
          <w:tcPr>
            <w:tcW w:w="805" w:type="pct"/>
            <w:vAlign w:val="center"/>
          </w:tcPr>
          <w:p w14:paraId="252D0A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27.25 </w:t>
            </w:r>
          </w:p>
        </w:tc>
        <w:tc>
          <w:tcPr>
            <w:tcW w:w="828" w:type="pct"/>
            <w:vAlign w:val="center"/>
          </w:tcPr>
          <w:p w14:paraId="0C9081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1.45 </w:t>
            </w:r>
          </w:p>
        </w:tc>
        <w:tc>
          <w:tcPr>
            <w:tcW w:w="821" w:type="pct"/>
            <w:vAlign w:val="center"/>
          </w:tcPr>
          <w:p w14:paraId="10F9392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21.50 </w:t>
            </w:r>
          </w:p>
        </w:tc>
      </w:tr>
      <w:tr w14:paraId="6B1A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A0C6C5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w:t>
            </w:r>
          </w:p>
        </w:tc>
        <w:tc>
          <w:tcPr>
            <w:tcW w:w="855" w:type="pct"/>
            <w:vMerge w:val="continue"/>
          </w:tcPr>
          <w:p w14:paraId="50A40A22">
            <w:pPr>
              <w:widowControl/>
              <w:jc w:val="center"/>
              <w:rPr>
                <w:b/>
                <w:bCs/>
                <w:color w:val="000000"/>
                <w:kern w:val="0"/>
                <w:szCs w:val="21"/>
              </w:rPr>
            </w:pPr>
          </w:p>
        </w:tc>
        <w:tc>
          <w:tcPr>
            <w:tcW w:w="767" w:type="pct"/>
            <w:vAlign w:val="center"/>
          </w:tcPr>
          <w:p w14:paraId="34D5B77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2.01 </w:t>
            </w:r>
          </w:p>
        </w:tc>
        <w:tc>
          <w:tcPr>
            <w:tcW w:w="805" w:type="pct"/>
            <w:vAlign w:val="center"/>
          </w:tcPr>
          <w:p w14:paraId="7B12EA7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26.79 </w:t>
            </w:r>
          </w:p>
        </w:tc>
        <w:tc>
          <w:tcPr>
            <w:tcW w:w="828" w:type="pct"/>
            <w:vAlign w:val="center"/>
          </w:tcPr>
          <w:p w14:paraId="21FB2F2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1.55 </w:t>
            </w:r>
          </w:p>
        </w:tc>
        <w:tc>
          <w:tcPr>
            <w:tcW w:w="821" w:type="pct"/>
            <w:vAlign w:val="center"/>
          </w:tcPr>
          <w:p w14:paraId="68D35D5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21.04 </w:t>
            </w:r>
          </w:p>
        </w:tc>
      </w:tr>
      <w:tr w14:paraId="535D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6D7761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w:t>
            </w:r>
          </w:p>
        </w:tc>
        <w:tc>
          <w:tcPr>
            <w:tcW w:w="855" w:type="pct"/>
            <w:vMerge w:val="continue"/>
          </w:tcPr>
          <w:p w14:paraId="335B6CDA">
            <w:pPr>
              <w:widowControl/>
              <w:jc w:val="center"/>
              <w:rPr>
                <w:b/>
                <w:bCs/>
                <w:color w:val="000000"/>
                <w:kern w:val="0"/>
                <w:szCs w:val="21"/>
              </w:rPr>
            </w:pPr>
          </w:p>
        </w:tc>
        <w:tc>
          <w:tcPr>
            <w:tcW w:w="767" w:type="pct"/>
            <w:vAlign w:val="center"/>
          </w:tcPr>
          <w:p w14:paraId="20BA702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2.23 </w:t>
            </w:r>
          </w:p>
        </w:tc>
        <w:tc>
          <w:tcPr>
            <w:tcW w:w="805" w:type="pct"/>
            <w:vAlign w:val="center"/>
          </w:tcPr>
          <w:p w14:paraId="1452C6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26.02 </w:t>
            </w:r>
          </w:p>
        </w:tc>
        <w:tc>
          <w:tcPr>
            <w:tcW w:w="828" w:type="pct"/>
            <w:vAlign w:val="center"/>
          </w:tcPr>
          <w:p w14:paraId="18796D7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1.72 </w:t>
            </w:r>
          </w:p>
        </w:tc>
        <w:tc>
          <w:tcPr>
            <w:tcW w:w="821" w:type="pct"/>
            <w:vAlign w:val="center"/>
          </w:tcPr>
          <w:p w14:paraId="4D12567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20.30 </w:t>
            </w:r>
          </w:p>
        </w:tc>
      </w:tr>
      <w:tr w14:paraId="6F77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1EAF2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w:t>
            </w:r>
          </w:p>
        </w:tc>
        <w:tc>
          <w:tcPr>
            <w:tcW w:w="855" w:type="pct"/>
            <w:vMerge w:val="continue"/>
          </w:tcPr>
          <w:p w14:paraId="1DE747A2">
            <w:pPr>
              <w:widowControl/>
              <w:jc w:val="center"/>
              <w:rPr>
                <w:b/>
                <w:bCs/>
                <w:color w:val="000000"/>
                <w:kern w:val="0"/>
                <w:szCs w:val="21"/>
              </w:rPr>
            </w:pPr>
          </w:p>
        </w:tc>
        <w:tc>
          <w:tcPr>
            <w:tcW w:w="767" w:type="pct"/>
            <w:vAlign w:val="center"/>
          </w:tcPr>
          <w:p w14:paraId="7AFB584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2.48 </w:t>
            </w:r>
          </w:p>
        </w:tc>
        <w:tc>
          <w:tcPr>
            <w:tcW w:w="805" w:type="pct"/>
            <w:vAlign w:val="center"/>
          </w:tcPr>
          <w:p w14:paraId="248408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24.68 </w:t>
            </w:r>
          </w:p>
        </w:tc>
        <w:tc>
          <w:tcPr>
            <w:tcW w:w="828" w:type="pct"/>
            <w:vAlign w:val="center"/>
          </w:tcPr>
          <w:p w14:paraId="33BE50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1.90 </w:t>
            </w:r>
          </w:p>
        </w:tc>
        <w:tc>
          <w:tcPr>
            <w:tcW w:w="821" w:type="pct"/>
            <w:vAlign w:val="center"/>
          </w:tcPr>
          <w:p w14:paraId="0F6EE76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19.20 </w:t>
            </w:r>
          </w:p>
        </w:tc>
      </w:tr>
      <w:tr w14:paraId="4531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10A9B9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5.64</w:t>
            </w:r>
          </w:p>
        </w:tc>
        <w:tc>
          <w:tcPr>
            <w:tcW w:w="855" w:type="pct"/>
            <w:vAlign w:val="center"/>
          </w:tcPr>
          <w:p w14:paraId="2C5D33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边导线下</w:t>
            </w:r>
          </w:p>
        </w:tc>
        <w:tc>
          <w:tcPr>
            <w:tcW w:w="767" w:type="pct"/>
            <w:vAlign w:val="center"/>
          </w:tcPr>
          <w:p w14:paraId="494B747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2.58 </w:t>
            </w:r>
          </w:p>
        </w:tc>
        <w:tc>
          <w:tcPr>
            <w:tcW w:w="805" w:type="pct"/>
            <w:vAlign w:val="center"/>
          </w:tcPr>
          <w:p w14:paraId="66A2940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23.42 </w:t>
            </w:r>
          </w:p>
        </w:tc>
        <w:tc>
          <w:tcPr>
            <w:tcW w:w="828" w:type="pct"/>
            <w:vAlign w:val="center"/>
          </w:tcPr>
          <w:p w14:paraId="32E084C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1.97 </w:t>
            </w:r>
          </w:p>
        </w:tc>
        <w:tc>
          <w:tcPr>
            <w:tcW w:w="821" w:type="pct"/>
            <w:vAlign w:val="center"/>
          </w:tcPr>
          <w:p w14:paraId="4403780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18.29 </w:t>
            </w:r>
          </w:p>
        </w:tc>
      </w:tr>
      <w:tr w14:paraId="52B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54F9B7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6.64</w:t>
            </w:r>
          </w:p>
        </w:tc>
        <w:tc>
          <w:tcPr>
            <w:tcW w:w="855" w:type="pct"/>
            <w:vAlign w:val="center"/>
          </w:tcPr>
          <w:p w14:paraId="16EFE3C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1m</w:t>
            </w:r>
          </w:p>
        </w:tc>
        <w:tc>
          <w:tcPr>
            <w:tcW w:w="767" w:type="pct"/>
            <w:vAlign w:val="center"/>
          </w:tcPr>
          <w:p w14:paraId="7B04944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2.56 </w:t>
            </w:r>
          </w:p>
        </w:tc>
        <w:tc>
          <w:tcPr>
            <w:tcW w:w="805" w:type="pct"/>
            <w:vAlign w:val="center"/>
          </w:tcPr>
          <w:p w14:paraId="32BA553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20.88 </w:t>
            </w:r>
          </w:p>
        </w:tc>
        <w:tc>
          <w:tcPr>
            <w:tcW w:w="828" w:type="pct"/>
            <w:vAlign w:val="center"/>
          </w:tcPr>
          <w:p w14:paraId="1E846333">
            <w:pPr>
              <w:keepNext w:val="0"/>
              <w:keepLines w:val="0"/>
              <w:widowControl/>
              <w:suppressLineNumbers w:val="0"/>
              <w:jc w:val="center"/>
              <w:textAlignment w:val="center"/>
              <w:rPr>
                <w:rFonts w:hint="eastAsia" w:ascii="Times New Roman" w:hAnsi="Times New Roman" w:eastAsia="宋体" w:cs="宋体"/>
                <w:b/>
                <w:bCs/>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1.99 </w:t>
            </w:r>
          </w:p>
        </w:tc>
        <w:tc>
          <w:tcPr>
            <w:tcW w:w="821" w:type="pct"/>
            <w:vAlign w:val="center"/>
          </w:tcPr>
          <w:p w14:paraId="074BA1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16.58 </w:t>
            </w:r>
          </w:p>
        </w:tc>
      </w:tr>
      <w:tr w14:paraId="2D6E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27692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7.64</w:t>
            </w:r>
          </w:p>
        </w:tc>
        <w:tc>
          <w:tcPr>
            <w:tcW w:w="855" w:type="pct"/>
            <w:vAlign w:val="center"/>
          </w:tcPr>
          <w:p w14:paraId="603436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2m</w:t>
            </w:r>
          </w:p>
        </w:tc>
        <w:tc>
          <w:tcPr>
            <w:tcW w:w="767" w:type="pct"/>
            <w:vAlign w:val="center"/>
          </w:tcPr>
          <w:p w14:paraId="0D0C197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2.37 </w:t>
            </w:r>
          </w:p>
        </w:tc>
        <w:tc>
          <w:tcPr>
            <w:tcW w:w="805" w:type="pct"/>
            <w:vAlign w:val="center"/>
          </w:tcPr>
          <w:p w14:paraId="528B6EB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18.00 </w:t>
            </w:r>
          </w:p>
        </w:tc>
        <w:tc>
          <w:tcPr>
            <w:tcW w:w="828" w:type="pct"/>
            <w:vAlign w:val="center"/>
          </w:tcPr>
          <w:p w14:paraId="798EF83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1.91 </w:t>
            </w:r>
          </w:p>
        </w:tc>
        <w:tc>
          <w:tcPr>
            <w:tcW w:w="821" w:type="pct"/>
            <w:vAlign w:val="center"/>
          </w:tcPr>
          <w:p w14:paraId="41AAC8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14.67 </w:t>
            </w:r>
          </w:p>
        </w:tc>
      </w:tr>
      <w:tr w14:paraId="1C8C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9F87DC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8.64</w:t>
            </w:r>
          </w:p>
        </w:tc>
        <w:tc>
          <w:tcPr>
            <w:tcW w:w="855" w:type="pct"/>
            <w:vAlign w:val="center"/>
          </w:tcPr>
          <w:p w14:paraId="7608C6F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3m</w:t>
            </w:r>
          </w:p>
        </w:tc>
        <w:tc>
          <w:tcPr>
            <w:tcW w:w="767" w:type="pct"/>
            <w:vAlign w:val="center"/>
          </w:tcPr>
          <w:p w14:paraId="4988DA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 </w:t>
            </w:r>
          </w:p>
        </w:tc>
        <w:tc>
          <w:tcPr>
            <w:tcW w:w="805" w:type="pct"/>
            <w:vAlign w:val="center"/>
          </w:tcPr>
          <w:p w14:paraId="29EB359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15.19 </w:t>
            </w:r>
          </w:p>
        </w:tc>
        <w:tc>
          <w:tcPr>
            <w:tcW w:w="828" w:type="pct"/>
            <w:vAlign w:val="center"/>
          </w:tcPr>
          <w:p w14:paraId="07EDB1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1.74 </w:t>
            </w:r>
          </w:p>
        </w:tc>
        <w:tc>
          <w:tcPr>
            <w:tcW w:w="821" w:type="pct"/>
            <w:vAlign w:val="center"/>
          </w:tcPr>
          <w:p w14:paraId="044D376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12.77 </w:t>
            </w:r>
          </w:p>
        </w:tc>
      </w:tr>
      <w:tr w14:paraId="0FBC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D3F56F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9.64</w:t>
            </w:r>
          </w:p>
        </w:tc>
        <w:tc>
          <w:tcPr>
            <w:tcW w:w="855" w:type="pct"/>
            <w:vAlign w:val="center"/>
          </w:tcPr>
          <w:p w14:paraId="3C36159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4m</w:t>
            </w:r>
          </w:p>
        </w:tc>
        <w:tc>
          <w:tcPr>
            <w:tcW w:w="767" w:type="pct"/>
            <w:vAlign w:val="center"/>
          </w:tcPr>
          <w:p w14:paraId="19B0EE6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1.76 </w:t>
            </w:r>
          </w:p>
        </w:tc>
        <w:tc>
          <w:tcPr>
            <w:tcW w:w="805" w:type="pct"/>
            <w:vAlign w:val="center"/>
          </w:tcPr>
          <w:p w14:paraId="380F5D5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12.72 </w:t>
            </w:r>
          </w:p>
        </w:tc>
        <w:tc>
          <w:tcPr>
            <w:tcW w:w="828" w:type="pct"/>
            <w:vAlign w:val="center"/>
          </w:tcPr>
          <w:p w14:paraId="3B2594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1.54 </w:t>
            </w:r>
          </w:p>
        </w:tc>
        <w:tc>
          <w:tcPr>
            <w:tcW w:w="821" w:type="pct"/>
            <w:vAlign w:val="center"/>
          </w:tcPr>
          <w:p w14:paraId="2FBFD2B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11.01 </w:t>
            </w:r>
          </w:p>
        </w:tc>
      </w:tr>
      <w:tr w14:paraId="70C9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7AED52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10.64</w:t>
            </w:r>
          </w:p>
        </w:tc>
        <w:tc>
          <w:tcPr>
            <w:tcW w:w="855" w:type="pct"/>
            <w:vAlign w:val="center"/>
          </w:tcPr>
          <w:p w14:paraId="08A764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5m</w:t>
            </w:r>
          </w:p>
        </w:tc>
        <w:tc>
          <w:tcPr>
            <w:tcW w:w="767" w:type="pct"/>
            <w:vAlign w:val="center"/>
          </w:tcPr>
          <w:p w14:paraId="3B29CF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1.47 </w:t>
            </w:r>
          </w:p>
        </w:tc>
        <w:tc>
          <w:tcPr>
            <w:tcW w:w="805" w:type="pct"/>
            <w:vAlign w:val="center"/>
          </w:tcPr>
          <w:p w14:paraId="39577EB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10.67 </w:t>
            </w:r>
          </w:p>
        </w:tc>
        <w:tc>
          <w:tcPr>
            <w:tcW w:w="828" w:type="pct"/>
            <w:vAlign w:val="center"/>
          </w:tcPr>
          <w:p w14:paraId="58F9053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 </w:t>
            </w:r>
          </w:p>
        </w:tc>
        <w:tc>
          <w:tcPr>
            <w:tcW w:w="821" w:type="pct"/>
            <w:vAlign w:val="center"/>
          </w:tcPr>
          <w:p w14:paraId="004722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9.46 </w:t>
            </w:r>
          </w:p>
        </w:tc>
      </w:tr>
      <w:tr w14:paraId="3EF0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647BD27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11.64</w:t>
            </w:r>
          </w:p>
        </w:tc>
        <w:tc>
          <w:tcPr>
            <w:tcW w:w="855" w:type="pct"/>
            <w:vAlign w:val="center"/>
          </w:tcPr>
          <w:p w14:paraId="0E7C706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6m</w:t>
            </w:r>
          </w:p>
        </w:tc>
        <w:tc>
          <w:tcPr>
            <w:tcW w:w="767" w:type="pct"/>
            <w:vAlign w:val="center"/>
          </w:tcPr>
          <w:p w14:paraId="34BFFFD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1.21 </w:t>
            </w:r>
          </w:p>
        </w:tc>
        <w:tc>
          <w:tcPr>
            <w:tcW w:w="805" w:type="pct"/>
            <w:vAlign w:val="center"/>
          </w:tcPr>
          <w:p w14:paraId="6A92D6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9.00 </w:t>
            </w:r>
          </w:p>
        </w:tc>
        <w:tc>
          <w:tcPr>
            <w:tcW w:w="828" w:type="pct"/>
            <w:vAlign w:val="center"/>
          </w:tcPr>
          <w:p w14:paraId="28210CB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1.14 </w:t>
            </w:r>
          </w:p>
        </w:tc>
        <w:tc>
          <w:tcPr>
            <w:tcW w:w="821" w:type="pct"/>
            <w:vAlign w:val="center"/>
          </w:tcPr>
          <w:p w14:paraId="1A46509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8.15 </w:t>
            </w:r>
          </w:p>
        </w:tc>
      </w:tr>
      <w:tr w14:paraId="5A3D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E3A1AD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12.64</w:t>
            </w:r>
          </w:p>
        </w:tc>
        <w:tc>
          <w:tcPr>
            <w:tcW w:w="855" w:type="pct"/>
            <w:vAlign w:val="center"/>
          </w:tcPr>
          <w:p w14:paraId="13AA5DB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7m</w:t>
            </w:r>
          </w:p>
        </w:tc>
        <w:tc>
          <w:tcPr>
            <w:tcW w:w="767" w:type="pct"/>
            <w:vAlign w:val="center"/>
          </w:tcPr>
          <w:p w14:paraId="7225FDA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1.00 </w:t>
            </w:r>
          </w:p>
        </w:tc>
        <w:tc>
          <w:tcPr>
            <w:tcW w:w="805" w:type="pct"/>
            <w:vAlign w:val="center"/>
          </w:tcPr>
          <w:p w14:paraId="6490CD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7.66 </w:t>
            </w:r>
          </w:p>
        </w:tc>
        <w:tc>
          <w:tcPr>
            <w:tcW w:w="828" w:type="pct"/>
            <w:vAlign w:val="center"/>
          </w:tcPr>
          <w:p w14:paraId="5D2312B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0.97 </w:t>
            </w:r>
          </w:p>
        </w:tc>
        <w:tc>
          <w:tcPr>
            <w:tcW w:w="821" w:type="pct"/>
            <w:vAlign w:val="center"/>
          </w:tcPr>
          <w:p w14:paraId="2EC8DC9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7.05 </w:t>
            </w:r>
          </w:p>
        </w:tc>
      </w:tr>
      <w:tr w14:paraId="6FAE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AF67C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13.64</w:t>
            </w:r>
          </w:p>
        </w:tc>
        <w:tc>
          <w:tcPr>
            <w:tcW w:w="855" w:type="pct"/>
            <w:vAlign w:val="center"/>
          </w:tcPr>
          <w:p w14:paraId="787CD3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8m</w:t>
            </w:r>
          </w:p>
        </w:tc>
        <w:tc>
          <w:tcPr>
            <w:tcW w:w="767" w:type="pct"/>
            <w:vAlign w:val="center"/>
          </w:tcPr>
          <w:p w14:paraId="09C3DF5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0.83 </w:t>
            </w:r>
          </w:p>
        </w:tc>
        <w:tc>
          <w:tcPr>
            <w:tcW w:w="805" w:type="pct"/>
            <w:vAlign w:val="center"/>
          </w:tcPr>
          <w:p w14:paraId="4BCC78B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6.58 </w:t>
            </w:r>
          </w:p>
        </w:tc>
        <w:tc>
          <w:tcPr>
            <w:tcW w:w="828" w:type="pct"/>
            <w:vAlign w:val="center"/>
          </w:tcPr>
          <w:p w14:paraId="3185883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0.82 </w:t>
            </w:r>
          </w:p>
        </w:tc>
        <w:tc>
          <w:tcPr>
            <w:tcW w:w="821" w:type="pct"/>
            <w:vAlign w:val="center"/>
          </w:tcPr>
          <w:p w14:paraId="4B950E6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6.14 </w:t>
            </w:r>
          </w:p>
        </w:tc>
      </w:tr>
      <w:tr w14:paraId="6BE9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5526C1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14.64</w:t>
            </w:r>
          </w:p>
        </w:tc>
        <w:tc>
          <w:tcPr>
            <w:tcW w:w="855" w:type="pct"/>
            <w:vAlign w:val="center"/>
          </w:tcPr>
          <w:p w14:paraId="7958C6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9m</w:t>
            </w:r>
          </w:p>
        </w:tc>
        <w:tc>
          <w:tcPr>
            <w:tcW w:w="767" w:type="pct"/>
            <w:vAlign w:val="center"/>
          </w:tcPr>
          <w:p w14:paraId="3AAA826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0.69 </w:t>
            </w:r>
          </w:p>
        </w:tc>
        <w:tc>
          <w:tcPr>
            <w:tcW w:w="805" w:type="pct"/>
            <w:vAlign w:val="center"/>
          </w:tcPr>
          <w:p w14:paraId="7042A82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5.70 </w:t>
            </w:r>
          </w:p>
        </w:tc>
        <w:tc>
          <w:tcPr>
            <w:tcW w:w="828" w:type="pct"/>
            <w:vAlign w:val="center"/>
          </w:tcPr>
          <w:p w14:paraId="64D929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c>
          <w:tcPr>
            <w:tcW w:w="821" w:type="pct"/>
            <w:vAlign w:val="center"/>
          </w:tcPr>
          <w:p w14:paraId="6C9690E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5.38 </w:t>
            </w:r>
          </w:p>
        </w:tc>
      </w:tr>
      <w:tr w14:paraId="3889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BA690B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15.64</w:t>
            </w:r>
          </w:p>
        </w:tc>
        <w:tc>
          <w:tcPr>
            <w:tcW w:w="855" w:type="pct"/>
            <w:vAlign w:val="center"/>
          </w:tcPr>
          <w:p w14:paraId="1930F47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10m</w:t>
            </w:r>
          </w:p>
        </w:tc>
        <w:tc>
          <w:tcPr>
            <w:tcW w:w="767" w:type="pct"/>
            <w:vAlign w:val="center"/>
          </w:tcPr>
          <w:p w14:paraId="705AE3D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0.58 </w:t>
            </w:r>
          </w:p>
        </w:tc>
        <w:tc>
          <w:tcPr>
            <w:tcW w:w="805" w:type="pct"/>
            <w:vAlign w:val="center"/>
          </w:tcPr>
          <w:p w14:paraId="4FD5BE8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4.99 </w:t>
            </w:r>
          </w:p>
        </w:tc>
        <w:tc>
          <w:tcPr>
            <w:tcW w:w="828" w:type="pct"/>
            <w:vAlign w:val="center"/>
          </w:tcPr>
          <w:p w14:paraId="198751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0.60 </w:t>
            </w:r>
          </w:p>
        </w:tc>
        <w:tc>
          <w:tcPr>
            <w:tcW w:w="821" w:type="pct"/>
            <w:vAlign w:val="center"/>
          </w:tcPr>
          <w:p w14:paraId="63DE75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4.74 </w:t>
            </w:r>
          </w:p>
        </w:tc>
      </w:tr>
      <w:tr w14:paraId="4A96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5A16882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16.64</w:t>
            </w:r>
          </w:p>
        </w:tc>
        <w:tc>
          <w:tcPr>
            <w:tcW w:w="855" w:type="pct"/>
            <w:vAlign w:val="center"/>
          </w:tcPr>
          <w:p w14:paraId="60B8BF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11m</w:t>
            </w:r>
          </w:p>
        </w:tc>
        <w:tc>
          <w:tcPr>
            <w:tcW w:w="767" w:type="pct"/>
            <w:vAlign w:val="center"/>
          </w:tcPr>
          <w:p w14:paraId="011E68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0.49 </w:t>
            </w:r>
          </w:p>
        </w:tc>
        <w:tc>
          <w:tcPr>
            <w:tcW w:w="805" w:type="pct"/>
            <w:vAlign w:val="center"/>
          </w:tcPr>
          <w:p w14:paraId="145348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4.39 </w:t>
            </w:r>
          </w:p>
        </w:tc>
        <w:tc>
          <w:tcPr>
            <w:tcW w:w="828" w:type="pct"/>
            <w:vAlign w:val="center"/>
          </w:tcPr>
          <w:p w14:paraId="6A7B542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0.51 </w:t>
            </w:r>
          </w:p>
        </w:tc>
        <w:tc>
          <w:tcPr>
            <w:tcW w:w="821" w:type="pct"/>
            <w:vAlign w:val="center"/>
          </w:tcPr>
          <w:p w14:paraId="19B8A8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4.20 </w:t>
            </w:r>
          </w:p>
        </w:tc>
      </w:tr>
      <w:tr w14:paraId="7A64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834E02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17.64</w:t>
            </w:r>
          </w:p>
        </w:tc>
        <w:tc>
          <w:tcPr>
            <w:tcW w:w="855" w:type="pct"/>
            <w:vAlign w:val="center"/>
          </w:tcPr>
          <w:p w14:paraId="6C483A4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12m</w:t>
            </w:r>
          </w:p>
        </w:tc>
        <w:tc>
          <w:tcPr>
            <w:tcW w:w="767" w:type="pct"/>
            <w:vAlign w:val="center"/>
          </w:tcPr>
          <w:p w14:paraId="6D5100C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0.42 </w:t>
            </w:r>
          </w:p>
        </w:tc>
        <w:tc>
          <w:tcPr>
            <w:tcW w:w="805" w:type="pct"/>
            <w:vAlign w:val="center"/>
          </w:tcPr>
          <w:p w14:paraId="54AEB70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3.90 </w:t>
            </w:r>
          </w:p>
        </w:tc>
        <w:tc>
          <w:tcPr>
            <w:tcW w:w="828" w:type="pct"/>
            <w:vAlign w:val="center"/>
          </w:tcPr>
          <w:p w14:paraId="6DBC4F5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0.44 </w:t>
            </w:r>
          </w:p>
        </w:tc>
        <w:tc>
          <w:tcPr>
            <w:tcW w:w="821" w:type="pct"/>
            <w:vAlign w:val="center"/>
          </w:tcPr>
          <w:p w14:paraId="60E1DD9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3.75 </w:t>
            </w:r>
          </w:p>
        </w:tc>
      </w:tr>
      <w:tr w14:paraId="32A2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358F2C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18.64</w:t>
            </w:r>
          </w:p>
        </w:tc>
        <w:tc>
          <w:tcPr>
            <w:tcW w:w="855" w:type="pct"/>
            <w:vAlign w:val="center"/>
          </w:tcPr>
          <w:p w14:paraId="6CCB75E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13m</w:t>
            </w:r>
          </w:p>
        </w:tc>
        <w:tc>
          <w:tcPr>
            <w:tcW w:w="767" w:type="pct"/>
            <w:vAlign w:val="center"/>
          </w:tcPr>
          <w:p w14:paraId="36D4D0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0.36 </w:t>
            </w:r>
          </w:p>
        </w:tc>
        <w:tc>
          <w:tcPr>
            <w:tcW w:w="805" w:type="pct"/>
            <w:vAlign w:val="center"/>
          </w:tcPr>
          <w:p w14:paraId="0C21ED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3.48 </w:t>
            </w:r>
          </w:p>
        </w:tc>
        <w:tc>
          <w:tcPr>
            <w:tcW w:w="828" w:type="pct"/>
            <w:vAlign w:val="center"/>
          </w:tcPr>
          <w:p w14:paraId="3CBD354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0.38 </w:t>
            </w:r>
          </w:p>
        </w:tc>
        <w:tc>
          <w:tcPr>
            <w:tcW w:w="821" w:type="pct"/>
            <w:vAlign w:val="center"/>
          </w:tcPr>
          <w:p w14:paraId="53D98B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3.37 </w:t>
            </w:r>
          </w:p>
        </w:tc>
      </w:tr>
      <w:tr w14:paraId="7F8B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AC382E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19.64</w:t>
            </w:r>
          </w:p>
        </w:tc>
        <w:tc>
          <w:tcPr>
            <w:tcW w:w="855" w:type="pct"/>
            <w:vAlign w:val="center"/>
          </w:tcPr>
          <w:p w14:paraId="20B71F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14m</w:t>
            </w:r>
          </w:p>
        </w:tc>
        <w:tc>
          <w:tcPr>
            <w:tcW w:w="767" w:type="pct"/>
            <w:vAlign w:val="center"/>
          </w:tcPr>
          <w:p w14:paraId="7E43F0E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0.31 </w:t>
            </w:r>
          </w:p>
        </w:tc>
        <w:tc>
          <w:tcPr>
            <w:tcW w:w="805" w:type="pct"/>
            <w:vAlign w:val="center"/>
          </w:tcPr>
          <w:p w14:paraId="29CC7EE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3.13 </w:t>
            </w:r>
          </w:p>
        </w:tc>
        <w:tc>
          <w:tcPr>
            <w:tcW w:w="828" w:type="pct"/>
            <w:vAlign w:val="center"/>
          </w:tcPr>
          <w:p w14:paraId="1A71D3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0.33 </w:t>
            </w:r>
          </w:p>
        </w:tc>
        <w:tc>
          <w:tcPr>
            <w:tcW w:w="821" w:type="pct"/>
            <w:vAlign w:val="center"/>
          </w:tcPr>
          <w:p w14:paraId="19FAD77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3.04 </w:t>
            </w:r>
          </w:p>
        </w:tc>
      </w:tr>
      <w:tr w14:paraId="3553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42D24F2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20.64</w:t>
            </w:r>
          </w:p>
        </w:tc>
        <w:tc>
          <w:tcPr>
            <w:tcW w:w="855" w:type="pct"/>
            <w:vAlign w:val="center"/>
          </w:tcPr>
          <w:p w14:paraId="1E75C3E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15m</w:t>
            </w:r>
          </w:p>
        </w:tc>
        <w:tc>
          <w:tcPr>
            <w:tcW w:w="767" w:type="pct"/>
            <w:vAlign w:val="center"/>
          </w:tcPr>
          <w:p w14:paraId="325073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0.27 </w:t>
            </w:r>
          </w:p>
        </w:tc>
        <w:tc>
          <w:tcPr>
            <w:tcW w:w="805" w:type="pct"/>
            <w:vAlign w:val="center"/>
          </w:tcPr>
          <w:p w14:paraId="540051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2.83 </w:t>
            </w:r>
          </w:p>
        </w:tc>
        <w:tc>
          <w:tcPr>
            <w:tcW w:w="828" w:type="pct"/>
            <w:vAlign w:val="center"/>
          </w:tcPr>
          <w:p w14:paraId="6CE3C3E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0.29 </w:t>
            </w:r>
          </w:p>
        </w:tc>
        <w:tc>
          <w:tcPr>
            <w:tcW w:w="821" w:type="pct"/>
            <w:vAlign w:val="center"/>
          </w:tcPr>
          <w:p w14:paraId="3F88470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2.75 </w:t>
            </w:r>
          </w:p>
        </w:tc>
      </w:tr>
      <w:tr w14:paraId="3763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42CD3B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21.64</w:t>
            </w:r>
          </w:p>
        </w:tc>
        <w:tc>
          <w:tcPr>
            <w:tcW w:w="855" w:type="pct"/>
            <w:vAlign w:val="center"/>
          </w:tcPr>
          <w:p w14:paraId="231DB0D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16m</w:t>
            </w:r>
          </w:p>
        </w:tc>
        <w:tc>
          <w:tcPr>
            <w:tcW w:w="767" w:type="pct"/>
            <w:vAlign w:val="center"/>
          </w:tcPr>
          <w:p w14:paraId="4911307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0.23 </w:t>
            </w:r>
          </w:p>
        </w:tc>
        <w:tc>
          <w:tcPr>
            <w:tcW w:w="805" w:type="pct"/>
            <w:vAlign w:val="center"/>
          </w:tcPr>
          <w:p w14:paraId="6BD993B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2.57 </w:t>
            </w:r>
          </w:p>
        </w:tc>
        <w:tc>
          <w:tcPr>
            <w:tcW w:w="828" w:type="pct"/>
            <w:vAlign w:val="center"/>
          </w:tcPr>
          <w:p w14:paraId="498271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0.25 </w:t>
            </w:r>
          </w:p>
        </w:tc>
        <w:tc>
          <w:tcPr>
            <w:tcW w:w="821" w:type="pct"/>
            <w:vAlign w:val="center"/>
          </w:tcPr>
          <w:p w14:paraId="0A48737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2.50 </w:t>
            </w:r>
          </w:p>
        </w:tc>
      </w:tr>
      <w:tr w14:paraId="4C48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38E557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22.64</w:t>
            </w:r>
          </w:p>
        </w:tc>
        <w:tc>
          <w:tcPr>
            <w:tcW w:w="855" w:type="pct"/>
            <w:vAlign w:val="center"/>
          </w:tcPr>
          <w:p w14:paraId="39A73E9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17m</w:t>
            </w:r>
          </w:p>
        </w:tc>
        <w:tc>
          <w:tcPr>
            <w:tcW w:w="767" w:type="pct"/>
            <w:vAlign w:val="center"/>
          </w:tcPr>
          <w:p w14:paraId="5E401EF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0.20 </w:t>
            </w:r>
          </w:p>
        </w:tc>
        <w:tc>
          <w:tcPr>
            <w:tcW w:w="805" w:type="pct"/>
            <w:vAlign w:val="center"/>
          </w:tcPr>
          <w:p w14:paraId="394DD67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2.34 </w:t>
            </w:r>
          </w:p>
        </w:tc>
        <w:tc>
          <w:tcPr>
            <w:tcW w:w="828" w:type="pct"/>
            <w:vAlign w:val="center"/>
          </w:tcPr>
          <w:p w14:paraId="13715C6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0.22 </w:t>
            </w:r>
          </w:p>
        </w:tc>
        <w:tc>
          <w:tcPr>
            <w:tcW w:w="821" w:type="pct"/>
            <w:vAlign w:val="center"/>
          </w:tcPr>
          <w:p w14:paraId="7E94780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2.29 </w:t>
            </w:r>
          </w:p>
        </w:tc>
      </w:tr>
      <w:tr w14:paraId="5169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C96E24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23.64</w:t>
            </w:r>
          </w:p>
        </w:tc>
        <w:tc>
          <w:tcPr>
            <w:tcW w:w="855" w:type="pct"/>
            <w:vAlign w:val="center"/>
          </w:tcPr>
          <w:p w14:paraId="4B43DCE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18m</w:t>
            </w:r>
          </w:p>
        </w:tc>
        <w:tc>
          <w:tcPr>
            <w:tcW w:w="767" w:type="pct"/>
            <w:vAlign w:val="center"/>
          </w:tcPr>
          <w:p w14:paraId="1702327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805" w:type="pct"/>
            <w:vAlign w:val="center"/>
          </w:tcPr>
          <w:p w14:paraId="49EE16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2.14 </w:t>
            </w:r>
          </w:p>
        </w:tc>
        <w:tc>
          <w:tcPr>
            <w:tcW w:w="828" w:type="pct"/>
            <w:vAlign w:val="center"/>
          </w:tcPr>
          <w:p w14:paraId="569E03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0.20 </w:t>
            </w:r>
          </w:p>
        </w:tc>
        <w:tc>
          <w:tcPr>
            <w:tcW w:w="821" w:type="pct"/>
            <w:vAlign w:val="center"/>
          </w:tcPr>
          <w:p w14:paraId="3CA98B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2.10 </w:t>
            </w:r>
          </w:p>
        </w:tc>
      </w:tr>
      <w:tr w14:paraId="5E0B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1183D9B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24.64</w:t>
            </w:r>
          </w:p>
        </w:tc>
        <w:tc>
          <w:tcPr>
            <w:tcW w:w="855" w:type="pct"/>
            <w:vAlign w:val="center"/>
          </w:tcPr>
          <w:p w14:paraId="106601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19m</w:t>
            </w:r>
          </w:p>
        </w:tc>
        <w:tc>
          <w:tcPr>
            <w:tcW w:w="767" w:type="pct"/>
            <w:vAlign w:val="center"/>
          </w:tcPr>
          <w:p w14:paraId="240B6C6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805" w:type="pct"/>
            <w:vAlign w:val="center"/>
          </w:tcPr>
          <w:p w14:paraId="5277689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1.97 </w:t>
            </w:r>
          </w:p>
        </w:tc>
        <w:tc>
          <w:tcPr>
            <w:tcW w:w="828" w:type="pct"/>
            <w:vAlign w:val="center"/>
          </w:tcPr>
          <w:p w14:paraId="65210C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821" w:type="pct"/>
            <w:vAlign w:val="center"/>
          </w:tcPr>
          <w:p w14:paraId="0FB3AF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1.93 </w:t>
            </w:r>
          </w:p>
        </w:tc>
      </w:tr>
      <w:tr w14:paraId="0703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AEA9BD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25.64</w:t>
            </w:r>
          </w:p>
        </w:tc>
        <w:tc>
          <w:tcPr>
            <w:tcW w:w="855" w:type="pct"/>
            <w:vAlign w:val="center"/>
          </w:tcPr>
          <w:p w14:paraId="0712E1C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20m</w:t>
            </w:r>
          </w:p>
        </w:tc>
        <w:tc>
          <w:tcPr>
            <w:tcW w:w="767" w:type="pct"/>
            <w:vAlign w:val="center"/>
          </w:tcPr>
          <w:p w14:paraId="5DA3DB1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0.14 </w:t>
            </w:r>
          </w:p>
        </w:tc>
        <w:tc>
          <w:tcPr>
            <w:tcW w:w="805" w:type="pct"/>
            <w:vAlign w:val="center"/>
          </w:tcPr>
          <w:p w14:paraId="584228A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1.81 </w:t>
            </w:r>
          </w:p>
        </w:tc>
        <w:tc>
          <w:tcPr>
            <w:tcW w:w="828" w:type="pct"/>
            <w:vAlign w:val="center"/>
          </w:tcPr>
          <w:p w14:paraId="5C34D1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821" w:type="pct"/>
            <w:vAlign w:val="center"/>
          </w:tcPr>
          <w:p w14:paraId="721B6E7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1.78 </w:t>
            </w:r>
          </w:p>
        </w:tc>
      </w:tr>
      <w:tr w14:paraId="03AF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196BDE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26.64</w:t>
            </w:r>
          </w:p>
        </w:tc>
        <w:tc>
          <w:tcPr>
            <w:tcW w:w="855" w:type="pct"/>
            <w:vAlign w:val="center"/>
          </w:tcPr>
          <w:p w14:paraId="4C5B684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21m</w:t>
            </w:r>
          </w:p>
        </w:tc>
        <w:tc>
          <w:tcPr>
            <w:tcW w:w="767" w:type="pct"/>
            <w:vAlign w:val="center"/>
          </w:tcPr>
          <w:p w14:paraId="7E3DD1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0.13 </w:t>
            </w:r>
          </w:p>
        </w:tc>
        <w:tc>
          <w:tcPr>
            <w:tcW w:w="805" w:type="pct"/>
            <w:vAlign w:val="center"/>
          </w:tcPr>
          <w:p w14:paraId="57CC676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1.68 </w:t>
            </w:r>
          </w:p>
        </w:tc>
        <w:tc>
          <w:tcPr>
            <w:tcW w:w="828" w:type="pct"/>
            <w:vAlign w:val="center"/>
          </w:tcPr>
          <w:p w14:paraId="7244C65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0.14 </w:t>
            </w:r>
          </w:p>
        </w:tc>
        <w:tc>
          <w:tcPr>
            <w:tcW w:w="821" w:type="pct"/>
            <w:vAlign w:val="center"/>
          </w:tcPr>
          <w:p w14:paraId="3C0945C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1.65 </w:t>
            </w:r>
          </w:p>
        </w:tc>
      </w:tr>
      <w:tr w14:paraId="5FBD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7479A8A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27.64</w:t>
            </w:r>
          </w:p>
        </w:tc>
        <w:tc>
          <w:tcPr>
            <w:tcW w:w="855" w:type="pct"/>
            <w:vAlign w:val="center"/>
          </w:tcPr>
          <w:p w14:paraId="4F17BCF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22m</w:t>
            </w:r>
          </w:p>
        </w:tc>
        <w:tc>
          <w:tcPr>
            <w:tcW w:w="767" w:type="pct"/>
            <w:vAlign w:val="center"/>
          </w:tcPr>
          <w:p w14:paraId="4D8EA12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805" w:type="pct"/>
            <w:vAlign w:val="center"/>
          </w:tcPr>
          <w:p w14:paraId="447F462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1.56 </w:t>
            </w:r>
          </w:p>
        </w:tc>
        <w:tc>
          <w:tcPr>
            <w:tcW w:w="828" w:type="pct"/>
            <w:vAlign w:val="center"/>
          </w:tcPr>
          <w:p w14:paraId="56BA9E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0.13 </w:t>
            </w:r>
          </w:p>
        </w:tc>
        <w:tc>
          <w:tcPr>
            <w:tcW w:w="821" w:type="pct"/>
            <w:vAlign w:val="center"/>
          </w:tcPr>
          <w:p w14:paraId="2F0DA9D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 </w:t>
            </w:r>
          </w:p>
        </w:tc>
      </w:tr>
      <w:tr w14:paraId="7570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42D9C3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28.64</w:t>
            </w:r>
          </w:p>
        </w:tc>
        <w:tc>
          <w:tcPr>
            <w:tcW w:w="855" w:type="pct"/>
            <w:vAlign w:val="center"/>
          </w:tcPr>
          <w:p w14:paraId="6FDA11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23m</w:t>
            </w:r>
          </w:p>
        </w:tc>
        <w:tc>
          <w:tcPr>
            <w:tcW w:w="767" w:type="pct"/>
            <w:vAlign w:val="center"/>
          </w:tcPr>
          <w:p w14:paraId="094F795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0.10 </w:t>
            </w:r>
          </w:p>
        </w:tc>
        <w:tc>
          <w:tcPr>
            <w:tcW w:w="805" w:type="pct"/>
            <w:vAlign w:val="center"/>
          </w:tcPr>
          <w:p w14:paraId="6E81B0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1.45 </w:t>
            </w:r>
          </w:p>
        </w:tc>
        <w:tc>
          <w:tcPr>
            <w:tcW w:w="828" w:type="pct"/>
            <w:vAlign w:val="center"/>
          </w:tcPr>
          <w:p w14:paraId="76E949C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821" w:type="pct"/>
            <w:vAlign w:val="center"/>
          </w:tcPr>
          <w:p w14:paraId="4E571B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1.43 </w:t>
            </w:r>
          </w:p>
        </w:tc>
      </w:tr>
      <w:tr w14:paraId="6564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29D67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29.64</w:t>
            </w:r>
          </w:p>
        </w:tc>
        <w:tc>
          <w:tcPr>
            <w:tcW w:w="855" w:type="pct"/>
            <w:vAlign w:val="center"/>
          </w:tcPr>
          <w:p w14:paraId="149588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24m</w:t>
            </w:r>
          </w:p>
        </w:tc>
        <w:tc>
          <w:tcPr>
            <w:tcW w:w="767" w:type="pct"/>
            <w:vAlign w:val="center"/>
          </w:tcPr>
          <w:p w14:paraId="5397B65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05" w:type="pct"/>
            <w:vAlign w:val="center"/>
          </w:tcPr>
          <w:p w14:paraId="69878E5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1.35 </w:t>
            </w:r>
          </w:p>
        </w:tc>
        <w:tc>
          <w:tcPr>
            <w:tcW w:w="828" w:type="pct"/>
            <w:vAlign w:val="center"/>
          </w:tcPr>
          <w:p w14:paraId="673912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0.10 </w:t>
            </w:r>
          </w:p>
        </w:tc>
        <w:tc>
          <w:tcPr>
            <w:tcW w:w="821" w:type="pct"/>
            <w:vAlign w:val="center"/>
          </w:tcPr>
          <w:p w14:paraId="6403181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 </w:t>
            </w:r>
          </w:p>
        </w:tc>
      </w:tr>
      <w:tr w14:paraId="1E64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8F3B4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30.64</w:t>
            </w:r>
          </w:p>
        </w:tc>
        <w:tc>
          <w:tcPr>
            <w:tcW w:w="855" w:type="pct"/>
            <w:vAlign w:val="center"/>
          </w:tcPr>
          <w:p w14:paraId="322E3B5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25m</w:t>
            </w:r>
          </w:p>
        </w:tc>
        <w:tc>
          <w:tcPr>
            <w:tcW w:w="767" w:type="pct"/>
            <w:vAlign w:val="center"/>
          </w:tcPr>
          <w:p w14:paraId="1C85D8A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05" w:type="pct"/>
            <w:vAlign w:val="center"/>
          </w:tcPr>
          <w:p w14:paraId="2674202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1.26 </w:t>
            </w:r>
          </w:p>
        </w:tc>
        <w:tc>
          <w:tcPr>
            <w:tcW w:w="828" w:type="pct"/>
            <w:vAlign w:val="center"/>
          </w:tcPr>
          <w:p w14:paraId="5A8C878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21" w:type="pct"/>
            <w:vAlign w:val="center"/>
          </w:tcPr>
          <w:p w14:paraId="6FDB2E0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1.25 </w:t>
            </w:r>
          </w:p>
        </w:tc>
      </w:tr>
      <w:tr w14:paraId="67A6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F3B29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31.64</w:t>
            </w:r>
          </w:p>
        </w:tc>
        <w:tc>
          <w:tcPr>
            <w:tcW w:w="855" w:type="pct"/>
            <w:vAlign w:val="center"/>
          </w:tcPr>
          <w:p w14:paraId="3B95C72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26m</w:t>
            </w:r>
          </w:p>
        </w:tc>
        <w:tc>
          <w:tcPr>
            <w:tcW w:w="767" w:type="pct"/>
            <w:vAlign w:val="center"/>
          </w:tcPr>
          <w:p w14:paraId="0BC9BC8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05" w:type="pct"/>
            <w:vAlign w:val="center"/>
          </w:tcPr>
          <w:p w14:paraId="003728D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1.18 </w:t>
            </w:r>
          </w:p>
        </w:tc>
        <w:tc>
          <w:tcPr>
            <w:tcW w:w="828" w:type="pct"/>
            <w:vAlign w:val="center"/>
          </w:tcPr>
          <w:p w14:paraId="5F6AE0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0.09 </w:t>
            </w:r>
          </w:p>
        </w:tc>
        <w:tc>
          <w:tcPr>
            <w:tcW w:w="821" w:type="pct"/>
            <w:vAlign w:val="center"/>
          </w:tcPr>
          <w:p w14:paraId="1ADEA1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1.17 </w:t>
            </w:r>
          </w:p>
        </w:tc>
      </w:tr>
      <w:tr w14:paraId="387B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0ACC717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32.64</w:t>
            </w:r>
          </w:p>
        </w:tc>
        <w:tc>
          <w:tcPr>
            <w:tcW w:w="855" w:type="pct"/>
            <w:vAlign w:val="center"/>
          </w:tcPr>
          <w:p w14:paraId="1EE0582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27m</w:t>
            </w:r>
          </w:p>
        </w:tc>
        <w:tc>
          <w:tcPr>
            <w:tcW w:w="767" w:type="pct"/>
            <w:vAlign w:val="center"/>
          </w:tcPr>
          <w:p w14:paraId="2DDD62D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05" w:type="pct"/>
            <w:vAlign w:val="center"/>
          </w:tcPr>
          <w:p w14:paraId="316C1BE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1.11 </w:t>
            </w:r>
          </w:p>
        </w:tc>
        <w:tc>
          <w:tcPr>
            <w:tcW w:w="828" w:type="pct"/>
            <w:vAlign w:val="center"/>
          </w:tcPr>
          <w:p w14:paraId="24E54E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21" w:type="pct"/>
            <w:vAlign w:val="center"/>
          </w:tcPr>
          <w:p w14:paraId="186DA7B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1.10 </w:t>
            </w:r>
          </w:p>
        </w:tc>
      </w:tr>
      <w:tr w14:paraId="2A6E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2FBB03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33.64</w:t>
            </w:r>
          </w:p>
        </w:tc>
        <w:tc>
          <w:tcPr>
            <w:tcW w:w="855" w:type="pct"/>
            <w:vAlign w:val="center"/>
          </w:tcPr>
          <w:p w14:paraId="178C27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28m</w:t>
            </w:r>
          </w:p>
        </w:tc>
        <w:tc>
          <w:tcPr>
            <w:tcW w:w="767" w:type="pct"/>
            <w:vAlign w:val="center"/>
          </w:tcPr>
          <w:p w14:paraId="0092ED6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05" w:type="pct"/>
            <w:vAlign w:val="center"/>
          </w:tcPr>
          <w:p w14:paraId="4AEB3F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1.05 </w:t>
            </w:r>
          </w:p>
        </w:tc>
        <w:tc>
          <w:tcPr>
            <w:tcW w:w="828" w:type="pct"/>
            <w:vAlign w:val="center"/>
          </w:tcPr>
          <w:p w14:paraId="082E53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21" w:type="pct"/>
            <w:vAlign w:val="center"/>
          </w:tcPr>
          <w:p w14:paraId="41CD52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1.04 </w:t>
            </w:r>
          </w:p>
        </w:tc>
      </w:tr>
      <w:tr w14:paraId="34D9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2701EB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34.64</w:t>
            </w:r>
          </w:p>
        </w:tc>
        <w:tc>
          <w:tcPr>
            <w:tcW w:w="855" w:type="pct"/>
            <w:vAlign w:val="center"/>
          </w:tcPr>
          <w:p w14:paraId="16589E0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29m</w:t>
            </w:r>
          </w:p>
        </w:tc>
        <w:tc>
          <w:tcPr>
            <w:tcW w:w="767" w:type="pct"/>
            <w:vAlign w:val="center"/>
          </w:tcPr>
          <w:p w14:paraId="77634B5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05" w:type="pct"/>
            <w:vAlign w:val="center"/>
          </w:tcPr>
          <w:p w14:paraId="32FCAF9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c>
          <w:tcPr>
            <w:tcW w:w="828" w:type="pct"/>
            <w:vAlign w:val="center"/>
          </w:tcPr>
          <w:p w14:paraId="4E0950F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0.07 </w:t>
            </w:r>
          </w:p>
        </w:tc>
        <w:tc>
          <w:tcPr>
            <w:tcW w:w="821" w:type="pct"/>
            <w:vAlign w:val="center"/>
          </w:tcPr>
          <w:p w14:paraId="74A44E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r>
      <w:tr w14:paraId="1413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1" w:type="pct"/>
            <w:vAlign w:val="center"/>
          </w:tcPr>
          <w:p w14:paraId="375A4A6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35.64</w:t>
            </w:r>
          </w:p>
        </w:tc>
        <w:tc>
          <w:tcPr>
            <w:tcW w:w="855" w:type="pct"/>
            <w:vAlign w:val="center"/>
          </w:tcPr>
          <w:p w14:paraId="37808BF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30m</w:t>
            </w:r>
          </w:p>
        </w:tc>
        <w:tc>
          <w:tcPr>
            <w:tcW w:w="767" w:type="pct"/>
            <w:vAlign w:val="center"/>
          </w:tcPr>
          <w:p w14:paraId="00A2771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805" w:type="pct"/>
            <w:vAlign w:val="center"/>
          </w:tcPr>
          <w:p w14:paraId="49692DD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0.93 </w:t>
            </w:r>
          </w:p>
        </w:tc>
        <w:tc>
          <w:tcPr>
            <w:tcW w:w="828" w:type="pct"/>
            <w:vAlign w:val="center"/>
          </w:tcPr>
          <w:p w14:paraId="7B9306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0.06 </w:t>
            </w:r>
          </w:p>
        </w:tc>
        <w:tc>
          <w:tcPr>
            <w:tcW w:w="821" w:type="pct"/>
            <w:vAlign w:val="center"/>
          </w:tcPr>
          <w:p w14:paraId="67193E0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0.92 </w:t>
            </w:r>
          </w:p>
        </w:tc>
      </w:tr>
      <w:tr w14:paraId="18DA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6" w:type="pct"/>
            <w:gridSpan w:val="2"/>
            <w:vAlign w:val="center"/>
          </w:tcPr>
          <w:p w14:paraId="0112AA3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最大值</w:t>
            </w:r>
          </w:p>
        </w:tc>
        <w:tc>
          <w:tcPr>
            <w:tcW w:w="767" w:type="pct"/>
            <w:vAlign w:val="center"/>
          </w:tcPr>
          <w:p w14:paraId="4A4D9C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2.58</w:t>
            </w:r>
          </w:p>
        </w:tc>
        <w:tc>
          <w:tcPr>
            <w:tcW w:w="805" w:type="pct"/>
            <w:vAlign w:val="center"/>
          </w:tcPr>
          <w:p w14:paraId="459CBBB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27.66</w:t>
            </w:r>
          </w:p>
        </w:tc>
        <w:tc>
          <w:tcPr>
            <w:tcW w:w="828" w:type="pct"/>
            <w:vAlign w:val="center"/>
          </w:tcPr>
          <w:p w14:paraId="36243CE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1.99</w:t>
            </w:r>
          </w:p>
        </w:tc>
        <w:tc>
          <w:tcPr>
            <w:tcW w:w="821" w:type="pct"/>
            <w:vAlign w:val="center"/>
          </w:tcPr>
          <w:p w14:paraId="6D546EA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21.84</w:t>
            </w:r>
          </w:p>
        </w:tc>
      </w:tr>
      <w:tr w14:paraId="584E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6" w:type="pct"/>
            <w:gridSpan w:val="2"/>
            <w:vAlign w:val="center"/>
          </w:tcPr>
          <w:p w14:paraId="771C33F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最大值处距线路走廊中心距离</w:t>
            </w:r>
            <w:r>
              <w:rPr>
                <w:rFonts w:hint="eastAsia" w:ascii="Times New Roman" w:hAnsi="Times New Roman"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m</w:t>
            </w:r>
            <w:r>
              <w:rPr>
                <w:rFonts w:hint="eastAsia" w:ascii="Times New Roman" w:hAnsi="Times New Roman" w:cs="宋体"/>
                <w:i w:val="0"/>
                <w:iCs w:val="0"/>
                <w:color w:val="000000"/>
                <w:kern w:val="0"/>
                <w:sz w:val="21"/>
                <w:szCs w:val="21"/>
                <w:u w:val="none"/>
                <w:lang w:val="en-US" w:eastAsia="zh-CN" w:bidi="ar"/>
              </w:rPr>
              <w:t>）</w:t>
            </w:r>
          </w:p>
        </w:tc>
        <w:tc>
          <w:tcPr>
            <w:tcW w:w="767" w:type="pct"/>
            <w:vAlign w:val="center"/>
          </w:tcPr>
          <w:p w14:paraId="0060A435">
            <w:pPr>
              <w:keepNext w:val="0"/>
              <w:keepLines w:val="0"/>
              <w:widowControl/>
              <w:suppressLineNumbers w:val="0"/>
              <w:jc w:val="center"/>
              <w:textAlignment w:val="center"/>
              <w:rPr>
                <w:rFonts w:hint="default"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-5.64</w:t>
            </w:r>
            <w:r>
              <w:rPr>
                <w:rFonts w:hint="eastAsia" w:cs="宋体"/>
                <w:i w:val="0"/>
                <w:iCs w:val="0"/>
                <w:color w:val="000000"/>
                <w:kern w:val="0"/>
                <w:sz w:val="21"/>
                <w:szCs w:val="21"/>
                <w:u w:val="none"/>
                <w:lang w:val="en-US" w:eastAsia="zh-CN" w:bidi="ar"/>
              </w:rPr>
              <w:t>、5.64</w:t>
            </w:r>
          </w:p>
        </w:tc>
        <w:tc>
          <w:tcPr>
            <w:tcW w:w="805" w:type="pct"/>
            <w:vAlign w:val="center"/>
          </w:tcPr>
          <w:p w14:paraId="0C3D9BF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w:t>
            </w:r>
          </w:p>
        </w:tc>
        <w:tc>
          <w:tcPr>
            <w:tcW w:w="828" w:type="pct"/>
            <w:vAlign w:val="center"/>
          </w:tcPr>
          <w:p w14:paraId="0E17F337">
            <w:pPr>
              <w:keepNext w:val="0"/>
              <w:keepLines w:val="0"/>
              <w:widowControl/>
              <w:suppressLineNumbers w:val="0"/>
              <w:jc w:val="center"/>
              <w:textAlignment w:val="center"/>
              <w:rPr>
                <w:rFonts w:hint="default"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-6.64</w:t>
            </w:r>
            <w:r>
              <w:rPr>
                <w:rFonts w:hint="eastAsia" w:cs="宋体"/>
                <w:i w:val="0"/>
                <w:iCs w:val="0"/>
                <w:color w:val="000000"/>
                <w:kern w:val="0"/>
                <w:sz w:val="21"/>
                <w:szCs w:val="21"/>
                <w:u w:val="none"/>
                <w:lang w:val="en-US" w:eastAsia="zh-CN" w:bidi="ar"/>
              </w:rPr>
              <w:t>、6.64</w:t>
            </w:r>
          </w:p>
        </w:tc>
        <w:tc>
          <w:tcPr>
            <w:tcW w:w="821" w:type="pct"/>
            <w:vAlign w:val="center"/>
          </w:tcPr>
          <w:p w14:paraId="6AD1EC3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w:t>
            </w:r>
          </w:p>
        </w:tc>
      </w:tr>
    </w:tbl>
    <w:p w14:paraId="6A02D9E0">
      <w:pPr>
        <w:pStyle w:val="33"/>
        <w:spacing w:before="157" w:beforeLines="50" w:after="0"/>
        <w:ind w:left="0" w:leftChars="0" w:firstLine="0"/>
        <w:jc w:val="center"/>
        <w:rPr>
          <w:rFonts w:hint="eastAsia" w:eastAsia="宋体"/>
          <w:lang w:eastAsia="zh-CN"/>
        </w:rPr>
      </w:pPr>
      <w:r>
        <w:rPr>
          <w:rFonts w:hint="eastAsia" w:eastAsia="宋体"/>
          <w:lang w:eastAsia="zh-CN"/>
        </w:rPr>
        <w:drawing>
          <wp:inline distT="0" distB="0" distL="114300" distR="114300">
            <wp:extent cx="4319905" cy="3124200"/>
            <wp:effectExtent l="0" t="0" r="4445" b="0"/>
            <wp:docPr id="8" name="图片 8" descr="1、电场-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电场-非"/>
                    <pic:cNvPicPr>
                      <a:picLocks noChangeAspect="1"/>
                    </pic:cNvPicPr>
                  </pic:nvPicPr>
                  <pic:blipFill>
                    <a:blip r:embed="rId28"/>
                    <a:stretch>
                      <a:fillRect/>
                    </a:stretch>
                  </pic:blipFill>
                  <pic:spPr>
                    <a:xfrm>
                      <a:off x="0" y="0"/>
                      <a:ext cx="4319905" cy="3124200"/>
                    </a:xfrm>
                    <a:prstGeom prst="rect">
                      <a:avLst/>
                    </a:prstGeom>
                  </pic:spPr>
                </pic:pic>
              </a:graphicData>
            </a:graphic>
          </wp:inline>
        </w:drawing>
      </w:r>
    </w:p>
    <w:p w14:paraId="59A91663">
      <w:pPr>
        <w:pStyle w:val="33"/>
        <w:spacing w:before="157" w:beforeLines="50" w:after="0"/>
        <w:ind w:left="0" w:leftChars="0" w:firstLine="0"/>
        <w:jc w:val="center"/>
        <w:rPr>
          <w:rFonts w:hint="eastAsia" w:eastAsia="宋体"/>
          <w:sz w:val="21"/>
          <w:szCs w:val="21"/>
          <w:lang w:eastAsia="zh-CN"/>
        </w:rPr>
      </w:pPr>
      <w:bookmarkStart w:id="879" w:name="_Ref14898"/>
      <w:r>
        <w:rPr>
          <w:rFonts w:eastAsia="黑体"/>
          <w:b/>
          <w:bCs/>
          <w:color w:val="000000"/>
          <w:sz w:val="21"/>
          <w:szCs w:val="16"/>
        </w:rPr>
        <w:t>图</w:t>
      </w:r>
      <w:r>
        <w:rPr>
          <w:rFonts w:eastAsia="黑体"/>
          <w:b/>
          <w:bCs/>
          <w:color w:val="000000"/>
          <w:sz w:val="21"/>
          <w:szCs w:val="16"/>
        </w:rPr>
        <w:fldChar w:fldCharType="begin"/>
      </w:r>
      <w:r>
        <w:rPr>
          <w:rFonts w:eastAsia="黑体"/>
          <w:b/>
          <w:bCs/>
          <w:color w:val="000000"/>
          <w:sz w:val="21"/>
          <w:szCs w:val="16"/>
        </w:rPr>
        <w:instrText xml:space="preserve"> SEQ 图 \* ARABIC </w:instrText>
      </w:r>
      <w:r>
        <w:rPr>
          <w:rFonts w:eastAsia="黑体"/>
          <w:b/>
          <w:bCs/>
          <w:color w:val="000000"/>
          <w:sz w:val="21"/>
          <w:szCs w:val="16"/>
        </w:rPr>
        <w:fldChar w:fldCharType="separate"/>
      </w:r>
      <w:r>
        <w:rPr>
          <w:rFonts w:eastAsia="黑体"/>
          <w:b/>
          <w:bCs/>
          <w:color w:val="000000"/>
          <w:sz w:val="21"/>
          <w:szCs w:val="16"/>
        </w:rPr>
        <w:t>12</w:t>
      </w:r>
      <w:r>
        <w:rPr>
          <w:rFonts w:eastAsia="黑体"/>
          <w:b/>
          <w:bCs/>
          <w:color w:val="000000"/>
          <w:sz w:val="21"/>
          <w:szCs w:val="16"/>
        </w:rPr>
        <w:fldChar w:fldCharType="end"/>
      </w:r>
      <w:bookmarkEnd w:id="879"/>
      <w:r>
        <w:rPr>
          <w:rFonts w:eastAsia="黑体"/>
          <w:b/>
          <w:bCs/>
          <w:color w:val="000000"/>
          <w:sz w:val="21"/>
          <w:szCs w:val="16"/>
        </w:rPr>
        <w:t xml:space="preserve">  </w:t>
      </w:r>
      <w:r>
        <w:rPr>
          <w:rFonts w:hint="eastAsia" w:eastAsia="黑体"/>
          <w:b/>
          <w:bCs/>
          <w:color w:val="000000"/>
          <w:sz w:val="21"/>
          <w:szCs w:val="16"/>
          <w:lang w:eastAsia="zh-CN"/>
        </w:rPr>
        <w:t>1</w:t>
      </w:r>
      <w:r>
        <w:rPr>
          <w:rFonts w:hint="eastAsia" w:eastAsia="黑体"/>
          <w:b/>
          <w:bCs/>
          <w:color w:val="000000"/>
          <w:sz w:val="21"/>
          <w:szCs w:val="16"/>
          <w:lang w:val="en-US" w:eastAsia="zh-CN"/>
        </w:rPr>
        <w:t>1</w:t>
      </w:r>
      <w:r>
        <w:rPr>
          <w:rFonts w:eastAsia="黑体"/>
          <w:b/>
          <w:bCs/>
          <w:color w:val="000000"/>
          <w:sz w:val="21"/>
          <w:szCs w:val="16"/>
        </w:rPr>
        <w:t>0kV</w:t>
      </w:r>
      <w:r>
        <w:rPr>
          <w:rFonts w:hint="eastAsia" w:eastAsia="黑体"/>
          <w:b/>
          <w:bCs/>
          <w:color w:val="000000"/>
          <w:sz w:val="21"/>
          <w:szCs w:val="16"/>
          <w:lang w:val="en-US" w:eastAsia="zh-CN"/>
        </w:rPr>
        <w:t>单</w:t>
      </w:r>
      <w:r>
        <w:rPr>
          <w:rFonts w:eastAsia="黑体"/>
          <w:b/>
          <w:bCs/>
          <w:color w:val="000000"/>
          <w:sz w:val="21"/>
          <w:szCs w:val="16"/>
        </w:rPr>
        <w:t>回线路工频电场强度</w:t>
      </w:r>
      <w:r>
        <w:rPr>
          <w:rFonts w:hint="eastAsia" w:eastAsia="黑体"/>
          <w:b/>
          <w:bCs/>
          <w:color w:val="000000"/>
          <w:sz w:val="21"/>
          <w:szCs w:val="16"/>
        </w:rPr>
        <w:t>预测结果（非居民区）</w:t>
      </w:r>
    </w:p>
    <w:p w14:paraId="26439121">
      <w:pPr>
        <w:pStyle w:val="33"/>
        <w:spacing w:before="157" w:beforeLines="50" w:after="0"/>
        <w:ind w:left="0" w:leftChars="0" w:firstLine="0"/>
        <w:jc w:val="center"/>
        <w:rPr>
          <w:rFonts w:hint="eastAsia" w:eastAsia="宋体"/>
          <w:lang w:eastAsia="zh-CN"/>
        </w:rPr>
      </w:pPr>
      <w:r>
        <w:rPr>
          <w:rFonts w:hint="eastAsia" w:eastAsia="宋体"/>
          <w:lang w:eastAsia="zh-CN"/>
        </w:rPr>
        <w:drawing>
          <wp:inline distT="0" distB="0" distL="114300" distR="114300">
            <wp:extent cx="4319905" cy="3698875"/>
            <wp:effectExtent l="0" t="0" r="4445" b="15875"/>
            <wp:docPr id="24" name="图片 24" descr="1、电场-非-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电场-非-分布"/>
                    <pic:cNvPicPr>
                      <a:picLocks noChangeAspect="1"/>
                    </pic:cNvPicPr>
                  </pic:nvPicPr>
                  <pic:blipFill>
                    <a:blip r:embed="rId29"/>
                    <a:stretch>
                      <a:fillRect/>
                    </a:stretch>
                  </pic:blipFill>
                  <pic:spPr>
                    <a:xfrm>
                      <a:off x="0" y="0"/>
                      <a:ext cx="4319905" cy="3698875"/>
                    </a:xfrm>
                    <a:prstGeom prst="rect">
                      <a:avLst/>
                    </a:prstGeom>
                  </pic:spPr>
                </pic:pic>
              </a:graphicData>
            </a:graphic>
          </wp:inline>
        </w:drawing>
      </w:r>
    </w:p>
    <w:p w14:paraId="53E62BE1">
      <w:pPr>
        <w:pStyle w:val="33"/>
        <w:spacing w:before="157" w:beforeLines="50" w:after="0"/>
        <w:ind w:left="0" w:leftChars="0" w:firstLine="0"/>
        <w:jc w:val="center"/>
        <w:rPr>
          <w:rFonts w:hint="eastAsia" w:eastAsia="黑体"/>
          <w:b/>
          <w:bCs/>
          <w:color w:val="000000"/>
          <w:sz w:val="21"/>
          <w:szCs w:val="16"/>
        </w:rPr>
      </w:pPr>
      <w:r>
        <w:rPr>
          <w:rFonts w:eastAsia="黑体"/>
          <w:b/>
          <w:bCs/>
          <w:color w:val="000000"/>
          <w:sz w:val="21"/>
          <w:szCs w:val="16"/>
        </w:rPr>
        <w:t>图</w:t>
      </w:r>
      <w:r>
        <w:rPr>
          <w:rFonts w:eastAsia="黑体"/>
          <w:b/>
          <w:bCs/>
          <w:color w:val="000000"/>
          <w:sz w:val="21"/>
          <w:szCs w:val="16"/>
        </w:rPr>
        <w:fldChar w:fldCharType="begin"/>
      </w:r>
      <w:r>
        <w:rPr>
          <w:rFonts w:eastAsia="黑体"/>
          <w:b/>
          <w:bCs/>
          <w:color w:val="000000"/>
          <w:sz w:val="21"/>
          <w:szCs w:val="16"/>
        </w:rPr>
        <w:instrText xml:space="preserve"> SEQ 图 \* ARABIC </w:instrText>
      </w:r>
      <w:r>
        <w:rPr>
          <w:rFonts w:eastAsia="黑体"/>
          <w:b/>
          <w:bCs/>
          <w:color w:val="000000"/>
          <w:sz w:val="21"/>
          <w:szCs w:val="16"/>
        </w:rPr>
        <w:fldChar w:fldCharType="separate"/>
      </w:r>
      <w:r>
        <w:rPr>
          <w:rFonts w:eastAsia="黑体"/>
          <w:b/>
          <w:bCs/>
          <w:color w:val="000000"/>
          <w:sz w:val="21"/>
          <w:szCs w:val="16"/>
        </w:rPr>
        <w:t>13</w:t>
      </w:r>
      <w:r>
        <w:rPr>
          <w:rFonts w:eastAsia="黑体"/>
          <w:b/>
          <w:bCs/>
          <w:color w:val="000000"/>
          <w:sz w:val="21"/>
          <w:szCs w:val="16"/>
        </w:rPr>
        <w:fldChar w:fldCharType="end"/>
      </w:r>
      <w:r>
        <w:rPr>
          <w:rFonts w:eastAsia="黑体"/>
          <w:b/>
          <w:bCs/>
          <w:color w:val="000000"/>
          <w:sz w:val="21"/>
          <w:szCs w:val="16"/>
        </w:rPr>
        <w:t xml:space="preserve">  </w:t>
      </w:r>
      <w:r>
        <w:rPr>
          <w:rFonts w:hint="eastAsia" w:eastAsia="黑体"/>
          <w:b/>
          <w:bCs/>
          <w:color w:val="000000"/>
          <w:sz w:val="21"/>
          <w:szCs w:val="16"/>
          <w:lang w:eastAsia="zh-CN"/>
        </w:rPr>
        <w:t>1</w:t>
      </w:r>
      <w:r>
        <w:rPr>
          <w:rFonts w:hint="eastAsia" w:eastAsia="黑体"/>
          <w:b/>
          <w:bCs/>
          <w:color w:val="000000"/>
          <w:sz w:val="21"/>
          <w:szCs w:val="16"/>
          <w:lang w:val="en-US" w:eastAsia="zh-CN"/>
        </w:rPr>
        <w:t>1</w:t>
      </w:r>
      <w:r>
        <w:rPr>
          <w:rFonts w:eastAsia="黑体"/>
          <w:b/>
          <w:bCs/>
          <w:color w:val="000000"/>
          <w:sz w:val="21"/>
          <w:szCs w:val="16"/>
        </w:rPr>
        <w:t>0kV</w:t>
      </w:r>
      <w:r>
        <w:rPr>
          <w:rFonts w:hint="eastAsia" w:eastAsia="黑体"/>
          <w:b/>
          <w:bCs/>
          <w:color w:val="000000"/>
          <w:sz w:val="21"/>
          <w:szCs w:val="16"/>
          <w:lang w:val="en-US" w:eastAsia="zh-CN"/>
        </w:rPr>
        <w:t>单</w:t>
      </w:r>
      <w:r>
        <w:rPr>
          <w:rFonts w:eastAsia="黑体"/>
          <w:b/>
          <w:bCs/>
          <w:color w:val="000000"/>
          <w:sz w:val="21"/>
          <w:szCs w:val="16"/>
        </w:rPr>
        <w:t>回线路工频电场强度</w:t>
      </w:r>
      <w:r>
        <w:rPr>
          <w:rFonts w:hint="eastAsia" w:eastAsia="黑体"/>
          <w:b/>
          <w:bCs/>
          <w:color w:val="000000"/>
          <w:sz w:val="21"/>
          <w:szCs w:val="16"/>
        </w:rPr>
        <w:t>空间</w:t>
      </w:r>
      <w:r>
        <w:rPr>
          <w:rFonts w:eastAsia="黑体"/>
          <w:b/>
          <w:bCs/>
          <w:color w:val="000000"/>
          <w:sz w:val="21"/>
          <w:szCs w:val="16"/>
        </w:rPr>
        <w:t>分布图</w:t>
      </w:r>
      <w:r>
        <w:rPr>
          <w:rFonts w:hint="eastAsia" w:eastAsia="黑体"/>
          <w:b/>
          <w:bCs/>
          <w:color w:val="000000"/>
          <w:sz w:val="21"/>
          <w:szCs w:val="16"/>
        </w:rPr>
        <w:t>（非居民区）</w:t>
      </w:r>
    </w:p>
    <w:p w14:paraId="7A389E64">
      <w:pPr>
        <w:pStyle w:val="33"/>
        <w:spacing w:before="157" w:beforeLines="50" w:after="0"/>
        <w:ind w:left="0" w:leftChars="0" w:firstLine="0"/>
        <w:jc w:val="center"/>
        <w:rPr>
          <w:rFonts w:hint="eastAsia" w:eastAsia="黑体"/>
          <w:b/>
          <w:bCs/>
          <w:color w:val="000000"/>
          <w:sz w:val="21"/>
          <w:szCs w:val="16"/>
          <w:lang w:eastAsia="zh-CN"/>
        </w:rPr>
      </w:pPr>
      <w:r>
        <w:rPr>
          <w:rFonts w:hint="eastAsia" w:eastAsia="黑体"/>
          <w:b/>
          <w:bCs/>
          <w:color w:val="000000"/>
          <w:sz w:val="21"/>
          <w:szCs w:val="16"/>
          <w:lang w:eastAsia="zh-CN"/>
        </w:rPr>
        <w:drawing>
          <wp:inline distT="0" distB="0" distL="114300" distR="114300">
            <wp:extent cx="4319905" cy="3124200"/>
            <wp:effectExtent l="0" t="0" r="4445" b="0"/>
            <wp:docPr id="26" name="图片 26" descr="3、磁场-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磁场-非"/>
                    <pic:cNvPicPr>
                      <a:picLocks noChangeAspect="1"/>
                    </pic:cNvPicPr>
                  </pic:nvPicPr>
                  <pic:blipFill>
                    <a:blip r:embed="rId30"/>
                    <a:stretch>
                      <a:fillRect/>
                    </a:stretch>
                  </pic:blipFill>
                  <pic:spPr>
                    <a:xfrm>
                      <a:off x="0" y="0"/>
                      <a:ext cx="4319905" cy="3124200"/>
                    </a:xfrm>
                    <a:prstGeom prst="rect">
                      <a:avLst/>
                    </a:prstGeom>
                  </pic:spPr>
                </pic:pic>
              </a:graphicData>
            </a:graphic>
          </wp:inline>
        </w:drawing>
      </w:r>
    </w:p>
    <w:p w14:paraId="6F2AE18B">
      <w:pPr>
        <w:pStyle w:val="33"/>
        <w:spacing w:before="157" w:beforeLines="50" w:after="0"/>
        <w:ind w:left="0" w:leftChars="0" w:firstLine="0"/>
        <w:jc w:val="center"/>
        <w:rPr>
          <w:rFonts w:hint="eastAsia" w:eastAsia="黑体"/>
          <w:b/>
          <w:bCs/>
          <w:color w:val="000000"/>
          <w:sz w:val="18"/>
          <w:szCs w:val="13"/>
          <w:lang w:eastAsia="zh-CN"/>
        </w:rPr>
      </w:pPr>
      <w:r>
        <w:rPr>
          <w:rFonts w:eastAsia="黑体"/>
          <w:b/>
          <w:bCs/>
          <w:color w:val="000000"/>
          <w:sz w:val="21"/>
          <w:szCs w:val="16"/>
        </w:rPr>
        <w:t>图</w:t>
      </w:r>
      <w:r>
        <w:rPr>
          <w:rFonts w:eastAsia="黑体"/>
          <w:b/>
          <w:bCs/>
          <w:color w:val="000000"/>
          <w:sz w:val="21"/>
          <w:szCs w:val="16"/>
        </w:rPr>
        <w:fldChar w:fldCharType="begin"/>
      </w:r>
      <w:r>
        <w:rPr>
          <w:rFonts w:eastAsia="黑体"/>
          <w:b/>
          <w:bCs/>
          <w:color w:val="000000"/>
          <w:sz w:val="21"/>
          <w:szCs w:val="16"/>
        </w:rPr>
        <w:instrText xml:space="preserve"> SEQ 图 \* ARABIC </w:instrText>
      </w:r>
      <w:r>
        <w:rPr>
          <w:rFonts w:eastAsia="黑体"/>
          <w:b/>
          <w:bCs/>
          <w:color w:val="000000"/>
          <w:sz w:val="21"/>
          <w:szCs w:val="16"/>
        </w:rPr>
        <w:fldChar w:fldCharType="separate"/>
      </w:r>
      <w:r>
        <w:rPr>
          <w:rFonts w:eastAsia="黑体"/>
          <w:b/>
          <w:bCs/>
          <w:color w:val="000000"/>
          <w:sz w:val="21"/>
          <w:szCs w:val="16"/>
        </w:rPr>
        <w:t>14</w:t>
      </w:r>
      <w:r>
        <w:rPr>
          <w:rFonts w:eastAsia="黑体"/>
          <w:b/>
          <w:bCs/>
          <w:color w:val="000000"/>
          <w:sz w:val="21"/>
          <w:szCs w:val="16"/>
        </w:rPr>
        <w:fldChar w:fldCharType="end"/>
      </w:r>
      <w:r>
        <w:rPr>
          <w:rFonts w:eastAsia="黑体"/>
          <w:b/>
          <w:bCs/>
          <w:color w:val="000000"/>
          <w:sz w:val="21"/>
          <w:szCs w:val="16"/>
        </w:rPr>
        <w:t xml:space="preserve">  </w:t>
      </w:r>
      <w:r>
        <w:rPr>
          <w:rFonts w:hint="eastAsia" w:eastAsia="黑体"/>
          <w:b/>
          <w:bCs/>
          <w:color w:val="000000"/>
          <w:sz w:val="21"/>
          <w:szCs w:val="16"/>
          <w:lang w:eastAsia="zh-CN"/>
        </w:rPr>
        <w:t>1</w:t>
      </w:r>
      <w:r>
        <w:rPr>
          <w:rFonts w:hint="eastAsia" w:eastAsia="黑体"/>
          <w:b/>
          <w:bCs/>
          <w:color w:val="000000"/>
          <w:sz w:val="21"/>
          <w:szCs w:val="16"/>
          <w:lang w:val="en-US" w:eastAsia="zh-CN"/>
        </w:rPr>
        <w:t>1</w:t>
      </w:r>
      <w:r>
        <w:rPr>
          <w:rFonts w:eastAsia="黑体"/>
          <w:b/>
          <w:bCs/>
          <w:color w:val="000000"/>
          <w:sz w:val="21"/>
          <w:szCs w:val="16"/>
        </w:rPr>
        <w:t>0kV</w:t>
      </w:r>
      <w:r>
        <w:rPr>
          <w:rFonts w:hint="eastAsia" w:eastAsia="黑体"/>
          <w:b/>
          <w:bCs/>
          <w:color w:val="000000"/>
          <w:sz w:val="21"/>
          <w:szCs w:val="16"/>
          <w:lang w:val="en-US" w:eastAsia="zh-CN"/>
        </w:rPr>
        <w:t>单</w:t>
      </w:r>
      <w:r>
        <w:rPr>
          <w:rFonts w:eastAsia="黑体"/>
          <w:b/>
          <w:bCs/>
          <w:color w:val="000000"/>
          <w:sz w:val="21"/>
          <w:szCs w:val="16"/>
        </w:rPr>
        <w:t>回线路工频</w:t>
      </w:r>
      <w:r>
        <w:rPr>
          <w:rFonts w:hint="eastAsia" w:eastAsia="黑体"/>
          <w:b/>
          <w:bCs/>
          <w:color w:val="000000"/>
          <w:sz w:val="21"/>
          <w:szCs w:val="16"/>
        </w:rPr>
        <w:t>磁感应</w:t>
      </w:r>
      <w:r>
        <w:rPr>
          <w:rFonts w:eastAsia="黑体"/>
          <w:b/>
          <w:bCs/>
          <w:color w:val="000000"/>
          <w:sz w:val="21"/>
          <w:szCs w:val="16"/>
        </w:rPr>
        <w:t>强度</w:t>
      </w:r>
      <w:r>
        <w:rPr>
          <w:rFonts w:hint="eastAsia" w:eastAsia="黑体"/>
          <w:b/>
          <w:bCs/>
          <w:color w:val="000000"/>
          <w:sz w:val="21"/>
          <w:szCs w:val="16"/>
        </w:rPr>
        <w:t>预测结果（非居民区）</w:t>
      </w:r>
    </w:p>
    <w:p w14:paraId="0198546A">
      <w:pPr>
        <w:pStyle w:val="33"/>
        <w:spacing w:before="157" w:beforeLines="50" w:after="0"/>
        <w:ind w:left="0" w:leftChars="0" w:firstLine="0"/>
        <w:jc w:val="center"/>
        <w:rPr>
          <w:rFonts w:hint="eastAsia" w:eastAsia="黑体"/>
          <w:b/>
          <w:bCs/>
          <w:color w:val="000000"/>
          <w:sz w:val="21"/>
          <w:szCs w:val="16"/>
          <w:lang w:eastAsia="zh-CN"/>
        </w:rPr>
      </w:pPr>
      <w:r>
        <w:rPr>
          <w:rFonts w:hint="eastAsia" w:eastAsia="黑体"/>
          <w:b/>
          <w:bCs/>
          <w:color w:val="000000"/>
          <w:sz w:val="21"/>
          <w:szCs w:val="16"/>
          <w:lang w:eastAsia="zh-CN"/>
        </w:rPr>
        <w:drawing>
          <wp:inline distT="0" distB="0" distL="114300" distR="114300">
            <wp:extent cx="4319905" cy="3708400"/>
            <wp:effectExtent l="0" t="0" r="4445" b="6350"/>
            <wp:docPr id="28" name="图片 28" descr="3、磁场-非-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磁场-非-分"/>
                    <pic:cNvPicPr>
                      <a:picLocks noChangeAspect="1"/>
                    </pic:cNvPicPr>
                  </pic:nvPicPr>
                  <pic:blipFill>
                    <a:blip r:embed="rId31"/>
                    <a:stretch>
                      <a:fillRect/>
                    </a:stretch>
                  </pic:blipFill>
                  <pic:spPr>
                    <a:xfrm>
                      <a:off x="0" y="0"/>
                      <a:ext cx="4319905" cy="3708400"/>
                    </a:xfrm>
                    <a:prstGeom prst="rect">
                      <a:avLst/>
                    </a:prstGeom>
                  </pic:spPr>
                </pic:pic>
              </a:graphicData>
            </a:graphic>
          </wp:inline>
        </w:drawing>
      </w:r>
    </w:p>
    <w:p w14:paraId="0908CE33">
      <w:pPr>
        <w:pStyle w:val="33"/>
        <w:spacing w:before="157" w:beforeLines="50" w:after="0"/>
        <w:ind w:left="0" w:leftChars="0" w:firstLine="0"/>
        <w:jc w:val="center"/>
        <w:rPr>
          <w:rFonts w:hint="eastAsia" w:eastAsia="黑体"/>
          <w:b/>
          <w:bCs/>
          <w:color w:val="000000"/>
          <w:sz w:val="21"/>
          <w:szCs w:val="21"/>
        </w:rPr>
      </w:pPr>
      <w:r>
        <w:rPr>
          <w:rFonts w:eastAsia="黑体"/>
          <w:b/>
          <w:bCs/>
          <w:color w:val="000000"/>
          <w:sz w:val="21"/>
          <w:szCs w:val="21"/>
        </w:rPr>
        <w:t>图</w:t>
      </w:r>
      <w:r>
        <w:rPr>
          <w:rFonts w:eastAsia="黑体"/>
          <w:b/>
          <w:bCs/>
          <w:color w:val="000000"/>
          <w:sz w:val="21"/>
          <w:szCs w:val="21"/>
        </w:rPr>
        <w:fldChar w:fldCharType="begin"/>
      </w:r>
      <w:r>
        <w:rPr>
          <w:rFonts w:eastAsia="黑体"/>
          <w:b/>
          <w:bCs/>
          <w:color w:val="000000"/>
          <w:sz w:val="21"/>
          <w:szCs w:val="21"/>
        </w:rPr>
        <w:instrText xml:space="preserve"> SEQ 图 \* ARABIC </w:instrText>
      </w:r>
      <w:r>
        <w:rPr>
          <w:rFonts w:eastAsia="黑体"/>
          <w:b/>
          <w:bCs/>
          <w:color w:val="000000"/>
          <w:sz w:val="21"/>
          <w:szCs w:val="21"/>
        </w:rPr>
        <w:fldChar w:fldCharType="separate"/>
      </w:r>
      <w:r>
        <w:rPr>
          <w:rFonts w:eastAsia="黑体"/>
          <w:b/>
          <w:bCs/>
          <w:color w:val="000000"/>
          <w:sz w:val="21"/>
          <w:szCs w:val="21"/>
        </w:rPr>
        <w:t>15</w:t>
      </w:r>
      <w:r>
        <w:rPr>
          <w:rFonts w:eastAsia="黑体"/>
          <w:b/>
          <w:bCs/>
          <w:color w:val="000000"/>
          <w:sz w:val="21"/>
          <w:szCs w:val="21"/>
        </w:rPr>
        <w:fldChar w:fldCharType="end"/>
      </w:r>
      <w:r>
        <w:rPr>
          <w:rFonts w:eastAsia="黑体"/>
          <w:b/>
          <w:bCs/>
          <w:color w:val="000000"/>
          <w:sz w:val="21"/>
          <w:szCs w:val="21"/>
        </w:rPr>
        <w:t xml:space="preserve">  </w:t>
      </w:r>
      <w:r>
        <w:rPr>
          <w:rFonts w:hint="eastAsia" w:eastAsia="黑体"/>
          <w:b/>
          <w:bCs/>
          <w:color w:val="000000"/>
          <w:sz w:val="21"/>
          <w:szCs w:val="21"/>
          <w:lang w:eastAsia="zh-CN"/>
        </w:rPr>
        <w:t>1</w:t>
      </w:r>
      <w:r>
        <w:rPr>
          <w:rFonts w:hint="eastAsia" w:eastAsia="黑体"/>
          <w:b/>
          <w:bCs/>
          <w:color w:val="000000"/>
          <w:sz w:val="21"/>
          <w:szCs w:val="21"/>
          <w:lang w:val="en-US" w:eastAsia="zh-CN"/>
        </w:rPr>
        <w:t>1</w:t>
      </w:r>
      <w:r>
        <w:rPr>
          <w:rFonts w:eastAsia="黑体"/>
          <w:b/>
          <w:bCs/>
          <w:color w:val="000000"/>
          <w:sz w:val="21"/>
          <w:szCs w:val="21"/>
        </w:rPr>
        <w:t>0kV</w:t>
      </w:r>
      <w:r>
        <w:rPr>
          <w:rFonts w:hint="eastAsia" w:eastAsia="黑体"/>
          <w:b/>
          <w:bCs/>
          <w:color w:val="000000"/>
          <w:sz w:val="21"/>
          <w:szCs w:val="21"/>
          <w:lang w:val="en-US" w:eastAsia="zh-CN"/>
        </w:rPr>
        <w:t>单</w:t>
      </w:r>
      <w:r>
        <w:rPr>
          <w:rFonts w:eastAsia="黑体"/>
          <w:b/>
          <w:bCs/>
          <w:color w:val="000000"/>
          <w:sz w:val="21"/>
          <w:szCs w:val="21"/>
        </w:rPr>
        <w:t>回线路工频</w:t>
      </w:r>
      <w:r>
        <w:rPr>
          <w:rFonts w:hint="eastAsia" w:eastAsia="黑体"/>
          <w:b/>
          <w:bCs/>
          <w:color w:val="000000"/>
          <w:sz w:val="21"/>
          <w:szCs w:val="21"/>
        </w:rPr>
        <w:t>磁感应</w:t>
      </w:r>
      <w:r>
        <w:rPr>
          <w:rFonts w:eastAsia="黑体"/>
          <w:b/>
          <w:bCs/>
          <w:color w:val="000000"/>
          <w:sz w:val="21"/>
          <w:szCs w:val="21"/>
        </w:rPr>
        <w:t>强度</w:t>
      </w:r>
      <w:r>
        <w:rPr>
          <w:rFonts w:hint="eastAsia" w:eastAsia="黑体"/>
          <w:b/>
          <w:bCs/>
          <w:color w:val="000000"/>
          <w:sz w:val="21"/>
          <w:szCs w:val="21"/>
        </w:rPr>
        <w:t>空间</w:t>
      </w:r>
      <w:r>
        <w:rPr>
          <w:rFonts w:eastAsia="黑体"/>
          <w:b/>
          <w:bCs/>
          <w:color w:val="000000"/>
          <w:sz w:val="21"/>
          <w:szCs w:val="21"/>
        </w:rPr>
        <w:t>分布图</w:t>
      </w:r>
      <w:r>
        <w:rPr>
          <w:rFonts w:hint="eastAsia" w:eastAsia="黑体"/>
          <w:b/>
          <w:bCs/>
          <w:color w:val="000000"/>
          <w:sz w:val="21"/>
          <w:szCs w:val="21"/>
        </w:rPr>
        <w:t>（非居民区）</w:t>
      </w:r>
    </w:p>
    <w:p w14:paraId="5414561F">
      <w:pPr>
        <w:ind w:firstLine="0" w:firstLineChars="0"/>
        <w:jc w:val="center"/>
        <w:rPr>
          <w:rFonts w:ascii="ˎ̥" w:hAnsi="ˎ̥" w:cs="ˎ̥"/>
          <w:szCs w:val="22"/>
        </w:rPr>
      </w:pPr>
      <w:r>
        <w:rPr>
          <w:rFonts w:ascii="ˎ̥" w:hAnsi="ˎ̥" w:cs="ˎ̥"/>
          <w:szCs w:val="22"/>
        </w:rPr>
        <w:drawing>
          <wp:inline distT="0" distB="0" distL="114300" distR="114300">
            <wp:extent cx="4319270" cy="3124200"/>
            <wp:effectExtent l="0" t="0" r="5080" b="0"/>
            <wp:docPr id="29" name="图片 29" descr="E:\6455\Desktop\2.新疆\1.吐鲁番\1-5.吐鲁番市新阳新能源产业有限公司110千伏业扩配套工程\⭐预测\单回\2、电场-居.png2、电场-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6455\Desktop\2.新疆\1.吐鲁番\1-5.吐鲁番市新阳新能源产业有限公司110千伏业扩配套工程\⭐预测\单回\2、电场-居.png2、电场-居"/>
                    <pic:cNvPicPr>
                      <a:picLocks noChangeAspect="1"/>
                    </pic:cNvPicPr>
                  </pic:nvPicPr>
                  <pic:blipFill>
                    <a:blip r:embed="rId32"/>
                    <a:srcRect/>
                    <a:stretch>
                      <a:fillRect/>
                    </a:stretch>
                  </pic:blipFill>
                  <pic:spPr>
                    <a:xfrm>
                      <a:off x="0" y="0"/>
                      <a:ext cx="4319270" cy="3124200"/>
                    </a:xfrm>
                    <a:prstGeom prst="rect">
                      <a:avLst/>
                    </a:prstGeom>
                  </pic:spPr>
                </pic:pic>
              </a:graphicData>
            </a:graphic>
          </wp:inline>
        </w:drawing>
      </w:r>
    </w:p>
    <w:p w14:paraId="40C431A1">
      <w:pPr>
        <w:ind w:firstLine="0" w:firstLineChars="0"/>
        <w:jc w:val="center"/>
        <w:rPr>
          <w:rFonts w:ascii="ˎ̥" w:hAnsi="ˎ̥" w:cs="ˎ̥"/>
          <w:szCs w:val="22"/>
        </w:rPr>
      </w:pPr>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16</w:t>
      </w:r>
      <w:r>
        <w:rPr>
          <w:rFonts w:cs="ˎ̥"/>
          <w:b/>
          <w:bCs/>
          <w:color w:val="000000"/>
          <w:szCs w:val="22"/>
        </w:rPr>
        <w:fldChar w:fldCharType="end"/>
      </w:r>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lang w:val="en-US" w:eastAsia="zh-CN"/>
        </w:rPr>
        <w:t>单</w:t>
      </w:r>
      <w:r>
        <w:rPr>
          <w:rFonts w:cs="ˎ̥"/>
          <w:b/>
          <w:bCs/>
          <w:color w:val="000000"/>
          <w:szCs w:val="22"/>
        </w:rPr>
        <w:t>回线路工频电场强度</w:t>
      </w:r>
      <w:r>
        <w:rPr>
          <w:rFonts w:hint="eastAsia" w:cs="ˎ̥"/>
          <w:b/>
          <w:bCs/>
          <w:color w:val="000000"/>
          <w:szCs w:val="22"/>
        </w:rPr>
        <w:t>预测结果（居民区）</w:t>
      </w:r>
    </w:p>
    <w:p w14:paraId="48B1B6EE">
      <w:pPr>
        <w:ind w:firstLine="0" w:firstLineChars="0"/>
        <w:jc w:val="center"/>
        <w:rPr>
          <w:rFonts w:ascii="ˎ̥" w:hAnsi="ˎ̥" w:cs="ˎ̥"/>
          <w:szCs w:val="22"/>
        </w:rPr>
      </w:pPr>
      <w:r>
        <w:rPr>
          <w:rFonts w:ascii="ˎ̥" w:hAnsi="ˎ̥" w:cs="ˎ̥"/>
          <w:szCs w:val="22"/>
        </w:rPr>
        <w:drawing>
          <wp:inline distT="0" distB="0" distL="114300" distR="114300">
            <wp:extent cx="4313555" cy="3712845"/>
            <wp:effectExtent l="0" t="0" r="10795" b="1905"/>
            <wp:docPr id="30" name="图片 30" descr="E:\6455\Desktop\2.新疆\1.吐鲁番\1-5.吐鲁番市新阳新能源产业有限公司110千伏业扩配套工程\⭐预测\单回\2、电场-居-分布.png2、电场-居-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6455\Desktop\2.新疆\1.吐鲁番\1-5.吐鲁番市新阳新能源产业有限公司110千伏业扩配套工程\⭐预测\单回\2、电场-居-分布.png2、电场-居-分布"/>
                    <pic:cNvPicPr>
                      <a:picLocks noChangeAspect="1"/>
                    </pic:cNvPicPr>
                  </pic:nvPicPr>
                  <pic:blipFill>
                    <a:blip r:embed="rId33"/>
                    <a:srcRect/>
                    <a:stretch>
                      <a:fillRect/>
                    </a:stretch>
                  </pic:blipFill>
                  <pic:spPr>
                    <a:xfrm>
                      <a:off x="0" y="0"/>
                      <a:ext cx="4313555" cy="3712845"/>
                    </a:xfrm>
                    <a:prstGeom prst="rect">
                      <a:avLst/>
                    </a:prstGeom>
                  </pic:spPr>
                </pic:pic>
              </a:graphicData>
            </a:graphic>
          </wp:inline>
        </w:drawing>
      </w:r>
    </w:p>
    <w:p w14:paraId="192DBA47">
      <w:pPr>
        <w:ind w:firstLine="0" w:firstLineChars="0"/>
        <w:jc w:val="center"/>
        <w:rPr>
          <w:rFonts w:cs="ˎ̥"/>
          <w:b/>
          <w:bCs/>
          <w:color w:val="000000"/>
          <w:szCs w:val="22"/>
        </w:rPr>
      </w:pPr>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17</w:t>
      </w:r>
      <w:r>
        <w:rPr>
          <w:rFonts w:cs="ˎ̥"/>
          <w:b/>
          <w:bCs/>
          <w:color w:val="000000"/>
          <w:szCs w:val="22"/>
        </w:rPr>
        <w:fldChar w:fldCharType="end"/>
      </w:r>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lang w:val="en-US" w:eastAsia="zh-CN"/>
        </w:rPr>
        <w:t>单</w:t>
      </w:r>
      <w:r>
        <w:rPr>
          <w:rFonts w:cs="ˎ̥"/>
          <w:b/>
          <w:bCs/>
          <w:color w:val="000000"/>
          <w:szCs w:val="22"/>
        </w:rPr>
        <w:t>回线路工频电场强度</w:t>
      </w:r>
      <w:r>
        <w:rPr>
          <w:rFonts w:hint="eastAsia" w:cs="ˎ̥"/>
          <w:b/>
          <w:bCs/>
          <w:color w:val="000000"/>
          <w:szCs w:val="22"/>
        </w:rPr>
        <w:t>空间</w:t>
      </w:r>
      <w:r>
        <w:rPr>
          <w:rFonts w:cs="ˎ̥"/>
          <w:b/>
          <w:bCs/>
          <w:color w:val="000000"/>
          <w:szCs w:val="22"/>
        </w:rPr>
        <w:t>分布图</w:t>
      </w:r>
      <w:r>
        <w:rPr>
          <w:rFonts w:hint="eastAsia" w:cs="ˎ̥"/>
          <w:b/>
          <w:bCs/>
          <w:color w:val="000000"/>
          <w:szCs w:val="22"/>
        </w:rPr>
        <w:t>（居民区）</w:t>
      </w:r>
    </w:p>
    <w:p w14:paraId="12CCB8E8">
      <w:pPr>
        <w:ind w:firstLine="420" w:firstLineChars="200"/>
        <w:jc w:val="center"/>
        <w:rPr>
          <w:rFonts w:cs="ˎ̥"/>
          <w:b/>
          <w:bCs/>
          <w:color w:val="000000"/>
          <w:szCs w:val="22"/>
        </w:rPr>
      </w:pPr>
    </w:p>
    <w:p w14:paraId="040BA4E1">
      <w:pPr>
        <w:ind w:firstLine="0" w:firstLineChars="0"/>
        <w:jc w:val="center"/>
        <w:rPr>
          <w:rFonts w:ascii="ˎ̥" w:hAnsi="ˎ̥" w:cs="ˎ̥"/>
          <w:szCs w:val="22"/>
        </w:rPr>
      </w:pPr>
      <w:r>
        <w:rPr>
          <w:rFonts w:ascii="ˎ̥" w:hAnsi="ˎ̥" w:cs="ˎ̥"/>
          <w:szCs w:val="22"/>
        </w:rPr>
        <w:drawing>
          <wp:inline distT="0" distB="0" distL="114300" distR="114300">
            <wp:extent cx="4319270" cy="3124200"/>
            <wp:effectExtent l="0" t="0" r="5080" b="0"/>
            <wp:docPr id="31" name="图片 31" descr="E:\6455\Desktop\2.新疆\1.吐鲁番\1-5.吐鲁番市新阳新能源产业有限公司110千伏业扩配套工程\⭐预测\单回\4、磁场-居.png4、磁场-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6455\Desktop\2.新疆\1.吐鲁番\1-5.吐鲁番市新阳新能源产业有限公司110千伏业扩配套工程\⭐预测\单回\4、磁场-居.png4、磁场-居"/>
                    <pic:cNvPicPr>
                      <a:picLocks noChangeAspect="1"/>
                    </pic:cNvPicPr>
                  </pic:nvPicPr>
                  <pic:blipFill>
                    <a:blip r:embed="rId34"/>
                    <a:srcRect/>
                    <a:stretch>
                      <a:fillRect/>
                    </a:stretch>
                  </pic:blipFill>
                  <pic:spPr>
                    <a:xfrm>
                      <a:off x="0" y="0"/>
                      <a:ext cx="4319270" cy="3124200"/>
                    </a:xfrm>
                    <a:prstGeom prst="rect">
                      <a:avLst/>
                    </a:prstGeom>
                  </pic:spPr>
                </pic:pic>
              </a:graphicData>
            </a:graphic>
          </wp:inline>
        </w:drawing>
      </w:r>
    </w:p>
    <w:p w14:paraId="68AD8EC5">
      <w:pPr>
        <w:ind w:firstLine="0" w:firstLineChars="0"/>
        <w:jc w:val="center"/>
        <w:rPr>
          <w:rFonts w:ascii="ˎ̥" w:hAnsi="ˎ̥" w:cs="ˎ̥"/>
          <w:szCs w:val="22"/>
        </w:rPr>
      </w:pPr>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18</w:t>
      </w:r>
      <w:r>
        <w:rPr>
          <w:rFonts w:cs="ˎ̥"/>
          <w:b/>
          <w:bCs/>
          <w:color w:val="000000"/>
          <w:szCs w:val="22"/>
        </w:rPr>
        <w:fldChar w:fldCharType="end"/>
      </w:r>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lang w:val="en-US" w:eastAsia="zh-CN"/>
        </w:rPr>
        <w:t>单</w:t>
      </w:r>
      <w:r>
        <w:rPr>
          <w:rFonts w:cs="ˎ̥"/>
          <w:b/>
          <w:bCs/>
          <w:color w:val="000000"/>
          <w:szCs w:val="22"/>
        </w:rPr>
        <w:t>回线路工频</w:t>
      </w:r>
      <w:r>
        <w:rPr>
          <w:rFonts w:hint="eastAsia" w:cs="ˎ̥"/>
          <w:b/>
          <w:bCs/>
          <w:color w:val="000000"/>
          <w:szCs w:val="22"/>
        </w:rPr>
        <w:t>磁感应</w:t>
      </w:r>
      <w:r>
        <w:rPr>
          <w:rFonts w:cs="ˎ̥"/>
          <w:b/>
          <w:bCs/>
          <w:color w:val="000000"/>
          <w:szCs w:val="22"/>
        </w:rPr>
        <w:t>强度</w:t>
      </w:r>
      <w:r>
        <w:rPr>
          <w:rFonts w:hint="eastAsia" w:cs="ˎ̥"/>
          <w:b/>
          <w:bCs/>
          <w:color w:val="000000"/>
          <w:szCs w:val="22"/>
        </w:rPr>
        <w:t>预测结果（居民区）</w:t>
      </w:r>
    </w:p>
    <w:p w14:paraId="00B7625B">
      <w:pPr>
        <w:ind w:firstLine="0" w:firstLineChars="0"/>
        <w:jc w:val="center"/>
        <w:rPr>
          <w:rFonts w:ascii="ˎ̥" w:hAnsi="ˎ̥" w:cs="ˎ̥"/>
          <w:szCs w:val="22"/>
        </w:rPr>
      </w:pPr>
      <w:r>
        <w:rPr>
          <w:rFonts w:ascii="ˎ̥" w:hAnsi="ˎ̥" w:cs="ˎ̥"/>
          <w:szCs w:val="22"/>
        </w:rPr>
        <w:drawing>
          <wp:inline distT="0" distB="0" distL="114300" distR="114300">
            <wp:extent cx="4241800" cy="3646170"/>
            <wp:effectExtent l="0" t="0" r="6350" b="11430"/>
            <wp:docPr id="32" name="图片 32" descr="E:\6455\Desktop\2.新疆\1.吐鲁番\1-5.吐鲁番市新阳新能源产业有限公司110千伏业扩配套工程\⭐预测\单回\4、磁场-居-分布.png4、磁场-居-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6455\Desktop\2.新疆\1.吐鲁番\1-5.吐鲁番市新阳新能源产业有限公司110千伏业扩配套工程\⭐预测\单回\4、磁场-居-分布.png4、磁场-居-分布"/>
                    <pic:cNvPicPr>
                      <a:picLocks noChangeAspect="1"/>
                    </pic:cNvPicPr>
                  </pic:nvPicPr>
                  <pic:blipFill>
                    <a:blip r:embed="rId35"/>
                    <a:srcRect/>
                    <a:stretch>
                      <a:fillRect/>
                    </a:stretch>
                  </pic:blipFill>
                  <pic:spPr>
                    <a:xfrm>
                      <a:off x="0" y="0"/>
                      <a:ext cx="4241800" cy="3646170"/>
                    </a:xfrm>
                    <a:prstGeom prst="rect">
                      <a:avLst/>
                    </a:prstGeom>
                  </pic:spPr>
                </pic:pic>
              </a:graphicData>
            </a:graphic>
          </wp:inline>
        </w:drawing>
      </w:r>
    </w:p>
    <w:p w14:paraId="1151158D">
      <w:pPr>
        <w:pStyle w:val="33"/>
        <w:spacing w:before="0" w:beforeLines="0" w:after="0"/>
        <w:ind w:left="0" w:leftChars="0" w:firstLine="0"/>
        <w:jc w:val="center"/>
        <w:rPr>
          <w:rFonts w:hint="eastAsia" w:eastAsia="黑体"/>
          <w:b/>
          <w:bCs/>
          <w:color w:val="000000"/>
          <w:sz w:val="21"/>
          <w:szCs w:val="21"/>
          <w:lang w:eastAsia="zh-CN"/>
        </w:rPr>
      </w:pPr>
      <w:bookmarkStart w:id="880" w:name="_Ref15127"/>
      <w:r>
        <w:rPr>
          <w:rFonts w:cs="ˎ̥"/>
          <w:b/>
          <w:bCs/>
          <w:color w:val="000000"/>
          <w:sz w:val="21"/>
          <w:szCs w:val="21"/>
        </w:rPr>
        <w:t>图</w:t>
      </w:r>
      <w:r>
        <w:rPr>
          <w:rFonts w:cs="ˎ̥"/>
          <w:b/>
          <w:bCs/>
          <w:color w:val="000000"/>
          <w:sz w:val="21"/>
          <w:szCs w:val="21"/>
        </w:rPr>
        <w:fldChar w:fldCharType="begin"/>
      </w:r>
      <w:r>
        <w:rPr>
          <w:rFonts w:cs="ˎ̥"/>
          <w:b/>
          <w:bCs/>
          <w:color w:val="000000"/>
          <w:sz w:val="21"/>
          <w:szCs w:val="21"/>
        </w:rPr>
        <w:instrText xml:space="preserve"> SEQ 图 \* ARABIC </w:instrText>
      </w:r>
      <w:r>
        <w:rPr>
          <w:rFonts w:cs="ˎ̥"/>
          <w:b/>
          <w:bCs/>
          <w:color w:val="000000"/>
          <w:sz w:val="21"/>
          <w:szCs w:val="21"/>
        </w:rPr>
        <w:fldChar w:fldCharType="separate"/>
      </w:r>
      <w:r>
        <w:rPr>
          <w:rFonts w:cs="ˎ̥"/>
          <w:b/>
          <w:bCs/>
          <w:color w:val="000000"/>
          <w:sz w:val="21"/>
          <w:szCs w:val="21"/>
        </w:rPr>
        <w:t>19</w:t>
      </w:r>
      <w:r>
        <w:rPr>
          <w:rFonts w:cs="ˎ̥"/>
          <w:b/>
          <w:bCs/>
          <w:color w:val="000000"/>
          <w:sz w:val="21"/>
          <w:szCs w:val="21"/>
        </w:rPr>
        <w:fldChar w:fldCharType="end"/>
      </w:r>
      <w:bookmarkEnd w:id="880"/>
      <w:r>
        <w:rPr>
          <w:rFonts w:cs="ˎ̥"/>
          <w:b/>
          <w:bCs/>
          <w:color w:val="000000"/>
          <w:sz w:val="21"/>
          <w:szCs w:val="21"/>
        </w:rPr>
        <w:t xml:space="preserve">  </w:t>
      </w:r>
      <w:r>
        <w:rPr>
          <w:rFonts w:hint="eastAsia" w:cs="ˎ̥"/>
          <w:b/>
          <w:bCs/>
          <w:color w:val="000000"/>
          <w:sz w:val="21"/>
          <w:szCs w:val="21"/>
          <w:lang w:eastAsia="zh-CN"/>
        </w:rPr>
        <w:t>110kV</w:t>
      </w:r>
      <w:r>
        <w:rPr>
          <w:rFonts w:hint="eastAsia" w:cs="ˎ̥"/>
          <w:b/>
          <w:bCs/>
          <w:color w:val="000000"/>
          <w:sz w:val="21"/>
          <w:szCs w:val="21"/>
          <w:lang w:val="en-US" w:eastAsia="zh-CN"/>
        </w:rPr>
        <w:t>单</w:t>
      </w:r>
      <w:r>
        <w:rPr>
          <w:rFonts w:cs="ˎ̥"/>
          <w:b/>
          <w:bCs/>
          <w:color w:val="000000"/>
          <w:sz w:val="21"/>
          <w:szCs w:val="21"/>
        </w:rPr>
        <w:t>回线路工频</w:t>
      </w:r>
      <w:r>
        <w:rPr>
          <w:rFonts w:hint="eastAsia" w:cs="ˎ̥"/>
          <w:b/>
          <w:bCs/>
          <w:color w:val="000000"/>
          <w:sz w:val="21"/>
          <w:szCs w:val="21"/>
        </w:rPr>
        <w:t>磁感应</w:t>
      </w:r>
      <w:r>
        <w:rPr>
          <w:rFonts w:cs="ˎ̥"/>
          <w:b/>
          <w:bCs/>
          <w:color w:val="000000"/>
          <w:sz w:val="21"/>
          <w:szCs w:val="21"/>
        </w:rPr>
        <w:t>强度</w:t>
      </w:r>
      <w:r>
        <w:rPr>
          <w:rFonts w:hint="eastAsia" w:cs="ˎ̥"/>
          <w:b/>
          <w:bCs/>
          <w:color w:val="000000"/>
          <w:sz w:val="21"/>
          <w:szCs w:val="21"/>
        </w:rPr>
        <w:t>空间</w:t>
      </w:r>
      <w:r>
        <w:rPr>
          <w:rFonts w:cs="ˎ̥"/>
          <w:b/>
          <w:bCs/>
          <w:color w:val="000000"/>
          <w:sz w:val="21"/>
          <w:szCs w:val="21"/>
        </w:rPr>
        <w:t>分布图</w:t>
      </w:r>
      <w:r>
        <w:rPr>
          <w:rFonts w:hint="eastAsia" w:cs="ˎ̥"/>
          <w:b/>
          <w:bCs/>
          <w:color w:val="000000"/>
          <w:sz w:val="21"/>
          <w:szCs w:val="21"/>
        </w:rPr>
        <w:t>（居民区）</w:t>
      </w:r>
    </w:p>
    <w:p w14:paraId="5C71674A">
      <w:pPr>
        <w:spacing w:before="157" w:beforeLines="50" w:line="360" w:lineRule="auto"/>
        <w:ind w:firstLine="480" w:firstLineChars="200"/>
        <w:rPr>
          <w:rFonts w:hint="default" w:eastAsia="宋体"/>
          <w:color w:val="000000"/>
          <w:sz w:val="24"/>
          <w:szCs w:val="20"/>
          <w:lang w:val="en-US" w:eastAsia="zh-CN"/>
        </w:rPr>
      </w:pPr>
      <w:r>
        <w:rPr>
          <w:rFonts w:hint="eastAsia"/>
          <w:color w:val="000000"/>
          <w:sz w:val="24"/>
          <w:szCs w:val="20"/>
          <w:lang w:eastAsia="zh-CN"/>
        </w:rPr>
        <w:t>（</w:t>
      </w:r>
      <w:r>
        <w:rPr>
          <w:rFonts w:hint="eastAsia"/>
          <w:color w:val="000000"/>
          <w:sz w:val="24"/>
          <w:szCs w:val="20"/>
          <w:lang w:val="en-US" w:eastAsia="zh-CN"/>
        </w:rPr>
        <w:t>2）同塔双回线路</w:t>
      </w:r>
    </w:p>
    <w:p w14:paraId="35A6072E">
      <w:pPr>
        <w:spacing w:line="360" w:lineRule="auto"/>
        <w:ind w:firstLine="480" w:firstLineChars="200"/>
        <w:rPr>
          <w:rFonts w:ascii="黑体" w:hAnsi="黑体"/>
          <w:color w:val="000000"/>
          <w:sz w:val="24"/>
          <w:szCs w:val="21"/>
        </w:rPr>
      </w:pPr>
      <w:r>
        <w:rPr>
          <w:rFonts w:hint="eastAsia"/>
          <w:color w:val="000000"/>
          <w:sz w:val="24"/>
          <w:szCs w:val="20"/>
        </w:rPr>
        <w:t>新建双回线路最低线高下的工频电场及工频磁场预测计算见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_Ref15796 \h </w:instrText>
      </w:r>
      <w:r>
        <w:rPr>
          <w:rFonts w:hint="eastAsia"/>
          <w:b w:val="0"/>
          <w:bCs w:val="0"/>
          <w:color w:val="000000"/>
          <w:sz w:val="24"/>
          <w:szCs w:val="24"/>
          <w:lang w:eastAsia="zh-CN"/>
        </w:rPr>
        <w:fldChar w:fldCharType="separate"/>
      </w:r>
      <w:r>
        <w:rPr>
          <w:rFonts w:ascii="Times New Roman" w:hAnsi="Times New Roman"/>
          <w:b w:val="0"/>
          <w:bCs w:val="0"/>
          <w:sz w:val="24"/>
          <w:szCs w:val="24"/>
        </w:rPr>
        <w:t>表 37</w:t>
      </w:r>
      <w:r>
        <w:rPr>
          <w:rFonts w:hint="eastAsia"/>
          <w:b w:val="0"/>
          <w:bCs w:val="0"/>
          <w:color w:val="000000"/>
          <w:sz w:val="24"/>
          <w:szCs w:val="24"/>
          <w:lang w:eastAsia="zh-CN"/>
        </w:rPr>
        <w:fldChar w:fldCharType="end"/>
      </w:r>
      <w:r>
        <w:rPr>
          <w:rFonts w:hint="eastAsia"/>
          <w:color w:val="000000"/>
          <w:sz w:val="24"/>
          <w:szCs w:val="20"/>
        </w:rPr>
        <w:t>，相应变化趋势见</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_Ref3092 \h </w:instrText>
      </w:r>
      <w:r>
        <w:rPr>
          <w:rFonts w:hint="eastAsia"/>
          <w:b w:val="0"/>
          <w:bCs w:val="0"/>
          <w:color w:val="000000"/>
          <w:sz w:val="24"/>
          <w:szCs w:val="24"/>
          <w:lang w:eastAsia="zh-CN"/>
        </w:rPr>
        <w:fldChar w:fldCharType="separate"/>
      </w:r>
      <w:r>
        <w:rPr>
          <w:rFonts w:hint="eastAsia" w:ascii="宋体" w:hAnsi="宋体" w:eastAsia="宋体" w:cs="宋体"/>
          <w:b w:val="0"/>
          <w:bCs w:val="0"/>
          <w:color w:val="000000"/>
          <w:sz w:val="24"/>
          <w:szCs w:val="24"/>
        </w:rPr>
        <w:t>图</w:t>
      </w:r>
      <w:r>
        <w:rPr>
          <w:rFonts w:eastAsia="黑体"/>
          <w:b w:val="0"/>
          <w:bCs w:val="0"/>
          <w:color w:val="000000"/>
          <w:sz w:val="24"/>
          <w:szCs w:val="24"/>
        </w:rPr>
        <w:t>20</w:t>
      </w:r>
      <w:r>
        <w:rPr>
          <w:rFonts w:hint="eastAsia"/>
          <w:b w:val="0"/>
          <w:bCs w:val="0"/>
          <w:color w:val="000000"/>
          <w:sz w:val="24"/>
          <w:szCs w:val="24"/>
          <w:lang w:eastAsia="zh-CN"/>
        </w:rPr>
        <w:fldChar w:fldCharType="end"/>
      </w:r>
      <w:r>
        <w:rPr>
          <w:rFonts w:hint="eastAsia"/>
          <w:b w:val="0"/>
          <w:bCs w:val="0"/>
          <w:color w:val="000000"/>
          <w:sz w:val="24"/>
          <w:szCs w:val="24"/>
          <w:lang w:val="en-US" w:eastAsia="zh-CN"/>
        </w:rPr>
        <w:t>~</w:t>
      </w:r>
      <w:r>
        <w:rPr>
          <w:rFonts w:hint="eastAsia"/>
          <w:b w:val="0"/>
          <w:bCs w:val="0"/>
          <w:color w:val="000000"/>
          <w:sz w:val="24"/>
          <w:szCs w:val="24"/>
          <w:lang w:eastAsia="zh-CN"/>
        </w:rPr>
        <w:fldChar w:fldCharType="begin"/>
      </w:r>
      <w:r>
        <w:rPr>
          <w:rFonts w:hint="eastAsia"/>
          <w:b w:val="0"/>
          <w:bCs w:val="0"/>
          <w:color w:val="000000"/>
          <w:sz w:val="24"/>
          <w:szCs w:val="24"/>
          <w:lang w:eastAsia="zh-CN"/>
        </w:rPr>
        <w:instrText xml:space="preserve"> REF _Ref3157 \h </w:instrText>
      </w:r>
      <w:r>
        <w:rPr>
          <w:rFonts w:hint="eastAsia"/>
          <w:b w:val="0"/>
          <w:bCs w:val="0"/>
          <w:color w:val="000000"/>
          <w:sz w:val="24"/>
          <w:szCs w:val="24"/>
          <w:lang w:eastAsia="zh-CN"/>
        </w:rPr>
        <w:fldChar w:fldCharType="separate"/>
      </w:r>
      <w:r>
        <w:rPr>
          <w:rFonts w:cs="ˎ̥"/>
          <w:b w:val="0"/>
          <w:bCs w:val="0"/>
          <w:color w:val="000000"/>
          <w:sz w:val="24"/>
          <w:szCs w:val="24"/>
        </w:rPr>
        <w:t>图27</w:t>
      </w:r>
      <w:r>
        <w:rPr>
          <w:rFonts w:hint="eastAsia"/>
          <w:b w:val="0"/>
          <w:bCs w:val="0"/>
          <w:color w:val="000000"/>
          <w:sz w:val="24"/>
          <w:szCs w:val="24"/>
          <w:lang w:eastAsia="zh-CN"/>
        </w:rPr>
        <w:fldChar w:fldCharType="end"/>
      </w:r>
      <w:r>
        <w:rPr>
          <w:rFonts w:hint="eastAsia"/>
          <w:color w:val="000000"/>
          <w:sz w:val="24"/>
          <w:szCs w:val="20"/>
        </w:rPr>
        <w:t>。</w:t>
      </w:r>
    </w:p>
    <w:p w14:paraId="48675E28">
      <w:pPr>
        <w:adjustRightInd w:val="0"/>
        <w:snapToGrid w:val="0"/>
        <w:jc w:val="left"/>
        <w:rPr>
          <w:rFonts w:eastAsia="黑体"/>
          <w:b/>
          <w:bCs/>
          <w:color w:val="000000"/>
          <w:szCs w:val="20"/>
        </w:rPr>
      </w:pPr>
      <w:bookmarkStart w:id="881" w:name="_Ref15796"/>
      <w:bookmarkStart w:id="882" w:name="_Ref388276926"/>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37</w:t>
      </w:r>
      <w:r>
        <w:rPr>
          <w:rFonts w:ascii="Times New Roman" w:hAnsi="Times New Roman"/>
          <w:b/>
        </w:rPr>
        <w:fldChar w:fldCharType="end"/>
      </w:r>
      <w:bookmarkEnd w:id="881"/>
      <w:r>
        <w:rPr>
          <w:rFonts w:ascii="Times New Roman" w:hAnsi="Times New Roman"/>
          <w:b/>
        </w:rPr>
        <w:t xml:space="preserve"> </w:t>
      </w:r>
      <w:r>
        <w:rPr>
          <w:rFonts w:eastAsia="黑体"/>
          <w:b/>
          <w:bCs/>
          <w:color w:val="000000"/>
          <w:szCs w:val="21"/>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rPr>
        <w:t>双回</w:t>
      </w:r>
      <w:r>
        <w:rPr>
          <w:rFonts w:eastAsia="黑体"/>
          <w:b/>
          <w:bCs/>
          <w:color w:val="000000"/>
          <w:szCs w:val="20"/>
        </w:rPr>
        <w:t>线路工频电场强度</w:t>
      </w:r>
      <w:r>
        <w:rPr>
          <w:rFonts w:hint="eastAsia" w:eastAsia="黑体"/>
          <w:b/>
          <w:bCs/>
          <w:color w:val="000000"/>
          <w:szCs w:val="20"/>
        </w:rPr>
        <w:t>、工频磁感应强度</w:t>
      </w:r>
      <w:r>
        <w:rPr>
          <w:rFonts w:eastAsia="黑体"/>
          <w:b/>
          <w:bCs/>
          <w:color w:val="000000"/>
          <w:szCs w:val="20"/>
        </w:rPr>
        <w:t xml:space="preserve">预测结果  </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307"/>
        <w:gridCol w:w="1294"/>
        <w:gridCol w:w="1861"/>
        <w:gridCol w:w="1575"/>
        <w:gridCol w:w="1581"/>
      </w:tblGrid>
      <w:tr w14:paraId="0906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trPr>
        <w:tc>
          <w:tcPr>
            <w:tcW w:w="896" w:type="pct"/>
            <w:vMerge w:val="restart"/>
            <w:shd w:val="clear" w:color="auto" w:fill="auto"/>
            <w:vAlign w:val="center"/>
          </w:tcPr>
          <w:p w14:paraId="0001C1AC">
            <w:pPr>
              <w:widowControl/>
              <w:jc w:val="center"/>
              <w:rPr>
                <w:b/>
                <w:bCs/>
                <w:color w:val="000000"/>
                <w:kern w:val="0"/>
                <w:szCs w:val="21"/>
              </w:rPr>
            </w:pPr>
            <w:r>
              <w:rPr>
                <w:rFonts w:hint="eastAsia"/>
                <w:b/>
                <w:bCs/>
                <w:color w:val="000000"/>
                <w:kern w:val="0"/>
                <w:szCs w:val="21"/>
              </w:rPr>
              <w:t>距线路中心的距离</w:t>
            </w:r>
            <w:r>
              <w:rPr>
                <w:b/>
                <w:bCs/>
                <w:color w:val="000000"/>
                <w:kern w:val="0"/>
                <w:szCs w:val="21"/>
              </w:rPr>
              <w:t>(m)</w:t>
            </w:r>
          </w:p>
        </w:tc>
        <w:tc>
          <w:tcPr>
            <w:tcW w:w="704" w:type="pct"/>
            <w:vMerge w:val="restart"/>
            <w:shd w:val="clear" w:color="auto" w:fill="auto"/>
            <w:vAlign w:val="center"/>
          </w:tcPr>
          <w:p w14:paraId="511A47C6">
            <w:pPr>
              <w:widowControl/>
              <w:jc w:val="center"/>
              <w:rPr>
                <w:b/>
                <w:bCs/>
                <w:color w:val="000000"/>
                <w:kern w:val="0"/>
                <w:szCs w:val="21"/>
              </w:rPr>
            </w:pPr>
            <w:r>
              <w:rPr>
                <w:rFonts w:hint="eastAsia"/>
                <w:b/>
                <w:bCs/>
                <w:color w:val="000000"/>
                <w:kern w:val="0"/>
                <w:szCs w:val="21"/>
              </w:rPr>
              <w:t>距边导线距离</w:t>
            </w:r>
            <w:r>
              <w:rPr>
                <w:b/>
                <w:bCs/>
                <w:color w:val="000000"/>
                <w:kern w:val="0"/>
                <w:szCs w:val="21"/>
              </w:rPr>
              <w:t>(m)</w:t>
            </w:r>
          </w:p>
        </w:tc>
        <w:tc>
          <w:tcPr>
            <w:tcW w:w="1699" w:type="pct"/>
            <w:gridSpan w:val="2"/>
            <w:shd w:val="clear" w:color="auto" w:fill="auto"/>
            <w:vAlign w:val="center"/>
          </w:tcPr>
          <w:p w14:paraId="69568CB7">
            <w:pPr>
              <w:widowControl/>
              <w:jc w:val="center"/>
              <w:rPr>
                <w:b/>
                <w:bCs/>
                <w:color w:val="000000"/>
                <w:kern w:val="0"/>
                <w:szCs w:val="21"/>
              </w:rPr>
            </w:pPr>
            <w:r>
              <w:rPr>
                <w:rFonts w:hint="eastAsia"/>
                <w:b/>
                <w:bCs/>
                <w:color w:val="000000"/>
                <w:kern w:val="0"/>
                <w:szCs w:val="21"/>
              </w:rPr>
              <w:t>非居民区（导线对地</w:t>
            </w:r>
            <w:r>
              <w:rPr>
                <w:b/>
                <w:bCs/>
                <w:color w:val="000000"/>
                <w:kern w:val="0"/>
                <w:szCs w:val="21"/>
              </w:rPr>
              <w:t>6</w:t>
            </w:r>
            <w:r>
              <w:rPr>
                <w:rFonts w:hint="eastAsia"/>
                <w:b/>
                <w:bCs/>
                <w:color w:val="000000"/>
                <w:kern w:val="0"/>
                <w:szCs w:val="21"/>
              </w:rPr>
              <w:t>.</w:t>
            </w:r>
            <w:r>
              <w:rPr>
                <w:rFonts w:hint="eastAsia"/>
                <w:b/>
                <w:bCs/>
                <w:color w:val="000000"/>
                <w:kern w:val="0"/>
                <w:szCs w:val="21"/>
                <w:lang w:val="en-US" w:eastAsia="zh-CN"/>
              </w:rPr>
              <w:t>0</w:t>
            </w:r>
            <w:r>
              <w:rPr>
                <w:b/>
                <w:bCs/>
                <w:color w:val="000000"/>
                <w:kern w:val="0"/>
                <w:szCs w:val="21"/>
              </w:rPr>
              <w:t>m</w:t>
            </w:r>
            <w:r>
              <w:rPr>
                <w:rFonts w:hint="eastAsia"/>
                <w:b/>
                <w:bCs/>
                <w:color w:val="000000"/>
                <w:kern w:val="0"/>
                <w:szCs w:val="21"/>
              </w:rPr>
              <w:t>，距地面</w:t>
            </w:r>
            <w:r>
              <w:rPr>
                <w:b/>
                <w:bCs/>
                <w:color w:val="000000"/>
                <w:kern w:val="0"/>
                <w:szCs w:val="21"/>
              </w:rPr>
              <w:t>1.5m</w:t>
            </w:r>
            <w:r>
              <w:rPr>
                <w:rFonts w:hint="eastAsia"/>
                <w:b/>
                <w:bCs/>
                <w:color w:val="000000"/>
                <w:kern w:val="0"/>
                <w:szCs w:val="21"/>
              </w:rPr>
              <w:t>处）</w:t>
            </w:r>
          </w:p>
        </w:tc>
        <w:tc>
          <w:tcPr>
            <w:tcW w:w="1699" w:type="pct"/>
            <w:gridSpan w:val="2"/>
            <w:shd w:val="clear" w:color="auto" w:fill="auto"/>
            <w:vAlign w:val="center"/>
          </w:tcPr>
          <w:p w14:paraId="5D839ACA">
            <w:pPr>
              <w:widowControl/>
              <w:jc w:val="center"/>
              <w:rPr>
                <w:b/>
                <w:bCs/>
                <w:color w:val="000000"/>
                <w:kern w:val="0"/>
                <w:szCs w:val="21"/>
              </w:rPr>
            </w:pPr>
            <w:r>
              <w:rPr>
                <w:rFonts w:hint="eastAsia"/>
                <w:b/>
                <w:bCs/>
                <w:color w:val="000000"/>
                <w:kern w:val="0"/>
                <w:szCs w:val="21"/>
              </w:rPr>
              <w:t>居民区（导线对地7.</w:t>
            </w:r>
            <w:r>
              <w:rPr>
                <w:rFonts w:hint="eastAsia"/>
                <w:b/>
                <w:bCs/>
                <w:color w:val="000000"/>
                <w:kern w:val="0"/>
                <w:szCs w:val="21"/>
                <w:lang w:val="en-US" w:eastAsia="zh-CN"/>
              </w:rPr>
              <w:t>0</w:t>
            </w:r>
            <w:r>
              <w:rPr>
                <w:b/>
                <w:bCs/>
                <w:color w:val="000000"/>
                <w:kern w:val="0"/>
                <w:szCs w:val="21"/>
              </w:rPr>
              <w:t>m</w:t>
            </w:r>
            <w:r>
              <w:rPr>
                <w:rFonts w:hint="eastAsia"/>
                <w:b/>
                <w:bCs/>
                <w:color w:val="000000"/>
                <w:kern w:val="0"/>
                <w:szCs w:val="21"/>
              </w:rPr>
              <w:t>，距地面</w:t>
            </w:r>
            <w:r>
              <w:rPr>
                <w:b/>
                <w:bCs/>
                <w:color w:val="000000"/>
                <w:kern w:val="0"/>
                <w:szCs w:val="21"/>
              </w:rPr>
              <w:t>1.5m</w:t>
            </w:r>
            <w:r>
              <w:rPr>
                <w:rFonts w:hint="eastAsia"/>
                <w:b/>
                <w:bCs/>
                <w:color w:val="000000"/>
                <w:kern w:val="0"/>
                <w:szCs w:val="21"/>
              </w:rPr>
              <w:t>处）</w:t>
            </w:r>
          </w:p>
        </w:tc>
      </w:tr>
      <w:tr w14:paraId="7683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896" w:type="pct"/>
            <w:vMerge w:val="continue"/>
            <w:vAlign w:val="center"/>
          </w:tcPr>
          <w:p w14:paraId="670E25D9">
            <w:pPr>
              <w:widowControl/>
              <w:jc w:val="center"/>
              <w:rPr>
                <w:b/>
                <w:bCs/>
                <w:color w:val="000000"/>
                <w:kern w:val="0"/>
                <w:szCs w:val="21"/>
              </w:rPr>
            </w:pPr>
          </w:p>
        </w:tc>
        <w:tc>
          <w:tcPr>
            <w:tcW w:w="704" w:type="pct"/>
            <w:vMerge w:val="continue"/>
            <w:vAlign w:val="center"/>
          </w:tcPr>
          <w:p w14:paraId="2685B747">
            <w:pPr>
              <w:widowControl/>
              <w:jc w:val="center"/>
              <w:rPr>
                <w:b/>
                <w:bCs/>
                <w:color w:val="000000"/>
                <w:kern w:val="0"/>
                <w:szCs w:val="21"/>
              </w:rPr>
            </w:pPr>
          </w:p>
        </w:tc>
        <w:tc>
          <w:tcPr>
            <w:tcW w:w="697" w:type="pct"/>
            <w:shd w:val="clear" w:color="auto" w:fill="auto"/>
            <w:vAlign w:val="center"/>
          </w:tcPr>
          <w:p w14:paraId="04896306">
            <w:pPr>
              <w:widowControl/>
              <w:jc w:val="center"/>
              <w:rPr>
                <w:b/>
                <w:bCs/>
                <w:color w:val="000000"/>
                <w:kern w:val="0"/>
                <w:szCs w:val="21"/>
              </w:rPr>
            </w:pPr>
            <w:r>
              <w:rPr>
                <w:rFonts w:hint="eastAsia"/>
                <w:b/>
                <w:bCs/>
                <w:color w:val="000000"/>
                <w:kern w:val="0"/>
                <w:szCs w:val="21"/>
              </w:rPr>
              <w:t>工频电场（</w:t>
            </w:r>
            <w:r>
              <w:rPr>
                <w:rFonts w:cs="ˎ̥"/>
                <w:b/>
                <w:bCs/>
                <w:color w:val="000000"/>
                <w:szCs w:val="21"/>
              </w:rPr>
              <w:t>kV</w:t>
            </w:r>
            <w:r>
              <w:rPr>
                <w:rFonts w:hint="eastAsia" w:cs="ˎ̥"/>
                <w:b/>
                <w:bCs/>
                <w:color w:val="000000"/>
                <w:szCs w:val="21"/>
              </w:rPr>
              <w:t>/m)</w:t>
            </w:r>
          </w:p>
        </w:tc>
        <w:tc>
          <w:tcPr>
            <w:tcW w:w="1002" w:type="pct"/>
            <w:vAlign w:val="center"/>
          </w:tcPr>
          <w:p w14:paraId="4BC14722">
            <w:pPr>
              <w:widowControl/>
              <w:jc w:val="center"/>
              <w:rPr>
                <w:b/>
                <w:bCs/>
                <w:color w:val="000000"/>
                <w:kern w:val="0"/>
                <w:szCs w:val="21"/>
              </w:rPr>
            </w:pPr>
            <w:r>
              <w:rPr>
                <w:rFonts w:hint="eastAsia"/>
                <w:b/>
                <w:bCs/>
                <w:color w:val="000000"/>
                <w:kern w:val="0"/>
                <w:szCs w:val="21"/>
              </w:rPr>
              <w:t>工频磁感应强度（</w:t>
            </w:r>
            <w:r>
              <w:rPr>
                <w:rFonts w:hint="eastAsia"/>
                <w:color w:val="000000"/>
                <w:sz w:val="21"/>
                <w:szCs w:val="21"/>
              </w:rPr>
              <w:t>µT）</w:t>
            </w:r>
          </w:p>
        </w:tc>
        <w:tc>
          <w:tcPr>
            <w:tcW w:w="848" w:type="pct"/>
            <w:vAlign w:val="center"/>
          </w:tcPr>
          <w:p w14:paraId="61D32745">
            <w:pPr>
              <w:widowControl/>
              <w:jc w:val="center"/>
              <w:rPr>
                <w:b/>
                <w:bCs/>
                <w:color w:val="000000"/>
                <w:kern w:val="0"/>
                <w:szCs w:val="21"/>
              </w:rPr>
            </w:pPr>
            <w:r>
              <w:rPr>
                <w:rFonts w:hint="eastAsia"/>
                <w:b/>
                <w:bCs/>
                <w:color w:val="000000"/>
                <w:kern w:val="0"/>
                <w:szCs w:val="21"/>
              </w:rPr>
              <w:t>工频电场（</w:t>
            </w:r>
            <w:r>
              <w:rPr>
                <w:rFonts w:cs="ˎ̥"/>
                <w:b/>
                <w:bCs/>
                <w:color w:val="000000"/>
                <w:szCs w:val="21"/>
              </w:rPr>
              <w:t>kV</w:t>
            </w:r>
            <w:r>
              <w:rPr>
                <w:rFonts w:hint="eastAsia" w:cs="ˎ̥"/>
                <w:b/>
                <w:bCs/>
                <w:color w:val="000000"/>
                <w:szCs w:val="21"/>
              </w:rPr>
              <w:t>/m)</w:t>
            </w:r>
          </w:p>
        </w:tc>
        <w:tc>
          <w:tcPr>
            <w:tcW w:w="851" w:type="pct"/>
            <w:vAlign w:val="center"/>
          </w:tcPr>
          <w:p w14:paraId="19D4D006">
            <w:pPr>
              <w:widowControl/>
              <w:jc w:val="center"/>
              <w:rPr>
                <w:b/>
                <w:bCs/>
                <w:color w:val="000000"/>
                <w:kern w:val="0"/>
                <w:szCs w:val="21"/>
              </w:rPr>
            </w:pPr>
            <w:r>
              <w:rPr>
                <w:rFonts w:hint="eastAsia"/>
                <w:b/>
                <w:bCs/>
                <w:color w:val="000000"/>
                <w:kern w:val="0"/>
                <w:szCs w:val="21"/>
              </w:rPr>
              <w:t>工频磁感应强度（</w:t>
            </w:r>
            <w:r>
              <w:rPr>
                <w:rFonts w:hint="eastAsia"/>
                <w:color w:val="000000"/>
                <w:sz w:val="21"/>
                <w:szCs w:val="21"/>
              </w:rPr>
              <w:t>µT）</w:t>
            </w:r>
          </w:p>
        </w:tc>
      </w:tr>
      <w:tr w14:paraId="3C92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9EFE6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-34.7</w:t>
            </w:r>
          </w:p>
        </w:tc>
        <w:tc>
          <w:tcPr>
            <w:tcW w:w="704" w:type="pct"/>
            <w:shd w:val="clear" w:color="auto" w:fill="auto"/>
            <w:vAlign w:val="center"/>
          </w:tcPr>
          <w:p w14:paraId="1E1115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30m</w:t>
            </w:r>
          </w:p>
        </w:tc>
        <w:tc>
          <w:tcPr>
            <w:tcW w:w="697" w:type="pct"/>
            <w:shd w:val="clear" w:color="auto" w:fill="auto"/>
            <w:vAlign w:val="center"/>
          </w:tcPr>
          <w:p w14:paraId="2B2D86B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605FCA2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0.35 </w:t>
            </w:r>
          </w:p>
        </w:tc>
        <w:tc>
          <w:tcPr>
            <w:tcW w:w="848" w:type="pct"/>
            <w:vAlign w:val="center"/>
          </w:tcPr>
          <w:p w14:paraId="31B31FC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45F42C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0.34 </w:t>
            </w:r>
          </w:p>
        </w:tc>
      </w:tr>
      <w:tr w14:paraId="2466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75B4D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-33.7</w:t>
            </w:r>
          </w:p>
        </w:tc>
        <w:tc>
          <w:tcPr>
            <w:tcW w:w="704" w:type="pct"/>
            <w:shd w:val="clear" w:color="auto" w:fill="auto"/>
            <w:vAlign w:val="center"/>
          </w:tcPr>
          <w:p w14:paraId="7DC03A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29m</w:t>
            </w:r>
          </w:p>
        </w:tc>
        <w:tc>
          <w:tcPr>
            <w:tcW w:w="697" w:type="pct"/>
            <w:shd w:val="clear" w:color="auto" w:fill="auto"/>
            <w:vAlign w:val="center"/>
          </w:tcPr>
          <w:p w14:paraId="6441986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7258D4C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0.38 </w:t>
            </w:r>
          </w:p>
        </w:tc>
        <w:tc>
          <w:tcPr>
            <w:tcW w:w="848" w:type="pct"/>
            <w:vAlign w:val="center"/>
          </w:tcPr>
          <w:p w14:paraId="3C5ECB5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12FC2A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0.37 </w:t>
            </w:r>
          </w:p>
        </w:tc>
      </w:tr>
      <w:tr w14:paraId="5538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2F18D4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-32.7</w:t>
            </w:r>
          </w:p>
        </w:tc>
        <w:tc>
          <w:tcPr>
            <w:tcW w:w="704" w:type="pct"/>
            <w:shd w:val="clear" w:color="auto" w:fill="auto"/>
            <w:vAlign w:val="center"/>
          </w:tcPr>
          <w:p w14:paraId="10F1853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28m</w:t>
            </w:r>
          </w:p>
        </w:tc>
        <w:tc>
          <w:tcPr>
            <w:tcW w:w="697" w:type="pct"/>
            <w:shd w:val="clear" w:color="auto" w:fill="auto"/>
            <w:vAlign w:val="center"/>
          </w:tcPr>
          <w:p w14:paraId="707EDEB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16CF94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0.41 </w:t>
            </w:r>
          </w:p>
        </w:tc>
        <w:tc>
          <w:tcPr>
            <w:tcW w:w="848" w:type="pct"/>
            <w:vAlign w:val="center"/>
          </w:tcPr>
          <w:p w14:paraId="6AF98E8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1B68A43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0.40 </w:t>
            </w:r>
          </w:p>
        </w:tc>
      </w:tr>
      <w:tr w14:paraId="66DA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5857E0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-31.7</w:t>
            </w:r>
          </w:p>
        </w:tc>
        <w:tc>
          <w:tcPr>
            <w:tcW w:w="704" w:type="pct"/>
            <w:shd w:val="clear" w:color="auto" w:fill="auto"/>
            <w:vAlign w:val="center"/>
          </w:tcPr>
          <w:p w14:paraId="5F544D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27m</w:t>
            </w:r>
          </w:p>
        </w:tc>
        <w:tc>
          <w:tcPr>
            <w:tcW w:w="697" w:type="pct"/>
            <w:shd w:val="clear" w:color="auto" w:fill="auto"/>
            <w:vAlign w:val="center"/>
          </w:tcPr>
          <w:p w14:paraId="10CC74D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5FE580E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0.45 </w:t>
            </w:r>
          </w:p>
        </w:tc>
        <w:tc>
          <w:tcPr>
            <w:tcW w:w="848" w:type="pct"/>
            <w:vAlign w:val="center"/>
          </w:tcPr>
          <w:p w14:paraId="50D9605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15B64C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0.44 </w:t>
            </w:r>
          </w:p>
        </w:tc>
      </w:tr>
      <w:tr w14:paraId="739B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7B69B6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-30.7</w:t>
            </w:r>
          </w:p>
        </w:tc>
        <w:tc>
          <w:tcPr>
            <w:tcW w:w="704" w:type="pct"/>
            <w:shd w:val="clear" w:color="auto" w:fill="auto"/>
            <w:vAlign w:val="center"/>
          </w:tcPr>
          <w:p w14:paraId="79A3F0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26m</w:t>
            </w:r>
          </w:p>
        </w:tc>
        <w:tc>
          <w:tcPr>
            <w:tcW w:w="697" w:type="pct"/>
            <w:shd w:val="clear" w:color="auto" w:fill="auto"/>
            <w:vAlign w:val="center"/>
          </w:tcPr>
          <w:p w14:paraId="71BDCA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79A1017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0.49 </w:t>
            </w:r>
          </w:p>
        </w:tc>
        <w:tc>
          <w:tcPr>
            <w:tcW w:w="848" w:type="pct"/>
            <w:vAlign w:val="center"/>
          </w:tcPr>
          <w:p w14:paraId="6F09960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4991B16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0.48 </w:t>
            </w:r>
          </w:p>
        </w:tc>
      </w:tr>
      <w:tr w14:paraId="04EA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6BCABD9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-29.7</w:t>
            </w:r>
          </w:p>
        </w:tc>
        <w:tc>
          <w:tcPr>
            <w:tcW w:w="704" w:type="pct"/>
            <w:shd w:val="clear" w:color="auto" w:fill="auto"/>
            <w:vAlign w:val="center"/>
          </w:tcPr>
          <w:p w14:paraId="3299D24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25m</w:t>
            </w:r>
          </w:p>
        </w:tc>
        <w:tc>
          <w:tcPr>
            <w:tcW w:w="697" w:type="pct"/>
            <w:shd w:val="clear" w:color="auto" w:fill="auto"/>
            <w:vAlign w:val="center"/>
          </w:tcPr>
          <w:p w14:paraId="2312EF6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149D119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0.54 </w:t>
            </w:r>
          </w:p>
        </w:tc>
        <w:tc>
          <w:tcPr>
            <w:tcW w:w="848" w:type="pct"/>
            <w:vAlign w:val="center"/>
          </w:tcPr>
          <w:p w14:paraId="01BA4D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4DEC930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0.52 </w:t>
            </w:r>
          </w:p>
        </w:tc>
      </w:tr>
      <w:tr w14:paraId="03F1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FA34E6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-28.7</w:t>
            </w:r>
          </w:p>
        </w:tc>
        <w:tc>
          <w:tcPr>
            <w:tcW w:w="704" w:type="pct"/>
            <w:shd w:val="clear" w:color="auto" w:fill="auto"/>
            <w:vAlign w:val="center"/>
          </w:tcPr>
          <w:p w14:paraId="12C28EC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24m</w:t>
            </w:r>
          </w:p>
        </w:tc>
        <w:tc>
          <w:tcPr>
            <w:tcW w:w="697" w:type="pct"/>
            <w:shd w:val="clear" w:color="auto" w:fill="auto"/>
            <w:vAlign w:val="center"/>
          </w:tcPr>
          <w:p w14:paraId="7AE8D0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6599690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0.59 </w:t>
            </w:r>
          </w:p>
        </w:tc>
        <w:tc>
          <w:tcPr>
            <w:tcW w:w="848" w:type="pct"/>
            <w:vAlign w:val="center"/>
          </w:tcPr>
          <w:p w14:paraId="55F7A4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7E6DB4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0.57 </w:t>
            </w:r>
          </w:p>
        </w:tc>
      </w:tr>
      <w:tr w14:paraId="7363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1AB2D73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-27.7</w:t>
            </w:r>
          </w:p>
        </w:tc>
        <w:tc>
          <w:tcPr>
            <w:tcW w:w="704" w:type="pct"/>
            <w:shd w:val="clear" w:color="auto" w:fill="auto"/>
            <w:vAlign w:val="center"/>
          </w:tcPr>
          <w:p w14:paraId="0A9AE6D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23m</w:t>
            </w:r>
          </w:p>
        </w:tc>
        <w:tc>
          <w:tcPr>
            <w:tcW w:w="697" w:type="pct"/>
            <w:shd w:val="clear" w:color="auto" w:fill="auto"/>
            <w:vAlign w:val="center"/>
          </w:tcPr>
          <w:p w14:paraId="1AEF5A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12DBC3E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0.65 </w:t>
            </w:r>
          </w:p>
        </w:tc>
        <w:tc>
          <w:tcPr>
            <w:tcW w:w="848" w:type="pct"/>
            <w:vAlign w:val="center"/>
          </w:tcPr>
          <w:p w14:paraId="63D0467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1865780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0.63 </w:t>
            </w:r>
          </w:p>
        </w:tc>
      </w:tr>
      <w:tr w14:paraId="5F5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D26AC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-26.7</w:t>
            </w:r>
          </w:p>
        </w:tc>
        <w:tc>
          <w:tcPr>
            <w:tcW w:w="704" w:type="pct"/>
            <w:shd w:val="clear" w:color="auto" w:fill="auto"/>
            <w:vAlign w:val="center"/>
          </w:tcPr>
          <w:p w14:paraId="794C4A7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22m</w:t>
            </w:r>
          </w:p>
        </w:tc>
        <w:tc>
          <w:tcPr>
            <w:tcW w:w="697" w:type="pct"/>
            <w:shd w:val="clear" w:color="auto" w:fill="auto"/>
            <w:vAlign w:val="center"/>
          </w:tcPr>
          <w:p w14:paraId="390E6B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5530E8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0.72 </w:t>
            </w:r>
          </w:p>
        </w:tc>
        <w:tc>
          <w:tcPr>
            <w:tcW w:w="848" w:type="pct"/>
            <w:vAlign w:val="center"/>
          </w:tcPr>
          <w:p w14:paraId="43BE448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3A99BFC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r>
      <w:tr w14:paraId="3440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2C0D8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-25.7</w:t>
            </w:r>
          </w:p>
        </w:tc>
        <w:tc>
          <w:tcPr>
            <w:tcW w:w="704" w:type="pct"/>
            <w:shd w:val="clear" w:color="auto" w:fill="auto"/>
            <w:vAlign w:val="center"/>
          </w:tcPr>
          <w:p w14:paraId="6870149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21m</w:t>
            </w:r>
          </w:p>
        </w:tc>
        <w:tc>
          <w:tcPr>
            <w:tcW w:w="697" w:type="pct"/>
            <w:shd w:val="clear" w:color="auto" w:fill="auto"/>
            <w:vAlign w:val="center"/>
          </w:tcPr>
          <w:p w14:paraId="1F50298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391687A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0.80 </w:t>
            </w:r>
          </w:p>
        </w:tc>
        <w:tc>
          <w:tcPr>
            <w:tcW w:w="848" w:type="pct"/>
            <w:vAlign w:val="center"/>
          </w:tcPr>
          <w:p w14:paraId="3F277B3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72D11E8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0.77 </w:t>
            </w:r>
          </w:p>
        </w:tc>
      </w:tr>
      <w:tr w14:paraId="3B2D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33F36F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-24.7</w:t>
            </w:r>
          </w:p>
        </w:tc>
        <w:tc>
          <w:tcPr>
            <w:tcW w:w="704" w:type="pct"/>
            <w:shd w:val="clear" w:color="auto" w:fill="auto"/>
            <w:vAlign w:val="center"/>
          </w:tcPr>
          <w:p w14:paraId="247E13E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20m</w:t>
            </w:r>
          </w:p>
        </w:tc>
        <w:tc>
          <w:tcPr>
            <w:tcW w:w="697" w:type="pct"/>
            <w:shd w:val="clear" w:color="auto" w:fill="auto"/>
            <w:vAlign w:val="center"/>
          </w:tcPr>
          <w:p w14:paraId="2A0F053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7C759B3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0.89 </w:t>
            </w:r>
          </w:p>
        </w:tc>
        <w:tc>
          <w:tcPr>
            <w:tcW w:w="848" w:type="pct"/>
            <w:vAlign w:val="center"/>
          </w:tcPr>
          <w:p w14:paraId="49921B9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6C67646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0.86 </w:t>
            </w:r>
          </w:p>
        </w:tc>
      </w:tr>
      <w:tr w14:paraId="62FB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5902AB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-23.7</w:t>
            </w:r>
          </w:p>
        </w:tc>
        <w:tc>
          <w:tcPr>
            <w:tcW w:w="704" w:type="pct"/>
            <w:shd w:val="clear" w:color="auto" w:fill="auto"/>
            <w:vAlign w:val="center"/>
          </w:tcPr>
          <w:p w14:paraId="73382F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19m</w:t>
            </w:r>
          </w:p>
        </w:tc>
        <w:tc>
          <w:tcPr>
            <w:tcW w:w="697" w:type="pct"/>
            <w:shd w:val="clear" w:color="auto" w:fill="auto"/>
            <w:vAlign w:val="center"/>
          </w:tcPr>
          <w:p w14:paraId="150E950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1002" w:type="pct"/>
            <w:vAlign w:val="center"/>
          </w:tcPr>
          <w:p w14:paraId="30514A5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0.99 </w:t>
            </w:r>
          </w:p>
        </w:tc>
        <w:tc>
          <w:tcPr>
            <w:tcW w:w="848" w:type="pct"/>
            <w:vAlign w:val="center"/>
          </w:tcPr>
          <w:p w14:paraId="152DF8B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851" w:type="pct"/>
            <w:vAlign w:val="center"/>
          </w:tcPr>
          <w:p w14:paraId="4400F3D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0.96 </w:t>
            </w:r>
          </w:p>
        </w:tc>
      </w:tr>
      <w:tr w14:paraId="5B0F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19C031D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-22.7</w:t>
            </w:r>
          </w:p>
        </w:tc>
        <w:tc>
          <w:tcPr>
            <w:tcW w:w="704" w:type="pct"/>
            <w:shd w:val="clear" w:color="auto" w:fill="auto"/>
            <w:vAlign w:val="center"/>
          </w:tcPr>
          <w:p w14:paraId="681F571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18m</w:t>
            </w:r>
          </w:p>
        </w:tc>
        <w:tc>
          <w:tcPr>
            <w:tcW w:w="697" w:type="pct"/>
            <w:shd w:val="clear" w:color="auto" w:fill="auto"/>
            <w:vAlign w:val="center"/>
          </w:tcPr>
          <w:p w14:paraId="310F811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6E50EC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1.11 </w:t>
            </w:r>
          </w:p>
        </w:tc>
        <w:tc>
          <w:tcPr>
            <w:tcW w:w="848" w:type="pct"/>
            <w:vAlign w:val="center"/>
          </w:tcPr>
          <w:p w14:paraId="5113345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851" w:type="pct"/>
            <w:vAlign w:val="center"/>
          </w:tcPr>
          <w:p w14:paraId="487F98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1.07 </w:t>
            </w:r>
          </w:p>
        </w:tc>
      </w:tr>
      <w:tr w14:paraId="5CBA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0525D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-21.7</w:t>
            </w:r>
          </w:p>
        </w:tc>
        <w:tc>
          <w:tcPr>
            <w:tcW w:w="704" w:type="pct"/>
            <w:shd w:val="clear" w:color="auto" w:fill="auto"/>
            <w:vAlign w:val="center"/>
          </w:tcPr>
          <w:p w14:paraId="350BE24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17m</w:t>
            </w:r>
          </w:p>
        </w:tc>
        <w:tc>
          <w:tcPr>
            <w:tcW w:w="697" w:type="pct"/>
            <w:shd w:val="clear" w:color="auto" w:fill="auto"/>
            <w:vAlign w:val="center"/>
          </w:tcPr>
          <w:p w14:paraId="000225C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64C48DC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1.26 </w:t>
            </w:r>
          </w:p>
        </w:tc>
        <w:tc>
          <w:tcPr>
            <w:tcW w:w="848" w:type="pct"/>
            <w:vAlign w:val="center"/>
          </w:tcPr>
          <w:p w14:paraId="5337095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851" w:type="pct"/>
            <w:vAlign w:val="center"/>
          </w:tcPr>
          <w:p w14:paraId="6C334B3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1.20 </w:t>
            </w:r>
          </w:p>
        </w:tc>
      </w:tr>
      <w:tr w14:paraId="1988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72CB4A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-20.7</w:t>
            </w:r>
          </w:p>
        </w:tc>
        <w:tc>
          <w:tcPr>
            <w:tcW w:w="704" w:type="pct"/>
            <w:shd w:val="clear" w:color="auto" w:fill="auto"/>
            <w:vAlign w:val="center"/>
          </w:tcPr>
          <w:p w14:paraId="74E57B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16m</w:t>
            </w:r>
          </w:p>
        </w:tc>
        <w:tc>
          <w:tcPr>
            <w:tcW w:w="697" w:type="pct"/>
            <w:shd w:val="clear" w:color="auto" w:fill="auto"/>
            <w:vAlign w:val="center"/>
          </w:tcPr>
          <w:p w14:paraId="4C8022F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5B862F4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1.42 </w:t>
            </w:r>
          </w:p>
        </w:tc>
        <w:tc>
          <w:tcPr>
            <w:tcW w:w="848" w:type="pct"/>
            <w:vAlign w:val="center"/>
          </w:tcPr>
          <w:p w14:paraId="1C2D73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851" w:type="pct"/>
            <w:vAlign w:val="center"/>
          </w:tcPr>
          <w:p w14:paraId="6E2173B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1.35 </w:t>
            </w:r>
          </w:p>
        </w:tc>
      </w:tr>
      <w:tr w14:paraId="45E7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1CB0331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-19.7</w:t>
            </w:r>
          </w:p>
        </w:tc>
        <w:tc>
          <w:tcPr>
            <w:tcW w:w="704" w:type="pct"/>
            <w:shd w:val="clear" w:color="auto" w:fill="auto"/>
            <w:vAlign w:val="center"/>
          </w:tcPr>
          <w:p w14:paraId="72638F8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15m</w:t>
            </w:r>
          </w:p>
        </w:tc>
        <w:tc>
          <w:tcPr>
            <w:tcW w:w="697" w:type="pct"/>
            <w:shd w:val="clear" w:color="auto" w:fill="auto"/>
            <w:vAlign w:val="center"/>
          </w:tcPr>
          <w:p w14:paraId="73CAAB5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1002" w:type="pct"/>
            <w:vAlign w:val="center"/>
          </w:tcPr>
          <w:p w14:paraId="46CBBE1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1.62 </w:t>
            </w:r>
          </w:p>
        </w:tc>
        <w:tc>
          <w:tcPr>
            <w:tcW w:w="848" w:type="pct"/>
            <w:vAlign w:val="center"/>
          </w:tcPr>
          <w:p w14:paraId="53C5AA2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851" w:type="pct"/>
            <w:vAlign w:val="center"/>
          </w:tcPr>
          <w:p w14:paraId="52A3592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 </w:t>
            </w:r>
          </w:p>
        </w:tc>
      </w:tr>
      <w:tr w14:paraId="001C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69E9B45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-18.7</w:t>
            </w:r>
          </w:p>
        </w:tc>
        <w:tc>
          <w:tcPr>
            <w:tcW w:w="704" w:type="pct"/>
            <w:shd w:val="clear" w:color="auto" w:fill="auto"/>
            <w:vAlign w:val="center"/>
          </w:tcPr>
          <w:p w14:paraId="0E4F08C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14m</w:t>
            </w:r>
          </w:p>
        </w:tc>
        <w:tc>
          <w:tcPr>
            <w:tcW w:w="697" w:type="pct"/>
            <w:shd w:val="clear" w:color="auto" w:fill="auto"/>
            <w:vAlign w:val="center"/>
          </w:tcPr>
          <w:p w14:paraId="2246D64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1002" w:type="pct"/>
            <w:vAlign w:val="center"/>
          </w:tcPr>
          <w:p w14:paraId="79B2848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1.85 </w:t>
            </w:r>
          </w:p>
        </w:tc>
        <w:tc>
          <w:tcPr>
            <w:tcW w:w="848" w:type="pct"/>
            <w:vAlign w:val="center"/>
          </w:tcPr>
          <w:p w14:paraId="36F8E5E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851" w:type="pct"/>
            <w:vAlign w:val="center"/>
          </w:tcPr>
          <w:p w14:paraId="53ECB4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1.74 </w:t>
            </w:r>
          </w:p>
        </w:tc>
      </w:tr>
      <w:tr w14:paraId="64D5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1698F7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-17.7</w:t>
            </w:r>
          </w:p>
        </w:tc>
        <w:tc>
          <w:tcPr>
            <w:tcW w:w="704" w:type="pct"/>
            <w:shd w:val="clear" w:color="auto" w:fill="auto"/>
            <w:vAlign w:val="center"/>
          </w:tcPr>
          <w:p w14:paraId="0AA36A7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13m</w:t>
            </w:r>
          </w:p>
        </w:tc>
        <w:tc>
          <w:tcPr>
            <w:tcW w:w="697" w:type="pct"/>
            <w:shd w:val="clear" w:color="auto" w:fill="auto"/>
            <w:vAlign w:val="center"/>
          </w:tcPr>
          <w:p w14:paraId="075F51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1002" w:type="pct"/>
            <w:vAlign w:val="center"/>
          </w:tcPr>
          <w:p w14:paraId="2EB07AB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2.12 </w:t>
            </w:r>
          </w:p>
        </w:tc>
        <w:tc>
          <w:tcPr>
            <w:tcW w:w="848" w:type="pct"/>
            <w:vAlign w:val="center"/>
          </w:tcPr>
          <w:p w14:paraId="757B922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851" w:type="pct"/>
            <w:vAlign w:val="center"/>
          </w:tcPr>
          <w:p w14:paraId="55298D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1.98 </w:t>
            </w:r>
          </w:p>
        </w:tc>
      </w:tr>
      <w:tr w14:paraId="5231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10814BC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-16.7</w:t>
            </w:r>
          </w:p>
        </w:tc>
        <w:tc>
          <w:tcPr>
            <w:tcW w:w="704" w:type="pct"/>
            <w:shd w:val="clear" w:color="auto" w:fill="auto"/>
            <w:vAlign w:val="center"/>
          </w:tcPr>
          <w:p w14:paraId="3A915FC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12m</w:t>
            </w:r>
          </w:p>
        </w:tc>
        <w:tc>
          <w:tcPr>
            <w:tcW w:w="697" w:type="pct"/>
            <w:shd w:val="clear" w:color="auto" w:fill="auto"/>
            <w:vAlign w:val="center"/>
          </w:tcPr>
          <w:p w14:paraId="4B74795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1002" w:type="pct"/>
            <w:vAlign w:val="center"/>
          </w:tcPr>
          <w:p w14:paraId="559E277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2.45 </w:t>
            </w:r>
          </w:p>
        </w:tc>
        <w:tc>
          <w:tcPr>
            <w:tcW w:w="848" w:type="pct"/>
            <w:vAlign w:val="center"/>
          </w:tcPr>
          <w:p w14:paraId="454914B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851" w:type="pct"/>
            <w:vAlign w:val="center"/>
          </w:tcPr>
          <w:p w14:paraId="271256E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2.27 </w:t>
            </w:r>
          </w:p>
        </w:tc>
      </w:tr>
      <w:tr w14:paraId="1539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2CD22B1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-15.7</w:t>
            </w:r>
          </w:p>
        </w:tc>
        <w:tc>
          <w:tcPr>
            <w:tcW w:w="704" w:type="pct"/>
            <w:shd w:val="clear" w:color="auto" w:fill="auto"/>
            <w:vAlign w:val="center"/>
          </w:tcPr>
          <w:p w14:paraId="5337E65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11m</w:t>
            </w:r>
          </w:p>
        </w:tc>
        <w:tc>
          <w:tcPr>
            <w:tcW w:w="697" w:type="pct"/>
            <w:shd w:val="clear" w:color="auto" w:fill="auto"/>
            <w:vAlign w:val="center"/>
          </w:tcPr>
          <w:p w14:paraId="15505F3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0.12 </w:t>
            </w:r>
          </w:p>
        </w:tc>
        <w:tc>
          <w:tcPr>
            <w:tcW w:w="1002" w:type="pct"/>
            <w:vAlign w:val="center"/>
          </w:tcPr>
          <w:p w14:paraId="4136851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2.84 </w:t>
            </w:r>
          </w:p>
        </w:tc>
        <w:tc>
          <w:tcPr>
            <w:tcW w:w="848" w:type="pct"/>
            <w:vAlign w:val="center"/>
          </w:tcPr>
          <w:p w14:paraId="2BD071A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851" w:type="pct"/>
            <w:vAlign w:val="center"/>
          </w:tcPr>
          <w:p w14:paraId="3B06C4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2.62 </w:t>
            </w:r>
          </w:p>
        </w:tc>
      </w:tr>
      <w:tr w14:paraId="5C13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3EC6CD5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-14.7</w:t>
            </w:r>
          </w:p>
        </w:tc>
        <w:tc>
          <w:tcPr>
            <w:tcW w:w="704" w:type="pct"/>
            <w:shd w:val="clear" w:color="auto" w:fill="auto"/>
            <w:vAlign w:val="center"/>
          </w:tcPr>
          <w:p w14:paraId="739E62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10m</w:t>
            </w:r>
          </w:p>
        </w:tc>
        <w:tc>
          <w:tcPr>
            <w:tcW w:w="697" w:type="pct"/>
            <w:shd w:val="clear" w:color="auto" w:fill="auto"/>
            <w:vAlign w:val="center"/>
          </w:tcPr>
          <w:p w14:paraId="6FCAA94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1002" w:type="pct"/>
            <w:vAlign w:val="center"/>
          </w:tcPr>
          <w:p w14:paraId="3A3EC59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3.32 </w:t>
            </w:r>
          </w:p>
        </w:tc>
        <w:tc>
          <w:tcPr>
            <w:tcW w:w="848" w:type="pct"/>
            <w:vAlign w:val="center"/>
          </w:tcPr>
          <w:p w14:paraId="7E7865E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0.22 </w:t>
            </w:r>
          </w:p>
        </w:tc>
        <w:tc>
          <w:tcPr>
            <w:tcW w:w="851" w:type="pct"/>
            <w:vAlign w:val="center"/>
          </w:tcPr>
          <w:p w14:paraId="5EF368F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3.03 </w:t>
            </w:r>
          </w:p>
        </w:tc>
      </w:tr>
      <w:tr w14:paraId="24CC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88862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-13.7</w:t>
            </w:r>
          </w:p>
        </w:tc>
        <w:tc>
          <w:tcPr>
            <w:tcW w:w="704" w:type="pct"/>
            <w:shd w:val="clear" w:color="auto" w:fill="auto"/>
            <w:vAlign w:val="center"/>
          </w:tcPr>
          <w:p w14:paraId="3882D3A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9m</w:t>
            </w:r>
          </w:p>
        </w:tc>
        <w:tc>
          <w:tcPr>
            <w:tcW w:w="697" w:type="pct"/>
            <w:shd w:val="clear" w:color="auto" w:fill="auto"/>
            <w:vAlign w:val="center"/>
          </w:tcPr>
          <w:p w14:paraId="440B9DD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0.26 </w:t>
            </w:r>
          </w:p>
        </w:tc>
        <w:tc>
          <w:tcPr>
            <w:tcW w:w="1002" w:type="pct"/>
            <w:vAlign w:val="center"/>
          </w:tcPr>
          <w:p w14:paraId="14B240F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3.90 </w:t>
            </w:r>
          </w:p>
        </w:tc>
        <w:tc>
          <w:tcPr>
            <w:tcW w:w="848" w:type="pct"/>
            <w:vAlign w:val="center"/>
          </w:tcPr>
          <w:p w14:paraId="3DA3E5B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0.29 </w:t>
            </w:r>
          </w:p>
        </w:tc>
        <w:tc>
          <w:tcPr>
            <w:tcW w:w="851" w:type="pct"/>
            <w:vAlign w:val="center"/>
          </w:tcPr>
          <w:p w14:paraId="2FE0EB6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3.52 </w:t>
            </w:r>
          </w:p>
        </w:tc>
      </w:tr>
      <w:tr w14:paraId="3C54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35E0220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-12.7</w:t>
            </w:r>
          </w:p>
        </w:tc>
        <w:tc>
          <w:tcPr>
            <w:tcW w:w="704" w:type="pct"/>
            <w:shd w:val="clear" w:color="auto" w:fill="auto"/>
            <w:vAlign w:val="center"/>
          </w:tcPr>
          <w:p w14:paraId="51BCE91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8m</w:t>
            </w:r>
          </w:p>
        </w:tc>
        <w:tc>
          <w:tcPr>
            <w:tcW w:w="697" w:type="pct"/>
            <w:shd w:val="clear" w:color="auto" w:fill="auto"/>
            <w:vAlign w:val="center"/>
          </w:tcPr>
          <w:p w14:paraId="78E8EB0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0.37 </w:t>
            </w:r>
          </w:p>
        </w:tc>
        <w:tc>
          <w:tcPr>
            <w:tcW w:w="1002" w:type="pct"/>
            <w:vAlign w:val="center"/>
          </w:tcPr>
          <w:p w14:paraId="0E37720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4.61 </w:t>
            </w:r>
          </w:p>
        </w:tc>
        <w:tc>
          <w:tcPr>
            <w:tcW w:w="848" w:type="pct"/>
            <w:vAlign w:val="center"/>
          </w:tcPr>
          <w:p w14:paraId="1C4B1D5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0.39 </w:t>
            </w:r>
          </w:p>
        </w:tc>
        <w:tc>
          <w:tcPr>
            <w:tcW w:w="851" w:type="pct"/>
            <w:vAlign w:val="center"/>
          </w:tcPr>
          <w:p w14:paraId="3C42CB9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4.10 </w:t>
            </w:r>
          </w:p>
        </w:tc>
      </w:tr>
      <w:tr w14:paraId="6206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6C42C88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-11.7</w:t>
            </w:r>
          </w:p>
        </w:tc>
        <w:tc>
          <w:tcPr>
            <w:tcW w:w="704" w:type="pct"/>
            <w:shd w:val="clear" w:color="auto" w:fill="auto"/>
            <w:vAlign w:val="center"/>
          </w:tcPr>
          <w:p w14:paraId="37AF865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7m</w:t>
            </w:r>
          </w:p>
        </w:tc>
        <w:tc>
          <w:tcPr>
            <w:tcW w:w="697" w:type="pct"/>
            <w:shd w:val="clear" w:color="auto" w:fill="auto"/>
            <w:vAlign w:val="center"/>
          </w:tcPr>
          <w:p w14:paraId="107BDF7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0.51 </w:t>
            </w:r>
          </w:p>
        </w:tc>
        <w:tc>
          <w:tcPr>
            <w:tcW w:w="1002" w:type="pct"/>
            <w:vAlign w:val="center"/>
          </w:tcPr>
          <w:p w14:paraId="502435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5.49 </w:t>
            </w:r>
          </w:p>
        </w:tc>
        <w:tc>
          <w:tcPr>
            <w:tcW w:w="848" w:type="pct"/>
            <w:vAlign w:val="center"/>
          </w:tcPr>
          <w:p w14:paraId="79F035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0.52 </w:t>
            </w:r>
          </w:p>
        </w:tc>
        <w:tc>
          <w:tcPr>
            <w:tcW w:w="851" w:type="pct"/>
            <w:vAlign w:val="center"/>
          </w:tcPr>
          <w:p w14:paraId="3767ABC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4.81 </w:t>
            </w:r>
          </w:p>
        </w:tc>
      </w:tr>
      <w:tr w14:paraId="0CCD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311466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-10.7</w:t>
            </w:r>
          </w:p>
        </w:tc>
        <w:tc>
          <w:tcPr>
            <w:tcW w:w="704" w:type="pct"/>
            <w:shd w:val="clear" w:color="auto" w:fill="auto"/>
            <w:vAlign w:val="center"/>
          </w:tcPr>
          <w:p w14:paraId="278DA34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6m</w:t>
            </w:r>
          </w:p>
        </w:tc>
        <w:tc>
          <w:tcPr>
            <w:tcW w:w="697" w:type="pct"/>
            <w:shd w:val="clear" w:color="auto" w:fill="auto"/>
            <w:vAlign w:val="center"/>
          </w:tcPr>
          <w:p w14:paraId="7F0BCB9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c>
          <w:tcPr>
            <w:tcW w:w="1002" w:type="pct"/>
            <w:vAlign w:val="center"/>
          </w:tcPr>
          <w:p w14:paraId="1AEC693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6.56 </w:t>
            </w:r>
          </w:p>
        </w:tc>
        <w:tc>
          <w:tcPr>
            <w:tcW w:w="848" w:type="pct"/>
            <w:vAlign w:val="center"/>
          </w:tcPr>
          <w:p w14:paraId="1336651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0.67 </w:t>
            </w:r>
          </w:p>
        </w:tc>
        <w:tc>
          <w:tcPr>
            <w:tcW w:w="851" w:type="pct"/>
            <w:vAlign w:val="center"/>
          </w:tcPr>
          <w:p w14:paraId="4ED4DDD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5.64 </w:t>
            </w:r>
          </w:p>
        </w:tc>
      </w:tr>
      <w:tr w14:paraId="5236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56B6320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-9.7</w:t>
            </w:r>
          </w:p>
        </w:tc>
        <w:tc>
          <w:tcPr>
            <w:tcW w:w="704" w:type="pct"/>
            <w:shd w:val="clear" w:color="auto" w:fill="auto"/>
            <w:vAlign w:val="center"/>
          </w:tcPr>
          <w:p w14:paraId="2C95C41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5m</w:t>
            </w:r>
          </w:p>
        </w:tc>
        <w:tc>
          <w:tcPr>
            <w:tcW w:w="697" w:type="pct"/>
            <w:shd w:val="clear" w:color="auto" w:fill="auto"/>
            <w:vAlign w:val="center"/>
          </w:tcPr>
          <w:p w14:paraId="6A6FB55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0.93 </w:t>
            </w:r>
          </w:p>
        </w:tc>
        <w:tc>
          <w:tcPr>
            <w:tcW w:w="1002" w:type="pct"/>
            <w:vAlign w:val="center"/>
          </w:tcPr>
          <w:p w14:paraId="457A229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7.88 </w:t>
            </w:r>
          </w:p>
        </w:tc>
        <w:tc>
          <w:tcPr>
            <w:tcW w:w="848" w:type="pct"/>
            <w:vAlign w:val="center"/>
          </w:tcPr>
          <w:p w14:paraId="510E77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0.86 </w:t>
            </w:r>
          </w:p>
        </w:tc>
        <w:tc>
          <w:tcPr>
            <w:tcW w:w="851" w:type="pct"/>
            <w:vAlign w:val="center"/>
          </w:tcPr>
          <w:p w14:paraId="2B349D4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6.63 </w:t>
            </w:r>
          </w:p>
        </w:tc>
      </w:tr>
      <w:tr w14:paraId="0FEB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4F83F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-8.7</w:t>
            </w:r>
          </w:p>
        </w:tc>
        <w:tc>
          <w:tcPr>
            <w:tcW w:w="704" w:type="pct"/>
            <w:shd w:val="clear" w:color="auto" w:fill="auto"/>
            <w:vAlign w:val="center"/>
          </w:tcPr>
          <w:p w14:paraId="6CFDB7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4m</w:t>
            </w:r>
          </w:p>
        </w:tc>
        <w:tc>
          <w:tcPr>
            <w:tcW w:w="697" w:type="pct"/>
            <w:shd w:val="clear" w:color="auto" w:fill="auto"/>
            <w:vAlign w:val="center"/>
          </w:tcPr>
          <w:p w14:paraId="52BCA2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1.22 </w:t>
            </w:r>
          </w:p>
        </w:tc>
        <w:tc>
          <w:tcPr>
            <w:tcW w:w="1002" w:type="pct"/>
            <w:vAlign w:val="center"/>
          </w:tcPr>
          <w:p w14:paraId="3E21F6A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9.48 </w:t>
            </w:r>
          </w:p>
        </w:tc>
        <w:tc>
          <w:tcPr>
            <w:tcW w:w="848" w:type="pct"/>
            <w:vAlign w:val="center"/>
          </w:tcPr>
          <w:p w14:paraId="0CA8A71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1.06 </w:t>
            </w:r>
          </w:p>
        </w:tc>
        <w:tc>
          <w:tcPr>
            <w:tcW w:w="851" w:type="pct"/>
            <w:vAlign w:val="center"/>
          </w:tcPr>
          <w:p w14:paraId="3AB278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7.77 </w:t>
            </w:r>
          </w:p>
        </w:tc>
      </w:tr>
      <w:tr w14:paraId="1BC2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1404FB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-7.7</w:t>
            </w:r>
          </w:p>
        </w:tc>
        <w:tc>
          <w:tcPr>
            <w:tcW w:w="704" w:type="pct"/>
            <w:shd w:val="clear" w:color="auto" w:fill="auto"/>
            <w:vAlign w:val="center"/>
          </w:tcPr>
          <w:p w14:paraId="4FC86F1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3m</w:t>
            </w:r>
          </w:p>
        </w:tc>
        <w:tc>
          <w:tcPr>
            <w:tcW w:w="697" w:type="pct"/>
            <w:shd w:val="clear" w:color="auto" w:fill="auto"/>
            <w:vAlign w:val="center"/>
          </w:tcPr>
          <w:p w14:paraId="419DACD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1.54 </w:t>
            </w:r>
          </w:p>
        </w:tc>
        <w:tc>
          <w:tcPr>
            <w:tcW w:w="1002" w:type="pct"/>
            <w:vAlign w:val="center"/>
          </w:tcPr>
          <w:p w14:paraId="577D1BD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11.34 </w:t>
            </w:r>
          </w:p>
        </w:tc>
        <w:tc>
          <w:tcPr>
            <w:tcW w:w="848" w:type="pct"/>
            <w:vAlign w:val="center"/>
          </w:tcPr>
          <w:p w14:paraId="302ECF0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1.28 </w:t>
            </w:r>
          </w:p>
        </w:tc>
        <w:tc>
          <w:tcPr>
            <w:tcW w:w="851" w:type="pct"/>
            <w:vAlign w:val="center"/>
          </w:tcPr>
          <w:p w14:paraId="6FD4074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9.04 </w:t>
            </w:r>
          </w:p>
        </w:tc>
      </w:tr>
      <w:tr w14:paraId="54C0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0349BC5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-6.7</w:t>
            </w:r>
          </w:p>
        </w:tc>
        <w:tc>
          <w:tcPr>
            <w:tcW w:w="704" w:type="pct"/>
            <w:shd w:val="clear" w:color="auto" w:fill="auto"/>
            <w:vAlign w:val="center"/>
          </w:tcPr>
          <w:p w14:paraId="032AECB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2m</w:t>
            </w:r>
          </w:p>
        </w:tc>
        <w:tc>
          <w:tcPr>
            <w:tcW w:w="697" w:type="pct"/>
            <w:shd w:val="clear" w:color="auto" w:fill="auto"/>
            <w:vAlign w:val="center"/>
          </w:tcPr>
          <w:p w14:paraId="7B0E5EF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1.86 </w:t>
            </w:r>
          </w:p>
        </w:tc>
        <w:tc>
          <w:tcPr>
            <w:tcW w:w="1002" w:type="pct"/>
            <w:vAlign w:val="center"/>
          </w:tcPr>
          <w:p w14:paraId="0A1CE09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13.39 </w:t>
            </w:r>
          </w:p>
        </w:tc>
        <w:tc>
          <w:tcPr>
            <w:tcW w:w="848" w:type="pct"/>
            <w:vAlign w:val="center"/>
          </w:tcPr>
          <w:p w14:paraId="3131182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1.46 </w:t>
            </w:r>
          </w:p>
        </w:tc>
        <w:tc>
          <w:tcPr>
            <w:tcW w:w="851" w:type="pct"/>
            <w:vAlign w:val="center"/>
          </w:tcPr>
          <w:p w14:paraId="2D0E206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10.37 </w:t>
            </w:r>
          </w:p>
        </w:tc>
      </w:tr>
      <w:tr w14:paraId="7F0B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54CCCC3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-5.7</w:t>
            </w:r>
          </w:p>
        </w:tc>
        <w:tc>
          <w:tcPr>
            <w:tcW w:w="704" w:type="pct"/>
            <w:shd w:val="clear" w:color="auto" w:fill="auto"/>
            <w:vAlign w:val="center"/>
          </w:tcPr>
          <w:p w14:paraId="2D10B9E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1m</w:t>
            </w:r>
          </w:p>
        </w:tc>
        <w:tc>
          <w:tcPr>
            <w:tcW w:w="697" w:type="pct"/>
            <w:shd w:val="clear" w:color="auto" w:fill="auto"/>
            <w:vAlign w:val="center"/>
          </w:tcPr>
          <w:p w14:paraId="009030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 </w:t>
            </w:r>
          </w:p>
        </w:tc>
        <w:tc>
          <w:tcPr>
            <w:tcW w:w="1002" w:type="pct"/>
            <w:vAlign w:val="center"/>
          </w:tcPr>
          <w:p w14:paraId="1A80D1D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15.38 </w:t>
            </w:r>
          </w:p>
        </w:tc>
        <w:tc>
          <w:tcPr>
            <w:tcW w:w="848" w:type="pct"/>
            <w:vAlign w:val="center"/>
          </w:tcPr>
          <w:p w14:paraId="554A62B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1.58 </w:t>
            </w:r>
          </w:p>
        </w:tc>
        <w:tc>
          <w:tcPr>
            <w:tcW w:w="851" w:type="pct"/>
            <w:vAlign w:val="center"/>
          </w:tcPr>
          <w:p w14:paraId="495477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11.64 </w:t>
            </w:r>
          </w:p>
        </w:tc>
      </w:tr>
      <w:tr w14:paraId="1F4A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41680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-4.7</w:t>
            </w:r>
          </w:p>
        </w:tc>
        <w:tc>
          <w:tcPr>
            <w:tcW w:w="704" w:type="pct"/>
            <w:shd w:val="clear" w:color="auto" w:fill="auto"/>
            <w:vAlign w:val="center"/>
          </w:tcPr>
          <w:p w14:paraId="628382A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边导线下</w:t>
            </w:r>
          </w:p>
        </w:tc>
        <w:tc>
          <w:tcPr>
            <w:tcW w:w="697" w:type="pct"/>
            <w:shd w:val="clear" w:color="auto" w:fill="auto"/>
            <w:vAlign w:val="center"/>
          </w:tcPr>
          <w:p w14:paraId="4619BC4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2.13 </w:t>
            </w:r>
          </w:p>
        </w:tc>
        <w:tc>
          <w:tcPr>
            <w:tcW w:w="1002" w:type="pct"/>
            <w:vAlign w:val="center"/>
          </w:tcPr>
          <w:p w14:paraId="787A0C1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16.98 </w:t>
            </w:r>
          </w:p>
        </w:tc>
        <w:tc>
          <w:tcPr>
            <w:tcW w:w="848" w:type="pct"/>
            <w:vAlign w:val="center"/>
          </w:tcPr>
          <w:p w14:paraId="43E530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1.57 </w:t>
            </w:r>
          </w:p>
        </w:tc>
        <w:tc>
          <w:tcPr>
            <w:tcW w:w="851" w:type="pct"/>
            <w:vAlign w:val="center"/>
          </w:tcPr>
          <w:p w14:paraId="1855BF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12.71 </w:t>
            </w:r>
          </w:p>
        </w:tc>
      </w:tr>
      <w:tr w14:paraId="1948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D81AE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w:t>
            </w:r>
          </w:p>
        </w:tc>
        <w:tc>
          <w:tcPr>
            <w:tcW w:w="704" w:type="pct"/>
            <w:vMerge w:val="restart"/>
            <w:shd w:val="clear" w:color="auto" w:fill="auto"/>
            <w:vAlign w:val="center"/>
          </w:tcPr>
          <w:p w14:paraId="7BCF0FD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边导线内</w:t>
            </w:r>
          </w:p>
        </w:tc>
        <w:tc>
          <w:tcPr>
            <w:tcW w:w="697" w:type="pct"/>
            <w:shd w:val="clear" w:color="auto" w:fill="auto"/>
            <w:vAlign w:val="center"/>
          </w:tcPr>
          <w:p w14:paraId="5DFB925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2.03 </w:t>
            </w:r>
          </w:p>
        </w:tc>
        <w:tc>
          <w:tcPr>
            <w:tcW w:w="1002" w:type="pct"/>
            <w:vAlign w:val="center"/>
          </w:tcPr>
          <w:p w14:paraId="583819F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17.73 </w:t>
            </w:r>
          </w:p>
        </w:tc>
        <w:tc>
          <w:tcPr>
            <w:tcW w:w="848" w:type="pct"/>
            <w:vAlign w:val="center"/>
          </w:tcPr>
          <w:p w14:paraId="0B57A60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1.50 </w:t>
            </w:r>
          </w:p>
        </w:tc>
        <w:tc>
          <w:tcPr>
            <w:tcW w:w="851" w:type="pct"/>
            <w:vAlign w:val="center"/>
          </w:tcPr>
          <w:p w14:paraId="7C30E3E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13.28 </w:t>
            </w:r>
          </w:p>
        </w:tc>
      </w:tr>
      <w:tr w14:paraId="7A26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36BF4B8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w:t>
            </w:r>
          </w:p>
        </w:tc>
        <w:tc>
          <w:tcPr>
            <w:tcW w:w="704" w:type="pct"/>
            <w:vMerge w:val="continue"/>
            <w:shd w:val="clear" w:color="auto" w:fill="auto"/>
            <w:vAlign w:val="bottom"/>
          </w:tcPr>
          <w:p w14:paraId="19B842C4">
            <w:pPr>
              <w:jc w:val="center"/>
              <w:rPr>
                <w:color w:val="000000"/>
                <w:szCs w:val="21"/>
              </w:rPr>
            </w:pPr>
          </w:p>
        </w:tc>
        <w:tc>
          <w:tcPr>
            <w:tcW w:w="697" w:type="pct"/>
            <w:shd w:val="clear" w:color="auto" w:fill="auto"/>
            <w:vAlign w:val="center"/>
          </w:tcPr>
          <w:p w14:paraId="355E005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1.72 </w:t>
            </w:r>
          </w:p>
        </w:tc>
        <w:tc>
          <w:tcPr>
            <w:tcW w:w="1002" w:type="pct"/>
            <w:vAlign w:val="center"/>
          </w:tcPr>
          <w:p w14:paraId="74D45FD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18.26 </w:t>
            </w:r>
          </w:p>
        </w:tc>
        <w:tc>
          <w:tcPr>
            <w:tcW w:w="848" w:type="pct"/>
            <w:vAlign w:val="center"/>
          </w:tcPr>
          <w:p w14:paraId="5BA055D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1.29 </w:t>
            </w:r>
          </w:p>
        </w:tc>
        <w:tc>
          <w:tcPr>
            <w:tcW w:w="851" w:type="pct"/>
            <w:vAlign w:val="center"/>
          </w:tcPr>
          <w:p w14:paraId="6C29F46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13.82 </w:t>
            </w:r>
          </w:p>
        </w:tc>
      </w:tr>
      <w:tr w14:paraId="7720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47BF394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w:t>
            </w:r>
          </w:p>
        </w:tc>
        <w:tc>
          <w:tcPr>
            <w:tcW w:w="704" w:type="pct"/>
            <w:vMerge w:val="continue"/>
            <w:shd w:val="clear" w:color="auto" w:fill="auto"/>
            <w:vAlign w:val="bottom"/>
          </w:tcPr>
          <w:p w14:paraId="1BAC2F83">
            <w:pPr>
              <w:jc w:val="center"/>
              <w:rPr>
                <w:color w:val="000000"/>
                <w:szCs w:val="21"/>
              </w:rPr>
            </w:pPr>
          </w:p>
        </w:tc>
        <w:tc>
          <w:tcPr>
            <w:tcW w:w="697" w:type="pct"/>
            <w:shd w:val="clear" w:color="auto" w:fill="auto"/>
            <w:vAlign w:val="center"/>
          </w:tcPr>
          <w:p w14:paraId="1AFE65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 </w:t>
            </w:r>
          </w:p>
        </w:tc>
        <w:tc>
          <w:tcPr>
            <w:tcW w:w="1002" w:type="pct"/>
            <w:vAlign w:val="center"/>
          </w:tcPr>
          <w:p w14:paraId="3DF99AB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18.37 </w:t>
            </w:r>
          </w:p>
        </w:tc>
        <w:tc>
          <w:tcPr>
            <w:tcW w:w="848" w:type="pct"/>
            <w:vAlign w:val="center"/>
          </w:tcPr>
          <w:p w14:paraId="6B2838C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1.03 </w:t>
            </w:r>
          </w:p>
        </w:tc>
        <w:tc>
          <w:tcPr>
            <w:tcW w:w="851" w:type="pct"/>
            <w:vAlign w:val="center"/>
          </w:tcPr>
          <w:p w14:paraId="2F47C09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14.10 </w:t>
            </w:r>
          </w:p>
        </w:tc>
      </w:tr>
      <w:tr w14:paraId="4C82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52CD5C0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w:t>
            </w:r>
          </w:p>
        </w:tc>
        <w:tc>
          <w:tcPr>
            <w:tcW w:w="704" w:type="pct"/>
            <w:vMerge w:val="continue"/>
            <w:shd w:val="clear" w:color="auto" w:fill="auto"/>
            <w:vAlign w:val="bottom"/>
          </w:tcPr>
          <w:p w14:paraId="525341E7">
            <w:pPr>
              <w:jc w:val="center"/>
              <w:rPr>
                <w:color w:val="000000"/>
                <w:szCs w:val="21"/>
              </w:rPr>
            </w:pPr>
          </w:p>
        </w:tc>
        <w:tc>
          <w:tcPr>
            <w:tcW w:w="697" w:type="pct"/>
            <w:shd w:val="clear" w:color="auto" w:fill="auto"/>
            <w:vAlign w:val="center"/>
          </w:tcPr>
          <w:p w14:paraId="60544A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1.01 </w:t>
            </w:r>
          </w:p>
        </w:tc>
        <w:tc>
          <w:tcPr>
            <w:tcW w:w="1002" w:type="pct"/>
            <w:vAlign w:val="center"/>
          </w:tcPr>
          <w:p w14:paraId="258A0D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18.33 </w:t>
            </w:r>
          </w:p>
        </w:tc>
        <w:tc>
          <w:tcPr>
            <w:tcW w:w="848" w:type="pct"/>
            <w:vAlign w:val="center"/>
          </w:tcPr>
          <w:p w14:paraId="332896D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0.81 </w:t>
            </w:r>
          </w:p>
        </w:tc>
        <w:tc>
          <w:tcPr>
            <w:tcW w:w="851" w:type="pct"/>
            <w:vAlign w:val="center"/>
          </w:tcPr>
          <w:p w14:paraId="5F9A0062">
            <w:pPr>
              <w:keepNext w:val="0"/>
              <w:keepLines w:val="0"/>
              <w:widowControl/>
              <w:suppressLineNumbers w:val="0"/>
              <w:jc w:val="center"/>
              <w:textAlignment w:val="center"/>
              <w:rPr>
                <w:rFonts w:hint="eastAsia" w:ascii="Times New Roman" w:hAnsi="Times New Roman" w:eastAsia="宋体" w:cs="宋体"/>
                <w:b/>
                <w:bCs/>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14.21 </w:t>
            </w:r>
          </w:p>
        </w:tc>
      </w:tr>
      <w:tr w14:paraId="07EF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3C661C6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w:t>
            </w:r>
          </w:p>
        </w:tc>
        <w:tc>
          <w:tcPr>
            <w:tcW w:w="704" w:type="pct"/>
            <w:vMerge w:val="continue"/>
            <w:shd w:val="clear" w:color="auto" w:fill="auto"/>
            <w:vAlign w:val="bottom"/>
          </w:tcPr>
          <w:p w14:paraId="49326F9B">
            <w:pPr>
              <w:jc w:val="center"/>
              <w:rPr>
                <w:color w:val="000000"/>
                <w:szCs w:val="21"/>
              </w:rPr>
            </w:pPr>
          </w:p>
        </w:tc>
        <w:tc>
          <w:tcPr>
            <w:tcW w:w="697" w:type="pct"/>
            <w:shd w:val="clear" w:color="auto" w:fill="auto"/>
            <w:vAlign w:val="center"/>
          </w:tcPr>
          <w:p w14:paraId="2F8BADF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c>
          <w:tcPr>
            <w:tcW w:w="1002" w:type="pct"/>
            <w:vAlign w:val="center"/>
          </w:tcPr>
          <w:p w14:paraId="528F7B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18.33 </w:t>
            </w:r>
          </w:p>
        </w:tc>
        <w:tc>
          <w:tcPr>
            <w:tcW w:w="848" w:type="pct"/>
            <w:vAlign w:val="center"/>
          </w:tcPr>
          <w:p w14:paraId="2373373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0.79 </w:t>
            </w:r>
          </w:p>
        </w:tc>
        <w:tc>
          <w:tcPr>
            <w:tcW w:w="851" w:type="pct"/>
            <w:vAlign w:val="center"/>
          </w:tcPr>
          <w:p w14:paraId="18A890AB">
            <w:pPr>
              <w:keepNext w:val="0"/>
              <w:keepLines w:val="0"/>
              <w:widowControl/>
              <w:suppressLineNumbers w:val="0"/>
              <w:jc w:val="center"/>
              <w:textAlignment w:val="center"/>
              <w:rPr>
                <w:rFonts w:hint="eastAsia" w:ascii="Times New Roman" w:hAnsi="Times New Roman" w:eastAsia="宋体" w:cs="宋体"/>
                <w:b/>
                <w:bCs/>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14.21 </w:t>
            </w:r>
          </w:p>
        </w:tc>
      </w:tr>
      <w:tr w14:paraId="51AF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742DA72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w:t>
            </w:r>
          </w:p>
        </w:tc>
        <w:tc>
          <w:tcPr>
            <w:tcW w:w="704" w:type="pct"/>
            <w:vMerge w:val="continue"/>
            <w:shd w:val="clear" w:color="auto" w:fill="auto"/>
            <w:vAlign w:val="bottom"/>
          </w:tcPr>
          <w:p w14:paraId="39CA9E38">
            <w:pPr>
              <w:jc w:val="center"/>
              <w:rPr>
                <w:color w:val="000000"/>
                <w:szCs w:val="21"/>
              </w:rPr>
            </w:pPr>
          </w:p>
        </w:tc>
        <w:tc>
          <w:tcPr>
            <w:tcW w:w="697" w:type="pct"/>
            <w:shd w:val="clear" w:color="auto" w:fill="auto"/>
            <w:vAlign w:val="center"/>
          </w:tcPr>
          <w:p w14:paraId="443ADD5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1.26 </w:t>
            </w:r>
          </w:p>
        </w:tc>
        <w:tc>
          <w:tcPr>
            <w:tcW w:w="1002" w:type="pct"/>
            <w:vAlign w:val="center"/>
          </w:tcPr>
          <w:p w14:paraId="4C698D1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18.37 </w:t>
            </w:r>
          </w:p>
        </w:tc>
        <w:tc>
          <w:tcPr>
            <w:tcW w:w="848" w:type="pct"/>
            <w:vAlign w:val="center"/>
          </w:tcPr>
          <w:p w14:paraId="490978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0.98 </w:t>
            </w:r>
          </w:p>
        </w:tc>
        <w:tc>
          <w:tcPr>
            <w:tcW w:w="851" w:type="pct"/>
            <w:vAlign w:val="center"/>
          </w:tcPr>
          <w:p w14:paraId="66D0064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14.13 </w:t>
            </w:r>
          </w:p>
        </w:tc>
      </w:tr>
      <w:tr w14:paraId="2386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5603822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w:t>
            </w:r>
          </w:p>
        </w:tc>
        <w:tc>
          <w:tcPr>
            <w:tcW w:w="704" w:type="pct"/>
            <w:vMerge w:val="continue"/>
            <w:shd w:val="clear" w:color="auto" w:fill="auto"/>
            <w:vAlign w:val="bottom"/>
          </w:tcPr>
          <w:p w14:paraId="05E0F94C">
            <w:pPr>
              <w:jc w:val="center"/>
              <w:rPr>
                <w:color w:val="000000"/>
                <w:szCs w:val="21"/>
              </w:rPr>
            </w:pPr>
          </w:p>
        </w:tc>
        <w:tc>
          <w:tcPr>
            <w:tcW w:w="697" w:type="pct"/>
            <w:shd w:val="clear" w:color="auto" w:fill="auto"/>
            <w:vAlign w:val="center"/>
          </w:tcPr>
          <w:p w14:paraId="4913171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1.65 </w:t>
            </w:r>
          </w:p>
        </w:tc>
        <w:tc>
          <w:tcPr>
            <w:tcW w:w="1002" w:type="pct"/>
            <w:vAlign w:val="center"/>
          </w:tcPr>
          <w:p w14:paraId="5AD6689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18.31 </w:t>
            </w:r>
          </w:p>
        </w:tc>
        <w:tc>
          <w:tcPr>
            <w:tcW w:w="848" w:type="pct"/>
            <w:vAlign w:val="center"/>
          </w:tcPr>
          <w:p w14:paraId="2918AA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1.24 </w:t>
            </w:r>
          </w:p>
        </w:tc>
        <w:tc>
          <w:tcPr>
            <w:tcW w:w="851" w:type="pct"/>
            <w:vAlign w:val="center"/>
          </w:tcPr>
          <w:p w14:paraId="5FDB097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13.89 </w:t>
            </w:r>
          </w:p>
        </w:tc>
      </w:tr>
      <w:tr w14:paraId="2F0F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6292BFE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w:t>
            </w:r>
          </w:p>
        </w:tc>
        <w:tc>
          <w:tcPr>
            <w:tcW w:w="704" w:type="pct"/>
            <w:vMerge w:val="continue"/>
            <w:shd w:val="clear" w:color="auto" w:fill="auto"/>
            <w:vAlign w:val="bottom"/>
          </w:tcPr>
          <w:p w14:paraId="12F46795">
            <w:pPr>
              <w:jc w:val="center"/>
              <w:rPr>
                <w:color w:val="000000"/>
                <w:szCs w:val="21"/>
              </w:rPr>
            </w:pPr>
          </w:p>
        </w:tc>
        <w:tc>
          <w:tcPr>
            <w:tcW w:w="697" w:type="pct"/>
            <w:shd w:val="clear" w:color="auto" w:fill="auto"/>
            <w:vAlign w:val="center"/>
          </w:tcPr>
          <w:p w14:paraId="5F8BE72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1.98 </w:t>
            </w:r>
          </w:p>
        </w:tc>
        <w:tc>
          <w:tcPr>
            <w:tcW w:w="1002" w:type="pct"/>
            <w:vAlign w:val="center"/>
          </w:tcPr>
          <w:p w14:paraId="127FD0C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17.88 </w:t>
            </w:r>
          </w:p>
        </w:tc>
        <w:tc>
          <w:tcPr>
            <w:tcW w:w="848" w:type="pct"/>
            <w:vAlign w:val="center"/>
          </w:tcPr>
          <w:p w14:paraId="3DE77ED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1.46 </w:t>
            </w:r>
          </w:p>
        </w:tc>
        <w:tc>
          <w:tcPr>
            <w:tcW w:w="851" w:type="pct"/>
            <w:vAlign w:val="center"/>
          </w:tcPr>
          <w:p w14:paraId="55CE469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13.41 </w:t>
            </w:r>
          </w:p>
        </w:tc>
      </w:tr>
      <w:tr w14:paraId="48D1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64AFEAB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3.9</w:t>
            </w:r>
          </w:p>
        </w:tc>
        <w:tc>
          <w:tcPr>
            <w:tcW w:w="704" w:type="pct"/>
            <w:shd w:val="clear" w:color="auto" w:fill="auto"/>
            <w:vAlign w:val="center"/>
          </w:tcPr>
          <w:p w14:paraId="1C036C5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边导线下</w:t>
            </w:r>
          </w:p>
        </w:tc>
        <w:tc>
          <w:tcPr>
            <w:tcW w:w="697" w:type="pct"/>
            <w:shd w:val="clear" w:color="auto" w:fill="auto"/>
            <w:vAlign w:val="center"/>
          </w:tcPr>
          <w:p w14:paraId="6296BF6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2.13 </w:t>
            </w:r>
          </w:p>
        </w:tc>
        <w:tc>
          <w:tcPr>
            <w:tcW w:w="1002" w:type="pct"/>
            <w:vAlign w:val="center"/>
          </w:tcPr>
          <w:p w14:paraId="0A80C59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16.98 </w:t>
            </w:r>
          </w:p>
        </w:tc>
        <w:tc>
          <w:tcPr>
            <w:tcW w:w="848" w:type="pct"/>
            <w:vAlign w:val="center"/>
          </w:tcPr>
          <w:p w14:paraId="25A79A6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1.57 </w:t>
            </w:r>
          </w:p>
        </w:tc>
        <w:tc>
          <w:tcPr>
            <w:tcW w:w="851" w:type="pct"/>
            <w:vAlign w:val="center"/>
          </w:tcPr>
          <w:p w14:paraId="7A30086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12.71 </w:t>
            </w:r>
          </w:p>
        </w:tc>
      </w:tr>
      <w:tr w14:paraId="4E1A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shd w:val="clear" w:color="auto" w:fill="auto"/>
            <w:vAlign w:val="center"/>
          </w:tcPr>
          <w:p w14:paraId="78C8092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4.9</w:t>
            </w:r>
          </w:p>
        </w:tc>
        <w:tc>
          <w:tcPr>
            <w:tcW w:w="704" w:type="pct"/>
            <w:shd w:val="clear" w:color="auto" w:fill="auto"/>
            <w:vAlign w:val="center"/>
          </w:tcPr>
          <w:p w14:paraId="768E3C8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1m</w:t>
            </w:r>
          </w:p>
        </w:tc>
        <w:tc>
          <w:tcPr>
            <w:tcW w:w="697" w:type="pct"/>
            <w:shd w:val="clear" w:color="auto" w:fill="auto"/>
            <w:vAlign w:val="center"/>
          </w:tcPr>
          <w:p w14:paraId="639CBB3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2.08 </w:t>
            </w:r>
          </w:p>
        </w:tc>
        <w:tc>
          <w:tcPr>
            <w:tcW w:w="1002" w:type="pct"/>
            <w:vAlign w:val="center"/>
          </w:tcPr>
          <w:p w14:paraId="175AEB4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15.38 </w:t>
            </w:r>
          </w:p>
        </w:tc>
        <w:tc>
          <w:tcPr>
            <w:tcW w:w="848" w:type="pct"/>
            <w:vAlign w:val="center"/>
          </w:tcPr>
          <w:p w14:paraId="368892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b/>
                <w:bCs/>
                <w:i w:val="0"/>
                <w:iCs w:val="0"/>
                <w:color w:val="000000"/>
                <w:kern w:val="0"/>
                <w:sz w:val="21"/>
                <w:szCs w:val="21"/>
                <w:u w:val="none"/>
                <w:lang w:val="en-US" w:eastAsia="zh-CN" w:bidi="ar"/>
              </w:rPr>
              <w:t xml:space="preserve">1.58 </w:t>
            </w:r>
          </w:p>
        </w:tc>
        <w:tc>
          <w:tcPr>
            <w:tcW w:w="851" w:type="pct"/>
            <w:vAlign w:val="center"/>
          </w:tcPr>
          <w:p w14:paraId="54A843C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11.64 </w:t>
            </w:r>
          </w:p>
        </w:tc>
      </w:tr>
      <w:tr w14:paraId="3FA3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6FF3415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5.9</w:t>
            </w:r>
          </w:p>
        </w:tc>
        <w:tc>
          <w:tcPr>
            <w:tcW w:w="704" w:type="pct"/>
            <w:vAlign w:val="center"/>
          </w:tcPr>
          <w:p w14:paraId="5897B03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2m</w:t>
            </w:r>
          </w:p>
        </w:tc>
        <w:tc>
          <w:tcPr>
            <w:tcW w:w="697" w:type="pct"/>
            <w:vAlign w:val="center"/>
          </w:tcPr>
          <w:p w14:paraId="5021635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1.86 </w:t>
            </w:r>
          </w:p>
        </w:tc>
        <w:tc>
          <w:tcPr>
            <w:tcW w:w="0" w:type="auto"/>
            <w:vAlign w:val="center"/>
          </w:tcPr>
          <w:p w14:paraId="4AE5724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13.39 </w:t>
            </w:r>
          </w:p>
        </w:tc>
        <w:tc>
          <w:tcPr>
            <w:tcW w:w="0" w:type="auto"/>
            <w:vAlign w:val="center"/>
          </w:tcPr>
          <w:p w14:paraId="2A51FFE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1.46 </w:t>
            </w:r>
          </w:p>
        </w:tc>
        <w:tc>
          <w:tcPr>
            <w:tcW w:w="0" w:type="auto"/>
            <w:vAlign w:val="center"/>
          </w:tcPr>
          <w:p w14:paraId="1F231EF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10.37 </w:t>
            </w:r>
          </w:p>
        </w:tc>
      </w:tr>
      <w:tr w14:paraId="33A0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4446F2D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6.9</w:t>
            </w:r>
          </w:p>
        </w:tc>
        <w:tc>
          <w:tcPr>
            <w:tcW w:w="704" w:type="pct"/>
            <w:vAlign w:val="center"/>
          </w:tcPr>
          <w:p w14:paraId="69380D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3m</w:t>
            </w:r>
          </w:p>
        </w:tc>
        <w:tc>
          <w:tcPr>
            <w:tcW w:w="697" w:type="pct"/>
            <w:vAlign w:val="center"/>
          </w:tcPr>
          <w:p w14:paraId="1F6B64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1.54 </w:t>
            </w:r>
          </w:p>
        </w:tc>
        <w:tc>
          <w:tcPr>
            <w:tcW w:w="0" w:type="auto"/>
            <w:vAlign w:val="center"/>
          </w:tcPr>
          <w:p w14:paraId="000FDD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11.34 </w:t>
            </w:r>
          </w:p>
        </w:tc>
        <w:tc>
          <w:tcPr>
            <w:tcW w:w="0" w:type="auto"/>
            <w:vAlign w:val="center"/>
          </w:tcPr>
          <w:p w14:paraId="6DC9123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1.28 </w:t>
            </w:r>
          </w:p>
        </w:tc>
        <w:tc>
          <w:tcPr>
            <w:tcW w:w="0" w:type="auto"/>
            <w:vAlign w:val="center"/>
          </w:tcPr>
          <w:p w14:paraId="224586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9.04 </w:t>
            </w:r>
          </w:p>
        </w:tc>
      </w:tr>
      <w:tr w14:paraId="5A02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6314D87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7.9</w:t>
            </w:r>
          </w:p>
        </w:tc>
        <w:tc>
          <w:tcPr>
            <w:tcW w:w="704" w:type="pct"/>
            <w:vAlign w:val="center"/>
          </w:tcPr>
          <w:p w14:paraId="0DDB1E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4m</w:t>
            </w:r>
          </w:p>
        </w:tc>
        <w:tc>
          <w:tcPr>
            <w:tcW w:w="697" w:type="pct"/>
            <w:vAlign w:val="center"/>
          </w:tcPr>
          <w:p w14:paraId="3DEF556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1.22 </w:t>
            </w:r>
          </w:p>
        </w:tc>
        <w:tc>
          <w:tcPr>
            <w:tcW w:w="0" w:type="auto"/>
            <w:vAlign w:val="center"/>
          </w:tcPr>
          <w:p w14:paraId="7D8E966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9.48 </w:t>
            </w:r>
          </w:p>
        </w:tc>
        <w:tc>
          <w:tcPr>
            <w:tcW w:w="0" w:type="auto"/>
            <w:vAlign w:val="center"/>
          </w:tcPr>
          <w:p w14:paraId="3F2BFE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1.06 </w:t>
            </w:r>
          </w:p>
        </w:tc>
        <w:tc>
          <w:tcPr>
            <w:tcW w:w="0" w:type="auto"/>
            <w:vAlign w:val="center"/>
          </w:tcPr>
          <w:p w14:paraId="28A9FD3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7.77 </w:t>
            </w:r>
          </w:p>
        </w:tc>
      </w:tr>
      <w:tr w14:paraId="23B9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0D73A3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8.9</w:t>
            </w:r>
          </w:p>
        </w:tc>
        <w:tc>
          <w:tcPr>
            <w:tcW w:w="704" w:type="pct"/>
            <w:vAlign w:val="center"/>
          </w:tcPr>
          <w:p w14:paraId="3043CC6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5m</w:t>
            </w:r>
          </w:p>
        </w:tc>
        <w:tc>
          <w:tcPr>
            <w:tcW w:w="697" w:type="pct"/>
            <w:vAlign w:val="center"/>
          </w:tcPr>
          <w:p w14:paraId="61B2128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0.93 </w:t>
            </w:r>
          </w:p>
        </w:tc>
        <w:tc>
          <w:tcPr>
            <w:tcW w:w="0" w:type="auto"/>
            <w:vAlign w:val="center"/>
          </w:tcPr>
          <w:p w14:paraId="3674BDB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7.88 </w:t>
            </w:r>
          </w:p>
        </w:tc>
        <w:tc>
          <w:tcPr>
            <w:tcW w:w="0" w:type="auto"/>
            <w:vAlign w:val="center"/>
          </w:tcPr>
          <w:p w14:paraId="2716D9A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0.86 </w:t>
            </w:r>
          </w:p>
        </w:tc>
        <w:tc>
          <w:tcPr>
            <w:tcW w:w="0" w:type="auto"/>
            <w:vAlign w:val="center"/>
          </w:tcPr>
          <w:p w14:paraId="258B159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6.63 </w:t>
            </w:r>
          </w:p>
        </w:tc>
      </w:tr>
      <w:tr w14:paraId="209F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C394B0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9.9</w:t>
            </w:r>
          </w:p>
        </w:tc>
        <w:tc>
          <w:tcPr>
            <w:tcW w:w="704" w:type="pct"/>
            <w:vAlign w:val="center"/>
          </w:tcPr>
          <w:p w14:paraId="7E52DC1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6m</w:t>
            </w:r>
          </w:p>
        </w:tc>
        <w:tc>
          <w:tcPr>
            <w:tcW w:w="697" w:type="pct"/>
            <w:vAlign w:val="center"/>
          </w:tcPr>
          <w:p w14:paraId="5B1E129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c>
          <w:tcPr>
            <w:tcW w:w="0" w:type="auto"/>
            <w:vAlign w:val="center"/>
          </w:tcPr>
          <w:p w14:paraId="0DB7E7F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6.56 </w:t>
            </w:r>
          </w:p>
        </w:tc>
        <w:tc>
          <w:tcPr>
            <w:tcW w:w="0" w:type="auto"/>
            <w:vAlign w:val="center"/>
          </w:tcPr>
          <w:p w14:paraId="56B0E69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0.67 </w:t>
            </w:r>
          </w:p>
        </w:tc>
        <w:tc>
          <w:tcPr>
            <w:tcW w:w="0" w:type="auto"/>
            <w:vAlign w:val="center"/>
          </w:tcPr>
          <w:p w14:paraId="2335523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5.64 </w:t>
            </w:r>
          </w:p>
        </w:tc>
      </w:tr>
      <w:tr w14:paraId="41B3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3371D55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10.9</w:t>
            </w:r>
          </w:p>
        </w:tc>
        <w:tc>
          <w:tcPr>
            <w:tcW w:w="704" w:type="pct"/>
            <w:vAlign w:val="center"/>
          </w:tcPr>
          <w:p w14:paraId="1C3F534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7m</w:t>
            </w:r>
          </w:p>
        </w:tc>
        <w:tc>
          <w:tcPr>
            <w:tcW w:w="697" w:type="pct"/>
            <w:vAlign w:val="center"/>
          </w:tcPr>
          <w:p w14:paraId="5F51FB5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0.51 </w:t>
            </w:r>
          </w:p>
        </w:tc>
        <w:tc>
          <w:tcPr>
            <w:tcW w:w="0" w:type="auto"/>
            <w:vAlign w:val="center"/>
          </w:tcPr>
          <w:p w14:paraId="2D1D15B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5.49 </w:t>
            </w:r>
          </w:p>
        </w:tc>
        <w:tc>
          <w:tcPr>
            <w:tcW w:w="0" w:type="auto"/>
            <w:vAlign w:val="center"/>
          </w:tcPr>
          <w:p w14:paraId="6AC8B9E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0.52 </w:t>
            </w:r>
          </w:p>
        </w:tc>
        <w:tc>
          <w:tcPr>
            <w:tcW w:w="0" w:type="auto"/>
            <w:vAlign w:val="center"/>
          </w:tcPr>
          <w:p w14:paraId="0B57399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4.81 </w:t>
            </w:r>
          </w:p>
        </w:tc>
      </w:tr>
      <w:tr w14:paraId="68E4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507AF9A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11.9</w:t>
            </w:r>
          </w:p>
        </w:tc>
        <w:tc>
          <w:tcPr>
            <w:tcW w:w="704" w:type="pct"/>
            <w:vAlign w:val="center"/>
          </w:tcPr>
          <w:p w14:paraId="283F64C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8m</w:t>
            </w:r>
          </w:p>
        </w:tc>
        <w:tc>
          <w:tcPr>
            <w:tcW w:w="697" w:type="pct"/>
            <w:vAlign w:val="center"/>
          </w:tcPr>
          <w:p w14:paraId="0C9261E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0.37 </w:t>
            </w:r>
          </w:p>
        </w:tc>
        <w:tc>
          <w:tcPr>
            <w:tcW w:w="0" w:type="auto"/>
            <w:vAlign w:val="center"/>
          </w:tcPr>
          <w:p w14:paraId="5C6EC4B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4.61 </w:t>
            </w:r>
          </w:p>
        </w:tc>
        <w:tc>
          <w:tcPr>
            <w:tcW w:w="0" w:type="auto"/>
            <w:vAlign w:val="center"/>
          </w:tcPr>
          <w:p w14:paraId="0FEA0A6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0.39 </w:t>
            </w:r>
          </w:p>
        </w:tc>
        <w:tc>
          <w:tcPr>
            <w:tcW w:w="0" w:type="auto"/>
            <w:vAlign w:val="center"/>
          </w:tcPr>
          <w:p w14:paraId="6D64FD2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4.10 </w:t>
            </w:r>
          </w:p>
        </w:tc>
      </w:tr>
      <w:tr w14:paraId="73E6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A818E8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12.9</w:t>
            </w:r>
          </w:p>
        </w:tc>
        <w:tc>
          <w:tcPr>
            <w:tcW w:w="704" w:type="pct"/>
            <w:vAlign w:val="center"/>
          </w:tcPr>
          <w:p w14:paraId="0E6725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9m</w:t>
            </w:r>
          </w:p>
        </w:tc>
        <w:tc>
          <w:tcPr>
            <w:tcW w:w="697" w:type="pct"/>
            <w:vAlign w:val="center"/>
          </w:tcPr>
          <w:p w14:paraId="226487C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0.26 </w:t>
            </w:r>
          </w:p>
        </w:tc>
        <w:tc>
          <w:tcPr>
            <w:tcW w:w="0" w:type="auto"/>
            <w:vAlign w:val="center"/>
          </w:tcPr>
          <w:p w14:paraId="0715352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3.90 </w:t>
            </w:r>
          </w:p>
        </w:tc>
        <w:tc>
          <w:tcPr>
            <w:tcW w:w="0" w:type="auto"/>
            <w:vAlign w:val="center"/>
          </w:tcPr>
          <w:p w14:paraId="0218E5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0.29 </w:t>
            </w:r>
          </w:p>
        </w:tc>
        <w:tc>
          <w:tcPr>
            <w:tcW w:w="0" w:type="auto"/>
            <w:vAlign w:val="center"/>
          </w:tcPr>
          <w:p w14:paraId="51F5AAD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3.52 </w:t>
            </w:r>
          </w:p>
        </w:tc>
      </w:tr>
      <w:tr w14:paraId="1050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5B9DFD2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13.9</w:t>
            </w:r>
          </w:p>
        </w:tc>
        <w:tc>
          <w:tcPr>
            <w:tcW w:w="704" w:type="pct"/>
            <w:vAlign w:val="center"/>
          </w:tcPr>
          <w:p w14:paraId="093ACB1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10m</w:t>
            </w:r>
          </w:p>
        </w:tc>
        <w:tc>
          <w:tcPr>
            <w:tcW w:w="697" w:type="pct"/>
            <w:vAlign w:val="center"/>
          </w:tcPr>
          <w:p w14:paraId="3A61D2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0.18 </w:t>
            </w:r>
          </w:p>
        </w:tc>
        <w:tc>
          <w:tcPr>
            <w:tcW w:w="0" w:type="auto"/>
            <w:vAlign w:val="center"/>
          </w:tcPr>
          <w:p w14:paraId="4BA997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3.32 </w:t>
            </w:r>
          </w:p>
        </w:tc>
        <w:tc>
          <w:tcPr>
            <w:tcW w:w="0" w:type="auto"/>
            <w:vAlign w:val="center"/>
          </w:tcPr>
          <w:p w14:paraId="1DABAC1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0.22 </w:t>
            </w:r>
          </w:p>
        </w:tc>
        <w:tc>
          <w:tcPr>
            <w:tcW w:w="0" w:type="auto"/>
            <w:vAlign w:val="center"/>
          </w:tcPr>
          <w:p w14:paraId="1B3D634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3.03 </w:t>
            </w:r>
          </w:p>
        </w:tc>
      </w:tr>
      <w:tr w14:paraId="2113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4FDB49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14.9</w:t>
            </w:r>
          </w:p>
        </w:tc>
        <w:tc>
          <w:tcPr>
            <w:tcW w:w="704" w:type="pct"/>
            <w:vAlign w:val="center"/>
          </w:tcPr>
          <w:p w14:paraId="2DF9BE4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11m</w:t>
            </w:r>
          </w:p>
        </w:tc>
        <w:tc>
          <w:tcPr>
            <w:tcW w:w="697" w:type="pct"/>
            <w:vAlign w:val="center"/>
          </w:tcPr>
          <w:p w14:paraId="4168E9F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0.12 </w:t>
            </w:r>
          </w:p>
        </w:tc>
        <w:tc>
          <w:tcPr>
            <w:tcW w:w="0" w:type="auto"/>
            <w:vAlign w:val="center"/>
          </w:tcPr>
          <w:p w14:paraId="06102C3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2.84 </w:t>
            </w:r>
          </w:p>
        </w:tc>
        <w:tc>
          <w:tcPr>
            <w:tcW w:w="0" w:type="auto"/>
            <w:vAlign w:val="center"/>
          </w:tcPr>
          <w:p w14:paraId="29B7169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0.16 </w:t>
            </w:r>
          </w:p>
        </w:tc>
        <w:tc>
          <w:tcPr>
            <w:tcW w:w="0" w:type="auto"/>
            <w:vAlign w:val="center"/>
          </w:tcPr>
          <w:p w14:paraId="5E2C1D8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2.62 </w:t>
            </w:r>
          </w:p>
        </w:tc>
      </w:tr>
      <w:tr w14:paraId="48A6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6E43E8B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15.9</w:t>
            </w:r>
          </w:p>
        </w:tc>
        <w:tc>
          <w:tcPr>
            <w:tcW w:w="704" w:type="pct"/>
            <w:vAlign w:val="center"/>
          </w:tcPr>
          <w:p w14:paraId="4C8C49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12m</w:t>
            </w:r>
          </w:p>
        </w:tc>
        <w:tc>
          <w:tcPr>
            <w:tcW w:w="697" w:type="pct"/>
            <w:vAlign w:val="center"/>
          </w:tcPr>
          <w:p w14:paraId="2332230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0" w:type="auto"/>
            <w:vAlign w:val="center"/>
          </w:tcPr>
          <w:p w14:paraId="5BD063C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2.45 </w:t>
            </w:r>
          </w:p>
        </w:tc>
        <w:tc>
          <w:tcPr>
            <w:tcW w:w="0" w:type="auto"/>
            <w:vAlign w:val="center"/>
          </w:tcPr>
          <w:p w14:paraId="0DFCCE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0.11 </w:t>
            </w:r>
          </w:p>
        </w:tc>
        <w:tc>
          <w:tcPr>
            <w:tcW w:w="0" w:type="auto"/>
            <w:vAlign w:val="center"/>
          </w:tcPr>
          <w:p w14:paraId="1E2D544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2.27 </w:t>
            </w:r>
          </w:p>
        </w:tc>
      </w:tr>
      <w:tr w14:paraId="66ED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9BA971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16.9</w:t>
            </w:r>
          </w:p>
        </w:tc>
        <w:tc>
          <w:tcPr>
            <w:tcW w:w="704" w:type="pct"/>
            <w:vAlign w:val="center"/>
          </w:tcPr>
          <w:p w14:paraId="0CA2327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13m</w:t>
            </w:r>
          </w:p>
        </w:tc>
        <w:tc>
          <w:tcPr>
            <w:tcW w:w="697" w:type="pct"/>
            <w:vAlign w:val="center"/>
          </w:tcPr>
          <w:p w14:paraId="6BBEC1D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0" w:type="auto"/>
            <w:vAlign w:val="center"/>
          </w:tcPr>
          <w:p w14:paraId="27CCEE0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2.12 </w:t>
            </w:r>
          </w:p>
        </w:tc>
        <w:tc>
          <w:tcPr>
            <w:tcW w:w="0" w:type="auto"/>
            <w:vAlign w:val="center"/>
          </w:tcPr>
          <w:p w14:paraId="15F0D03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0.08 </w:t>
            </w:r>
          </w:p>
        </w:tc>
        <w:tc>
          <w:tcPr>
            <w:tcW w:w="0" w:type="auto"/>
            <w:vAlign w:val="center"/>
          </w:tcPr>
          <w:p w14:paraId="41696BD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1.98 </w:t>
            </w:r>
          </w:p>
        </w:tc>
      </w:tr>
      <w:tr w14:paraId="6CE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7D67AE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17.9</w:t>
            </w:r>
          </w:p>
        </w:tc>
        <w:tc>
          <w:tcPr>
            <w:tcW w:w="704" w:type="pct"/>
            <w:vAlign w:val="center"/>
          </w:tcPr>
          <w:p w14:paraId="7D75A28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14m</w:t>
            </w:r>
          </w:p>
        </w:tc>
        <w:tc>
          <w:tcPr>
            <w:tcW w:w="697" w:type="pct"/>
            <w:vAlign w:val="center"/>
          </w:tcPr>
          <w:p w14:paraId="1F177D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35D198B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1.85 </w:t>
            </w:r>
          </w:p>
        </w:tc>
        <w:tc>
          <w:tcPr>
            <w:tcW w:w="0" w:type="auto"/>
            <w:vAlign w:val="center"/>
          </w:tcPr>
          <w:p w14:paraId="1322C3D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0.05 </w:t>
            </w:r>
          </w:p>
        </w:tc>
        <w:tc>
          <w:tcPr>
            <w:tcW w:w="0" w:type="auto"/>
            <w:vAlign w:val="center"/>
          </w:tcPr>
          <w:p w14:paraId="447E7A9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1.74 </w:t>
            </w:r>
          </w:p>
        </w:tc>
      </w:tr>
      <w:tr w14:paraId="3625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6FE105B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18.9</w:t>
            </w:r>
          </w:p>
        </w:tc>
        <w:tc>
          <w:tcPr>
            <w:tcW w:w="704" w:type="pct"/>
            <w:vAlign w:val="center"/>
          </w:tcPr>
          <w:p w14:paraId="6FCEC02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15m</w:t>
            </w:r>
          </w:p>
        </w:tc>
        <w:tc>
          <w:tcPr>
            <w:tcW w:w="697" w:type="pct"/>
            <w:vAlign w:val="center"/>
          </w:tcPr>
          <w:p w14:paraId="02E538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0" w:type="auto"/>
            <w:vAlign w:val="center"/>
          </w:tcPr>
          <w:p w14:paraId="1B539AF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1.62 </w:t>
            </w:r>
          </w:p>
        </w:tc>
        <w:tc>
          <w:tcPr>
            <w:tcW w:w="0" w:type="auto"/>
            <w:vAlign w:val="center"/>
          </w:tcPr>
          <w:p w14:paraId="3B62E32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0C7A0E3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1.53 </w:t>
            </w:r>
          </w:p>
        </w:tc>
      </w:tr>
      <w:tr w14:paraId="10BD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0447B65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19.9</w:t>
            </w:r>
          </w:p>
        </w:tc>
        <w:tc>
          <w:tcPr>
            <w:tcW w:w="704" w:type="pct"/>
            <w:vAlign w:val="center"/>
          </w:tcPr>
          <w:p w14:paraId="605CE8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16m</w:t>
            </w:r>
          </w:p>
        </w:tc>
        <w:tc>
          <w:tcPr>
            <w:tcW w:w="697" w:type="pct"/>
            <w:vAlign w:val="center"/>
          </w:tcPr>
          <w:p w14:paraId="5D979E8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45E5B23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1.42 </w:t>
            </w:r>
          </w:p>
        </w:tc>
        <w:tc>
          <w:tcPr>
            <w:tcW w:w="0" w:type="auto"/>
            <w:vAlign w:val="center"/>
          </w:tcPr>
          <w:p w14:paraId="419DE71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0" w:type="auto"/>
            <w:vAlign w:val="center"/>
          </w:tcPr>
          <w:p w14:paraId="0B00D28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1.35 </w:t>
            </w:r>
          </w:p>
        </w:tc>
      </w:tr>
      <w:tr w14:paraId="7987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1433609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20.9</w:t>
            </w:r>
          </w:p>
        </w:tc>
        <w:tc>
          <w:tcPr>
            <w:tcW w:w="704" w:type="pct"/>
            <w:vAlign w:val="center"/>
          </w:tcPr>
          <w:p w14:paraId="7C2A63E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17m</w:t>
            </w:r>
          </w:p>
        </w:tc>
        <w:tc>
          <w:tcPr>
            <w:tcW w:w="697" w:type="pct"/>
            <w:vAlign w:val="center"/>
          </w:tcPr>
          <w:p w14:paraId="39278D1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273BDBA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1.26 </w:t>
            </w:r>
          </w:p>
        </w:tc>
        <w:tc>
          <w:tcPr>
            <w:tcW w:w="0" w:type="auto"/>
            <w:vAlign w:val="center"/>
          </w:tcPr>
          <w:p w14:paraId="76D1104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0" w:type="auto"/>
            <w:vAlign w:val="center"/>
          </w:tcPr>
          <w:p w14:paraId="244A26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1.20 </w:t>
            </w:r>
          </w:p>
        </w:tc>
      </w:tr>
      <w:tr w14:paraId="11C1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357A5C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21.9</w:t>
            </w:r>
          </w:p>
        </w:tc>
        <w:tc>
          <w:tcPr>
            <w:tcW w:w="704" w:type="pct"/>
            <w:vAlign w:val="center"/>
          </w:tcPr>
          <w:p w14:paraId="4DE6D67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18m</w:t>
            </w:r>
          </w:p>
        </w:tc>
        <w:tc>
          <w:tcPr>
            <w:tcW w:w="697" w:type="pct"/>
            <w:vAlign w:val="center"/>
          </w:tcPr>
          <w:p w14:paraId="6E60AC6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47406D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1.11 </w:t>
            </w:r>
          </w:p>
        </w:tc>
        <w:tc>
          <w:tcPr>
            <w:tcW w:w="0" w:type="auto"/>
            <w:vAlign w:val="center"/>
          </w:tcPr>
          <w:p w14:paraId="46A605A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0" w:type="auto"/>
            <w:vAlign w:val="center"/>
          </w:tcPr>
          <w:p w14:paraId="598C947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1.07 </w:t>
            </w:r>
          </w:p>
        </w:tc>
      </w:tr>
      <w:tr w14:paraId="60CE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06E6978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22.9</w:t>
            </w:r>
          </w:p>
        </w:tc>
        <w:tc>
          <w:tcPr>
            <w:tcW w:w="704" w:type="pct"/>
            <w:vAlign w:val="center"/>
          </w:tcPr>
          <w:p w14:paraId="0CACB1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19m</w:t>
            </w:r>
          </w:p>
        </w:tc>
        <w:tc>
          <w:tcPr>
            <w:tcW w:w="697" w:type="pct"/>
            <w:vAlign w:val="center"/>
          </w:tcPr>
          <w:p w14:paraId="54AFBE0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7F58AEA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0.99 </w:t>
            </w:r>
          </w:p>
        </w:tc>
        <w:tc>
          <w:tcPr>
            <w:tcW w:w="0" w:type="auto"/>
            <w:vAlign w:val="center"/>
          </w:tcPr>
          <w:p w14:paraId="190CB7D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0.02 </w:t>
            </w:r>
          </w:p>
        </w:tc>
        <w:tc>
          <w:tcPr>
            <w:tcW w:w="0" w:type="auto"/>
            <w:vAlign w:val="center"/>
          </w:tcPr>
          <w:p w14:paraId="31176C6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0.96 </w:t>
            </w:r>
          </w:p>
        </w:tc>
      </w:tr>
      <w:tr w14:paraId="634A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2158095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23.9</w:t>
            </w:r>
          </w:p>
        </w:tc>
        <w:tc>
          <w:tcPr>
            <w:tcW w:w="704" w:type="pct"/>
            <w:vAlign w:val="center"/>
          </w:tcPr>
          <w:p w14:paraId="755604B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20m</w:t>
            </w:r>
          </w:p>
        </w:tc>
        <w:tc>
          <w:tcPr>
            <w:tcW w:w="697" w:type="pct"/>
            <w:vAlign w:val="center"/>
          </w:tcPr>
          <w:p w14:paraId="5BDA230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6DBC05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0.89 </w:t>
            </w:r>
          </w:p>
        </w:tc>
        <w:tc>
          <w:tcPr>
            <w:tcW w:w="0" w:type="auto"/>
            <w:vAlign w:val="center"/>
          </w:tcPr>
          <w:p w14:paraId="2D21D52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32DBECC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0.86 </w:t>
            </w:r>
          </w:p>
        </w:tc>
      </w:tr>
      <w:tr w14:paraId="173A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471538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24.9</w:t>
            </w:r>
          </w:p>
        </w:tc>
        <w:tc>
          <w:tcPr>
            <w:tcW w:w="704" w:type="pct"/>
            <w:vAlign w:val="center"/>
          </w:tcPr>
          <w:p w14:paraId="1963C5B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21m</w:t>
            </w:r>
          </w:p>
        </w:tc>
        <w:tc>
          <w:tcPr>
            <w:tcW w:w="697" w:type="pct"/>
            <w:vAlign w:val="center"/>
          </w:tcPr>
          <w:p w14:paraId="0951ED9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2AA66F8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0.80 </w:t>
            </w:r>
          </w:p>
        </w:tc>
        <w:tc>
          <w:tcPr>
            <w:tcW w:w="0" w:type="auto"/>
            <w:vAlign w:val="center"/>
          </w:tcPr>
          <w:p w14:paraId="70DF5D0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68D491E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0.77 </w:t>
            </w:r>
          </w:p>
        </w:tc>
      </w:tr>
      <w:tr w14:paraId="7A09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22121FF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25.9</w:t>
            </w:r>
          </w:p>
        </w:tc>
        <w:tc>
          <w:tcPr>
            <w:tcW w:w="704" w:type="pct"/>
            <w:vAlign w:val="center"/>
          </w:tcPr>
          <w:p w14:paraId="61CBA4A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22m</w:t>
            </w:r>
          </w:p>
        </w:tc>
        <w:tc>
          <w:tcPr>
            <w:tcW w:w="697" w:type="pct"/>
            <w:vAlign w:val="center"/>
          </w:tcPr>
          <w:p w14:paraId="44770F81">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183B8D8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0.72 </w:t>
            </w:r>
          </w:p>
        </w:tc>
        <w:tc>
          <w:tcPr>
            <w:tcW w:w="0" w:type="auto"/>
            <w:vAlign w:val="center"/>
          </w:tcPr>
          <w:p w14:paraId="22E0E09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5F50EDB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0.70 </w:t>
            </w:r>
          </w:p>
        </w:tc>
      </w:tr>
      <w:tr w14:paraId="3D00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3F55F6C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26.9</w:t>
            </w:r>
          </w:p>
        </w:tc>
        <w:tc>
          <w:tcPr>
            <w:tcW w:w="704" w:type="pct"/>
            <w:vAlign w:val="center"/>
          </w:tcPr>
          <w:p w14:paraId="1675487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23m</w:t>
            </w:r>
          </w:p>
        </w:tc>
        <w:tc>
          <w:tcPr>
            <w:tcW w:w="697" w:type="pct"/>
            <w:vAlign w:val="center"/>
          </w:tcPr>
          <w:p w14:paraId="125EB18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2893F2A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0.65 </w:t>
            </w:r>
          </w:p>
        </w:tc>
        <w:tc>
          <w:tcPr>
            <w:tcW w:w="0" w:type="auto"/>
            <w:vAlign w:val="center"/>
          </w:tcPr>
          <w:p w14:paraId="74FEF2D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776C107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0.63 </w:t>
            </w:r>
          </w:p>
        </w:tc>
      </w:tr>
      <w:tr w14:paraId="79D2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5AEF28D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27.9</w:t>
            </w:r>
          </w:p>
        </w:tc>
        <w:tc>
          <w:tcPr>
            <w:tcW w:w="704" w:type="pct"/>
            <w:vAlign w:val="center"/>
          </w:tcPr>
          <w:p w14:paraId="7D86813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24m</w:t>
            </w:r>
          </w:p>
        </w:tc>
        <w:tc>
          <w:tcPr>
            <w:tcW w:w="697" w:type="pct"/>
            <w:vAlign w:val="center"/>
          </w:tcPr>
          <w:p w14:paraId="5B1D3A7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790B6E0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0.59 </w:t>
            </w:r>
          </w:p>
        </w:tc>
        <w:tc>
          <w:tcPr>
            <w:tcW w:w="0" w:type="auto"/>
            <w:vAlign w:val="center"/>
          </w:tcPr>
          <w:p w14:paraId="3A7A702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53DE694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0.57 </w:t>
            </w:r>
          </w:p>
        </w:tc>
      </w:tr>
      <w:tr w14:paraId="0349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50FBFA0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28.9</w:t>
            </w:r>
          </w:p>
        </w:tc>
        <w:tc>
          <w:tcPr>
            <w:tcW w:w="704" w:type="pct"/>
            <w:vAlign w:val="center"/>
          </w:tcPr>
          <w:p w14:paraId="1CC90C6E">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25m</w:t>
            </w:r>
          </w:p>
        </w:tc>
        <w:tc>
          <w:tcPr>
            <w:tcW w:w="697" w:type="pct"/>
            <w:vAlign w:val="center"/>
          </w:tcPr>
          <w:p w14:paraId="4803BC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5ED8C8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0.54 </w:t>
            </w:r>
          </w:p>
        </w:tc>
        <w:tc>
          <w:tcPr>
            <w:tcW w:w="0" w:type="auto"/>
            <w:vAlign w:val="center"/>
          </w:tcPr>
          <w:p w14:paraId="7F836CA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7777905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0.52 </w:t>
            </w:r>
          </w:p>
        </w:tc>
      </w:tr>
      <w:tr w14:paraId="37C0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6B0417A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29.9</w:t>
            </w:r>
          </w:p>
        </w:tc>
        <w:tc>
          <w:tcPr>
            <w:tcW w:w="704" w:type="pct"/>
            <w:vAlign w:val="center"/>
          </w:tcPr>
          <w:p w14:paraId="064E822B">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26m</w:t>
            </w:r>
          </w:p>
        </w:tc>
        <w:tc>
          <w:tcPr>
            <w:tcW w:w="697" w:type="pct"/>
            <w:vAlign w:val="center"/>
          </w:tcPr>
          <w:p w14:paraId="2FFD785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2434F48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0.49 </w:t>
            </w:r>
          </w:p>
        </w:tc>
        <w:tc>
          <w:tcPr>
            <w:tcW w:w="0" w:type="auto"/>
            <w:vAlign w:val="center"/>
          </w:tcPr>
          <w:p w14:paraId="0CD3543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1D6ECF15">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0.48 </w:t>
            </w:r>
          </w:p>
        </w:tc>
      </w:tr>
      <w:tr w14:paraId="14B7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46638F5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30.9</w:t>
            </w:r>
          </w:p>
        </w:tc>
        <w:tc>
          <w:tcPr>
            <w:tcW w:w="704" w:type="pct"/>
            <w:vAlign w:val="center"/>
          </w:tcPr>
          <w:p w14:paraId="082B649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27m</w:t>
            </w:r>
          </w:p>
        </w:tc>
        <w:tc>
          <w:tcPr>
            <w:tcW w:w="697" w:type="pct"/>
            <w:vAlign w:val="center"/>
          </w:tcPr>
          <w:p w14:paraId="004212F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5BEC93A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0.45 </w:t>
            </w:r>
          </w:p>
        </w:tc>
        <w:tc>
          <w:tcPr>
            <w:tcW w:w="0" w:type="auto"/>
            <w:vAlign w:val="center"/>
          </w:tcPr>
          <w:p w14:paraId="7E01B7E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6664F0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0.44 </w:t>
            </w:r>
          </w:p>
        </w:tc>
      </w:tr>
      <w:tr w14:paraId="0BF7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0BEF86D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31.9</w:t>
            </w:r>
          </w:p>
        </w:tc>
        <w:tc>
          <w:tcPr>
            <w:tcW w:w="704" w:type="pct"/>
            <w:vAlign w:val="center"/>
          </w:tcPr>
          <w:p w14:paraId="39E4CEAA">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28m</w:t>
            </w:r>
          </w:p>
        </w:tc>
        <w:tc>
          <w:tcPr>
            <w:tcW w:w="697" w:type="pct"/>
            <w:vAlign w:val="center"/>
          </w:tcPr>
          <w:p w14:paraId="0C4A204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0.04 </w:t>
            </w:r>
          </w:p>
        </w:tc>
        <w:tc>
          <w:tcPr>
            <w:tcW w:w="0" w:type="auto"/>
            <w:vAlign w:val="center"/>
          </w:tcPr>
          <w:p w14:paraId="5CCF339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0.41 </w:t>
            </w:r>
          </w:p>
        </w:tc>
        <w:tc>
          <w:tcPr>
            <w:tcW w:w="0" w:type="auto"/>
            <w:vAlign w:val="center"/>
          </w:tcPr>
          <w:p w14:paraId="3E1B1647">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16B88D6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0.40 </w:t>
            </w:r>
          </w:p>
        </w:tc>
      </w:tr>
      <w:tr w14:paraId="18F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75BA38D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32.9</w:t>
            </w:r>
          </w:p>
        </w:tc>
        <w:tc>
          <w:tcPr>
            <w:tcW w:w="704" w:type="pct"/>
            <w:vAlign w:val="center"/>
          </w:tcPr>
          <w:p w14:paraId="1434072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29m</w:t>
            </w:r>
          </w:p>
        </w:tc>
        <w:tc>
          <w:tcPr>
            <w:tcW w:w="697" w:type="pct"/>
            <w:vAlign w:val="center"/>
          </w:tcPr>
          <w:p w14:paraId="7C6F372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5012D8A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0.38 </w:t>
            </w:r>
          </w:p>
        </w:tc>
        <w:tc>
          <w:tcPr>
            <w:tcW w:w="0" w:type="auto"/>
            <w:vAlign w:val="center"/>
          </w:tcPr>
          <w:p w14:paraId="77A2056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7BEF4AC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0.37 </w:t>
            </w:r>
          </w:p>
        </w:tc>
      </w:tr>
      <w:tr w14:paraId="60A8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Align w:val="center"/>
          </w:tcPr>
          <w:p w14:paraId="20A0BEA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33.9</w:t>
            </w:r>
          </w:p>
        </w:tc>
        <w:tc>
          <w:tcPr>
            <w:tcW w:w="704" w:type="pct"/>
            <w:vAlign w:val="center"/>
          </w:tcPr>
          <w:p w14:paraId="0E11789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30m</w:t>
            </w:r>
          </w:p>
        </w:tc>
        <w:tc>
          <w:tcPr>
            <w:tcW w:w="697" w:type="pct"/>
            <w:vAlign w:val="center"/>
          </w:tcPr>
          <w:p w14:paraId="431E00ED">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461F2CEC">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0.35 </w:t>
            </w:r>
          </w:p>
        </w:tc>
        <w:tc>
          <w:tcPr>
            <w:tcW w:w="0" w:type="auto"/>
            <w:vAlign w:val="center"/>
          </w:tcPr>
          <w:p w14:paraId="155FBD63">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0.03 </w:t>
            </w:r>
          </w:p>
        </w:tc>
        <w:tc>
          <w:tcPr>
            <w:tcW w:w="0" w:type="auto"/>
            <w:vAlign w:val="center"/>
          </w:tcPr>
          <w:p w14:paraId="5D64AAA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 xml:space="preserve">0.34 </w:t>
            </w:r>
          </w:p>
        </w:tc>
      </w:tr>
      <w:tr w14:paraId="2A88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00" w:type="pct"/>
            <w:gridSpan w:val="2"/>
            <w:vAlign w:val="center"/>
          </w:tcPr>
          <w:p w14:paraId="43D60119">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最大值</w:t>
            </w:r>
            <w:r>
              <w:rPr>
                <w:rFonts w:hint="eastAsia"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kv/m</w:t>
            </w:r>
            <w:r>
              <w:rPr>
                <w:rFonts w:hint="eastAsia" w:cs="宋体"/>
                <w:i w:val="0"/>
                <w:iCs w:val="0"/>
                <w:color w:val="000000"/>
                <w:kern w:val="0"/>
                <w:sz w:val="21"/>
                <w:szCs w:val="21"/>
                <w:u w:val="none"/>
                <w:lang w:val="en-US" w:eastAsia="zh-CN" w:bidi="ar"/>
              </w:rPr>
              <w:t>）</w:t>
            </w:r>
          </w:p>
        </w:tc>
        <w:tc>
          <w:tcPr>
            <w:tcW w:w="697" w:type="pct"/>
            <w:vAlign w:val="center"/>
          </w:tcPr>
          <w:p w14:paraId="2B92C214">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2.13</w:t>
            </w:r>
          </w:p>
        </w:tc>
        <w:tc>
          <w:tcPr>
            <w:tcW w:w="0" w:type="auto"/>
            <w:vAlign w:val="center"/>
          </w:tcPr>
          <w:p w14:paraId="57576BA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18.37</w:t>
            </w:r>
          </w:p>
        </w:tc>
        <w:tc>
          <w:tcPr>
            <w:tcW w:w="0" w:type="auto"/>
            <w:vAlign w:val="center"/>
          </w:tcPr>
          <w:p w14:paraId="0771B41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1.58</w:t>
            </w:r>
          </w:p>
        </w:tc>
        <w:tc>
          <w:tcPr>
            <w:tcW w:w="0" w:type="auto"/>
            <w:vAlign w:val="center"/>
          </w:tcPr>
          <w:p w14:paraId="7B40F6A8">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14.21</w:t>
            </w:r>
          </w:p>
        </w:tc>
      </w:tr>
      <w:tr w14:paraId="6C1D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00" w:type="pct"/>
            <w:gridSpan w:val="2"/>
            <w:vAlign w:val="center"/>
          </w:tcPr>
          <w:p w14:paraId="59FAEA20">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最大值处距线路走廊中心距离</w:t>
            </w:r>
            <w:r>
              <w:rPr>
                <w:rFonts w:hint="eastAsia"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m</w:t>
            </w:r>
            <w:r>
              <w:rPr>
                <w:rFonts w:hint="eastAsia" w:cs="宋体"/>
                <w:i w:val="0"/>
                <w:iCs w:val="0"/>
                <w:color w:val="000000"/>
                <w:kern w:val="0"/>
                <w:sz w:val="21"/>
                <w:szCs w:val="21"/>
                <w:u w:val="none"/>
                <w:lang w:val="en-US" w:eastAsia="zh-CN" w:bidi="ar"/>
              </w:rPr>
              <w:t>）</w:t>
            </w:r>
          </w:p>
        </w:tc>
        <w:tc>
          <w:tcPr>
            <w:tcW w:w="697" w:type="pct"/>
            <w:vAlign w:val="center"/>
          </w:tcPr>
          <w:p w14:paraId="443AFEA0">
            <w:pPr>
              <w:keepNext w:val="0"/>
              <w:keepLines w:val="0"/>
              <w:widowControl/>
              <w:suppressLineNumbers w:val="0"/>
              <w:jc w:val="center"/>
              <w:textAlignment w:val="center"/>
              <w:rPr>
                <w:rFonts w:hint="default"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-4.7</w:t>
            </w:r>
            <w:r>
              <w:rPr>
                <w:rFonts w:hint="eastAsia" w:cs="宋体"/>
                <w:i w:val="0"/>
                <w:iCs w:val="0"/>
                <w:color w:val="000000"/>
                <w:kern w:val="0"/>
                <w:sz w:val="21"/>
                <w:szCs w:val="21"/>
                <w:u w:val="none"/>
                <w:lang w:val="en-US" w:eastAsia="zh-CN" w:bidi="ar"/>
              </w:rPr>
              <w:t>、3.9</w:t>
            </w:r>
          </w:p>
        </w:tc>
        <w:tc>
          <w:tcPr>
            <w:tcW w:w="0" w:type="auto"/>
            <w:vAlign w:val="center"/>
          </w:tcPr>
          <w:p w14:paraId="4A959FC2">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w:t>
            </w:r>
          </w:p>
        </w:tc>
        <w:tc>
          <w:tcPr>
            <w:tcW w:w="0" w:type="auto"/>
            <w:vAlign w:val="center"/>
          </w:tcPr>
          <w:p w14:paraId="5B885639">
            <w:pPr>
              <w:keepNext w:val="0"/>
              <w:keepLines w:val="0"/>
              <w:widowControl/>
              <w:suppressLineNumbers w:val="0"/>
              <w:jc w:val="center"/>
              <w:textAlignment w:val="center"/>
              <w:rPr>
                <w:rFonts w:hint="default"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-5.7</w:t>
            </w:r>
            <w:r>
              <w:rPr>
                <w:rFonts w:hint="eastAsia" w:cs="宋体"/>
                <w:i w:val="0"/>
                <w:iCs w:val="0"/>
                <w:color w:val="000000"/>
                <w:kern w:val="0"/>
                <w:sz w:val="21"/>
                <w:szCs w:val="21"/>
                <w:u w:val="none"/>
                <w:lang w:val="en-US" w:eastAsia="zh-CN" w:bidi="ar"/>
              </w:rPr>
              <w:t>、4.9</w:t>
            </w:r>
          </w:p>
        </w:tc>
        <w:tc>
          <w:tcPr>
            <w:tcW w:w="0" w:type="auto"/>
            <w:vAlign w:val="center"/>
          </w:tcPr>
          <w:p w14:paraId="3BD9B5E5">
            <w:pPr>
              <w:keepNext w:val="0"/>
              <w:keepLines w:val="0"/>
              <w:widowControl/>
              <w:suppressLineNumbers w:val="0"/>
              <w:jc w:val="center"/>
              <w:textAlignment w:val="center"/>
              <w:rPr>
                <w:rFonts w:hint="default" w:ascii="Times New Roman" w:hAnsi="Times New Roman" w:eastAsia="宋体" w:cs="宋体"/>
                <w:i w:val="0"/>
                <w:iCs w:val="0"/>
                <w:color w:val="000000"/>
                <w:kern w:val="2"/>
                <w:sz w:val="21"/>
                <w:szCs w:val="21"/>
                <w:u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-1</w:t>
            </w:r>
            <w:r>
              <w:rPr>
                <w:rFonts w:hint="eastAsia" w:cs="宋体"/>
                <w:i w:val="0"/>
                <w:iCs w:val="0"/>
                <w:color w:val="000000"/>
                <w:kern w:val="0"/>
                <w:sz w:val="21"/>
                <w:szCs w:val="21"/>
                <w:u w:val="none"/>
                <w:lang w:val="en-US" w:eastAsia="zh-CN" w:bidi="ar"/>
              </w:rPr>
              <w:t>、0</w:t>
            </w:r>
          </w:p>
        </w:tc>
      </w:tr>
    </w:tbl>
    <w:p w14:paraId="414A80D6">
      <w:pPr>
        <w:rPr>
          <w:rFonts w:ascii="ˎ̥" w:hAnsi="ˎ̥" w:cs="ˎ̥"/>
          <w:szCs w:val="22"/>
        </w:rPr>
      </w:pPr>
    </w:p>
    <w:p w14:paraId="23E9A4B1">
      <w:pPr>
        <w:adjustRightInd w:val="0"/>
        <w:snapToGrid w:val="0"/>
        <w:jc w:val="center"/>
        <w:rPr>
          <w:color w:val="000000"/>
          <w:sz w:val="24"/>
          <w:szCs w:val="21"/>
        </w:rPr>
      </w:pPr>
      <w:r>
        <w:rPr>
          <w:color w:val="000000"/>
          <w:sz w:val="24"/>
          <w:szCs w:val="21"/>
        </w:rPr>
        <w:t xml:space="preserve"> </w:t>
      </w:r>
      <w:r>
        <w:rPr>
          <w:rFonts w:hint="eastAsia"/>
          <w:color w:val="000000"/>
          <w:sz w:val="24"/>
          <w:szCs w:val="21"/>
        </w:rPr>
        <w:drawing>
          <wp:inline distT="0" distB="0" distL="114300" distR="114300">
            <wp:extent cx="4319270" cy="3124200"/>
            <wp:effectExtent l="0" t="0" r="5080" b="0"/>
            <wp:docPr id="5" name="图片 5" descr="E:\6455\Desktop\2.新疆\1.吐鲁番\1-5.吐鲁番市新阳新能源产业有限公司110千伏业扩配套工程\⭐预测\双回\1、非居-电场.png1、非居-电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455\Desktop\2.新疆\1.吐鲁番\1-5.吐鲁番市新阳新能源产业有限公司110千伏业扩配套工程\⭐预测\双回\1、非居-电场.png1、非居-电场"/>
                    <pic:cNvPicPr>
                      <a:picLocks noChangeAspect="1"/>
                    </pic:cNvPicPr>
                  </pic:nvPicPr>
                  <pic:blipFill>
                    <a:blip r:embed="rId36"/>
                    <a:srcRect/>
                    <a:stretch>
                      <a:fillRect/>
                    </a:stretch>
                  </pic:blipFill>
                  <pic:spPr>
                    <a:xfrm>
                      <a:off x="0" y="0"/>
                      <a:ext cx="4319270" cy="3124200"/>
                    </a:xfrm>
                    <a:prstGeom prst="rect">
                      <a:avLst/>
                    </a:prstGeom>
                  </pic:spPr>
                </pic:pic>
              </a:graphicData>
            </a:graphic>
          </wp:inline>
        </w:drawing>
      </w:r>
    </w:p>
    <w:p w14:paraId="2AB193CB">
      <w:pPr>
        <w:adjustRightInd w:val="0"/>
        <w:snapToGrid w:val="0"/>
        <w:jc w:val="center"/>
        <w:rPr>
          <w:rFonts w:eastAsia="黑体"/>
          <w:b/>
          <w:bCs/>
          <w:color w:val="000000"/>
          <w:szCs w:val="20"/>
        </w:rPr>
      </w:pPr>
      <w:bookmarkStart w:id="883" w:name="_Ref3092"/>
      <w:r>
        <w:rPr>
          <w:rFonts w:eastAsia="黑体"/>
          <w:b/>
          <w:bCs/>
          <w:color w:val="000000"/>
          <w:szCs w:val="20"/>
        </w:rPr>
        <w:t>图</w:t>
      </w:r>
      <w:r>
        <w:rPr>
          <w:rFonts w:eastAsia="黑体"/>
          <w:b/>
          <w:bCs/>
          <w:color w:val="000000"/>
          <w:szCs w:val="20"/>
        </w:rPr>
        <w:fldChar w:fldCharType="begin"/>
      </w:r>
      <w:r>
        <w:rPr>
          <w:rFonts w:eastAsia="黑体"/>
          <w:b/>
          <w:bCs/>
          <w:color w:val="000000"/>
          <w:szCs w:val="20"/>
        </w:rPr>
        <w:instrText xml:space="preserve"> SEQ 图 \* ARABIC </w:instrText>
      </w:r>
      <w:r>
        <w:rPr>
          <w:rFonts w:eastAsia="黑体"/>
          <w:b/>
          <w:bCs/>
          <w:color w:val="000000"/>
          <w:szCs w:val="20"/>
        </w:rPr>
        <w:fldChar w:fldCharType="separate"/>
      </w:r>
      <w:r>
        <w:rPr>
          <w:rFonts w:eastAsia="黑体"/>
          <w:b/>
          <w:bCs/>
          <w:color w:val="000000"/>
          <w:szCs w:val="20"/>
        </w:rPr>
        <w:t>20</w:t>
      </w:r>
      <w:r>
        <w:rPr>
          <w:rFonts w:eastAsia="黑体"/>
          <w:b/>
          <w:bCs/>
          <w:color w:val="000000"/>
          <w:szCs w:val="20"/>
        </w:rPr>
        <w:fldChar w:fldCharType="end"/>
      </w:r>
      <w:bookmarkEnd w:id="883"/>
      <w:r>
        <w:rPr>
          <w:rFonts w:eastAsia="黑体"/>
          <w:b/>
          <w:bCs/>
          <w:color w:val="000000"/>
          <w:szCs w:val="20"/>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rPr>
        <w:t>双</w:t>
      </w:r>
      <w:r>
        <w:rPr>
          <w:rFonts w:eastAsia="黑体"/>
          <w:b/>
          <w:bCs/>
          <w:color w:val="000000"/>
          <w:szCs w:val="20"/>
        </w:rPr>
        <w:t>回线路工频电场强度</w:t>
      </w:r>
      <w:r>
        <w:rPr>
          <w:rFonts w:hint="eastAsia" w:eastAsia="黑体"/>
          <w:b/>
          <w:bCs/>
          <w:color w:val="000000"/>
          <w:szCs w:val="20"/>
        </w:rPr>
        <w:t>预测结果（非居民区）</w:t>
      </w:r>
    </w:p>
    <w:p w14:paraId="1DF63C14">
      <w:pPr>
        <w:adjustRightInd w:val="0"/>
        <w:snapToGrid w:val="0"/>
        <w:jc w:val="center"/>
        <w:rPr>
          <w:color w:val="000000"/>
          <w:sz w:val="24"/>
          <w:szCs w:val="21"/>
        </w:rPr>
      </w:pPr>
      <w:r>
        <w:rPr>
          <w:rFonts w:hint="eastAsia"/>
          <w:color w:val="000000"/>
          <w:sz w:val="24"/>
          <w:szCs w:val="21"/>
        </w:rPr>
        <w:drawing>
          <wp:inline distT="0" distB="0" distL="114300" distR="114300">
            <wp:extent cx="3853180" cy="3277870"/>
            <wp:effectExtent l="0" t="0" r="13970" b="17780"/>
            <wp:docPr id="72" name="图片 72" descr="E:\6455\Desktop\2.新疆\1.吐鲁番\1-5.吐鲁番市新阳新能源产业有限公司110千伏业扩配套工程\⭐预测\双回\1、非居-电场-分布.png1、非居-电场-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6455\Desktop\2.新疆\1.吐鲁番\1-5.吐鲁番市新阳新能源产业有限公司110千伏业扩配套工程\⭐预测\双回\1、非居-电场-分布.png1、非居-电场-分布"/>
                    <pic:cNvPicPr>
                      <a:picLocks noChangeAspect="1"/>
                    </pic:cNvPicPr>
                  </pic:nvPicPr>
                  <pic:blipFill>
                    <a:blip r:embed="rId37"/>
                    <a:srcRect/>
                    <a:stretch>
                      <a:fillRect/>
                    </a:stretch>
                  </pic:blipFill>
                  <pic:spPr>
                    <a:xfrm>
                      <a:off x="0" y="0"/>
                      <a:ext cx="3853180" cy="3277870"/>
                    </a:xfrm>
                    <a:prstGeom prst="rect">
                      <a:avLst/>
                    </a:prstGeom>
                  </pic:spPr>
                </pic:pic>
              </a:graphicData>
            </a:graphic>
          </wp:inline>
        </w:drawing>
      </w:r>
    </w:p>
    <w:p w14:paraId="7A00686A">
      <w:pPr>
        <w:adjustRightInd w:val="0"/>
        <w:snapToGrid w:val="0"/>
        <w:jc w:val="center"/>
        <w:rPr>
          <w:rFonts w:eastAsia="黑体"/>
          <w:b/>
          <w:bCs/>
          <w:color w:val="000000"/>
          <w:szCs w:val="20"/>
        </w:rPr>
      </w:pPr>
      <w:bookmarkStart w:id="884" w:name="_Ref80695619"/>
      <w:r>
        <w:rPr>
          <w:rFonts w:eastAsia="黑体"/>
          <w:b/>
          <w:bCs/>
          <w:color w:val="000000"/>
          <w:szCs w:val="20"/>
        </w:rPr>
        <w:t>图</w:t>
      </w:r>
      <w:r>
        <w:rPr>
          <w:rFonts w:eastAsia="黑体"/>
          <w:b/>
          <w:bCs/>
          <w:color w:val="000000"/>
          <w:szCs w:val="20"/>
        </w:rPr>
        <w:fldChar w:fldCharType="begin"/>
      </w:r>
      <w:r>
        <w:rPr>
          <w:rFonts w:eastAsia="黑体"/>
          <w:b/>
          <w:bCs/>
          <w:color w:val="000000"/>
          <w:szCs w:val="20"/>
        </w:rPr>
        <w:instrText xml:space="preserve"> SEQ 图 \* ARABIC </w:instrText>
      </w:r>
      <w:r>
        <w:rPr>
          <w:rFonts w:eastAsia="黑体"/>
          <w:b/>
          <w:bCs/>
          <w:color w:val="000000"/>
          <w:szCs w:val="20"/>
        </w:rPr>
        <w:fldChar w:fldCharType="separate"/>
      </w:r>
      <w:r>
        <w:rPr>
          <w:rFonts w:eastAsia="黑体"/>
          <w:b/>
          <w:bCs/>
          <w:color w:val="000000"/>
          <w:szCs w:val="20"/>
        </w:rPr>
        <w:t>21</w:t>
      </w:r>
      <w:r>
        <w:rPr>
          <w:rFonts w:eastAsia="黑体"/>
          <w:b/>
          <w:bCs/>
          <w:color w:val="000000"/>
          <w:szCs w:val="20"/>
        </w:rPr>
        <w:fldChar w:fldCharType="end"/>
      </w:r>
      <w:bookmarkEnd w:id="884"/>
      <w:r>
        <w:rPr>
          <w:rFonts w:eastAsia="黑体"/>
          <w:b/>
          <w:bCs/>
          <w:color w:val="000000"/>
          <w:szCs w:val="20"/>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rPr>
        <w:t>双</w:t>
      </w:r>
      <w:r>
        <w:rPr>
          <w:rFonts w:eastAsia="黑体"/>
          <w:b/>
          <w:bCs/>
          <w:color w:val="000000"/>
          <w:szCs w:val="20"/>
        </w:rPr>
        <w:t>回线路工频电场强度</w:t>
      </w:r>
      <w:r>
        <w:rPr>
          <w:rFonts w:hint="eastAsia" w:eastAsia="黑体"/>
          <w:b/>
          <w:bCs/>
          <w:color w:val="000000"/>
          <w:szCs w:val="20"/>
        </w:rPr>
        <w:t>空间</w:t>
      </w:r>
      <w:r>
        <w:rPr>
          <w:rFonts w:eastAsia="黑体"/>
          <w:b/>
          <w:bCs/>
          <w:color w:val="000000"/>
          <w:szCs w:val="20"/>
        </w:rPr>
        <w:t>分布图</w:t>
      </w:r>
      <w:r>
        <w:rPr>
          <w:rFonts w:hint="eastAsia" w:eastAsia="黑体"/>
          <w:b/>
          <w:bCs/>
          <w:color w:val="000000"/>
          <w:szCs w:val="20"/>
        </w:rPr>
        <w:t>（非居民区）</w:t>
      </w:r>
    </w:p>
    <w:p w14:paraId="4C7F95A9">
      <w:pPr>
        <w:rPr>
          <w:rFonts w:ascii="ˎ̥" w:hAnsi="ˎ̥" w:cs="ˎ̥"/>
          <w:szCs w:val="22"/>
        </w:rPr>
      </w:pPr>
    </w:p>
    <w:p w14:paraId="33247B1D">
      <w:pPr>
        <w:adjustRightInd w:val="0"/>
        <w:snapToGrid w:val="0"/>
        <w:jc w:val="center"/>
        <w:rPr>
          <w:color w:val="000000"/>
          <w:sz w:val="24"/>
          <w:szCs w:val="21"/>
        </w:rPr>
      </w:pPr>
      <w:r>
        <w:rPr>
          <w:rFonts w:eastAsia="Times New Roman"/>
          <w:snapToGrid w:val="0"/>
          <w:color w:val="000000"/>
          <w:w w:val="0"/>
          <w:kern w:val="0"/>
          <w:sz w:val="0"/>
          <w:szCs w:val="0"/>
          <w:u w:color="000000"/>
          <w:shd w:val="clear" w:color="000000" w:fill="000000"/>
          <w:lang w:val="zh-CN" w:bidi="zh-CN"/>
        </w:rPr>
        <w:t xml:space="preserve"> </w:t>
      </w:r>
      <w:r>
        <w:rPr>
          <w:color w:val="000000"/>
          <w:sz w:val="24"/>
          <w:szCs w:val="21"/>
        </w:rPr>
        <w:drawing>
          <wp:inline distT="0" distB="0" distL="114300" distR="114300">
            <wp:extent cx="4319270" cy="3124200"/>
            <wp:effectExtent l="0" t="0" r="5080" b="0"/>
            <wp:docPr id="73" name="图片 73" descr="E:\6455\Desktop\2.新疆\1.吐鲁番\1-5.吐鲁番市新阳新能源产业有限公司110千伏业扩配套工程\⭐预测\双回\2、非居-磁场.png2、非居-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6455\Desktop\2.新疆\1.吐鲁番\1-5.吐鲁番市新阳新能源产业有限公司110千伏业扩配套工程\⭐预测\双回\2、非居-磁场.png2、非居-磁场"/>
                    <pic:cNvPicPr>
                      <a:picLocks noChangeAspect="1"/>
                    </pic:cNvPicPr>
                  </pic:nvPicPr>
                  <pic:blipFill>
                    <a:blip r:embed="rId38"/>
                    <a:srcRect/>
                    <a:stretch>
                      <a:fillRect/>
                    </a:stretch>
                  </pic:blipFill>
                  <pic:spPr>
                    <a:xfrm>
                      <a:off x="0" y="0"/>
                      <a:ext cx="4319270" cy="3124200"/>
                    </a:xfrm>
                    <a:prstGeom prst="rect">
                      <a:avLst/>
                    </a:prstGeom>
                  </pic:spPr>
                </pic:pic>
              </a:graphicData>
            </a:graphic>
          </wp:inline>
        </w:drawing>
      </w:r>
    </w:p>
    <w:p w14:paraId="639C2725">
      <w:pPr>
        <w:adjustRightInd w:val="0"/>
        <w:snapToGrid w:val="0"/>
        <w:jc w:val="center"/>
        <w:rPr>
          <w:rFonts w:eastAsia="黑体"/>
          <w:b/>
          <w:bCs/>
          <w:color w:val="000000"/>
          <w:szCs w:val="20"/>
        </w:rPr>
      </w:pPr>
      <w:r>
        <w:rPr>
          <w:rFonts w:eastAsia="黑体"/>
          <w:b/>
          <w:bCs/>
          <w:color w:val="000000"/>
          <w:szCs w:val="20"/>
        </w:rPr>
        <w:t>图</w:t>
      </w:r>
      <w:r>
        <w:rPr>
          <w:rFonts w:eastAsia="黑体"/>
          <w:b/>
          <w:bCs/>
          <w:color w:val="000000"/>
          <w:szCs w:val="20"/>
        </w:rPr>
        <w:fldChar w:fldCharType="begin"/>
      </w:r>
      <w:r>
        <w:rPr>
          <w:rFonts w:eastAsia="黑体"/>
          <w:b/>
          <w:bCs/>
          <w:color w:val="000000"/>
          <w:szCs w:val="20"/>
        </w:rPr>
        <w:instrText xml:space="preserve"> SEQ 图 \* ARABIC </w:instrText>
      </w:r>
      <w:r>
        <w:rPr>
          <w:rFonts w:eastAsia="黑体"/>
          <w:b/>
          <w:bCs/>
          <w:color w:val="000000"/>
          <w:szCs w:val="20"/>
        </w:rPr>
        <w:fldChar w:fldCharType="separate"/>
      </w:r>
      <w:r>
        <w:rPr>
          <w:rFonts w:eastAsia="黑体"/>
          <w:b/>
          <w:bCs/>
          <w:color w:val="000000"/>
          <w:szCs w:val="20"/>
        </w:rPr>
        <w:t>22</w:t>
      </w:r>
      <w:r>
        <w:rPr>
          <w:rFonts w:eastAsia="黑体"/>
          <w:b/>
          <w:bCs/>
          <w:color w:val="000000"/>
          <w:szCs w:val="20"/>
        </w:rPr>
        <w:fldChar w:fldCharType="end"/>
      </w:r>
      <w:r>
        <w:rPr>
          <w:rFonts w:eastAsia="黑体"/>
          <w:b/>
          <w:bCs/>
          <w:color w:val="000000"/>
          <w:szCs w:val="20"/>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rPr>
        <w:t>双</w:t>
      </w:r>
      <w:r>
        <w:rPr>
          <w:rFonts w:eastAsia="黑体"/>
          <w:b/>
          <w:bCs/>
          <w:color w:val="000000"/>
          <w:szCs w:val="20"/>
        </w:rPr>
        <w:t>回线路工频</w:t>
      </w:r>
      <w:r>
        <w:rPr>
          <w:rFonts w:hint="eastAsia" w:eastAsia="黑体"/>
          <w:b/>
          <w:bCs/>
          <w:color w:val="000000"/>
          <w:szCs w:val="20"/>
        </w:rPr>
        <w:t>磁感应</w:t>
      </w:r>
      <w:r>
        <w:rPr>
          <w:rFonts w:eastAsia="黑体"/>
          <w:b/>
          <w:bCs/>
          <w:color w:val="000000"/>
          <w:szCs w:val="20"/>
        </w:rPr>
        <w:t>强度</w:t>
      </w:r>
      <w:r>
        <w:rPr>
          <w:rFonts w:hint="eastAsia" w:eastAsia="黑体"/>
          <w:b/>
          <w:bCs/>
          <w:color w:val="000000"/>
          <w:szCs w:val="20"/>
        </w:rPr>
        <w:t>预测结果（非居民区）</w:t>
      </w:r>
    </w:p>
    <w:p w14:paraId="350BA9AD">
      <w:pPr>
        <w:adjustRightInd w:val="0"/>
        <w:snapToGrid w:val="0"/>
        <w:jc w:val="center"/>
        <w:rPr>
          <w:color w:val="000000"/>
          <w:sz w:val="24"/>
          <w:szCs w:val="21"/>
        </w:rPr>
      </w:pPr>
      <w:r>
        <w:rPr>
          <w:rFonts w:hint="eastAsia"/>
          <w:color w:val="000000"/>
          <w:sz w:val="24"/>
          <w:szCs w:val="21"/>
        </w:rPr>
        <w:drawing>
          <wp:inline distT="0" distB="0" distL="114300" distR="114300">
            <wp:extent cx="3871595" cy="3293745"/>
            <wp:effectExtent l="0" t="0" r="14605" b="1905"/>
            <wp:docPr id="74" name="图片 74" descr="E:\6455\Desktop\2.新疆\1.吐鲁番\1-5.吐鲁番市新阳新能源产业有限公司110千伏业扩配套工程\⭐预测\双回\2、非居-磁场-分布.png2、非居-磁场-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6455\Desktop\2.新疆\1.吐鲁番\1-5.吐鲁番市新阳新能源产业有限公司110千伏业扩配套工程\⭐预测\双回\2、非居-磁场-分布.png2、非居-磁场-分布"/>
                    <pic:cNvPicPr>
                      <a:picLocks noChangeAspect="1"/>
                    </pic:cNvPicPr>
                  </pic:nvPicPr>
                  <pic:blipFill>
                    <a:blip r:embed="rId39"/>
                    <a:srcRect/>
                    <a:stretch>
                      <a:fillRect/>
                    </a:stretch>
                  </pic:blipFill>
                  <pic:spPr>
                    <a:xfrm>
                      <a:off x="0" y="0"/>
                      <a:ext cx="3871595" cy="3293745"/>
                    </a:xfrm>
                    <a:prstGeom prst="rect">
                      <a:avLst/>
                    </a:prstGeom>
                  </pic:spPr>
                </pic:pic>
              </a:graphicData>
            </a:graphic>
          </wp:inline>
        </w:drawing>
      </w:r>
    </w:p>
    <w:p w14:paraId="2439B7EF">
      <w:pPr>
        <w:adjustRightInd w:val="0"/>
        <w:snapToGrid w:val="0"/>
        <w:jc w:val="center"/>
        <w:rPr>
          <w:rFonts w:eastAsia="黑体"/>
          <w:b/>
          <w:bCs/>
          <w:color w:val="000000"/>
          <w:szCs w:val="20"/>
        </w:rPr>
      </w:pPr>
      <w:bookmarkStart w:id="885" w:name="_Ref80695622"/>
      <w:r>
        <w:rPr>
          <w:rFonts w:eastAsia="黑体"/>
          <w:b/>
          <w:bCs/>
          <w:color w:val="000000"/>
          <w:szCs w:val="20"/>
        </w:rPr>
        <w:t>图</w:t>
      </w:r>
      <w:r>
        <w:rPr>
          <w:rFonts w:eastAsia="黑体"/>
          <w:b/>
          <w:bCs/>
          <w:color w:val="000000"/>
          <w:szCs w:val="20"/>
        </w:rPr>
        <w:fldChar w:fldCharType="begin"/>
      </w:r>
      <w:r>
        <w:rPr>
          <w:rFonts w:eastAsia="黑体"/>
          <w:b/>
          <w:bCs/>
          <w:color w:val="000000"/>
          <w:szCs w:val="20"/>
        </w:rPr>
        <w:instrText xml:space="preserve"> SEQ 图 \* ARABIC </w:instrText>
      </w:r>
      <w:r>
        <w:rPr>
          <w:rFonts w:eastAsia="黑体"/>
          <w:b/>
          <w:bCs/>
          <w:color w:val="000000"/>
          <w:szCs w:val="20"/>
        </w:rPr>
        <w:fldChar w:fldCharType="separate"/>
      </w:r>
      <w:r>
        <w:rPr>
          <w:rFonts w:eastAsia="黑体"/>
          <w:b/>
          <w:bCs/>
          <w:color w:val="000000"/>
          <w:szCs w:val="20"/>
        </w:rPr>
        <w:t>23</w:t>
      </w:r>
      <w:r>
        <w:rPr>
          <w:rFonts w:eastAsia="黑体"/>
          <w:b/>
          <w:bCs/>
          <w:color w:val="000000"/>
          <w:szCs w:val="20"/>
        </w:rPr>
        <w:fldChar w:fldCharType="end"/>
      </w:r>
      <w:bookmarkEnd w:id="885"/>
      <w:r>
        <w:rPr>
          <w:rFonts w:eastAsia="黑体"/>
          <w:b/>
          <w:bCs/>
          <w:color w:val="000000"/>
          <w:szCs w:val="20"/>
        </w:rPr>
        <w:t xml:space="preserve">  </w:t>
      </w:r>
      <w:r>
        <w:rPr>
          <w:rFonts w:hint="eastAsia" w:eastAsia="黑体"/>
          <w:b/>
          <w:bCs/>
          <w:color w:val="000000"/>
          <w:szCs w:val="20"/>
          <w:lang w:val="en-US" w:eastAsia="zh-CN"/>
        </w:rPr>
        <w:t>11</w:t>
      </w:r>
      <w:r>
        <w:rPr>
          <w:rFonts w:eastAsia="黑体"/>
          <w:b/>
          <w:bCs/>
          <w:color w:val="000000"/>
          <w:szCs w:val="20"/>
        </w:rPr>
        <w:t>0kV</w:t>
      </w:r>
      <w:r>
        <w:rPr>
          <w:rFonts w:hint="eastAsia" w:eastAsia="黑体"/>
          <w:b/>
          <w:bCs/>
          <w:color w:val="000000"/>
          <w:szCs w:val="20"/>
        </w:rPr>
        <w:t>双</w:t>
      </w:r>
      <w:r>
        <w:rPr>
          <w:rFonts w:eastAsia="黑体"/>
          <w:b/>
          <w:bCs/>
          <w:color w:val="000000"/>
          <w:szCs w:val="20"/>
        </w:rPr>
        <w:t>回线路工频</w:t>
      </w:r>
      <w:r>
        <w:rPr>
          <w:rFonts w:hint="eastAsia" w:eastAsia="黑体"/>
          <w:b/>
          <w:bCs/>
          <w:color w:val="000000"/>
          <w:szCs w:val="20"/>
        </w:rPr>
        <w:t>磁感应</w:t>
      </w:r>
      <w:r>
        <w:rPr>
          <w:rFonts w:eastAsia="黑体"/>
          <w:b/>
          <w:bCs/>
          <w:color w:val="000000"/>
          <w:szCs w:val="20"/>
        </w:rPr>
        <w:t>强度</w:t>
      </w:r>
      <w:r>
        <w:rPr>
          <w:rFonts w:hint="eastAsia" w:eastAsia="黑体"/>
          <w:b/>
          <w:bCs/>
          <w:color w:val="000000"/>
          <w:szCs w:val="20"/>
        </w:rPr>
        <w:t>空间</w:t>
      </w:r>
      <w:r>
        <w:rPr>
          <w:rFonts w:eastAsia="黑体"/>
          <w:b/>
          <w:bCs/>
          <w:color w:val="000000"/>
          <w:szCs w:val="20"/>
        </w:rPr>
        <w:t>分布图</w:t>
      </w:r>
      <w:r>
        <w:rPr>
          <w:rFonts w:hint="eastAsia" w:eastAsia="黑体"/>
          <w:b/>
          <w:bCs/>
          <w:color w:val="000000"/>
          <w:szCs w:val="20"/>
        </w:rPr>
        <w:t>（非居民区）</w:t>
      </w:r>
    </w:p>
    <w:p w14:paraId="497B4385">
      <w:pPr>
        <w:jc w:val="center"/>
        <w:rPr>
          <w:rFonts w:ascii="ˎ̥" w:hAnsi="ˎ̥" w:cs="ˎ̥"/>
          <w:szCs w:val="22"/>
        </w:rPr>
      </w:pPr>
    </w:p>
    <w:p w14:paraId="7C2A320D">
      <w:pPr>
        <w:ind w:firstLine="420" w:firstLineChars="200"/>
        <w:jc w:val="center"/>
        <w:rPr>
          <w:rFonts w:ascii="ˎ̥" w:hAnsi="ˎ̥" w:cs="ˎ̥"/>
          <w:szCs w:val="22"/>
        </w:rPr>
      </w:pPr>
      <w:r>
        <w:rPr>
          <w:rFonts w:ascii="ˎ̥" w:hAnsi="ˎ̥" w:cs="ˎ̥"/>
          <w:szCs w:val="22"/>
        </w:rPr>
        <w:drawing>
          <wp:inline distT="0" distB="0" distL="114300" distR="114300">
            <wp:extent cx="4319270" cy="3124200"/>
            <wp:effectExtent l="0" t="0" r="5080" b="0"/>
            <wp:docPr id="9" name="图片 9" descr="E:\6455\Desktop\2.新疆\1.吐鲁番\1-5.吐鲁番市新阳新能源产业有限公司110千伏业扩配套工程\⭐预测\双回\3、居民区-电场.png3、居民区-电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6455\Desktop\2.新疆\1.吐鲁番\1-5.吐鲁番市新阳新能源产业有限公司110千伏业扩配套工程\⭐预测\双回\3、居民区-电场.png3、居民区-电场"/>
                    <pic:cNvPicPr>
                      <a:picLocks noChangeAspect="1"/>
                    </pic:cNvPicPr>
                  </pic:nvPicPr>
                  <pic:blipFill>
                    <a:blip r:embed="rId40"/>
                    <a:srcRect/>
                    <a:stretch>
                      <a:fillRect/>
                    </a:stretch>
                  </pic:blipFill>
                  <pic:spPr>
                    <a:xfrm>
                      <a:off x="0" y="0"/>
                      <a:ext cx="4319270" cy="3124200"/>
                    </a:xfrm>
                    <a:prstGeom prst="rect">
                      <a:avLst/>
                    </a:prstGeom>
                  </pic:spPr>
                </pic:pic>
              </a:graphicData>
            </a:graphic>
          </wp:inline>
        </w:drawing>
      </w:r>
    </w:p>
    <w:p w14:paraId="6E854859">
      <w:pPr>
        <w:ind w:firstLine="420" w:firstLineChars="200"/>
        <w:jc w:val="center"/>
        <w:rPr>
          <w:rFonts w:ascii="ˎ̥" w:hAnsi="ˎ̥" w:cs="ˎ̥"/>
          <w:szCs w:val="22"/>
        </w:rPr>
      </w:pPr>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24</w:t>
      </w:r>
      <w:r>
        <w:rPr>
          <w:rFonts w:cs="ˎ̥"/>
          <w:b/>
          <w:bCs/>
          <w:color w:val="000000"/>
          <w:szCs w:val="22"/>
        </w:rPr>
        <w:fldChar w:fldCharType="end"/>
      </w:r>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rPr>
        <w:t>双</w:t>
      </w:r>
      <w:r>
        <w:rPr>
          <w:rFonts w:cs="ˎ̥"/>
          <w:b/>
          <w:bCs/>
          <w:color w:val="000000"/>
          <w:szCs w:val="22"/>
        </w:rPr>
        <w:t>回线路工频电场强度</w:t>
      </w:r>
      <w:r>
        <w:rPr>
          <w:rFonts w:hint="eastAsia" w:cs="ˎ̥"/>
          <w:b/>
          <w:bCs/>
          <w:color w:val="000000"/>
          <w:szCs w:val="22"/>
        </w:rPr>
        <w:t>预测结果（居民区）</w:t>
      </w:r>
    </w:p>
    <w:p w14:paraId="70769581">
      <w:pPr>
        <w:ind w:firstLine="420" w:firstLineChars="200"/>
        <w:jc w:val="center"/>
        <w:rPr>
          <w:rFonts w:ascii="ˎ̥" w:hAnsi="ˎ̥" w:cs="ˎ̥"/>
          <w:szCs w:val="22"/>
        </w:rPr>
      </w:pPr>
      <w:r>
        <w:rPr>
          <w:rFonts w:ascii="ˎ̥" w:hAnsi="ˎ̥" w:cs="ˎ̥"/>
          <w:szCs w:val="22"/>
        </w:rPr>
        <w:drawing>
          <wp:inline distT="0" distB="0" distL="114300" distR="114300">
            <wp:extent cx="4319905" cy="3688715"/>
            <wp:effectExtent l="0" t="0" r="4445" b="6985"/>
            <wp:docPr id="3" name="图片 3" descr="E:\6455\Desktop\2.新疆\1.吐鲁番\1-5.吐鲁番市新阳新能源产业有限公司110千伏业扩配套工程\⭐预测\双回\3、居民区-电场-分布.png3、居民区-电场-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6455\Desktop\2.新疆\1.吐鲁番\1-5.吐鲁番市新阳新能源产业有限公司110千伏业扩配套工程\⭐预测\双回\3、居民区-电场-分布.png3、居民区-电场-分布"/>
                    <pic:cNvPicPr>
                      <a:picLocks noChangeAspect="1"/>
                    </pic:cNvPicPr>
                  </pic:nvPicPr>
                  <pic:blipFill>
                    <a:blip r:embed="rId41"/>
                    <a:srcRect/>
                    <a:stretch>
                      <a:fillRect/>
                    </a:stretch>
                  </pic:blipFill>
                  <pic:spPr>
                    <a:xfrm>
                      <a:off x="0" y="0"/>
                      <a:ext cx="4319905" cy="3688715"/>
                    </a:xfrm>
                    <a:prstGeom prst="rect">
                      <a:avLst/>
                    </a:prstGeom>
                  </pic:spPr>
                </pic:pic>
              </a:graphicData>
            </a:graphic>
          </wp:inline>
        </w:drawing>
      </w:r>
    </w:p>
    <w:p w14:paraId="4A6A5926">
      <w:pPr>
        <w:ind w:firstLine="420" w:firstLineChars="200"/>
        <w:jc w:val="center"/>
        <w:rPr>
          <w:rFonts w:cs="ˎ̥"/>
          <w:b/>
          <w:bCs/>
          <w:color w:val="000000"/>
          <w:szCs w:val="22"/>
        </w:rPr>
      </w:pPr>
      <w:bookmarkStart w:id="886" w:name="_Ref14921"/>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25</w:t>
      </w:r>
      <w:r>
        <w:rPr>
          <w:rFonts w:cs="ˎ̥"/>
          <w:b/>
          <w:bCs/>
          <w:color w:val="000000"/>
          <w:szCs w:val="22"/>
        </w:rPr>
        <w:fldChar w:fldCharType="end"/>
      </w:r>
      <w:bookmarkEnd w:id="886"/>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rPr>
        <w:t>双</w:t>
      </w:r>
      <w:r>
        <w:rPr>
          <w:rFonts w:cs="ˎ̥"/>
          <w:b/>
          <w:bCs/>
          <w:color w:val="000000"/>
          <w:szCs w:val="22"/>
        </w:rPr>
        <w:t>回线路工频电场强度</w:t>
      </w:r>
      <w:r>
        <w:rPr>
          <w:rFonts w:hint="eastAsia" w:cs="ˎ̥"/>
          <w:b/>
          <w:bCs/>
          <w:color w:val="000000"/>
          <w:szCs w:val="22"/>
        </w:rPr>
        <w:t>空间</w:t>
      </w:r>
      <w:r>
        <w:rPr>
          <w:rFonts w:cs="ˎ̥"/>
          <w:b/>
          <w:bCs/>
          <w:color w:val="000000"/>
          <w:szCs w:val="22"/>
        </w:rPr>
        <w:t>分布图</w:t>
      </w:r>
      <w:r>
        <w:rPr>
          <w:rFonts w:hint="eastAsia" w:cs="ˎ̥"/>
          <w:b/>
          <w:bCs/>
          <w:color w:val="000000"/>
          <w:szCs w:val="22"/>
        </w:rPr>
        <w:t>（居民区）</w:t>
      </w:r>
    </w:p>
    <w:p w14:paraId="2F77D8D4">
      <w:pPr>
        <w:ind w:firstLine="420" w:firstLineChars="200"/>
        <w:jc w:val="center"/>
        <w:rPr>
          <w:rFonts w:cs="ˎ̥"/>
          <w:b/>
          <w:bCs/>
          <w:color w:val="000000"/>
          <w:szCs w:val="22"/>
        </w:rPr>
      </w:pPr>
    </w:p>
    <w:p w14:paraId="47F7FB5B">
      <w:pPr>
        <w:ind w:firstLine="420" w:firstLineChars="200"/>
        <w:jc w:val="center"/>
        <w:rPr>
          <w:rFonts w:ascii="ˎ̥" w:hAnsi="ˎ̥" w:cs="ˎ̥"/>
          <w:szCs w:val="22"/>
        </w:rPr>
      </w:pPr>
      <w:r>
        <w:rPr>
          <w:rFonts w:ascii="ˎ̥" w:hAnsi="ˎ̥" w:cs="ˎ̥"/>
          <w:szCs w:val="22"/>
        </w:rPr>
        <w:drawing>
          <wp:inline distT="0" distB="0" distL="114300" distR="114300">
            <wp:extent cx="4319270" cy="3124200"/>
            <wp:effectExtent l="0" t="0" r="5080" b="0"/>
            <wp:docPr id="2" name="图片 2" descr="E:\6455\Desktop\2.新疆\1.吐鲁番\1-5.吐鲁番市新阳新能源产业有限公司110千伏业扩配套工程\⭐预测\双回\4、居民区-磁场.png4、居民区-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455\Desktop\2.新疆\1.吐鲁番\1-5.吐鲁番市新阳新能源产业有限公司110千伏业扩配套工程\⭐预测\双回\4、居民区-磁场.png4、居民区-磁场"/>
                    <pic:cNvPicPr>
                      <a:picLocks noChangeAspect="1"/>
                    </pic:cNvPicPr>
                  </pic:nvPicPr>
                  <pic:blipFill>
                    <a:blip r:embed="rId42"/>
                    <a:srcRect/>
                    <a:stretch>
                      <a:fillRect/>
                    </a:stretch>
                  </pic:blipFill>
                  <pic:spPr>
                    <a:xfrm>
                      <a:off x="0" y="0"/>
                      <a:ext cx="4319270" cy="3124200"/>
                    </a:xfrm>
                    <a:prstGeom prst="rect">
                      <a:avLst/>
                    </a:prstGeom>
                  </pic:spPr>
                </pic:pic>
              </a:graphicData>
            </a:graphic>
          </wp:inline>
        </w:drawing>
      </w:r>
    </w:p>
    <w:p w14:paraId="6AB2A0B1">
      <w:pPr>
        <w:ind w:firstLine="420" w:firstLineChars="200"/>
        <w:jc w:val="center"/>
        <w:rPr>
          <w:rFonts w:ascii="ˎ̥" w:hAnsi="ˎ̥" w:cs="ˎ̥"/>
          <w:szCs w:val="22"/>
        </w:rPr>
      </w:pPr>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26</w:t>
      </w:r>
      <w:r>
        <w:rPr>
          <w:rFonts w:cs="ˎ̥"/>
          <w:b/>
          <w:bCs/>
          <w:color w:val="000000"/>
          <w:szCs w:val="22"/>
        </w:rPr>
        <w:fldChar w:fldCharType="end"/>
      </w:r>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rPr>
        <w:t>双</w:t>
      </w:r>
      <w:r>
        <w:rPr>
          <w:rFonts w:cs="ˎ̥"/>
          <w:b/>
          <w:bCs/>
          <w:color w:val="000000"/>
          <w:szCs w:val="22"/>
        </w:rPr>
        <w:t>回线路工频</w:t>
      </w:r>
      <w:r>
        <w:rPr>
          <w:rFonts w:hint="eastAsia" w:cs="ˎ̥"/>
          <w:b/>
          <w:bCs/>
          <w:color w:val="000000"/>
          <w:szCs w:val="22"/>
        </w:rPr>
        <w:t>磁感应</w:t>
      </w:r>
      <w:r>
        <w:rPr>
          <w:rFonts w:cs="ˎ̥"/>
          <w:b/>
          <w:bCs/>
          <w:color w:val="000000"/>
          <w:szCs w:val="22"/>
        </w:rPr>
        <w:t>强度</w:t>
      </w:r>
      <w:r>
        <w:rPr>
          <w:rFonts w:hint="eastAsia" w:cs="ˎ̥"/>
          <w:b/>
          <w:bCs/>
          <w:color w:val="000000"/>
          <w:szCs w:val="22"/>
        </w:rPr>
        <w:t>预测结果（居民区）</w:t>
      </w:r>
    </w:p>
    <w:p w14:paraId="1A7A15B4">
      <w:pPr>
        <w:ind w:firstLine="420" w:firstLineChars="200"/>
        <w:jc w:val="center"/>
        <w:rPr>
          <w:rFonts w:ascii="ˎ̥" w:hAnsi="ˎ̥" w:cs="ˎ̥"/>
          <w:szCs w:val="22"/>
        </w:rPr>
      </w:pPr>
      <w:r>
        <w:rPr>
          <w:rFonts w:ascii="ˎ̥" w:hAnsi="ˎ̥" w:cs="ˎ̥"/>
          <w:szCs w:val="22"/>
        </w:rPr>
        <w:drawing>
          <wp:inline distT="0" distB="0" distL="114300" distR="114300">
            <wp:extent cx="4264025" cy="3646170"/>
            <wp:effectExtent l="0" t="0" r="3175" b="11430"/>
            <wp:docPr id="75" name="图片 75" descr="E:\6455\Desktop\2.新疆\1.吐鲁番\1-5.吐鲁番市新阳新能源产业有限公司110千伏业扩配套工程\⭐预测\双回\4、居民区-磁场-分布.png4、居民区-磁场-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6455\Desktop\2.新疆\1.吐鲁番\1-5.吐鲁番市新阳新能源产业有限公司110千伏业扩配套工程\⭐预测\双回\4、居民区-磁场-分布.png4、居民区-磁场-分布"/>
                    <pic:cNvPicPr>
                      <a:picLocks noChangeAspect="1"/>
                    </pic:cNvPicPr>
                  </pic:nvPicPr>
                  <pic:blipFill>
                    <a:blip r:embed="rId43"/>
                    <a:srcRect/>
                    <a:stretch>
                      <a:fillRect/>
                    </a:stretch>
                  </pic:blipFill>
                  <pic:spPr>
                    <a:xfrm>
                      <a:off x="0" y="0"/>
                      <a:ext cx="4264025" cy="3646170"/>
                    </a:xfrm>
                    <a:prstGeom prst="rect">
                      <a:avLst/>
                    </a:prstGeom>
                  </pic:spPr>
                </pic:pic>
              </a:graphicData>
            </a:graphic>
          </wp:inline>
        </w:drawing>
      </w:r>
    </w:p>
    <w:p w14:paraId="56D61749">
      <w:pPr>
        <w:ind w:firstLine="420" w:firstLineChars="200"/>
        <w:jc w:val="center"/>
        <w:rPr>
          <w:rFonts w:ascii="ˎ̥" w:hAnsi="ˎ̥" w:cs="ˎ̥"/>
          <w:szCs w:val="22"/>
        </w:rPr>
      </w:pPr>
      <w:bookmarkStart w:id="887" w:name="_Ref3157"/>
      <w:r>
        <w:rPr>
          <w:rFonts w:cs="ˎ̥"/>
          <w:b/>
          <w:bCs/>
          <w:color w:val="000000"/>
          <w:szCs w:val="22"/>
        </w:rPr>
        <w:t>图</w:t>
      </w:r>
      <w:r>
        <w:rPr>
          <w:rFonts w:cs="ˎ̥"/>
          <w:b/>
          <w:bCs/>
          <w:color w:val="000000"/>
          <w:szCs w:val="22"/>
        </w:rPr>
        <w:fldChar w:fldCharType="begin"/>
      </w:r>
      <w:r>
        <w:rPr>
          <w:rFonts w:cs="ˎ̥"/>
          <w:b/>
          <w:bCs/>
          <w:color w:val="000000"/>
          <w:szCs w:val="22"/>
        </w:rPr>
        <w:instrText xml:space="preserve"> SEQ 图 \* ARABIC </w:instrText>
      </w:r>
      <w:r>
        <w:rPr>
          <w:rFonts w:cs="ˎ̥"/>
          <w:b/>
          <w:bCs/>
          <w:color w:val="000000"/>
          <w:szCs w:val="22"/>
        </w:rPr>
        <w:fldChar w:fldCharType="separate"/>
      </w:r>
      <w:r>
        <w:rPr>
          <w:rFonts w:cs="ˎ̥"/>
          <w:b/>
          <w:bCs/>
          <w:color w:val="000000"/>
          <w:szCs w:val="22"/>
        </w:rPr>
        <w:t>27</w:t>
      </w:r>
      <w:r>
        <w:rPr>
          <w:rFonts w:cs="ˎ̥"/>
          <w:b/>
          <w:bCs/>
          <w:color w:val="000000"/>
          <w:szCs w:val="22"/>
        </w:rPr>
        <w:fldChar w:fldCharType="end"/>
      </w:r>
      <w:bookmarkEnd w:id="887"/>
      <w:r>
        <w:rPr>
          <w:rFonts w:cs="ˎ̥"/>
          <w:b/>
          <w:bCs/>
          <w:color w:val="000000"/>
          <w:szCs w:val="22"/>
        </w:rPr>
        <w:t xml:space="preserve">  </w:t>
      </w:r>
      <w:r>
        <w:rPr>
          <w:rFonts w:hint="eastAsia" w:cs="ˎ̥"/>
          <w:b/>
          <w:bCs/>
          <w:color w:val="000000"/>
          <w:szCs w:val="22"/>
          <w:lang w:eastAsia="zh-CN"/>
        </w:rPr>
        <w:t>110kV</w:t>
      </w:r>
      <w:r>
        <w:rPr>
          <w:rFonts w:hint="eastAsia" w:cs="ˎ̥"/>
          <w:b/>
          <w:bCs/>
          <w:color w:val="000000"/>
          <w:szCs w:val="22"/>
        </w:rPr>
        <w:t>双</w:t>
      </w:r>
      <w:r>
        <w:rPr>
          <w:rFonts w:cs="ˎ̥"/>
          <w:b/>
          <w:bCs/>
          <w:color w:val="000000"/>
          <w:szCs w:val="22"/>
        </w:rPr>
        <w:t>回线路工频</w:t>
      </w:r>
      <w:r>
        <w:rPr>
          <w:rFonts w:hint="eastAsia" w:cs="ˎ̥"/>
          <w:b/>
          <w:bCs/>
          <w:color w:val="000000"/>
          <w:szCs w:val="22"/>
        </w:rPr>
        <w:t>磁感应</w:t>
      </w:r>
      <w:r>
        <w:rPr>
          <w:rFonts w:cs="ˎ̥"/>
          <w:b/>
          <w:bCs/>
          <w:color w:val="000000"/>
          <w:szCs w:val="22"/>
        </w:rPr>
        <w:t>强度</w:t>
      </w:r>
      <w:r>
        <w:rPr>
          <w:rFonts w:hint="eastAsia" w:cs="ˎ̥"/>
          <w:b/>
          <w:bCs/>
          <w:color w:val="000000"/>
          <w:szCs w:val="22"/>
        </w:rPr>
        <w:t>空间</w:t>
      </w:r>
      <w:r>
        <w:rPr>
          <w:rFonts w:cs="ˎ̥"/>
          <w:b/>
          <w:bCs/>
          <w:color w:val="000000"/>
          <w:szCs w:val="22"/>
        </w:rPr>
        <w:t>分布图</w:t>
      </w:r>
      <w:r>
        <w:rPr>
          <w:rFonts w:hint="eastAsia" w:cs="ˎ̥"/>
          <w:b/>
          <w:bCs/>
          <w:color w:val="000000"/>
          <w:szCs w:val="22"/>
        </w:rPr>
        <w:t>（居民区）</w:t>
      </w:r>
    </w:p>
    <w:p w14:paraId="2427D24F">
      <w:pPr>
        <w:keepNext/>
        <w:keepLines/>
        <w:numPr>
          <w:ilvl w:val="2"/>
          <w:numId w:val="22"/>
        </w:numPr>
        <w:spacing w:before="157" w:beforeLines="50" w:line="360" w:lineRule="auto"/>
        <w:outlineLvl w:val="2"/>
        <w:rPr>
          <w:rFonts w:cs="ˎ̥"/>
          <w:b/>
          <w:bCs/>
          <w:color w:val="000000"/>
          <w:sz w:val="24"/>
          <w:szCs w:val="32"/>
        </w:rPr>
      </w:pPr>
      <w:bookmarkStart w:id="888" w:name="_Toc25648"/>
      <w:r>
        <w:rPr>
          <w:rFonts w:hint="eastAsia" w:cs="ˎ̥"/>
          <w:b/>
          <w:bCs/>
          <w:color w:val="000000"/>
          <w:sz w:val="24"/>
          <w:szCs w:val="32"/>
        </w:rPr>
        <w:t>预测结果分析</w:t>
      </w:r>
      <w:bookmarkEnd w:id="888"/>
    </w:p>
    <w:p w14:paraId="2CD32222">
      <w:pPr>
        <w:spacing w:line="360" w:lineRule="auto"/>
        <w:ind w:firstLine="480" w:firstLineChars="200"/>
        <w:rPr>
          <w:rFonts w:hint="default" w:eastAsia="宋体"/>
          <w:color w:val="000000"/>
          <w:sz w:val="24"/>
          <w:lang w:val="en-US" w:eastAsia="zh-CN"/>
        </w:rPr>
      </w:pPr>
      <w:bookmarkStart w:id="889" w:name="_Hlk62715951"/>
      <w:bookmarkStart w:id="890" w:name="_Hlk62557461"/>
      <w:bookmarkStart w:id="891" w:name="_Toc326658245"/>
      <w:bookmarkStart w:id="892" w:name="_Hlk65080561"/>
      <w:r>
        <w:rPr>
          <w:rFonts w:hint="eastAsia"/>
          <w:color w:val="000000"/>
          <w:sz w:val="24"/>
          <w:lang w:eastAsia="zh-CN"/>
        </w:rPr>
        <w:t>（</w:t>
      </w:r>
      <w:r>
        <w:rPr>
          <w:rFonts w:hint="eastAsia"/>
          <w:color w:val="000000"/>
          <w:sz w:val="24"/>
          <w:lang w:val="en-US" w:eastAsia="zh-CN"/>
        </w:rPr>
        <w:t>1）单回线路</w:t>
      </w:r>
    </w:p>
    <w:p w14:paraId="0B96B206">
      <w:pPr>
        <w:spacing w:line="360" w:lineRule="auto"/>
        <w:ind w:firstLine="480" w:firstLineChars="200"/>
        <w:rPr>
          <w:rFonts w:hint="eastAsia"/>
          <w:color w:val="000000"/>
          <w:sz w:val="24"/>
        </w:rPr>
      </w:pPr>
      <w:r>
        <w:rPr>
          <w:rFonts w:hint="eastAsia"/>
          <w:color w:val="000000"/>
          <w:sz w:val="24"/>
        </w:rPr>
        <w:t>本工程新建</w:t>
      </w:r>
      <w:r>
        <w:rPr>
          <w:rFonts w:hint="eastAsia"/>
          <w:color w:val="000000"/>
          <w:sz w:val="24"/>
          <w:lang w:val="en-US" w:eastAsia="zh-CN"/>
        </w:rPr>
        <w:t>单</w:t>
      </w:r>
      <w:r>
        <w:rPr>
          <w:rFonts w:hint="eastAsia"/>
          <w:color w:val="000000"/>
          <w:sz w:val="24"/>
        </w:rPr>
        <w:t>回线路经过非居民区，导线对地最小距离为</w:t>
      </w:r>
      <w:r>
        <w:rPr>
          <w:color w:val="000000"/>
          <w:sz w:val="24"/>
        </w:rPr>
        <w:t>6</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2.58</w:t>
      </w:r>
      <w:r>
        <w:rPr>
          <w:color w:val="000000"/>
          <w:sz w:val="24"/>
        </w:rPr>
        <w:t>kV/m</w:t>
      </w:r>
      <w:r>
        <w:rPr>
          <w:rFonts w:hint="eastAsia"/>
          <w:color w:val="000000"/>
          <w:sz w:val="24"/>
        </w:rPr>
        <w:t>、工频磁感应强度最大值为</w:t>
      </w:r>
      <w:r>
        <w:rPr>
          <w:rFonts w:hint="eastAsia"/>
          <w:color w:val="000000"/>
          <w:sz w:val="24"/>
          <w:lang w:val="en-US" w:eastAsia="zh-CN"/>
        </w:rPr>
        <w:t>27.66</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568C491E">
      <w:pPr>
        <w:spacing w:line="360" w:lineRule="auto"/>
        <w:ind w:firstLine="480" w:firstLineChars="200"/>
        <w:rPr>
          <w:rFonts w:hint="eastAsia"/>
          <w:color w:val="000000"/>
          <w:sz w:val="24"/>
          <w:lang w:eastAsia="zh-CN"/>
        </w:rPr>
      </w:pPr>
      <w:r>
        <w:rPr>
          <w:rFonts w:hint="eastAsia"/>
          <w:color w:val="000000"/>
          <w:sz w:val="24"/>
        </w:rPr>
        <w:t>本工程新建</w:t>
      </w:r>
      <w:r>
        <w:rPr>
          <w:rFonts w:hint="eastAsia"/>
          <w:color w:val="000000"/>
          <w:sz w:val="24"/>
          <w:lang w:val="en-US" w:eastAsia="zh-CN"/>
        </w:rPr>
        <w:t>单</w:t>
      </w:r>
      <w:r>
        <w:rPr>
          <w:rFonts w:hint="eastAsia"/>
          <w:color w:val="000000"/>
          <w:sz w:val="24"/>
        </w:rPr>
        <w:t>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1.99</w:t>
      </w:r>
      <w:r>
        <w:rPr>
          <w:color w:val="000000"/>
          <w:sz w:val="24"/>
        </w:rPr>
        <w:t>kV/m</w:t>
      </w:r>
      <w:r>
        <w:rPr>
          <w:rFonts w:hint="eastAsia"/>
          <w:color w:val="000000"/>
          <w:sz w:val="24"/>
        </w:rPr>
        <w:t>、工频磁感应强度最大值为</w:t>
      </w:r>
      <w:r>
        <w:rPr>
          <w:rFonts w:hint="eastAsia"/>
          <w:color w:val="000000"/>
          <w:sz w:val="24"/>
          <w:lang w:val="en-US" w:eastAsia="zh-CN"/>
        </w:rPr>
        <w:t>21.84</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4E8B84E7">
      <w:pPr>
        <w:spacing w:line="360" w:lineRule="auto"/>
        <w:ind w:firstLine="480" w:firstLineChars="200"/>
        <w:rPr>
          <w:rFonts w:hint="default" w:eastAsia="宋体"/>
          <w:color w:val="000000"/>
          <w:sz w:val="24"/>
          <w:lang w:val="en-US" w:eastAsia="zh-CN"/>
        </w:rPr>
      </w:pPr>
      <w:r>
        <w:rPr>
          <w:rFonts w:hint="eastAsia"/>
          <w:color w:val="000000"/>
          <w:sz w:val="24"/>
          <w:lang w:eastAsia="zh-CN"/>
        </w:rPr>
        <w:t>（</w:t>
      </w:r>
      <w:r>
        <w:rPr>
          <w:rFonts w:hint="eastAsia"/>
          <w:color w:val="000000"/>
          <w:sz w:val="24"/>
          <w:lang w:val="en-US" w:eastAsia="zh-CN"/>
        </w:rPr>
        <w:t>2）双回线路</w:t>
      </w:r>
    </w:p>
    <w:p w14:paraId="625868CF">
      <w:pPr>
        <w:spacing w:line="360" w:lineRule="auto"/>
        <w:ind w:firstLine="480" w:firstLineChars="200"/>
        <w:rPr>
          <w:color w:val="000000"/>
          <w:sz w:val="24"/>
        </w:rPr>
      </w:pPr>
      <w:r>
        <w:rPr>
          <w:rFonts w:hint="eastAsia"/>
          <w:color w:val="000000"/>
          <w:sz w:val="24"/>
        </w:rPr>
        <w:t>本工程新建双回线路经过非居民区，导线对地最小距离为</w:t>
      </w:r>
      <w:r>
        <w:rPr>
          <w:color w:val="000000"/>
          <w:sz w:val="24"/>
        </w:rPr>
        <w:t>6</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2.13</w:t>
      </w:r>
      <w:r>
        <w:rPr>
          <w:color w:val="000000"/>
          <w:sz w:val="24"/>
        </w:rPr>
        <w:t>kV/m</w:t>
      </w:r>
      <w:r>
        <w:rPr>
          <w:rFonts w:hint="eastAsia"/>
          <w:color w:val="000000"/>
          <w:sz w:val="24"/>
        </w:rPr>
        <w:t>、工频磁感应强度最大值为</w:t>
      </w:r>
      <w:r>
        <w:rPr>
          <w:rFonts w:hint="eastAsia"/>
          <w:color w:val="000000"/>
          <w:sz w:val="24"/>
          <w:lang w:val="en-US" w:eastAsia="zh-CN"/>
        </w:rPr>
        <w:t>18.37</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08057057">
      <w:pPr>
        <w:spacing w:line="360" w:lineRule="auto"/>
        <w:ind w:firstLine="480" w:firstLineChars="200"/>
        <w:rPr>
          <w:color w:val="000000"/>
          <w:sz w:val="24"/>
        </w:rPr>
      </w:pPr>
      <w:r>
        <w:rPr>
          <w:rFonts w:hint="eastAsia"/>
          <w:color w:val="000000"/>
          <w:sz w:val="24"/>
        </w:rPr>
        <w:t>本工程新建双回线路经过居民区，导线对地最小距离为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1.58</w:t>
      </w:r>
      <w:r>
        <w:rPr>
          <w:color w:val="000000"/>
          <w:sz w:val="24"/>
        </w:rPr>
        <w:t>kV/m</w:t>
      </w:r>
      <w:r>
        <w:rPr>
          <w:rFonts w:hint="eastAsia"/>
          <w:color w:val="000000"/>
          <w:sz w:val="24"/>
        </w:rPr>
        <w:t>、工频磁感应强度最大值为</w:t>
      </w:r>
      <w:r>
        <w:rPr>
          <w:rFonts w:hint="eastAsia"/>
          <w:color w:val="000000"/>
          <w:sz w:val="24"/>
          <w:lang w:val="en-US" w:eastAsia="zh-CN"/>
        </w:rPr>
        <w:t>14.21</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06147FE0">
      <w:pPr>
        <w:keepNext/>
        <w:keepLines/>
        <w:numPr>
          <w:ilvl w:val="1"/>
          <w:numId w:val="22"/>
        </w:numPr>
        <w:adjustRightInd w:val="0"/>
        <w:spacing w:line="360" w:lineRule="auto"/>
        <w:outlineLvl w:val="1"/>
        <w:rPr>
          <w:b/>
          <w:bCs/>
          <w:color w:val="000000"/>
          <w:sz w:val="28"/>
          <w:szCs w:val="32"/>
        </w:rPr>
      </w:pPr>
      <w:bookmarkStart w:id="893" w:name="_Toc25483"/>
      <w:r>
        <w:rPr>
          <w:rFonts w:hint="eastAsia"/>
          <w:b/>
          <w:bCs/>
          <w:color w:val="000000"/>
          <w:sz w:val="28"/>
          <w:szCs w:val="32"/>
        </w:rPr>
        <w:t>控制措施</w:t>
      </w:r>
      <w:bookmarkEnd w:id="893"/>
    </w:p>
    <w:p w14:paraId="1746C523">
      <w:pPr>
        <w:spacing w:line="360" w:lineRule="auto"/>
        <w:ind w:firstLine="480" w:firstLineChars="200"/>
        <w:rPr>
          <w:rFonts w:cs="ˎ̥"/>
          <w:sz w:val="24"/>
          <w:szCs w:val="22"/>
        </w:rPr>
      </w:pPr>
      <w:r>
        <w:rPr>
          <w:rFonts w:cs="ˎ̥"/>
          <w:sz w:val="24"/>
          <w:szCs w:val="22"/>
        </w:rPr>
        <w:t>根据以上预测</w:t>
      </w:r>
      <w:r>
        <w:rPr>
          <w:rFonts w:hint="eastAsia" w:cs="ˎ̥"/>
          <w:sz w:val="24"/>
          <w:szCs w:val="22"/>
        </w:rPr>
        <w:t>结果</w:t>
      </w:r>
      <w:r>
        <w:rPr>
          <w:rFonts w:cs="ˎ̥"/>
          <w:sz w:val="24"/>
          <w:szCs w:val="22"/>
        </w:rPr>
        <w:t>可知，本工程拟建</w:t>
      </w:r>
      <w:r>
        <w:rPr>
          <w:rFonts w:hint="eastAsia" w:cs="ˎ̥"/>
          <w:sz w:val="24"/>
          <w:szCs w:val="22"/>
          <w:lang w:val="en-US" w:eastAsia="zh-CN"/>
        </w:rPr>
        <w:t>输电</w:t>
      </w:r>
      <w:r>
        <w:rPr>
          <w:rFonts w:cs="ˎ̥"/>
          <w:sz w:val="24"/>
          <w:szCs w:val="22"/>
        </w:rPr>
        <w:t>线路经过</w:t>
      </w:r>
      <w:r>
        <w:rPr>
          <w:rFonts w:hint="eastAsia" w:cs="ˎ̥"/>
          <w:sz w:val="24"/>
          <w:szCs w:val="22"/>
          <w:lang w:val="en-US" w:eastAsia="zh-CN"/>
        </w:rPr>
        <w:t>非居民区及</w:t>
      </w:r>
      <w:r>
        <w:rPr>
          <w:rFonts w:cs="ˎ̥"/>
          <w:sz w:val="24"/>
          <w:szCs w:val="22"/>
        </w:rPr>
        <w:t>居民区，</w:t>
      </w:r>
      <w:r>
        <w:rPr>
          <w:rFonts w:hint="eastAsia"/>
          <w:sz w:val="24"/>
          <w:szCs w:val="32"/>
        </w:rPr>
        <w:t>对应的工频电场强度和工频磁感应强度均满足</w:t>
      </w:r>
      <w:r>
        <w:rPr>
          <w:color w:val="000000" w:themeColor="text1"/>
          <w:sz w:val="24"/>
          <w:szCs w:val="32"/>
          <w14:textFill>
            <w14:solidFill>
              <w14:schemeClr w14:val="tx1"/>
            </w14:solidFill>
          </w14:textFill>
        </w:rPr>
        <w:t>《电磁环境控制限值》（GB8702-2014）</w:t>
      </w:r>
      <w:r>
        <w:rPr>
          <w:rFonts w:hint="eastAsia"/>
          <w:color w:val="000000" w:themeColor="text1"/>
          <w:sz w:val="24"/>
          <w:szCs w:val="32"/>
          <w14:textFill>
            <w14:solidFill>
              <w14:schemeClr w14:val="tx1"/>
            </w14:solidFill>
          </w14:textFill>
        </w:rPr>
        <w:t>中相应的限值要求，线路无需抬升</w:t>
      </w:r>
      <w:r>
        <w:rPr>
          <w:rFonts w:hint="eastAsia"/>
          <w:color w:val="000000" w:themeColor="text1"/>
          <w:sz w:val="24"/>
          <w:szCs w:val="32"/>
          <w:lang w:eastAsia="zh-CN"/>
          <w14:textFill>
            <w14:solidFill>
              <w14:schemeClr w14:val="tx1"/>
            </w14:solidFill>
          </w14:textFill>
        </w:rPr>
        <w:t>。</w:t>
      </w:r>
    </w:p>
    <w:p w14:paraId="38705144">
      <w:pPr>
        <w:keepNext/>
        <w:keepLines/>
        <w:numPr>
          <w:ilvl w:val="1"/>
          <w:numId w:val="22"/>
        </w:numPr>
        <w:adjustRightInd w:val="0"/>
        <w:spacing w:line="360" w:lineRule="auto"/>
        <w:outlineLvl w:val="1"/>
        <w:rPr>
          <w:b/>
          <w:bCs/>
          <w:color w:val="000000"/>
          <w:sz w:val="28"/>
          <w:szCs w:val="32"/>
        </w:rPr>
      </w:pPr>
      <w:bookmarkStart w:id="894" w:name="_Toc9178"/>
      <w:r>
        <w:rPr>
          <w:rFonts w:hint="eastAsia"/>
          <w:b/>
          <w:bCs/>
          <w:color w:val="000000"/>
          <w:sz w:val="28"/>
          <w:szCs w:val="32"/>
        </w:rPr>
        <w:t>电磁环境敏感目标环境影响预测与评价</w:t>
      </w:r>
      <w:bookmarkEnd w:id="894"/>
    </w:p>
    <w:p w14:paraId="1FCDA744">
      <w:pPr>
        <w:spacing w:line="360" w:lineRule="auto"/>
        <w:ind w:firstLine="480" w:firstLineChars="200"/>
        <w:rPr>
          <w:rFonts w:hint="default" w:eastAsia="宋体"/>
          <w:color w:val="000000"/>
          <w:sz w:val="24"/>
          <w:lang w:val="en-US" w:eastAsia="zh-CN"/>
        </w:rPr>
      </w:pPr>
      <w:r>
        <w:rPr>
          <w:rFonts w:hint="eastAsia"/>
          <w:color w:val="000000"/>
          <w:sz w:val="24"/>
          <w:lang w:eastAsia="zh-CN"/>
        </w:rPr>
        <w:t>（</w:t>
      </w:r>
      <w:r>
        <w:rPr>
          <w:rFonts w:hint="eastAsia"/>
          <w:color w:val="000000"/>
          <w:sz w:val="24"/>
          <w:lang w:val="en-US" w:eastAsia="zh-CN"/>
        </w:rPr>
        <w:t>1）</w:t>
      </w:r>
      <w:r>
        <w:rPr>
          <w:rFonts w:hint="eastAsia"/>
          <w:color w:val="000000"/>
          <w:sz w:val="24"/>
        </w:rPr>
        <w:t>港城变110千伏间隔扩建工程</w:t>
      </w:r>
    </w:p>
    <w:p w14:paraId="742215B6">
      <w:pPr>
        <w:spacing w:line="360" w:lineRule="auto"/>
        <w:ind w:firstLine="482"/>
        <w:rPr>
          <w:color w:val="000000"/>
          <w:sz w:val="24"/>
        </w:rPr>
      </w:pPr>
      <w:r>
        <w:rPr>
          <w:rFonts w:hint="eastAsia"/>
          <w:color w:val="000000"/>
          <w:sz w:val="24"/>
          <w:lang w:eastAsia="zh-CN"/>
        </w:rPr>
        <w:t>港城110kV变电站</w:t>
      </w:r>
      <w:r>
        <w:rPr>
          <w:rFonts w:hint="eastAsia"/>
          <w:color w:val="000000"/>
          <w:sz w:val="24"/>
          <w:lang w:val="en-US" w:eastAsia="zh-CN"/>
        </w:rPr>
        <w:t>评价范围内有1处电磁环境敏感目标，其</w:t>
      </w:r>
      <w:r>
        <w:rPr>
          <w:rFonts w:hint="eastAsia"/>
          <w:color w:val="000000"/>
          <w:sz w:val="24"/>
        </w:rPr>
        <w:t>工频电场强度监测值为</w:t>
      </w:r>
      <w:r>
        <w:rPr>
          <w:rFonts w:hint="eastAsia" w:ascii="ˎ̥" w:hAnsi="ˎ̥" w:cs="ˎ̥"/>
          <w:color w:val="000000"/>
          <w:sz w:val="24"/>
          <w:szCs w:val="32"/>
          <w:highlight w:val="none"/>
          <w:lang w:val="en-US" w:eastAsia="zh-CN"/>
        </w:rPr>
        <w:t>11.87</w:t>
      </w:r>
      <w:r>
        <w:rPr>
          <w:rFonts w:ascii="ˎ̥" w:hAnsi="ˎ̥" w:cs="ˎ̥"/>
          <w:color w:val="000000"/>
          <w:sz w:val="24"/>
          <w:szCs w:val="32"/>
          <w:highlight w:val="none"/>
        </w:rPr>
        <w:t>V/m</w:t>
      </w:r>
      <w:r>
        <w:rPr>
          <w:rFonts w:hint="eastAsia"/>
          <w:color w:val="000000"/>
          <w:sz w:val="24"/>
          <w:highlight w:val="none"/>
        </w:rPr>
        <w:t>，工频磁感应强度监测值为</w:t>
      </w:r>
      <w:r>
        <w:rPr>
          <w:rFonts w:hint="eastAsia" w:ascii="ˎ̥" w:hAnsi="ˎ̥" w:cs="ˎ̥"/>
          <w:color w:val="000000"/>
          <w:sz w:val="24"/>
          <w:szCs w:val="32"/>
          <w:highlight w:val="none"/>
          <w:lang w:val="en-US" w:eastAsia="zh-CN"/>
        </w:rPr>
        <w:t>0.035</w:t>
      </w:r>
      <w:r>
        <w:rPr>
          <w:rFonts w:ascii="ˎ̥" w:hAnsi="ˎ̥" w:cs="ˎ̥"/>
          <w:color w:val="000000"/>
          <w:sz w:val="24"/>
          <w:szCs w:val="32"/>
          <w:highlight w:val="none"/>
        </w:rPr>
        <w:t>μT</w:t>
      </w:r>
      <w:r>
        <w:rPr>
          <w:rFonts w:hint="eastAsia"/>
          <w:color w:val="000000"/>
          <w:sz w:val="24"/>
          <w:highlight w:val="none"/>
        </w:rPr>
        <w:t>，分别满</w:t>
      </w:r>
      <w:r>
        <w:rPr>
          <w:rFonts w:hint="eastAsia"/>
          <w:color w:val="000000"/>
          <w:sz w:val="24"/>
        </w:rPr>
        <w:t>足《电磁环境控制限值》（GB 8702-2014）中4000V/m、100µT的控制限值要求。</w:t>
      </w:r>
    </w:p>
    <w:p w14:paraId="69D9497E">
      <w:pPr>
        <w:spacing w:line="360" w:lineRule="auto"/>
        <w:ind w:firstLine="480" w:firstLineChars="200"/>
        <w:rPr>
          <w:rFonts w:hint="eastAsia"/>
          <w:color w:val="000000"/>
          <w:sz w:val="24"/>
        </w:rPr>
      </w:pPr>
      <w:r>
        <w:rPr>
          <w:rFonts w:hint="eastAsia"/>
          <w:color w:val="000000"/>
          <w:sz w:val="24"/>
        </w:rPr>
        <w:t>可以预测，本期间隔扩建工程投产后，</w:t>
      </w:r>
      <w:r>
        <w:rPr>
          <w:rFonts w:hint="eastAsia"/>
          <w:color w:val="000000"/>
          <w:sz w:val="24"/>
          <w:lang w:eastAsia="zh-CN"/>
        </w:rPr>
        <w:t>港城110kV变电站</w:t>
      </w:r>
      <w:r>
        <w:rPr>
          <w:rFonts w:hint="eastAsia"/>
          <w:color w:val="000000"/>
          <w:sz w:val="24"/>
          <w:lang w:val="en-US" w:eastAsia="zh-CN"/>
        </w:rPr>
        <w:t>环境敏感目标处</w:t>
      </w:r>
      <w:r>
        <w:rPr>
          <w:rFonts w:hint="eastAsia"/>
          <w:color w:val="000000"/>
          <w:sz w:val="24"/>
        </w:rPr>
        <w:t>的电磁环境影响将基本保持在前期工程水平，依然能满足《电磁环境控制限值》（GB8702-2014）中4000V/m、100µT的限值要求。</w:t>
      </w:r>
    </w:p>
    <w:p w14:paraId="5BF42803">
      <w:pPr>
        <w:spacing w:line="360" w:lineRule="auto"/>
        <w:ind w:firstLine="480" w:firstLineChars="200"/>
        <w:rPr>
          <w:rFonts w:hint="default" w:eastAsia="宋体"/>
          <w:color w:val="000000"/>
          <w:sz w:val="24"/>
          <w:lang w:val="en-US" w:eastAsia="zh-CN"/>
        </w:rPr>
      </w:pPr>
      <w:r>
        <w:rPr>
          <w:rFonts w:hint="eastAsia"/>
          <w:color w:val="000000"/>
          <w:sz w:val="24"/>
          <w:lang w:eastAsia="zh-CN"/>
        </w:rPr>
        <w:t>（</w:t>
      </w:r>
      <w:r>
        <w:rPr>
          <w:rFonts w:hint="eastAsia"/>
          <w:color w:val="000000"/>
          <w:sz w:val="24"/>
          <w:lang w:val="en-US" w:eastAsia="zh-CN"/>
        </w:rPr>
        <w:t>2）</w:t>
      </w:r>
      <w:r>
        <w:rPr>
          <w:rFonts w:hint="eastAsia"/>
          <w:color w:val="000000"/>
          <w:sz w:val="24"/>
        </w:rPr>
        <w:t>港城~新阳110千伏线路工程</w:t>
      </w:r>
    </w:p>
    <w:p w14:paraId="2176164F">
      <w:pPr>
        <w:spacing w:line="360" w:lineRule="auto"/>
        <w:ind w:firstLine="480" w:firstLineChars="200"/>
        <w:rPr>
          <w:rFonts w:hint="eastAsia"/>
          <w:color w:val="000000"/>
          <w:sz w:val="24"/>
        </w:rPr>
      </w:pPr>
      <w:r>
        <w:rPr>
          <w:rFonts w:hint="eastAsia"/>
          <w:sz w:val="24"/>
          <w:szCs w:val="32"/>
          <w:lang w:val="en-US" w:eastAsia="zh-CN"/>
        </w:rPr>
        <w:t>拟建线路工程电磁环境保护目标影响预测结果见</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REF _Ref109462994 \h  \* MERGEFORMAT </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表38</w:t>
      </w:r>
      <w:r>
        <w:rPr>
          <w:rFonts w:ascii="Times New Roman" w:hAnsi="Times New Roman" w:cs="Times New Roman"/>
          <w:color w:val="000000" w:themeColor="text1"/>
          <w:sz w:val="24"/>
          <w:szCs w:val="24"/>
          <w14:textFill>
            <w14:solidFill>
              <w14:schemeClr w14:val="tx1"/>
            </w14:solidFill>
          </w14:textFill>
        </w:rPr>
        <w:fldChar w:fldCharType="end"/>
      </w:r>
      <w:r>
        <w:rPr>
          <w:rFonts w:hint="eastAsia" w:ascii="Times New Roman" w:hAnsi="Times New Roman" w:cs="Times New Roman"/>
          <w:color w:val="000000" w:themeColor="text1"/>
          <w:sz w:val="24"/>
          <w:szCs w:val="24"/>
          <w14:textFill>
            <w14:solidFill>
              <w14:schemeClr w14:val="tx1"/>
            </w14:solidFill>
          </w14:textFill>
        </w:rPr>
        <w:t>。</w:t>
      </w:r>
    </w:p>
    <w:p w14:paraId="0E89C129">
      <w:pPr>
        <w:keepNext/>
        <w:keepLines/>
        <w:ind w:firstLine="0" w:firstLineChars="0"/>
        <w:outlineLvl w:val="9"/>
        <w:rPr>
          <w:rFonts w:hint="default" w:ascii="Times New Roman" w:hAnsi="Times New Roman"/>
          <w:b/>
          <w:bCs/>
          <w:sz w:val="24"/>
          <w:szCs w:val="32"/>
          <w:lang w:val="en-US"/>
        </w:rPr>
      </w:pPr>
      <w:bookmarkStart w:id="895" w:name="_Ref109462994"/>
      <w:r>
        <w:rPr>
          <w:rFonts w:ascii="Times New Roman" w:hAnsi="Times New Roman" w:eastAsia="黑体"/>
          <w:b/>
          <w:bCs/>
          <w:color w:val="000000" w:themeColor="text1"/>
          <w:szCs w:val="21"/>
          <w14:textFill>
            <w14:solidFill>
              <w14:schemeClr w14:val="tx1"/>
            </w14:solidFill>
          </w14:textFill>
        </w:rPr>
        <w:t>表</w:t>
      </w:r>
      <w:r>
        <w:rPr>
          <w:rFonts w:ascii="Times New Roman" w:hAnsi="Times New Roman" w:eastAsia="黑体"/>
          <w:b/>
          <w:bCs/>
          <w:color w:val="000000" w:themeColor="text1"/>
          <w:szCs w:val="21"/>
          <w14:textFill>
            <w14:solidFill>
              <w14:schemeClr w14:val="tx1"/>
            </w14:solidFill>
          </w14:textFill>
        </w:rPr>
        <w:fldChar w:fldCharType="begin"/>
      </w:r>
      <w:r>
        <w:rPr>
          <w:rFonts w:ascii="Times New Roman" w:hAnsi="Times New Roman" w:eastAsia="黑体"/>
          <w:b/>
          <w:bCs/>
          <w:color w:val="000000" w:themeColor="text1"/>
          <w:szCs w:val="21"/>
          <w14:textFill>
            <w14:solidFill>
              <w14:schemeClr w14:val="tx1"/>
            </w14:solidFill>
          </w14:textFill>
        </w:rPr>
        <w:instrText xml:space="preserve"> SEQ 表 \* ARABIC </w:instrText>
      </w:r>
      <w:r>
        <w:rPr>
          <w:rFonts w:ascii="Times New Roman" w:hAnsi="Times New Roman" w:eastAsia="黑体"/>
          <w:b/>
          <w:bCs/>
          <w:color w:val="000000" w:themeColor="text1"/>
          <w:szCs w:val="21"/>
          <w14:textFill>
            <w14:solidFill>
              <w14:schemeClr w14:val="tx1"/>
            </w14:solidFill>
          </w14:textFill>
        </w:rPr>
        <w:fldChar w:fldCharType="separate"/>
      </w:r>
      <w:r>
        <w:rPr>
          <w:rFonts w:ascii="Times New Roman" w:hAnsi="Times New Roman" w:eastAsia="黑体"/>
          <w:b/>
          <w:bCs/>
          <w:color w:val="000000" w:themeColor="text1"/>
          <w:szCs w:val="21"/>
          <w14:textFill>
            <w14:solidFill>
              <w14:schemeClr w14:val="tx1"/>
            </w14:solidFill>
          </w14:textFill>
        </w:rPr>
        <w:t>38</w:t>
      </w:r>
      <w:r>
        <w:rPr>
          <w:rFonts w:ascii="Times New Roman" w:hAnsi="Times New Roman" w:eastAsia="黑体"/>
          <w:b/>
          <w:bCs/>
          <w:color w:val="000000" w:themeColor="text1"/>
          <w:szCs w:val="21"/>
          <w14:textFill>
            <w14:solidFill>
              <w14:schemeClr w14:val="tx1"/>
            </w14:solidFill>
          </w14:textFill>
        </w:rPr>
        <w:fldChar w:fldCharType="end"/>
      </w:r>
      <w:bookmarkEnd w:id="895"/>
      <w:r>
        <w:rPr>
          <w:rFonts w:ascii="Times New Roman" w:hAnsi="Times New Roman" w:eastAsia="黑体"/>
          <w:b/>
          <w:bCs/>
          <w:color w:val="000000" w:themeColor="text1"/>
          <w14:textFill>
            <w14:solidFill>
              <w14:schemeClr w14:val="tx1"/>
            </w14:solidFill>
          </w14:textFill>
        </w:rPr>
        <w:t xml:space="preserve">             </w:t>
      </w:r>
      <w:r>
        <w:rPr>
          <w:rFonts w:hint="eastAsia" w:ascii="Times New Roman" w:hAnsi="Times New Roman" w:eastAsia="黑体"/>
          <w:b/>
          <w:bCs/>
          <w:color w:val="000000" w:themeColor="text1"/>
          <w:lang w:val="en-US" w:eastAsia="zh-CN"/>
          <w14:textFill>
            <w14:solidFill>
              <w14:schemeClr w14:val="tx1"/>
            </w14:solidFill>
          </w14:textFill>
        </w:rPr>
        <w:t xml:space="preserve">  </w:t>
      </w:r>
      <w:r>
        <w:rPr>
          <w:rFonts w:ascii="Times New Roman" w:hAnsi="Times New Roman" w:eastAsia="黑体"/>
          <w:b/>
          <w:bCs/>
          <w:color w:val="000000" w:themeColor="text1"/>
          <w14:textFill>
            <w14:solidFill>
              <w14:schemeClr w14:val="tx1"/>
            </w14:solidFill>
          </w14:textFill>
        </w:rPr>
        <w:t xml:space="preserve">   </w:t>
      </w:r>
      <w:r>
        <w:rPr>
          <w:rFonts w:hint="eastAsia" w:ascii="Times New Roman" w:hAnsi="Times New Roman" w:eastAsia="黑体"/>
          <w:b/>
          <w:bCs/>
          <w:color w:val="000000" w:themeColor="text1"/>
          <w14:textFill>
            <w14:solidFill>
              <w14:schemeClr w14:val="tx1"/>
            </w14:solidFill>
          </w14:textFill>
        </w:rPr>
        <w:t>本工程</w:t>
      </w:r>
      <w:r>
        <w:rPr>
          <w:rFonts w:ascii="Times New Roman" w:hAnsi="Times New Roman" w:eastAsia="黑体"/>
          <w:b/>
          <w:bCs/>
          <w:color w:val="000000" w:themeColor="text1"/>
          <w14:textFill>
            <w14:solidFill>
              <w14:schemeClr w14:val="tx1"/>
            </w14:solidFill>
          </w14:textFill>
        </w:rPr>
        <w:t>电磁环境敏感目标影响预测结果</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956"/>
        <w:gridCol w:w="949"/>
        <w:gridCol w:w="1671"/>
        <w:gridCol w:w="782"/>
        <w:gridCol w:w="1279"/>
        <w:gridCol w:w="1309"/>
        <w:gridCol w:w="1115"/>
      </w:tblGrid>
      <w:tr w14:paraId="70F2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6" w:type="pct"/>
            <w:vMerge w:val="restart"/>
            <w:vAlign w:val="center"/>
          </w:tcPr>
          <w:p w14:paraId="6C4E8B08">
            <w:pPr>
              <w:pStyle w:val="73"/>
              <w:spacing w:line="0" w:lineRule="atLeast"/>
              <w:rPr>
                <w:b/>
                <w:color w:val="auto"/>
                <w:szCs w:val="21"/>
              </w:rPr>
            </w:pPr>
            <w:r>
              <w:rPr>
                <w:b/>
                <w:color w:val="auto"/>
                <w:szCs w:val="21"/>
              </w:rPr>
              <w:t>行政区</w:t>
            </w:r>
          </w:p>
        </w:tc>
        <w:tc>
          <w:tcPr>
            <w:tcW w:w="515" w:type="pct"/>
            <w:vMerge w:val="restart"/>
            <w:vAlign w:val="center"/>
          </w:tcPr>
          <w:p w14:paraId="0DD0432B">
            <w:pPr>
              <w:pStyle w:val="73"/>
              <w:spacing w:line="0" w:lineRule="atLeast"/>
              <w:rPr>
                <w:b/>
                <w:color w:val="auto"/>
                <w:szCs w:val="21"/>
              </w:rPr>
            </w:pPr>
            <w:r>
              <w:rPr>
                <w:b/>
                <w:color w:val="auto"/>
                <w:szCs w:val="21"/>
              </w:rPr>
              <w:t>环境敏感目标名称</w:t>
            </w:r>
          </w:p>
        </w:tc>
        <w:tc>
          <w:tcPr>
            <w:tcW w:w="511" w:type="pct"/>
            <w:vMerge w:val="restart"/>
            <w:vAlign w:val="center"/>
          </w:tcPr>
          <w:p w14:paraId="0DF6D57C">
            <w:pPr>
              <w:pStyle w:val="73"/>
              <w:spacing w:line="0" w:lineRule="atLeast"/>
              <w:rPr>
                <w:rFonts w:ascii="Times New Roman" w:hAnsi="Times New Roman" w:eastAsia="宋体" w:cs="幼圆"/>
                <w:b/>
                <w:color w:val="auto"/>
                <w:kern w:val="0"/>
                <w:sz w:val="21"/>
                <w:szCs w:val="21"/>
                <w:lang w:val="en-US" w:eastAsia="zh-CN" w:bidi="ar-SA"/>
              </w:rPr>
            </w:pPr>
            <w:r>
              <w:rPr>
                <w:b/>
                <w:color w:val="auto"/>
                <w:szCs w:val="21"/>
              </w:rPr>
              <w:t>建筑结构</w:t>
            </w:r>
          </w:p>
        </w:tc>
        <w:tc>
          <w:tcPr>
            <w:tcW w:w="900" w:type="pct"/>
            <w:vMerge w:val="restart"/>
            <w:vAlign w:val="center"/>
          </w:tcPr>
          <w:p w14:paraId="4C0F2F80">
            <w:pPr>
              <w:pStyle w:val="73"/>
              <w:spacing w:line="0" w:lineRule="atLeast"/>
              <w:rPr>
                <w:rFonts w:ascii="Times New Roman" w:hAnsi="Times New Roman" w:eastAsia="宋体" w:cs="幼圆"/>
                <w:b/>
                <w:color w:val="auto"/>
                <w:kern w:val="0"/>
                <w:sz w:val="21"/>
                <w:szCs w:val="21"/>
                <w:lang w:val="en-US" w:eastAsia="zh-CN" w:bidi="ar-SA"/>
              </w:rPr>
            </w:pPr>
            <w:r>
              <w:rPr>
                <w:rFonts w:hint="eastAsia"/>
                <w:b/>
                <w:color w:val="auto"/>
                <w:szCs w:val="21"/>
              </w:rPr>
              <w:t>方位及边导线</w:t>
            </w:r>
            <w:r>
              <w:rPr>
                <w:b/>
                <w:color w:val="auto"/>
                <w:szCs w:val="21"/>
              </w:rPr>
              <w:t>地面投影最近</w:t>
            </w:r>
            <w:r>
              <w:rPr>
                <w:rFonts w:hint="eastAsia"/>
                <w:b/>
                <w:color w:val="auto"/>
                <w:szCs w:val="21"/>
              </w:rPr>
              <w:t>水平</w:t>
            </w:r>
            <w:r>
              <w:rPr>
                <w:b/>
                <w:color w:val="auto"/>
                <w:szCs w:val="21"/>
              </w:rPr>
              <w:t>距离</w:t>
            </w:r>
          </w:p>
        </w:tc>
        <w:tc>
          <w:tcPr>
            <w:tcW w:w="1815" w:type="pct"/>
            <w:gridSpan w:val="3"/>
            <w:vAlign w:val="center"/>
          </w:tcPr>
          <w:p w14:paraId="6A1C3D4B">
            <w:pPr>
              <w:pStyle w:val="73"/>
              <w:spacing w:line="0" w:lineRule="atLeast"/>
              <w:rPr>
                <w:rFonts w:hint="default"/>
                <w:b/>
                <w:color w:val="auto"/>
                <w:szCs w:val="21"/>
                <w:lang w:val="en-US" w:eastAsia="zh-CN"/>
              </w:rPr>
            </w:pPr>
            <w:r>
              <w:rPr>
                <w:rFonts w:hint="eastAsia"/>
                <w:b/>
                <w:color w:val="auto"/>
                <w:szCs w:val="21"/>
                <w:lang w:val="en-US" w:eastAsia="zh-CN"/>
              </w:rPr>
              <w:t>电磁环境预测值</w:t>
            </w:r>
          </w:p>
        </w:tc>
        <w:tc>
          <w:tcPr>
            <w:tcW w:w="600" w:type="pct"/>
            <w:vMerge w:val="restart"/>
            <w:vAlign w:val="center"/>
          </w:tcPr>
          <w:p w14:paraId="7CCAB876">
            <w:pPr>
              <w:pStyle w:val="73"/>
              <w:spacing w:line="0" w:lineRule="atLeast"/>
              <w:rPr>
                <w:rFonts w:hint="default" w:eastAsia="宋体"/>
                <w:b/>
                <w:color w:val="auto"/>
                <w:szCs w:val="21"/>
                <w:lang w:val="en-US" w:eastAsia="zh-CN"/>
              </w:rPr>
            </w:pPr>
            <w:r>
              <w:rPr>
                <w:rFonts w:hint="eastAsia" w:eastAsia="宋体"/>
                <w:b/>
                <w:color w:val="auto"/>
                <w:szCs w:val="21"/>
                <w:lang w:val="en-US" w:eastAsia="zh-CN"/>
              </w:rPr>
              <w:t>达标情况</w:t>
            </w:r>
          </w:p>
        </w:tc>
      </w:tr>
      <w:tr w14:paraId="4F2E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6" w:type="pct"/>
            <w:vMerge w:val="continue"/>
            <w:vAlign w:val="center"/>
          </w:tcPr>
          <w:p w14:paraId="0CB60D8F">
            <w:pPr>
              <w:pStyle w:val="73"/>
              <w:spacing w:line="0" w:lineRule="atLeast"/>
              <w:rPr>
                <w:color w:val="auto"/>
              </w:rPr>
            </w:pPr>
          </w:p>
        </w:tc>
        <w:tc>
          <w:tcPr>
            <w:tcW w:w="515" w:type="pct"/>
            <w:vMerge w:val="continue"/>
            <w:vAlign w:val="center"/>
          </w:tcPr>
          <w:p w14:paraId="5BBCFA4D">
            <w:pPr>
              <w:pStyle w:val="73"/>
              <w:spacing w:line="0" w:lineRule="atLeast"/>
              <w:rPr>
                <w:color w:val="auto"/>
              </w:rPr>
            </w:pPr>
          </w:p>
        </w:tc>
        <w:tc>
          <w:tcPr>
            <w:tcW w:w="511" w:type="pct"/>
            <w:vMerge w:val="continue"/>
            <w:vAlign w:val="center"/>
          </w:tcPr>
          <w:p w14:paraId="06E27470">
            <w:pPr>
              <w:pStyle w:val="73"/>
              <w:spacing w:line="0" w:lineRule="atLeast"/>
              <w:rPr>
                <w:color w:val="auto"/>
              </w:rPr>
            </w:pPr>
          </w:p>
        </w:tc>
        <w:tc>
          <w:tcPr>
            <w:tcW w:w="900" w:type="pct"/>
            <w:vMerge w:val="continue"/>
            <w:vAlign w:val="center"/>
          </w:tcPr>
          <w:p w14:paraId="3210F3B9">
            <w:pPr>
              <w:pStyle w:val="73"/>
              <w:spacing w:line="0" w:lineRule="atLeast"/>
              <w:rPr>
                <w:color w:val="auto"/>
              </w:rPr>
            </w:pPr>
          </w:p>
        </w:tc>
        <w:tc>
          <w:tcPr>
            <w:tcW w:w="421" w:type="pct"/>
            <w:vAlign w:val="center"/>
          </w:tcPr>
          <w:p w14:paraId="3874A884">
            <w:pPr>
              <w:pStyle w:val="73"/>
              <w:spacing w:line="0" w:lineRule="atLeast"/>
              <w:rPr>
                <w:rFonts w:hint="eastAsia" w:eastAsia="宋体"/>
                <w:color w:val="auto"/>
                <w:lang w:val="en-US" w:eastAsia="zh-CN"/>
              </w:rPr>
            </w:pPr>
            <w:r>
              <w:rPr>
                <w:rFonts w:hint="eastAsia"/>
                <w:b/>
                <w:bCs/>
                <w:color w:val="auto"/>
                <w:lang w:val="en-US" w:eastAsia="zh-CN"/>
              </w:rPr>
              <w:t>预测高度</w:t>
            </w:r>
          </w:p>
        </w:tc>
        <w:tc>
          <w:tcPr>
            <w:tcW w:w="689" w:type="pct"/>
            <w:vAlign w:val="center"/>
          </w:tcPr>
          <w:p w14:paraId="01469D5F">
            <w:pPr>
              <w:pStyle w:val="73"/>
              <w:spacing w:line="0" w:lineRule="atLeast"/>
              <w:rPr>
                <w:rFonts w:ascii="Times New Roman" w:hAnsi="Times New Roman" w:eastAsia="宋体" w:cs="幼圆"/>
                <w:b/>
                <w:color w:val="auto"/>
                <w:kern w:val="0"/>
                <w:sz w:val="21"/>
                <w:szCs w:val="21"/>
                <w:lang w:val="en-US" w:eastAsia="zh-CN" w:bidi="ar-SA"/>
              </w:rPr>
            </w:pPr>
            <w:r>
              <w:rPr>
                <w:rFonts w:hint="eastAsia"/>
                <w:b/>
                <w:color w:val="auto"/>
                <w:szCs w:val="21"/>
              </w:rPr>
              <w:t>工频电场强度（</w:t>
            </w:r>
            <w:r>
              <w:rPr>
                <w:b/>
                <w:color w:val="auto"/>
                <w:szCs w:val="21"/>
              </w:rPr>
              <w:t>kV/m</w:t>
            </w:r>
            <w:r>
              <w:rPr>
                <w:rFonts w:hint="eastAsia"/>
                <w:b/>
                <w:color w:val="auto"/>
                <w:szCs w:val="21"/>
              </w:rPr>
              <w:t>）</w:t>
            </w:r>
          </w:p>
        </w:tc>
        <w:tc>
          <w:tcPr>
            <w:tcW w:w="705" w:type="pct"/>
            <w:vAlign w:val="center"/>
          </w:tcPr>
          <w:p w14:paraId="2E2D03EC">
            <w:pPr>
              <w:pStyle w:val="73"/>
              <w:spacing w:line="0" w:lineRule="atLeast"/>
              <w:rPr>
                <w:rFonts w:ascii="Times New Roman" w:hAnsi="Times New Roman" w:eastAsia="宋体" w:cs="幼圆"/>
                <w:b/>
                <w:color w:val="auto"/>
                <w:kern w:val="0"/>
                <w:sz w:val="21"/>
                <w:szCs w:val="21"/>
                <w:lang w:val="en-US" w:eastAsia="zh-CN" w:bidi="ar-SA"/>
              </w:rPr>
            </w:pPr>
            <w:r>
              <w:rPr>
                <w:rFonts w:hint="eastAsia"/>
                <w:b/>
                <w:color w:val="auto"/>
                <w:szCs w:val="21"/>
              </w:rPr>
              <w:t>工频磁感应强度（</w:t>
            </w:r>
            <w:r>
              <w:rPr>
                <w:b/>
                <w:color w:val="auto"/>
                <w:szCs w:val="21"/>
              </w:rPr>
              <w:t>μT</w:t>
            </w:r>
            <w:r>
              <w:rPr>
                <w:rFonts w:hint="eastAsia"/>
                <w:b/>
                <w:color w:val="auto"/>
                <w:szCs w:val="21"/>
              </w:rPr>
              <w:t>）</w:t>
            </w:r>
          </w:p>
        </w:tc>
        <w:tc>
          <w:tcPr>
            <w:tcW w:w="600" w:type="pct"/>
            <w:vMerge w:val="continue"/>
            <w:vAlign w:val="center"/>
          </w:tcPr>
          <w:p w14:paraId="5CE07A0B">
            <w:pPr>
              <w:pStyle w:val="73"/>
              <w:spacing w:line="0" w:lineRule="atLeast"/>
              <w:rPr>
                <w:color w:val="auto"/>
              </w:rPr>
            </w:pPr>
          </w:p>
        </w:tc>
      </w:tr>
      <w:tr w14:paraId="2BA8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6" w:type="pct"/>
            <w:vAlign w:val="center"/>
          </w:tcPr>
          <w:p w14:paraId="44AD8300">
            <w:pPr>
              <w:pStyle w:val="73"/>
              <w:spacing w:line="0" w:lineRule="atLeast"/>
              <w:rPr>
                <w:rFonts w:hint="eastAsia" w:ascii="Times New Roman" w:hAnsi="Times New Roman" w:eastAsia="宋体" w:cs="Times New Roman"/>
                <w:kern w:val="0"/>
                <w:sz w:val="21"/>
                <w:szCs w:val="21"/>
                <w:lang w:val="en-US" w:eastAsia="zh-CN" w:bidi="ar-SA"/>
              </w:rPr>
            </w:pPr>
            <w:r>
              <w:rPr>
                <w:rFonts w:hint="eastAsia"/>
              </w:rPr>
              <w:t>吐鲁番市</w:t>
            </w:r>
            <w:r>
              <w:rPr>
                <w:rFonts w:hint="eastAsia"/>
                <w:szCs w:val="21"/>
              </w:rPr>
              <w:t>高昌区</w:t>
            </w:r>
          </w:p>
        </w:tc>
        <w:tc>
          <w:tcPr>
            <w:tcW w:w="515" w:type="pct"/>
            <w:vAlign w:val="center"/>
          </w:tcPr>
          <w:p w14:paraId="35E17D75">
            <w:pPr>
              <w:pStyle w:val="73"/>
              <w:spacing w:line="0" w:lineRule="atLeast"/>
              <w:rPr>
                <w:rFonts w:hint="eastAsia" w:ascii="Times New Roman" w:hAnsi="Times New Roman" w:eastAsia="宋体" w:cs="Times New Roman"/>
                <w:kern w:val="0"/>
                <w:sz w:val="21"/>
                <w:szCs w:val="21"/>
                <w:lang w:val="en-US" w:eastAsia="zh-CN" w:bidi="ar-SA"/>
              </w:rPr>
            </w:pPr>
            <w:r>
              <w:rPr>
                <w:rFonts w:hint="eastAsia"/>
                <w:szCs w:val="21"/>
              </w:rPr>
              <w:t>港城社区</w:t>
            </w:r>
          </w:p>
        </w:tc>
        <w:tc>
          <w:tcPr>
            <w:tcW w:w="511" w:type="pct"/>
            <w:vAlign w:val="center"/>
          </w:tcPr>
          <w:p w14:paraId="6B14D7E5">
            <w:pPr>
              <w:pStyle w:val="73"/>
              <w:spacing w:line="0" w:lineRule="atLeast"/>
              <w:rPr>
                <w:rFonts w:hint="default" w:eastAsia="宋体"/>
                <w:color w:val="auto"/>
                <w:lang w:val="en-US" w:eastAsia="zh-CN"/>
              </w:rPr>
            </w:pPr>
            <w:r>
              <w:rPr>
                <w:rFonts w:hint="eastAsia"/>
                <w:color w:val="auto"/>
                <w:lang w:val="en-US" w:eastAsia="zh-CN"/>
              </w:rPr>
              <w:t>1层坡顶</w:t>
            </w:r>
          </w:p>
        </w:tc>
        <w:tc>
          <w:tcPr>
            <w:tcW w:w="900" w:type="pct"/>
            <w:vAlign w:val="center"/>
          </w:tcPr>
          <w:p w14:paraId="0E605117">
            <w:pPr>
              <w:pStyle w:val="73"/>
              <w:spacing w:line="0" w:lineRule="atLeast"/>
              <w:rPr>
                <w:rFonts w:hint="default" w:eastAsia="宋体"/>
                <w:color w:val="auto"/>
                <w:lang w:val="en-US" w:eastAsia="zh-CN"/>
              </w:rPr>
            </w:pPr>
            <w:r>
              <w:rPr>
                <w:rFonts w:hint="eastAsia"/>
                <w:color w:val="auto"/>
                <w:lang w:val="en-US" w:eastAsia="zh-CN"/>
              </w:rPr>
              <w:t>边导线西侧约25m</w:t>
            </w:r>
          </w:p>
        </w:tc>
        <w:tc>
          <w:tcPr>
            <w:tcW w:w="421" w:type="pct"/>
            <w:vAlign w:val="center"/>
          </w:tcPr>
          <w:p w14:paraId="2D2B6420">
            <w:pPr>
              <w:pStyle w:val="73"/>
              <w:spacing w:line="0" w:lineRule="atLeast"/>
              <w:rPr>
                <w:rFonts w:hint="default"/>
                <w:b w:val="0"/>
                <w:bCs w:val="0"/>
                <w:color w:val="auto"/>
                <w:lang w:val="en-US" w:eastAsia="zh-CN"/>
              </w:rPr>
            </w:pPr>
            <w:r>
              <w:rPr>
                <w:rFonts w:hint="eastAsia"/>
                <w:b w:val="0"/>
                <w:bCs w:val="0"/>
                <w:color w:val="auto"/>
                <w:lang w:val="en-US" w:eastAsia="zh-CN"/>
              </w:rPr>
              <w:t>1.5m</w:t>
            </w:r>
          </w:p>
        </w:tc>
        <w:tc>
          <w:tcPr>
            <w:tcW w:w="689" w:type="pct"/>
            <w:vAlign w:val="center"/>
          </w:tcPr>
          <w:p w14:paraId="1894843D">
            <w:pPr>
              <w:pStyle w:val="73"/>
              <w:spacing w:line="0" w:lineRule="atLeast"/>
              <w:rPr>
                <w:rFonts w:hint="default" w:eastAsia="宋体"/>
                <w:b w:val="0"/>
                <w:color w:val="auto"/>
                <w:szCs w:val="21"/>
                <w:lang w:val="en-US" w:eastAsia="zh-CN"/>
              </w:rPr>
            </w:pPr>
            <w:r>
              <w:rPr>
                <w:rFonts w:hint="eastAsia"/>
                <w:b w:val="0"/>
                <w:color w:val="auto"/>
                <w:szCs w:val="21"/>
                <w:lang w:val="en-US" w:eastAsia="zh-CN"/>
              </w:rPr>
              <w:t>0.03</w:t>
            </w:r>
          </w:p>
        </w:tc>
        <w:tc>
          <w:tcPr>
            <w:tcW w:w="705" w:type="pct"/>
            <w:vAlign w:val="center"/>
          </w:tcPr>
          <w:p w14:paraId="05DEB24D">
            <w:pPr>
              <w:pStyle w:val="73"/>
              <w:spacing w:line="0" w:lineRule="atLeast"/>
              <w:rPr>
                <w:rFonts w:hint="default" w:eastAsia="宋体"/>
                <w:b w:val="0"/>
                <w:color w:val="auto"/>
                <w:szCs w:val="21"/>
                <w:lang w:val="en-US" w:eastAsia="zh-CN"/>
              </w:rPr>
            </w:pPr>
            <w:r>
              <w:rPr>
                <w:rFonts w:hint="eastAsia"/>
                <w:b w:val="0"/>
                <w:color w:val="auto"/>
                <w:szCs w:val="21"/>
                <w:lang w:val="en-US" w:eastAsia="zh-CN"/>
              </w:rPr>
              <w:t>0.52</w:t>
            </w:r>
          </w:p>
        </w:tc>
        <w:tc>
          <w:tcPr>
            <w:tcW w:w="600" w:type="pct"/>
            <w:vAlign w:val="center"/>
          </w:tcPr>
          <w:p w14:paraId="3509C158">
            <w:pPr>
              <w:pStyle w:val="73"/>
              <w:spacing w:line="0" w:lineRule="atLeast"/>
              <w:rPr>
                <w:rFonts w:hint="eastAsia" w:eastAsia="宋体"/>
                <w:color w:val="auto"/>
                <w:lang w:val="en-US" w:eastAsia="zh-CN"/>
              </w:rPr>
            </w:pPr>
            <w:r>
              <w:rPr>
                <w:rFonts w:hint="eastAsia"/>
                <w:color w:val="auto"/>
                <w:lang w:val="en-US" w:eastAsia="zh-CN"/>
              </w:rPr>
              <w:t>达标</w:t>
            </w:r>
          </w:p>
        </w:tc>
      </w:tr>
    </w:tbl>
    <w:p w14:paraId="417B806A">
      <w:pPr>
        <w:spacing w:line="240" w:lineRule="auto"/>
        <w:ind w:firstLine="0" w:firstLineChars="0"/>
        <w:rPr>
          <w:rFonts w:hint="eastAsia"/>
          <w:color w:val="000000"/>
          <w:sz w:val="24"/>
        </w:rPr>
      </w:pPr>
      <w:r>
        <w:rPr>
          <w:rFonts w:hint="eastAsia"/>
          <w:sz w:val="21"/>
          <w:szCs w:val="16"/>
          <w:lang w:val="en-US" w:eastAsia="zh-CN"/>
        </w:rPr>
        <w:t>注：表中所列环境敏感目标为根据当前设计阶段路径资料调查所得，表中所描述位置距离为当前设计路径边导线垂直投影与环境敏感目标的最近水平距离。随工程设计不断深化，环评调查的环境敏感目标及其相对位置关系可能与建成后实际调查情况略有变化。</w:t>
      </w:r>
    </w:p>
    <w:p w14:paraId="58806C46">
      <w:pPr>
        <w:spacing w:line="360" w:lineRule="auto"/>
        <w:ind w:firstLine="480" w:firstLineChars="200"/>
        <w:rPr>
          <w:rFonts w:hint="eastAsia"/>
          <w:color w:val="000000"/>
          <w:sz w:val="24"/>
        </w:rPr>
      </w:pPr>
      <w:r>
        <w:rPr>
          <w:rFonts w:hint="eastAsia"/>
          <w:color w:val="000000"/>
          <w:sz w:val="24"/>
        </w:rPr>
        <w:t>本工程</w:t>
      </w:r>
      <w:r>
        <w:rPr>
          <w:rFonts w:hint="eastAsia"/>
          <w:color w:val="000000"/>
          <w:sz w:val="24"/>
          <w:lang w:val="en-US" w:eastAsia="zh-CN"/>
        </w:rPr>
        <w:t>拟建输电线路评价范围内</w:t>
      </w:r>
      <w:r>
        <w:rPr>
          <w:rFonts w:hint="eastAsia" w:cs="Times New Roman"/>
          <w:color w:val="000000" w:themeColor="text1"/>
          <w:sz w:val="24"/>
          <w:szCs w:val="24"/>
          <w:lang w:val="en-US" w:eastAsia="zh-CN"/>
          <w14:textFill>
            <w14:solidFill>
              <w14:schemeClr w14:val="tx1"/>
            </w14:solidFill>
          </w14:textFill>
        </w:rPr>
        <w:t>电磁环境敏感目标处</w:t>
      </w:r>
      <w:r>
        <w:rPr>
          <w:rFonts w:hint="eastAsia"/>
          <w:color w:val="000000"/>
          <w:sz w:val="24"/>
          <w:lang w:val="en-US" w:eastAsia="zh-CN"/>
        </w:rPr>
        <w:t>工频电场强度为0.03kV/m，工频磁感应强度为0.52</w:t>
      </w:r>
      <w:r>
        <w:rPr>
          <w:b w:val="0"/>
          <w:bCs/>
          <w:color w:val="auto"/>
          <w:szCs w:val="21"/>
        </w:rPr>
        <w:t>μT</w:t>
      </w:r>
      <w:r>
        <w:rPr>
          <w:rFonts w:hint="eastAsia"/>
          <w:b w:val="0"/>
          <w:bCs/>
          <w:color w:val="auto"/>
          <w:szCs w:val="21"/>
          <w:lang w:eastAsia="zh-CN"/>
        </w:rPr>
        <w:t>，</w:t>
      </w:r>
      <w:r>
        <w:rPr>
          <w:rFonts w:hint="eastAsia" w:cs="Times New Roman"/>
          <w:color w:val="000000" w:themeColor="text1"/>
          <w:sz w:val="24"/>
          <w:szCs w:val="24"/>
          <w:lang w:val="en-US" w:eastAsia="zh-CN"/>
          <w14:textFill>
            <w14:solidFill>
              <w14:schemeClr w14:val="tx1"/>
            </w14:solidFill>
          </w14:textFill>
        </w:rPr>
        <w:t>工频电场强度、工频磁感应强度均满足</w:t>
      </w:r>
      <w:r>
        <w:rPr>
          <w:rFonts w:hint="eastAsia" w:ascii="Times New Roman" w:hAnsi="Times New Roman" w:eastAsia="宋体" w:cs="Times New Roman"/>
          <w:color w:val="000000" w:themeColor="text1"/>
          <w:sz w:val="24"/>
          <w:szCs w:val="24"/>
          <w14:textFill>
            <w14:solidFill>
              <w14:schemeClr w14:val="tx1"/>
            </w14:solidFill>
          </w14:textFill>
        </w:rPr>
        <w:t>《电磁环境控制限值》（</w:t>
      </w:r>
      <w:r>
        <w:rPr>
          <w:rFonts w:ascii="Times New Roman" w:hAnsi="Times New Roman" w:eastAsia="宋体" w:cs="Times New Roman"/>
          <w:color w:val="000000" w:themeColor="text1"/>
          <w:sz w:val="24"/>
          <w:szCs w:val="24"/>
          <w14:textFill>
            <w14:solidFill>
              <w14:schemeClr w14:val="tx1"/>
            </w14:solidFill>
          </w14:textFill>
        </w:rPr>
        <w:t>GB8702-2014</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ascii="Times New Roman" w:hAnsi="Times New Roman" w:eastAsia="宋体" w:cs="Times New Roman"/>
          <w:color w:val="000000" w:themeColor="text1"/>
          <w:sz w:val="24"/>
          <w:szCs w:val="24"/>
          <w14:textFill>
            <w14:solidFill>
              <w14:schemeClr w14:val="tx1"/>
            </w14:solidFill>
          </w14:textFill>
        </w:rPr>
        <w:t>4000V/m</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100μT</w:t>
      </w:r>
      <w:r>
        <w:rPr>
          <w:rFonts w:hint="eastAsia" w:ascii="Times New Roman" w:hAnsi="Times New Roman" w:eastAsia="宋体" w:cs="Times New Roman"/>
          <w:color w:val="000000" w:themeColor="text1"/>
          <w:sz w:val="24"/>
          <w:szCs w:val="24"/>
          <w14:textFill>
            <w14:solidFill>
              <w14:schemeClr w14:val="tx1"/>
            </w14:solidFill>
          </w14:textFill>
        </w:rPr>
        <w:t>的标准限值</w:t>
      </w:r>
      <w:r>
        <w:rPr>
          <w:rFonts w:hint="eastAsia"/>
          <w:color w:val="000000"/>
          <w:sz w:val="24"/>
        </w:rPr>
        <w:t>。</w:t>
      </w:r>
    </w:p>
    <w:bookmarkEnd w:id="860"/>
    <w:bookmarkEnd w:id="861"/>
    <w:bookmarkEnd w:id="882"/>
    <w:bookmarkEnd w:id="889"/>
    <w:bookmarkEnd w:id="890"/>
    <w:bookmarkEnd w:id="891"/>
    <w:bookmarkEnd w:id="892"/>
    <w:p w14:paraId="1084529E">
      <w:pPr>
        <w:numPr>
          <w:ilvl w:val="0"/>
          <w:numId w:val="22"/>
        </w:numPr>
        <w:topLinePunct/>
        <w:spacing w:line="360" w:lineRule="auto"/>
        <w:outlineLvl w:val="0"/>
        <w:rPr>
          <w:rFonts w:cs="ˎ̥"/>
          <w:b/>
          <w:bCs/>
          <w:color w:val="000000"/>
          <w:kern w:val="44"/>
          <w:sz w:val="30"/>
          <w:szCs w:val="44"/>
        </w:rPr>
      </w:pPr>
      <w:bookmarkStart w:id="896" w:name="_Toc4857"/>
      <w:bookmarkStart w:id="897" w:name="_Toc24647700"/>
      <w:bookmarkStart w:id="898" w:name="_Toc413055190"/>
      <w:r>
        <w:rPr>
          <w:rFonts w:hint="eastAsia" w:cs="ˎ̥"/>
          <w:b/>
          <w:bCs/>
          <w:color w:val="000000"/>
          <w:kern w:val="44"/>
          <w:sz w:val="30"/>
          <w:szCs w:val="44"/>
        </w:rPr>
        <w:t>电磁环境影响评价综合结论</w:t>
      </w:r>
      <w:bookmarkEnd w:id="896"/>
      <w:bookmarkEnd w:id="897"/>
      <w:bookmarkEnd w:id="898"/>
    </w:p>
    <w:p w14:paraId="2207B20B">
      <w:pPr>
        <w:keepNext/>
        <w:keepLines/>
        <w:numPr>
          <w:ilvl w:val="1"/>
          <w:numId w:val="22"/>
        </w:numPr>
        <w:adjustRightInd w:val="0"/>
        <w:spacing w:line="360" w:lineRule="auto"/>
        <w:outlineLvl w:val="1"/>
        <w:rPr>
          <w:b/>
          <w:bCs/>
          <w:color w:val="000000"/>
          <w:sz w:val="28"/>
          <w:szCs w:val="32"/>
        </w:rPr>
      </w:pPr>
      <w:bookmarkStart w:id="899" w:name="_Toc13287"/>
      <w:bookmarkStart w:id="900" w:name="_Toc24647703"/>
      <w:bookmarkStart w:id="901" w:name="_Toc413055192"/>
      <w:r>
        <w:rPr>
          <w:rFonts w:hint="eastAsia"/>
          <w:b/>
          <w:bCs/>
          <w:color w:val="000000"/>
          <w:sz w:val="28"/>
          <w:szCs w:val="32"/>
          <w:lang w:eastAsia="zh-CN"/>
        </w:rPr>
        <w:t>港城110kV变电站</w:t>
      </w:r>
      <w:r>
        <w:rPr>
          <w:rFonts w:hint="eastAsia"/>
          <w:b/>
          <w:bCs/>
          <w:color w:val="000000"/>
          <w:sz w:val="28"/>
          <w:szCs w:val="32"/>
        </w:rPr>
        <w:t>间隔扩建工程电磁环境影响结论</w:t>
      </w:r>
      <w:bookmarkEnd w:id="899"/>
    </w:p>
    <w:p w14:paraId="04B8C369">
      <w:pPr>
        <w:spacing w:line="360" w:lineRule="auto"/>
        <w:ind w:firstLine="482"/>
        <w:rPr>
          <w:color w:val="000000"/>
          <w:sz w:val="24"/>
        </w:rPr>
      </w:pPr>
      <w:r>
        <w:rPr>
          <w:rFonts w:hint="eastAsia" w:ascii="ˎ̥" w:hAnsi="ˎ̥" w:cs="ˎ̥"/>
          <w:bCs/>
          <w:sz w:val="24"/>
          <w:szCs w:val="22"/>
          <w:lang w:eastAsia="zh-CN"/>
        </w:rPr>
        <w:t>港城110kV变电站</w:t>
      </w:r>
      <w:r>
        <w:rPr>
          <w:rFonts w:hint="eastAsia" w:ascii="ˎ̥" w:hAnsi="ˎ̥" w:cs="ˎ̥"/>
          <w:bCs/>
          <w:sz w:val="24"/>
          <w:szCs w:val="22"/>
        </w:rPr>
        <w:t>本期</w:t>
      </w:r>
      <w:r>
        <w:rPr>
          <w:rFonts w:hint="eastAsia"/>
          <w:sz w:val="24"/>
          <w:szCs w:val="32"/>
        </w:rPr>
        <w:t>建设前后仅增加</w:t>
      </w:r>
      <w:r>
        <w:rPr>
          <w:rFonts w:hint="eastAsia"/>
          <w:sz w:val="24"/>
          <w:szCs w:val="32"/>
          <w:lang w:val="en-US" w:eastAsia="zh-CN"/>
        </w:rPr>
        <w:t>11</w:t>
      </w:r>
      <w:r>
        <w:rPr>
          <w:rFonts w:hint="eastAsia"/>
          <w:sz w:val="24"/>
          <w:szCs w:val="32"/>
        </w:rPr>
        <w:t>0kV出线间隔，对变电站厂界的影响主要位于本期拟扩建间隔位置。本期扩建间隔设备及布置与前期已建间隔类似，母线及构架高度与前期工程相同，新增间隔设备对厂界的影响与前期已建设备的影响相似，已建间隔附近的电磁环境水平能够反映本工程间隔扩建后的电磁环境水平。</w:t>
      </w:r>
    </w:p>
    <w:p w14:paraId="37D6BC6B">
      <w:pPr>
        <w:spacing w:line="360" w:lineRule="auto"/>
        <w:ind w:firstLine="482"/>
        <w:rPr>
          <w:rFonts w:hint="eastAsia"/>
          <w:color w:val="000000"/>
          <w:sz w:val="24"/>
        </w:rPr>
      </w:pPr>
      <w:r>
        <w:rPr>
          <w:rFonts w:hint="eastAsia"/>
          <w:color w:val="000000"/>
          <w:sz w:val="24"/>
        </w:rPr>
        <w:t>现状监测结果表明，</w:t>
      </w:r>
      <w:r>
        <w:rPr>
          <w:rFonts w:hint="eastAsia"/>
          <w:color w:val="000000"/>
          <w:sz w:val="24"/>
          <w:lang w:eastAsia="zh-CN"/>
        </w:rPr>
        <w:t>港城变电站</w:t>
      </w:r>
      <w:r>
        <w:rPr>
          <w:rFonts w:hint="eastAsia"/>
          <w:color w:val="000000"/>
          <w:sz w:val="24"/>
        </w:rPr>
        <w:t>已建</w:t>
      </w:r>
      <w:r>
        <w:rPr>
          <w:rFonts w:hint="eastAsia"/>
          <w:color w:val="000000"/>
          <w:sz w:val="24"/>
          <w:lang w:val="en-US" w:eastAsia="zh-CN"/>
        </w:rPr>
        <w:t>11</w:t>
      </w:r>
      <w:r>
        <w:rPr>
          <w:rFonts w:hint="eastAsia"/>
          <w:color w:val="000000"/>
          <w:sz w:val="24"/>
        </w:rPr>
        <w:t>0kV出线间隔侧（变电站南侧厂界）工频电场强度监测值范围为</w:t>
      </w:r>
      <w:r>
        <w:rPr>
          <w:rFonts w:hint="eastAsia" w:ascii="ˎ̥" w:hAnsi="ˎ̥" w:cs="ˎ̥"/>
          <w:color w:val="000000"/>
          <w:sz w:val="24"/>
          <w:szCs w:val="32"/>
          <w:lang w:val="en-US" w:eastAsia="zh-CN"/>
        </w:rPr>
        <w:t>77.98</w:t>
      </w:r>
      <w:r>
        <w:rPr>
          <w:rFonts w:ascii="ˎ̥" w:hAnsi="ˎ̥" w:cs="ˎ̥"/>
          <w:color w:val="000000"/>
          <w:sz w:val="24"/>
          <w:szCs w:val="32"/>
        </w:rPr>
        <w:t>V/m</w:t>
      </w:r>
      <w:r>
        <w:rPr>
          <w:rFonts w:hint="eastAsia" w:ascii="ˎ̥" w:hAnsi="ˎ̥" w:cs="ˎ̥"/>
          <w:color w:val="000000"/>
          <w:sz w:val="24"/>
          <w:szCs w:val="32"/>
        </w:rPr>
        <w:t>~</w:t>
      </w:r>
      <w:r>
        <w:rPr>
          <w:rFonts w:hint="eastAsia" w:ascii="ˎ̥" w:hAnsi="ˎ̥" w:cs="ˎ̥"/>
          <w:color w:val="000000"/>
          <w:sz w:val="24"/>
          <w:szCs w:val="32"/>
          <w:lang w:val="en-US" w:eastAsia="zh-CN"/>
        </w:rPr>
        <w:t>217.04</w:t>
      </w:r>
      <w:r>
        <w:rPr>
          <w:rFonts w:ascii="ˎ̥" w:hAnsi="ˎ̥" w:cs="ˎ̥"/>
          <w:color w:val="000000"/>
          <w:sz w:val="24"/>
          <w:szCs w:val="32"/>
        </w:rPr>
        <w:t>V/m</w:t>
      </w:r>
      <w:r>
        <w:rPr>
          <w:rFonts w:hint="eastAsia"/>
          <w:color w:val="000000"/>
          <w:sz w:val="24"/>
        </w:rPr>
        <w:t>，工频磁感应强度监测值范围为</w:t>
      </w:r>
      <w:r>
        <w:rPr>
          <w:rFonts w:hint="eastAsia" w:ascii="ˎ̥" w:hAnsi="ˎ̥" w:cs="ˎ̥"/>
          <w:color w:val="000000"/>
          <w:sz w:val="24"/>
          <w:szCs w:val="32"/>
        </w:rPr>
        <w:t>0.</w:t>
      </w:r>
      <w:r>
        <w:rPr>
          <w:rFonts w:hint="eastAsia" w:ascii="ˎ̥" w:hAnsi="ˎ̥" w:cs="ˎ̥"/>
          <w:color w:val="000000"/>
          <w:sz w:val="24"/>
          <w:szCs w:val="32"/>
          <w:lang w:val="en-US" w:eastAsia="zh-CN"/>
        </w:rPr>
        <w:t>272</w:t>
      </w:r>
      <w:r>
        <w:rPr>
          <w:rFonts w:ascii="ˎ̥" w:hAnsi="ˎ̥" w:cs="ˎ̥"/>
          <w:color w:val="000000"/>
          <w:sz w:val="24"/>
          <w:szCs w:val="32"/>
        </w:rPr>
        <w:t>μT</w:t>
      </w:r>
      <w:r>
        <w:rPr>
          <w:rFonts w:hint="eastAsia" w:ascii="ˎ̥" w:hAnsi="ˎ̥" w:cs="ˎ̥"/>
          <w:color w:val="000000"/>
          <w:sz w:val="24"/>
          <w:szCs w:val="32"/>
        </w:rPr>
        <w:t>~0.</w:t>
      </w:r>
      <w:r>
        <w:rPr>
          <w:rFonts w:hint="eastAsia" w:ascii="ˎ̥" w:hAnsi="ˎ̥" w:cs="ˎ̥"/>
          <w:color w:val="000000"/>
          <w:sz w:val="24"/>
          <w:szCs w:val="32"/>
          <w:lang w:val="en-US" w:eastAsia="zh-CN"/>
        </w:rPr>
        <w:t>316</w:t>
      </w:r>
      <w:r>
        <w:rPr>
          <w:rFonts w:ascii="ˎ̥" w:hAnsi="ˎ̥" w:cs="ˎ̥"/>
          <w:color w:val="000000"/>
          <w:sz w:val="24"/>
          <w:szCs w:val="32"/>
        </w:rPr>
        <w:t>μT</w:t>
      </w:r>
      <w:r>
        <w:rPr>
          <w:rFonts w:hint="eastAsia"/>
          <w:color w:val="000000"/>
          <w:sz w:val="24"/>
        </w:rPr>
        <w:t>，分别满足《电磁环境控制限值》（GB 8702-2014）中4000V/m、100µT的控制限值要求。</w:t>
      </w:r>
    </w:p>
    <w:p w14:paraId="64E3B44C">
      <w:pPr>
        <w:spacing w:line="360" w:lineRule="auto"/>
        <w:ind w:firstLine="482"/>
        <w:rPr>
          <w:color w:val="000000"/>
          <w:sz w:val="24"/>
        </w:rPr>
      </w:pPr>
      <w:r>
        <w:rPr>
          <w:rFonts w:hint="eastAsia"/>
          <w:color w:val="000000"/>
          <w:sz w:val="24"/>
          <w:lang w:eastAsia="zh-CN"/>
        </w:rPr>
        <w:t>港城110kV变电站</w:t>
      </w:r>
      <w:r>
        <w:rPr>
          <w:rFonts w:hint="eastAsia"/>
          <w:color w:val="000000"/>
          <w:sz w:val="24"/>
          <w:lang w:val="en-US" w:eastAsia="zh-CN"/>
        </w:rPr>
        <w:t>评价范围内有1处电磁环境敏感目标，其</w:t>
      </w:r>
      <w:r>
        <w:rPr>
          <w:rFonts w:hint="eastAsia"/>
          <w:color w:val="000000"/>
          <w:sz w:val="24"/>
        </w:rPr>
        <w:t>工频电场强度监测值为</w:t>
      </w:r>
      <w:r>
        <w:rPr>
          <w:rFonts w:hint="eastAsia" w:ascii="ˎ̥" w:hAnsi="ˎ̥" w:cs="ˎ̥"/>
          <w:color w:val="000000"/>
          <w:sz w:val="24"/>
          <w:szCs w:val="32"/>
          <w:highlight w:val="none"/>
          <w:lang w:val="en-US" w:eastAsia="zh-CN"/>
        </w:rPr>
        <w:t>11.87</w:t>
      </w:r>
      <w:r>
        <w:rPr>
          <w:rFonts w:ascii="ˎ̥" w:hAnsi="ˎ̥" w:cs="ˎ̥"/>
          <w:color w:val="000000"/>
          <w:sz w:val="24"/>
          <w:szCs w:val="32"/>
          <w:highlight w:val="none"/>
        </w:rPr>
        <w:t>V/m</w:t>
      </w:r>
      <w:r>
        <w:rPr>
          <w:rFonts w:hint="eastAsia"/>
          <w:color w:val="000000"/>
          <w:sz w:val="24"/>
          <w:highlight w:val="none"/>
        </w:rPr>
        <w:t>，工频磁感应强度监测值为</w:t>
      </w:r>
      <w:r>
        <w:rPr>
          <w:rFonts w:hint="eastAsia" w:ascii="ˎ̥" w:hAnsi="ˎ̥" w:cs="ˎ̥"/>
          <w:color w:val="000000"/>
          <w:sz w:val="24"/>
          <w:szCs w:val="32"/>
          <w:highlight w:val="none"/>
          <w:lang w:val="en-US" w:eastAsia="zh-CN"/>
        </w:rPr>
        <w:t>0.035</w:t>
      </w:r>
      <w:r>
        <w:rPr>
          <w:rFonts w:ascii="ˎ̥" w:hAnsi="ˎ̥" w:cs="ˎ̥"/>
          <w:color w:val="000000"/>
          <w:sz w:val="24"/>
          <w:szCs w:val="32"/>
          <w:highlight w:val="none"/>
        </w:rPr>
        <w:t>μT</w:t>
      </w:r>
      <w:r>
        <w:rPr>
          <w:rFonts w:hint="eastAsia"/>
          <w:color w:val="000000"/>
          <w:sz w:val="24"/>
          <w:highlight w:val="none"/>
        </w:rPr>
        <w:t>，分别满</w:t>
      </w:r>
      <w:r>
        <w:rPr>
          <w:rFonts w:hint="eastAsia"/>
          <w:color w:val="000000"/>
          <w:sz w:val="24"/>
        </w:rPr>
        <w:t>足《电磁环境控制限值》（GB 8702-2014）中4000V/m、100µT的控制限值要求。</w:t>
      </w:r>
    </w:p>
    <w:p w14:paraId="3B79AA7E">
      <w:pPr>
        <w:spacing w:line="360" w:lineRule="auto"/>
        <w:ind w:firstLine="480" w:firstLineChars="200"/>
        <w:rPr>
          <w:color w:val="000000"/>
          <w:sz w:val="24"/>
        </w:rPr>
      </w:pPr>
      <w:r>
        <w:rPr>
          <w:rFonts w:hint="eastAsia"/>
          <w:color w:val="000000"/>
          <w:sz w:val="24"/>
        </w:rPr>
        <w:t>可以预测，本期间隔扩建工程投产后，</w:t>
      </w:r>
      <w:r>
        <w:rPr>
          <w:rFonts w:hint="eastAsia"/>
          <w:color w:val="000000"/>
          <w:sz w:val="24"/>
          <w:lang w:eastAsia="zh-CN"/>
        </w:rPr>
        <w:t>港城110kV变电站</w:t>
      </w:r>
      <w:r>
        <w:rPr>
          <w:rFonts w:hint="eastAsia"/>
          <w:color w:val="000000"/>
          <w:sz w:val="24"/>
        </w:rPr>
        <w:t>间隔扩建侧厂界（南侧厂界）</w:t>
      </w:r>
      <w:r>
        <w:rPr>
          <w:rFonts w:hint="eastAsia"/>
          <w:color w:val="000000"/>
          <w:sz w:val="24"/>
          <w:lang w:val="en-US" w:eastAsia="zh-CN"/>
        </w:rPr>
        <w:t>及环境敏感目标处</w:t>
      </w:r>
      <w:r>
        <w:rPr>
          <w:rFonts w:hint="eastAsia"/>
          <w:color w:val="000000"/>
          <w:sz w:val="24"/>
        </w:rPr>
        <w:t>的电磁环境影响将基本保持在前期工程水平，依然能满足《电磁环境控制限值》（GB8702-2014）中4000V/m、100µT的限值要求。</w:t>
      </w:r>
    </w:p>
    <w:p w14:paraId="6B2B5770">
      <w:pPr>
        <w:keepNext/>
        <w:keepLines/>
        <w:numPr>
          <w:ilvl w:val="1"/>
          <w:numId w:val="22"/>
        </w:numPr>
        <w:adjustRightInd w:val="0"/>
        <w:spacing w:line="360" w:lineRule="auto"/>
        <w:outlineLvl w:val="1"/>
        <w:rPr>
          <w:b/>
          <w:bCs/>
          <w:color w:val="000000"/>
          <w:sz w:val="28"/>
          <w:szCs w:val="32"/>
        </w:rPr>
      </w:pPr>
      <w:bookmarkStart w:id="902" w:name="_Toc19183"/>
      <w:r>
        <w:rPr>
          <w:rFonts w:hint="eastAsia"/>
          <w:b/>
          <w:bCs/>
          <w:color w:val="000000"/>
          <w:sz w:val="28"/>
          <w:szCs w:val="32"/>
          <w:lang w:eastAsia="zh-CN"/>
        </w:rPr>
        <w:t>港城~新阳110千伏线路工程</w:t>
      </w:r>
      <w:r>
        <w:rPr>
          <w:rFonts w:hint="eastAsia"/>
          <w:b/>
          <w:bCs/>
          <w:color w:val="000000"/>
          <w:sz w:val="28"/>
          <w:szCs w:val="32"/>
        </w:rPr>
        <w:t>电磁环境影响结论</w:t>
      </w:r>
      <w:bookmarkEnd w:id="900"/>
      <w:bookmarkEnd w:id="901"/>
      <w:bookmarkEnd w:id="902"/>
    </w:p>
    <w:p w14:paraId="11B743CD">
      <w:pPr>
        <w:spacing w:line="360" w:lineRule="auto"/>
        <w:ind w:firstLine="480" w:firstLineChars="200"/>
        <w:rPr>
          <w:rFonts w:hint="default" w:eastAsia="宋体"/>
          <w:sz w:val="24"/>
          <w:szCs w:val="20"/>
          <w:lang w:val="en-US" w:eastAsia="zh-CN"/>
        </w:rPr>
      </w:pPr>
      <w:r>
        <w:rPr>
          <w:rFonts w:hint="eastAsia"/>
          <w:sz w:val="24"/>
          <w:szCs w:val="20"/>
          <w:lang w:eastAsia="zh-CN"/>
        </w:rPr>
        <w:t>（</w:t>
      </w:r>
      <w:r>
        <w:rPr>
          <w:rFonts w:hint="eastAsia"/>
          <w:sz w:val="24"/>
          <w:szCs w:val="20"/>
          <w:lang w:val="en-US" w:eastAsia="zh-CN"/>
        </w:rPr>
        <w:t>1）单回线路</w:t>
      </w:r>
    </w:p>
    <w:p w14:paraId="471B5BFD">
      <w:pPr>
        <w:spacing w:line="360" w:lineRule="auto"/>
        <w:ind w:firstLine="480" w:firstLineChars="200"/>
        <w:rPr>
          <w:rFonts w:hint="eastAsia"/>
          <w:color w:val="000000"/>
          <w:sz w:val="24"/>
        </w:rPr>
      </w:pPr>
      <w:r>
        <w:rPr>
          <w:rFonts w:hint="eastAsia"/>
          <w:sz w:val="24"/>
          <w:szCs w:val="20"/>
          <w:lang w:val="en-US" w:eastAsia="zh-CN"/>
        </w:rPr>
        <w:t>拟建</w:t>
      </w:r>
      <w:r>
        <w:rPr>
          <w:rFonts w:hint="eastAsia"/>
          <w:sz w:val="24"/>
          <w:szCs w:val="20"/>
        </w:rPr>
        <w:t>单回线路经过非居民区，导线弧垂最小对地距离</w:t>
      </w:r>
      <w:r>
        <w:rPr>
          <w:rFonts w:hint="eastAsia"/>
          <w:sz w:val="24"/>
          <w:szCs w:val="20"/>
          <w:lang w:eastAsia="zh-CN"/>
        </w:rPr>
        <w:t>6</w:t>
      </w:r>
      <w:r>
        <w:rPr>
          <w:rFonts w:hint="eastAsia"/>
          <w:sz w:val="24"/>
          <w:szCs w:val="20"/>
          <w:lang w:val="en-US" w:eastAsia="zh-CN"/>
        </w:rPr>
        <w:t>.0</w:t>
      </w:r>
      <w:r>
        <w:rPr>
          <w:rFonts w:hint="eastAsia"/>
          <w:sz w:val="24"/>
          <w:szCs w:val="20"/>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2.58</w:t>
      </w:r>
      <w:r>
        <w:rPr>
          <w:color w:val="000000"/>
          <w:sz w:val="24"/>
        </w:rPr>
        <w:t>kV/m</w:t>
      </w:r>
      <w:r>
        <w:rPr>
          <w:rFonts w:hint="eastAsia"/>
          <w:color w:val="000000"/>
          <w:sz w:val="24"/>
        </w:rPr>
        <w:t>、工频磁感应强度最大值为</w:t>
      </w:r>
      <w:r>
        <w:rPr>
          <w:rFonts w:hint="eastAsia"/>
          <w:color w:val="000000"/>
          <w:sz w:val="24"/>
          <w:lang w:val="en-US" w:eastAsia="zh-CN"/>
        </w:rPr>
        <w:t>27.66</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24C149C0">
      <w:pPr>
        <w:spacing w:line="360" w:lineRule="auto"/>
        <w:ind w:firstLine="480" w:firstLineChars="200"/>
        <w:rPr>
          <w:sz w:val="24"/>
          <w:szCs w:val="20"/>
        </w:rPr>
      </w:pPr>
      <w:r>
        <w:rPr>
          <w:rFonts w:hint="eastAsia"/>
          <w:color w:val="000000"/>
          <w:sz w:val="24"/>
          <w:lang w:val="en-US" w:eastAsia="zh-CN"/>
        </w:rPr>
        <w:t>拟建单</w:t>
      </w:r>
      <w:r>
        <w:rPr>
          <w:rFonts w:hint="eastAsia"/>
          <w:color w:val="000000"/>
          <w:sz w:val="24"/>
        </w:rPr>
        <w:t>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1.99</w:t>
      </w:r>
      <w:r>
        <w:rPr>
          <w:color w:val="000000"/>
          <w:sz w:val="24"/>
        </w:rPr>
        <w:t>kV/m</w:t>
      </w:r>
      <w:r>
        <w:rPr>
          <w:rFonts w:hint="eastAsia"/>
          <w:color w:val="000000"/>
          <w:sz w:val="24"/>
        </w:rPr>
        <w:t>、工频磁感应强度最大值为</w:t>
      </w:r>
      <w:r>
        <w:rPr>
          <w:rFonts w:hint="eastAsia"/>
          <w:color w:val="000000"/>
          <w:sz w:val="24"/>
          <w:lang w:val="en-US" w:eastAsia="zh-CN"/>
        </w:rPr>
        <w:t>21.84</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61F7EC9D">
      <w:pPr>
        <w:spacing w:line="360" w:lineRule="auto"/>
        <w:ind w:firstLine="480" w:firstLineChars="200"/>
        <w:rPr>
          <w:rFonts w:hint="default" w:eastAsia="宋体"/>
          <w:sz w:val="24"/>
          <w:szCs w:val="20"/>
          <w:lang w:val="en-US" w:eastAsia="zh-CN"/>
        </w:rPr>
      </w:pPr>
      <w:r>
        <w:rPr>
          <w:rFonts w:hint="eastAsia"/>
          <w:sz w:val="24"/>
          <w:szCs w:val="20"/>
          <w:lang w:eastAsia="zh-CN"/>
        </w:rPr>
        <w:t>（</w:t>
      </w:r>
      <w:r>
        <w:rPr>
          <w:rFonts w:hint="eastAsia"/>
          <w:sz w:val="24"/>
          <w:szCs w:val="20"/>
          <w:lang w:val="en-US" w:eastAsia="zh-CN"/>
        </w:rPr>
        <w:t>2）同塔双回线路</w:t>
      </w:r>
    </w:p>
    <w:p w14:paraId="575C2084">
      <w:pPr>
        <w:spacing w:line="360" w:lineRule="auto"/>
        <w:ind w:firstLine="480" w:firstLineChars="200"/>
        <w:rPr>
          <w:color w:val="000000"/>
          <w:sz w:val="24"/>
        </w:rPr>
      </w:pPr>
      <w:r>
        <w:rPr>
          <w:rFonts w:hint="eastAsia"/>
          <w:color w:val="000000"/>
          <w:sz w:val="24"/>
          <w:lang w:val="en-US" w:eastAsia="zh-CN"/>
        </w:rPr>
        <w:t>拟建</w:t>
      </w:r>
      <w:r>
        <w:rPr>
          <w:rFonts w:hint="eastAsia"/>
          <w:color w:val="000000"/>
          <w:sz w:val="24"/>
        </w:rPr>
        <w:t>双回线路经过非居民区，导线对地最小距离为</w:t>
      </w:r>
      <w:r>
        <w:rPr>
          <w:color w:val="000000"/>
          <w:sz w:val="24"/>
        </w:rPr>
        <w:t>6</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2.13</w:t>
      </w:r>
      <w:r>
        <w:rPr>
          <w:color w:val="000000"/>
          <w:sz w:val="24"/>
        </w:rPr>
        <w:t>kV/m</w:t>
      </w:r>
      <w:r>
        <w:rPr>
          <w:rFonts w:hint="eastAsia"/>
          <w:color w:val="000000"/>
          <w:sz w:val="24"/>
        </w:rPr>
        <w:t>、工频磁感应强度最大值为</w:t>
      </w:r>
      <w:r>
        <w:rPr>
          <w:rFonts w:hint="eastAsia"/>
          <w:color w:val="000000"/>
          <w:sz w:val="24"/>
          <w:lang w:val="en-US" w:eastAsia="zh-CN"/>
        </w:rPr>
        <w:t>18.37</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color w:val="000000"/>
          <w:sz w:val="24"/>
        </w:rPr>
        <w:t>10kV/m</w:t>
      </w:r>
      <w:r>
        <w:rPr>
          <w:rFonts w:hint="eastAsia"/>
          <w:color w:val="000000"/>
          <w:sz w:val="24"/>
        </w:rPr>
        <w:t>、</w:t>
      </w:r>
      <w:r>
        <w:rPr>
          <w:color w:val="000000"/>
          <w:sz w:val="24"/>
        </w:rPr>
        <w:t>100μT</w:t>
      </w:r>
      <w:r>
        <w:rPr>
          <w:rFonts w:hint="eastAsia"/>
          <w:color w:val="000000"/>
          <w:sz w:val="24"/>
        </w:rPr>
        <w:t>的控制限值。</w:t>
      </w:r>
    </w:p>
    <w:p w14:paraId="38214191">
      <w:pPr>
        <w:spacing w:line="360" w:lineRule="auto"/>
        <w:ind w:firstLine="480" w:firstLineChars="200"/>
        <w:rPr>
          <w:rFonts w:hint="eastAsia"/>
          <w:color w:val="000000"/>
          <w:sz w:val="24"/>
        </w:rPr>
      </w:pPr>
      <w:r>
        <w:rPr>
          <w:rFonts w:hint="eastAsia"/>
          <w:color w:val="000000"/>
          <w:sz w:val="24"/>
          <w:lang w:val="en-US" w:eastAsia="zh-CN"/>
        </w:rPr>
        <w:t>拟建</w:t>
      </w:r>
      <w:r>
        <w:rPr>
          <w:rFonts w:hint="eastAsia"/>
          <w:color w:val="000000"/>
          <w:sz w:val="24"/>
        </w:rPr>
        <w:t>双回线路经过居民区，导线对地最小距离为</w:t>
      </w:r>
      <w:r>
        <w:rPr>
          <w:rFonts w:hint="eastAsia" w:ascii="ˎ̥" w:hAnsi="ˎ̥"/>
          <w:color w:val="000000"/>
          <w:sz w:val="24"/>
        </w:rPr>
        <w:t>7</w:t>
      </w:r>
      <w:r>
        <w:rPr>
          <w:rFonts w:hint="eastAsia"/>
          <w:color w:val="000000"/>
          <w:sz w:val="24"/>
        </w:rPr>
        <w:t>.</w:t>
      </w:r>
      <w:r>
        <w:rPr>
          <w:rFonts w:hint="eastAsia"/>
          <w:color w:val="000000"/>
          <w:sz w:val="24"/>
          <w:lang w:val="en-US" w:eastAsia="zh-CN"/>
        </w:rPr>
        <w:t>0</w:t>
      </w:r>
      <w:r>
        <w:rPr>
          <w:color w:val="000000"/>
          <w:sz w:val="24"/>
        </w:rPr>
        <w:t>m</w:t>
      </w:r>
      <w:r>
        <w:rPr>
          <w:rFonts w:hint="eastAsia"/>
          <w:color w:val="000000"/>
          <w:sz w:val="24"/>
        </w:rPr>
        <w:t>，距离地面</w:t>
      </w:r>
      <w:r>
        <w:rPr>
          <w:color w:val="000000"/>
          <w:sz w:val="24"/>
        </w:rPr>
        <w:t>1.5m</w:t>
      </w:r>
      <w:r>
        <w:rPr>
          <w:rFonts w:hint="eastAsia"/>
          <w:color w:val="000000"/>
          <w:sz w:val="24"/>
        </w:rPr>
        <w:t>高度处的工频电场强度最大值为</w:t>
      </w:r>
      <w:r>
        <w:rPr>
          <w:rFonts w:hint="eastAsia"/>
          <w:color w:val="000000"/>
          <w:sz w:val="24"/>
          <w:lang w:val="en-US" w:eastAsia="zh-CN"/>
        </w:rPr>
        <w:t>1.58</w:t>
      </w:r>
      <w:r>
        <w:rPr>
          <w:color w:val="000000"/>
          <w:sz w:val="24"/>
        </w:rPr>
        <w:t>kV/m</w:t>
      </w:r>
      <w:r>
        <w:rPr>
          <w:rFonts w:hint="eastAsia"/>
          <w:color w:val="000000"/>
          <w:sz w:val="24"/>
        </w:rPr>
        <w:t>、工频磁感应强度最大值为</w:t>
      </w:r>
      <w:r>
        <w:rPr>
          <w:rFonts w:hint="eastAsia"/>
          <w:color w:val="000000"/>
          <w:sz w:val="24"/>
          <w:lang w:val="en-US" w:eastAsia="zh-CN"/>
        </w:rPr>
        <w:t>14.21</w:t>
      </w:r>
      <w:r>
        <w:rPr>
          <w:color w:val="000000"/>
          <w:sz w:val="24"/>
        </w:rPr>
        <w:t>μT</w:t>
      </w:r>
      <w:r>
        <w:rPr>
          <w:rFonts w:hint="eastAsia"/>
          <w:color w:val="000000"/>
          <w:sz w:val="24"/>
        </w:rPr>
        <w:t>，满足《电磁环境控制限值》（</w:t>
      </w:r>
      <w:r>
        <w:rPr>
          <w:color w:val="000000"/>
          <w:sz w:val="24"/>
        </w:rPr>
        <w:t>GB8702-2014</w:t>
      </w:r>
      <w:r>
        <w:rPr>
          <w:rFonts w:hint="eastAsia"/>
          <w:color w:val="000000"/>
          <w:sz w:val="24"/>
        </w:rPr>
        <w:t>）中</w:t>
      </w:r>
      <w:r>
        <w:rPr>
          <w:rFonts w:hint="eastAsia" w:ascii="ˎ̥" w:hAnsi="ˎ̥"/>
          <w:color w:val="000000"/>
          <w:sz w:val="24"/>
        </w:rPr>
        <w:t>4</w:t>
      </w:r>
      <w:r>
        <w:rPr>
          <w:color w:val="000000"/>
          <w:sz w:val="24"/>
        </w:rPr>
        <w:t>kV/m</w:t>
      </w:r>
      <w:r>
        <w:rPr>
          <w:rFonts w:hint="eastAsia"/>
          <w:color w:val="000000"/>
          <w:sz w:val="24"/>
        </w:rPr>
        <w:t>、</w:t>
      </w:r>
      <w:r>
        <w:rPr>
          <w:color w:val="000000"/>
          <w:sz w:val="24"/>
        </w:rPr>
        <w:t>100μT</w:t>
      </w:r>
      <w:r>
        <w:rPr>
          <w:rFonts w:hint="eastAsia"/>
          <w:color w:val="000000"/>
          <w:sz w:val="24"/>
        </w:rPr>
        <w:t>的控制限值。</w:t>
      </w:r>
    </w:p>
    <w:p w14:paraId="1FEDE0B0">
      <w:pPr>
        <w:spacing w:line="360" w:lineRule="auto"/>
        <w:ind w:firstLine="480" w:firstLineChars="200"/>
        <w:rPr>
          <w:rFonts w:hint="eastAsia"/>
          <w:lang w:val="en-US" w:eastAsia="zh-CN"/>
        </w:rPr>
      </w:pPr>
      <w:r>
        <w:rPr>
          <w:rFonts w:hint="default"/>
          <w:color w:val="000000"/>
          <w:sz w:val="24"/>
          <w:lang w:eastAsia="zh-CN"/>
        </w:rPr>
        <w:t>（</w:t>
      </w:r>
      <w:r>
        <w:rPr>
          <w:rFonts w:hint="default"/>
          <w:color w:val="000000"/>
          <w:sz w:val="24"/>
          <w:lang w:val="en-US" w:eastAsia="zh-CN"/>
        </w:rPr>
        <w:t>3）电磁环境敏感目标</w:t>
      </w:r>
    </w:p>
    <w:p w14:paraId="710D0054">
      <w:p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本环评针对输电线路评价范围内的电磁环境敏感目标按照</w:t>
      </w:r>
      <w:r>
        <w:rPr>
          <w:rFonts w:hint="eastAsia" w:ascii="Times New Roman" w:hAnsi="Times New Roman" w:cs="Times New Roman"/>
          <w:color w:val="000000" w:themeColor="text1"/>
          <w:sz w:val="24"/>
          <w:szCs w:val="24"/>
          <w:lang w:val="en-US" w:eastAsia="zh-CN"/>
          <w14:textFill>
            <w14:solidFill>
              <w14:schemeClr w14:val="tx1"/>
            </w14:solidFill>
          </w14:textFill>
        </w:rPr>
        <w:t>相应</w:t>
      </w:r>
      <w:r>
        <w:rPr>
          <w:rFonts w:hint="eastAsia" w:ascii="Times New Roman" w:hAnsi="Times New Roman" w:cs="Times New Roman"/>
          <w:color w:val="000000" w:themeColor="text1"/>
          <w:sz w:val="24"/>
          <w:szCs w:val="24"/>
          <w14:textFill>
            <w14:solidFill>
              <w14:schemeClr w14:val="tx1"/>
            </w14:solidFill>
          </w14:textFill>
        </w:rPr>
        <w:t>导线对地距离进行了相应环境影响预测，本工程沿线电磁环境敏感建筑物为一层坡顶建筑，因此预测距离地面</w:t>
      </w:r>
      <w:r>
        <w:rPr>
          <w:rFonts w:ascii="Times New Roman" w:hAnsi="Times New Roman" w:cs="Times New Roman"/>
          <w:color w:val="000000" w:themeColor="text1"/>
          <w:sz w:val="24"/>
          <w:szCs w:val="24"/>
          <w14:textFill>
            <w14:solidFill>
              <w14:schemeClr w14:val="tx1"/>
            </w14:solidFill>
          </w14:textFill>
        </w:rPr>
        <w:t>1.5m</w:t>
      </w:r>
      <w:r>
        <w:rPr>
          <w:rFonts w:hint="eastAsia" w:ascii="Times New Roman" w:hAnsi="Times New Roman" w:cs="Times New Roman"/>
          <w:color w:val="000000" w:themeColor="text1"/>
          <w:sz w:val="24"/>
          <w:szCs w:val="24"/>
          <w14:textFill>
            <w14:solidFill>
              <w14:schemeClr w14:val="tx1"/>
            </w14:solidFill>
          </w14:textFill>
        </w:rPr>
        <w:t>高度处</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eastAsia" w:ascii="Times New Roman" w:hAnsi="Times New Roman" w:cs="Times New Roman"/>
          <w:color w:val="000000" w:themeColor="text1"/>
          <w:sz w:val="24"/>
          <w:szCs w:val="24"/>
          <w14:textFill>
            <w14:solidFill>
              <w14:schemeClr w14:val="tx1"/>
            </w14:solidFill>
          </w14:textFill>
        </w:rPr>
        <w:t>工频电场强度、工频磁感应强度</w:t>
      </w:r>
      <w:r>
        <w:rPr>
          <w:rFonts w:hint="eastAsia" w:ascii="Times New Roman" w:hAnsi="Times New Roman" w:cs="Times New Roman"/>
          <w:color w:val="000000" w:themeColor="text1"/>
          <w:sz w:val="24"/>
          <w:szCs w:val="24"/>
          <w:lang w:eastAsia="zh-CN"/>
          <w14:textFill>
            <w14:solidFill>
              <w14:schemeClr w14:val="tx1"/>
            </w14:solidFill>
          </w14:textFill>
        </w:rPr>
        <w:t>。</w:t>
      </w:r>
    </w:p>
    <w:p w14:paraId="3164AFE9">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预测结果显示本工程拟建输电线路评价范围内电磁环境敏感目标处的</w:t>
      </w:r>
      <w:r>
        <w:rPr>
          <w:rFonts w:hint="eastAsia"/>
          <w:color w:val="000000"/>
          <w:sz w:val="24"/>
          <w:lang w:val="en-US" w:eastAsia="zh-CN"/>
        </w:rPr>
        <w:t>工频电场强度为0.03kV/m，工频磁感应强度为0.52</w:t>
      </w:r>
      <w:r>
        <w:rPr>
          <w:b w:val="0"/>
          <w:bCs/>
          <w:color w:val="auto"/>
          <w:szCs w:val="21"/>
        </w:rPr>
        <w:t>μT</w:t>
      </w:r>
      <w:r>
        <w:rPr>
          <w:rFonts w:hint="eastAsia"/>
          <w:b w:val="0"/>
          <w:bCs/>
          <w:color w:val="auto"/>
          <w:szCs w:val="21"/>
          <w:lang w:eastAsia="zh-CN"/>
        </w:rPr>
        <w:t>，</w:t>
      </w:r>
      <w:r>
        <w:rPr>
          <w:rFonts w:hint="eastAsia" w:cs="Times New Roman"/>
          <w:color w:val="000000" w:themeColor="text1"/>
          <w:sz w:val="24"/>
          <w:szCs w:val="24"/>
          <w:lang w:val="en-US" w:eastAsia="zh-CN"/>
          <w14:textFill>
            <w14:solidFill>
              <w14:schemeClr w14:val="tx1"/>
            </w14:solidFill>
          </w14:textFill>
        </w:rPr>
        <w:t>工频电场强度、工频磁感应强度均满足</w:t>
      </w:r>
      <w:r>
        <w:rPr>
          <w:rFonts w:hint="eastAsia" w:ascii="Times New Roman" w:hAnsi="Times New Roman" w:eastAsia="宋体" w:cs="Times New Roman"/>
          <w:color w:val="000000" w:themeColor="text1"/>
          <w:sz w:val="24"/>
          <w:szCs w:val="24"/>
          <w14:textFill>
            <w14:solidFill>
              <w14:schemeClr w14:val="tx1"/>
            </w14:solidFill>
          </w14:textFill>
        </w:rPr>
        <w:t>《电磁环境控制限值》（</w:t>
      </w:r>
      <w:r>
        <w:rPr>
          <w:rFonts w:ascii="Times New Roman" w:hAnsi="Times New Roman" w:eastAsia="宋体" w:cs="Times New Roman"/>
          <w:color w:val="000000" w:themeColor="text1"/>
          <w:sz w:val="24"/>
          <w:szCs w:val="24"/>
          <w14:textFill>
            <w14:solidFill>
              <w14:schemeClr w14:val="tx1"/>
            </w14:solidFill>
          </w14:textFill>
        </w:rPr>
        <w:t>GB8702-2014</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ascii="Times New Roman" w:hAnsi="Times New Roman" w:eastAsia="宋体" w:cs="Times New Roman"/>
          <w:color w:val="000000" w:themeColor="text1"/>
          <w:sz w:val="24"/>
          <w:szCs w:val="24"/>
          <w14:textFill>
            <w14:solidFill>
              <w14:schemeClr w14:val="tx1"/>
            </w14:solidFill>
          </w14:textFill>
        </w:rPr>
        <w:t>4000V/m</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100μT</w:t>
      </w:r>
      <w:r>
        <w:rPr>
          <w:rFonts w:hint="eastAsia" w:ascii="Times New Roman" w:hAnsi="Times New Roman" w:eastAsia="宋体" w:cs="Times New Roman"/>
          <w:color w:val="000000" w:themeColor="text1"/>
          <w:sz w:val="24"/>
          <w:szCs w:val="24"/>
          <w14:textFill>
            <w14:solidFill>
              <w14:schemeClr w14:val="tx1"/>
            </w14:solidFill>
          </w14:textFill>
        </w:rPr>
        <w:t>的标准限值</w:t>
      </w:r>
      <w:r>
        <w:rPr>
          <w:rFonts w:hint="eastAsia"/>
          <w:color w:val="000000"/>
          <w:sz w:val="24"/>
        </w:rPr>
        <w:t>。</w:t>
      </w:r>
    </w:p>
    <w:p w14:paraId="486FD197">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p>
    <w:p w14:paraId="66E68FD7">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sectPr>
          <w:footerReference r:id="rId13" w:type="default"/>
          <w:pgSz w:w="11906" w:h="16838"/>
          <w:pgMar w:top="1474" w:right="1418" w:bottom="1474" w:left="1418" w:header="851" w:footer="992" w:gutter="0"/>
          <w:pgNumType w:start="1"/>
          <w:cols w:space="720" w:num="1"/>
          <w:docGrid w:type="linesAndChars" w:linePitch="312" w:charSpace="0"/>
        </w:sectPr>
      </w:pPr>
    </w:p>
    <w:p w14:paraId="5C7A2AD4">
      <w:pPr>
        <w:pStyle w:val="4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eastAsia="宋体"/>
          <w:lang w:eastAsia="zh-CN"/>
        </w:rPr>
      </w:pPr>
    </w:p>
    <w:sectPr>
      <w:headerReference r:id="rId14" w:type="default"/>
      <w:footerReference r:id="rId15"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815B5">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5934">
    <w:pPr>
      <w:pStyle w:val="2"/>
      <w:framePr w:wrap="around" w:vAnchor="text" w:hAnchor="margin" w:xAlign="outside" w:y="1"/>
      <w:rPr>
        <w:rStyle w:val="37"/>
      </w:rPr>
    </w:pPr>
    <w:r>
      <w:fldChar w:fldCharType="begin"/>
    </w:r>
    <w:r>
      <w:rPr>
        <w:rStyle w:val="37"/>
      </w:rPr>
      <w:instrText xml:space="preserve">PAGE  </w:instrText>
    </w:r>
    <w:r>
      <w:fldChar w:fldCharType="end"/>
    </w:r>
  </w:p>
  <w:p w14:paraId="6AB31D1B">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F298C">
    <w:pPr>
      <w:pStyle w:val="2"/>
      <w:jc w:val="center"/>
    </w:pP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B03FC">
    <w:pPr>
      <w:tabs>
        <w:tab w:val="center" w:pos="4153"/>
        <w:tab w:val="right" w:pos="8306"/>
      </w:tabs>
      <w:snapToGrid w:val="0"/>
      <w:ind w:firstLine="360"/>
      <w:jc w:val="left"/>
      <w:rPr>
        <w:rFonts w:ascii="Tahoma" w:hAnsi="Tahoma" w:eastAsia="仿宋_GB2312" w:cs="ˎ̥"/>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C5994">
    <w:pPr>
      <w:tabs>
        <w:tab w:val="center" w:pos="4153"/>
        <w:tab w:val="right" w:pos="8306"/>
      </w:tabs>
      <w:snapToGrid w:val="0"/>
      <w:ind w:firstLine="360"/>
      <w:jc w:val="left"/>
      <w:rPr>
        <w:rFonts w:ascii="Tahoma" w:hAnsi="Tahoma" w:eastAsia="仿宋_GB2312" w:cs="ˎ̥"/>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245D7">
    <w:pPr>
      <w:tabs>
        <w:tab w:val="center" w:pos="4153"/>
        <w:tab w:val="right" w:pos="8306"/>
      </w:tabs>
      <w:snapToGrid w:val="0"/>
      <w:ind w:firstLine="360"/>
      <w:jc w:val="left"/>
      <w:rPr>
        <w:rFonts w:ascii="Tahoma" w:hAnsi="Tahoma" w:eastAsia="仿宋_GB2312" w:cs="ˎ̥"/>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CBD1">
    <w:pPr>
      <w:tabs>
        <w:tab w:val="center" w:pos="4153"/>
        <w:tab w:val="right" w:pos="8306"/>
      </w:tabs>
      <w:snapToGrid w:val="0"/>
      <w:ind w:firstLine="360"/>
      <w:jc w:val="left"/>
      <w:rPr>
        <w:rFonts w:ascii="Tahoma" w:hAnsi="Tahoma" w:eastAsia="仿宋_GB2312" w:cs="ˎ̥"/>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869A7">
                          <w:pPr>
                            <w:pStyle w:val="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29869A7">
                    <w:pPr>
                      <w:pStyle w:val="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D34CF">
    <w:pPr>
      <w:framePr w:wrap="around" w:vAnchor="text" w:hAnchor="page" w:x="5868" w:y="142"/>
      <w:rPr>
        <w:sz w:val="18"/>
        <w:szCs w:val="20"/>
      </w:rPr>
    </w:pPr>
    <w:r>
      <w:rPr>
        <w:sz w:val="18"/>
        <w:szCs w:val="20"/>
      </w:rPr>
      <w:fldChar w:fldCharType="begin"/>
    </w:r>
    <w:r>
      <w:rPr>
        <w:sz w:val="18"/>
        <w:szCs w:val="20"/>
      </w:rPr>
      <w:instrText xml:space="preserve">PAGE  </w:instrText>
    </w:r>
    <w:r>
      <w:rPr>
        <w:sz w:val="18"/>
        <w:szCs w:val="20"/>
      </w:rPr>
      <w:fldChar w:fldCharType="separate"/>
    </w:r>
    <w:r>
      <w:rPr>
        <w:sz w:val="18"/>
        <w:szCs w:val="20"/>
      </w:rPr>
      <w:t>37</w:t>
    </w:r>
    <w:r>
      <w:rPr>
        <w:sz w:val="18"/>
        <w:szCs w:val="20"/>
      </w:rPr>
      <w:fldChar w:fldCharType="end"/>
    </w:r>
    <w:r>
      <w:rPr>
        <w:sz w:val="18"/>
        <w:szCs w:val="20"/>
      </w:rPr>
      <w:t xml:space="preserve"> </w:t>
    </w:r>
  </w:p>
  <w:p w14:paraId="667CDC69">
    <w:pPr>
      <w:rPr>
        <w:szCs w:val="20"/>
      </w:rPr>
    </w:pPr>
    <w:r>
      <w:rPr>
        <w:szCs w:val="20"/>
      </w:rPr>
      <w:drawing>
        <wp:anchor distT="0" distB="0" distL="114300" distR="114300" simplePos="0" relativeHeight="251660288" behindDoc="0" locked="0" layoutInCell="1" allowOverlap="1">
          <wp:simplePos x="0" y="0"/>
          <wp:positionH relativeFrom="column">
            <wp:posOffset>3810</wp:posOffset>
          </wp:positionH>
          <wp:positionV relativeFrom="paragraph">
            <wp:posOffset>26035</wp:posOffset>
          </wp:positionV>
          <wp:extent cx="329565" cy="255270"/>
          <wp:effectExtent l="0" t="0" r="13335" b="11430"/>
          <wp:wrapNone/>
          <wp:docPr id="100" name="图片 3" descr="yb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descr="yb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9565" cy="255270"/>
                  </a:xfrm>
                  <a:prstGeom prst="rect">
                    <a:avLst/>
                  </a:prstGeom>
                  <a:noFill/>
                  <a:ln>
                    <a:noFill/>
                  </a:ln>
                </pic:spPr>
              </pic:pic>
            </a:graphicData>
          </a:graphic>
        </wp:anchor>
      </w:drawing>
    </w:r>
    <w:r>
      <w:rPr>
        <w:rFonts w:hint="eastAsia"/>
        <w:szCs w:val="20"/>
      </w:rPr>
      <w:t xml:space="preserve">     </w:t>
    </w:r>
    <w:r>
      <w:rPr>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C1280">
    <w:pPr>
      <w:tabs>
        <w:tab w:val="center" w:pos="4153"/>
        <w:tab w:val="right" w:pos="8306"/>
      </w:tabs>
      <w:snapToGrid w:val="0"/>
      <w:ind w:firstLine="360"/>
      <w:jc w:val="center"/>
      <w:rPr>
        <w:rFonts w:ascii="Tahoma" w:hAnsi="Tahoma" w:eastAsia="仿宋_GB2312" w:cs="ˎ̥"/>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9FD20">
    <w:pPr>
      <w:pBdr>
        <w:bottom w:val="single" w:color="auto" w:sz="6" w:space="1"/>
      </w:pBdr>
      <w:tabs>
        <w:tab w:val="center" w:pos="4153"/>
        <w:tab w:val="right" w:pos="8306"/>
      </w:tabs>
      <w:snapToGrid w:val="0"/>
      <w:ind w:firstLine="360"/>
      <w:jc w:val="center"/>
      <w:rPr>
        <w:rFonts w:ascii="Tahoma" w:hAnsi="Tahoma" w:eastAsia="仿宋_GB2312" w:cs="ˎ̥"/>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4607F">
    <w:pPr>
      <w:pBdr>
        <w:bottom w:val="single" w:color="auto" w:sz="6" w:space="1"/>
      </w:pBdr>
      <w:tabs>
        <w:tab w:val="center" w:pos="4153"/>
        <w:tab w:val="right" w:pos="8306"/>
      </w:tabs>
      <w:snapToGrid w:val="0"/>
      <w:ind w:firstLine="360"/>
      <w:jc w:val="center"/>
      <w:rPr>
        <w:rFonts w:ascii="Tahoma" w:hAnsi="Tahoma" w:eastAsia="仿宋_GB2312" w:cs="ˎ̥"/>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1EFDC">
    <w:pPr>
      <w:tabs>
        <w:tab w:val="center" w:pos="4153"/>
        <w:tab w:val="right" w:pos="8306"/>
      </w:tabs>
      <w:snapToGrid w:val="0"/>
      <w:ind w:firstLine="360"/>
      <w:jc w:val="center"/>
      <w:rPr>
        <w:rFonts w:ascii="Tahoma" w:hAnsi="Tahoma" w:eastAsia="仿宋_GB2312" w:cs="ˎ̥"/>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D1D4D">
    <w:pPr>
      <w:pBdr>
        <w:top w:val="none" w:color="auto" w:sz="0" w:space="0"/>
        <w:left w:val="none" w:color="auto" w:sz="0" w:space="0"/>
        <w:bottom w:val="none" w:color="auto" w:sz="0" w:space="1"/>
        <w:right w:val="none" w:color="auto" w:sz="0" w:space="0"/>
        <w:between w:val="none" w:color="auto" w:sz="0" w:space="0"/>
      </w:pBdr>
      <w:ind w:left="3960" w:hanging="3960" w:hangingChars="2200"/>
      <w:jc w:val="left"/>
      <w:rPr>
        <w:rFonts w:ascii="宋体" w:hAnsi="宋体"/>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E6694"/>
    <w:multiLevelType w:val="multilevel"/>
    <w:tmpl w:val="AC6E6694"/>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C940DA1"/>
    <w:multiLevelType w:val="multilevel"/>
    <w:tmpl w:val="EC940DA1"/>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67"/>
        </w:tabs>
        <w:ind w:left="0" w:firstLine="0"/>
      </w:pPr>
      <w:rPr>
        <w:rFonts w:hint="default" w:ascii="Times New Roman" w:hAnsi="Times New Roman" w:cs="Times New Roman"/>
      </w:rPr>
    </w:lvl>
    <w:lvl w:ilvl="2" w:tentative="0">
      <w:start w:val="1"/>
      <w:numFmt w:val="decimal"/>
      <w:lvlText w:val="%1.%2.%3"/>
      <w:lvlJc w:val="left"/>
      <w:pPr>
        <w:tabs>
          <w:tab w:val="left" w:pos="0"/>
        </w:tabs>
        <w:ind w:left="0" w:firstLine="0"/>
      </w:pPr>
      <w:rPr>
        <w:rFonts w:hint="eastAsia"/>
      </w:rPr>
    </w:lvl>
    <w:lvl w:ilvl="3" w:tentative="0">
      <w:start w:val="1"/>
      <w:numFmt w:val="decimal"/>
      <w:pStyle w:val="6"/>
      <w:lvlText w:val="%1.%2.%3.%4"/>
      <w:lvlJc w:val="left"/>
      <w:pPr>
        <w:tabs>
          <w:tab w:val="left" w:pos="0"/>
        </w:tabs>
        <w:ind w:left="1660" w:hanging="1660"/>
      </w:pPr>
      <w:rPr>
        <w:rFonts w:hint="eastAsia"/>
      </w:rPr>
    </w:lvl>
    <w:lvl w:ilvl="4" w:tentative="0">
      <w:start w:val="1"/>
      <w:numFmt w:val="decimal"/>
      <w:suff w:val="nothing"/>
      <w:lvlText w:val="%1.%2.%3.%4.%5"/>
      <w:lvlJc w:val="left"/>
      <w:pPr>
        <w:tabs>
          <w:tab w:val="left" w:pos="0"/>
        </w:tabs>
        <w:ind w:left="0" w:firstLine="0"/>
      </w:pPr>
      <w:rPr>
        <w:rFonts w:hint="default"/>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0"/>
    <w:multiLevelType w:val="singleLevel"/>
    <w:tmpl w:val="FFFFFF80"/>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3">
    <w:nsid w:val="00000017"/>
    <w:multiLevelType w:val="singleLevel"/>
    <w:tmpl w:val="00000017"/>
    <w:lvl w:ilvl="0" w:tentative="0">
      <w:start w:val="1"/>
      <w:numFmt w:val="bullet"/>
      <w:pStyle w:val="12"/>
      <w:lvlText w:val=""/>
      <w:lvlJc w:val="left"/>
      <w:pPr>
        <w:tabs>
          <w:tab w:val="left" w:pos="360"/>
        </w:tabs>
        <w:ind w:left="360" w:hanging="360"/>
      </w:pPr>
      <w:rPr>
        <w:rFonts w:hint="default" w:ascii="Wingdings" w:hAnsi="Wingdings"/>
      </w:rPr>
    </w:lvl>
  </w:abstractNum>
  <w:abstractNum w:abstractNumId="4">
    <w:nsid w:val="03852888"/>
    <w:multiLevelType w:val="multilevel"/>
    <w:tmpl w:val="03852888"/>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AF80159"/>
    <w:multiLevelType w:val="multilevel"/>
    <w:tmpl w:val="0AF80159"/>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E1A3276"/>
    <w:multiLevelType w:val="multilevel"/>
    <w:tmpl w:val="0E1A327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4257DFB"/>
    <w:multiLevelType w:val="multilevel"/>
    <w:tmpl w:val="14257DFB"/>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9F591DC"/>
    <w:multiLevelType w:val="multilevel"/>
    <w:tmpl w:val="19F591D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DB7D731"/>
    <w:multiLevelType w:val="multilevel"/>
    <w:tmpl w:val="1DB7D731"/>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1E1E3100"/>
    <w:multiLevelType w:val="multilevel"/>
    <w:tmpl w:val="1E1E3100"/>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2B4D6526"/>
    <w:multiLevelType w:val="multilevel"/>
    <w:tmpl w:val="2B4D6526"/>
    <w:lvl w:ilvl="0" w:tentative="0">
      <w:start w:val="1"/>
      <w:numFmt w:val="decimal"/>
      <w:lvlText w:val="%1"/>
      <w:lvlJc w:val="left"/>
      <w:pPr>
        <w:ind w:left="425" w:hanging="425"/>
      </w:pPr>
      <w:rPr>
        <w:rFonts w:hint="default" w:ascii="Times New Roman" w:hAnsi="Times New Roman" w:eastAsia="宋体" w:cs="宋体"/>
        <w:b/>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319B50E2"/>
    <w:multiLevelType w:val="multilevel"/>
    <w:tmpl w:val="319B50E2"/>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3CFB21A8"/>
    <w:multiLevelType w:val="multilevel"/>
    <w:tmpl w:val="3CFB21A8"/>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8975D68"/>
    <w:multiLevelType w:val="multilevel"/>
    <w:tmpl w:val="58975D6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59A7161B"/>
    <w:multiLevelType w:val="multilevel"/>
    <w:tmpl w:val="59A7161B"/>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6144286C"/>
    <w:multiLevelType w:val="multilevel"/>
    <w:tmpl w:val="6144286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EC301E2"/>
    <w:multiLevelType w:val="multilevel"/>
    <w:tmpl w:val="6EC301E2"/>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8">
    <w:nsid w:val="73060283"/>
    <w:multiLevelType w:val="multilevel"/>
    <w:tmpl w:val="73060283"/>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73E439F4"/>
    <w:multiLevelType w:val="multilevel"/>
    <w:tmpl w:val="73E439F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7539F2A7"/>
    <w:multiLevelType w:val="multilevel"/>
    <w:tmpl w:val="7539F2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576" w:hanging="576"/>
      </w:pPr>
      <w:rPr>
        <w:rFonts w:hint="eastAsia"/>
        <w:sz w:val="28"/>
        <w:szCs w:val="28"/>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1">
    <w:nsid w:val="787EAE24"/>
    <w:multiLevelType w:val="singleLevel"/>
    <w:tmpl w:val="787EAE24"/>
    <w:lvl w:ilvl="0" w:tentative="0">
      <w:start w:val="1"/>
      <w:numFmt w:val="decimal"/>
      <w:lvlText w:val="%1."/>
      <w:lvlJc w:val="left"/>
      <w:pPr>
        <w:ind w:left="425" w:hanging="425"/>
      </w:pPr>
      <w:rPr>
        <w:rFonts w:hint="default"/>
      </w:rPr>
    </w:lvl>
  </w:abstractNum>
  <w:abstractNum w:abstractNumId="22">
    <w:nsid w:val="7962717B"/>
    <w:multiLevelType w:val="multilevel"/>
    <w:tmpl w:val="7962717B"/>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num w:numId="1">
    <w:abstractNumId w:val="1"/>
  </w:num>
  <w:num w:numId="2">
    <w:abstractNumId w:val="3"/>
  </w:num>
  <w:num w:numId="3">
    <w:abstractNumId w:val="2"/>
  </w:num>
  <w:num w:numId="4">
    <w:abstractNumId w:val="14"/>
  </w:num>
  <w:num w:numId="5">
    <w:abstractNumId w:val="4"/>
  </w:num>
  <w:num w:numId="6">
    <w:abstractNumId w:val="17"/>
  </w:num>
  <w:num w:numId="7">
    <w:abstractNumId w:val="12"/>
  </w:num>
  <w:num w:numId="8">
    <w:abstractNumId w:val="7"/>
  </w:num>
  <w:num w:numId="9">
    <w:abstractNumId w:val="0"/>
  </w:num>
  <w:num w:numId="10">
    <w:abstractNumId w:val="13"/>
  </w:num>
  <w:num w:numId="11">
    <w:abstractNumId w:val="6"/>
  </w:num>
  <w:num w:numId="12">
    <w:abstractNumId w:val="16"/>
  </w:num>
  <w:num w:numId="13">
    <w:abstractNumId w:val="9"/>
  </w:num>
  <w:num w:numId="14">
    <w:abstractNumId w:val="15"/>
  </w:num>
  <w:num w:numId="15">
    <w:abstractNumId w:val="10"/>
  </w:num>
  <w:num w:numId="16">
    <w:abstractNumId w:val="18"/>
  </w:num>
  <w:num w:numId="17">
    <w:abstractNumId w:val="11"/>
  </w:num>
  <w:num w:numId="18">
    <w:abstractNumId w:val="19"/>
  </w:num>
  <w:num w:numId="19">
    <w:abstractNumId w:val="5"/>
  </w:num>
  <w:num w:numId="20">
    <w:abstractNumId w:val="21"/>
  </w:num>
  <w:num w:numId="21">
    <w:abstractNumId w:val="8"/>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3Njg3YTY2OWU2OWFkYmJkYjNmMjg1N2FlMDQ5MjMifQ=="/>
  </w:docVars>
  <w:rsids>
    <w:rsidRoot w:val="00172A27"/>
    <w:rsid w:val="00000D98"/>
    <w:rsid w:val="00001CED"/>
    <w:rsid w:val="00001E67"/>
    <w:rsid w:val="00002014"/>
    <w:rsid w:val="00003CD8"/>
    <w:rsid w:val="00004159"/>
    <w:rsid w:val="000054C0"/>
    <w:rsid w:val="00005722"/>
    <w:rsid w:val="00006B49"/>
    <w:rsid w:val="000078CD"/>
    <w:rsid w:val="00007DE9"/>
    <w:rsid w:val="00010E37"/>
    <w:rsid w:val="00010F1E"/>
    <w:rsid w:val="00012E65"/>
    <w:rsid w:val="00013BBC"/>
    <w:rsid w:val="00013BF0"/>
    <w:rsid w:val="00014965"/>
    <w:rsid w:val="0001523A"/>
    <w:rsid w:val="00015A0F"/>
    <w:rsid w:val="00015E32"/>
    <w:rsid w:val="0001683D"/>
    <w:rsid w:val="00016DCA"/>
    <w:rsid w:val="00016ECB"/>
    <w:rsid w:val="00017253"/>
    <w:rsid w:val="00020613"/>
    <w:rsid w:val="000229B7"/>
    <w:rsid w:val="00022D3B"/>
    <w:rsid w:val="0002350B"/>
    <w:rsid w:val="00023C42"/>
    <w:rsid w:val="0002684C"/>
    <w:rsid w:val="000269F6"/>
    <w:rsid w:val="0002705E"/>
    <w:rsid w:val="000277F2"/>
    <w:rsid w:val="00027DEF"/>
    <w:rsid w:val="00030A03"/>
    <w:rsid w:val="00030A0B"/>
    <w:rsid w:val="00031939"/>
    <w:rsid w:val="00031B73"/>
    <w:rsid w:val="00032746"/>
    <w:rsid w:val="00032D25"/>
    <w:rsid w:val="00034557"/>
    <w:rsid w:val="00034E11"/>
    <w:rsid w:val="00036043"/>
    <w:rsid w:val="00040D75"/>
    <w:rsid w:val="000410E5"/>
    <w:rsid w:val="0004240A"/>
    <w:rsid w:val="000434FF"/>
    <w:rsid w:val="00043C4C"/>
    <w:rsid w:val="00046F7C"/>
    <w:rsid w:val="000510E9"/>
    <w:rsid w:val="00051A34"/>
    <w:rsid w:val="00051FD3"/>
    <w:rsid w:val="0005219D"/>
    <w:rsid w:val="00054646"/>
    <w:rsid w:val="00054DA3"/>
    <w:rsid w:val="00054F5B"/>
    <w:rsid w:val="0005568F"/>
    <w:rsid w:val="0006004C"/>
    <w:rsid w:val="00060C57"/>
    <w:rsid w:val="0006153D"/>
    <w:rsid w:val="00061B1F"/>
    <w:rsid w:val="00061DCD"/>
    <w:rsid w:val="00061E8B"/>
    <w:rsid w:val="00062024"/>
    <w:rsid w:val="000621DA"/>
    <w:rsid w:val="00062D16"/>
    <w:rsid w:val="000651A5"/>
    <w:rsid w:val="000664DB"/>
    <w:rsid w:val="00067F65"/>
    <w:rsid w:val="00067FD7"/>
    <w:rsid w:val="00070B1C"/>
    <w:rsid w:val="00071164"/>
    <w:rsid w:val="0007127D"/>
    <w:rsid w:val="00071AE5"/>
    <w:rsid w:val="00073AFC"/>
    <w:rsid w:val="000741ED"/>
    <w:rsid w:val="00074783"/>
    <w:rsid w:val="000747E7"/>
    <w:rsid w:val="00075C06"/>
    <w:rsid w:val="00076A95"/>
    <w:rsid w:val="000801E0"/>
    <w:rsid w:val="00080241"/>
    <w:rsid w:val="0008066C"/>
    <w:rsid w:val="00080CF0"/>
    <w:rsid w:val="00080E13"/>
    <w:rsid w:val="00082A29"/>
    <w:rsid w:val="00082C78"/>
    <w:rsid w:val="0008331D"/>
    <w:rsid w:val="00083C18"/>
    <w:rsid w:val="0008466F"/>
    <w:rsid w:val="00086283"/>
    <w:rsid w:val="00090F35"/>
    <w:rsid w:val="00091202"/>
    <w:rsid w:val="00091610"/>
    <w:rsid w:val="00092217"/>
    <w:rsid w:val="00092899"/>
    <w:rsid w:val="00092D2C"/>
    <w:rsid w:val="00092FDB"/>
    <w:rsid w:val="00094BD8"/>
    <w:rsid w:val="000951B2"/>
    <w:rsid w:val="000952CC"/>
    <w:rsid w:val="00095F3C"/>
    <w:rsid w:val="00096CE2"/>
    <w:rsid w:val="00096DC8"/>
    <w:rsid w:val="00096FCA"/>
    <w:rsid w:val="000A098C"/>
    <w:rsid w:val="000A178E"/>
    <w:rsid w:val="000A276D"/>
    <w:rsid w:val="000A2D65"/>
    <w:rsid w:val="000A31C4"/>
    <w:rsid w:val="000A39B1"/>
    <w:rsid w:val="000A4929"/>
    <w:rsid w:val="000A4E13"/>
    <w:rsid w:val="000A557E"/>
    <w:rsid w:val="000A5B6E"/>
    <w:rsid w:val="000A77B3"/>
    <w:rsid w:val="000A7840"/>
    <w:rsid w:val="000B02C8"/>
    <w:rsid w:val="000B058F"/>
    <w:rsid w:val="000B373C"/>
    <w:rsid w:val="000B5B5A"/>
    <w:rsid w:val="000B693F"/>
    <w:rsid w:val="000C005D"/>
    <w:rsid w:val="000C09AC"/>
    <w:rsid w:val="000C0A63"/>
    <w:rsid w:val="000C1B18"/>
    <w:rsid w:val="000C437E"/>
    <w:rsid w:val="000C50D9"/>
    <w:rsid w:val="000C514E"/>
    <w:rsid w:val="000C5B5F"/>
    <w:rsid w:val="000C765F"/>
    <w:rsid w:val="000C7FB7"/>
    <w:rsid w:val="000D1447"/>
    <w:rsid w:val="000D1ABF"/>
    <w:rsid w:val="000D1BE7"/>
    <w:rsid w:val="000D24B9"/>
    <w:rsid w:val="000D2F57"/>
    <w:rsid w:val="000D39B0"/>
    <w:rsid w:val="000D461B"/>
    <w:rsid w:val="000D46B9"/>
    <w:rsid w:val="000D6AC3"/>
    <w:rsid w:val="000D7C88"/>
    <w:rsid w:val="000D7FE0"/>
    <w:rsid w:val="000E30A4"/>
    <w:rsid w:val="000E3791"/>
    <w:rsid w:val="000E515A"/>
    <w:rsid w:val="000E5F16"/>
    <w:rsid w:val="000E64D7"/>
    <w:rsid w:val="000E7F3F"/>
    <w:rsid w:val="000F0381"/>
    <w:rsid w:val="000F1E3D"/>
    <w:rsid w:val="000F23EF"/>
    <w:rsid w:val="000F2604"/>
    <w:rsid w:val="000F2668"/>
    <w:rsid w:val="000F4452"/>
    <w:rsid w:val="000F50E6"/>
    <w:rsid w:val="000F514A"/>
    <w:rsid w:val="000F57C8"/>
    <w:rsid w:val="000F6DA1"/>
    <w:rsid w:val="000F701B"/>
    <w:rsid w:val="000F7312"/>
    <w:rsid w:val="001015F5"/>
    <w:rsid w:val="00103F2F"/>
    <w:rsid w:val="0010417F"/>
    <w:rsid w:val="00104749"/>
    <w:rsid w:val="001056A0"/>
    <w:rsid w:val="00105F20"/>
    <w:rsid w:val="00106037"/>
    <w:rsid w:val="00106590"/>
    <w:rsid w:val="00110060"/>
    <w:rsid w:val="001118C7"/>
    <w:rsid w:val="00111BDF"/>
    <w:rsid w:val="0011435B"/>
    <w:rsid w:val="00114D49"/>
    <w:rsid w:val="00114FC7"/>
    <w:rsid w:val="00115279"/>
    <w:rsid w:val="00117114"/>
    <w:rsid w:val="00117459"/>
    <w:rsid w:val="0011749A"/>
    <w:rsid w:val="00117CC8"/>
    <w:rsid w:val="00120A2B"/>
    <w:rsid w:val="00121890"/>
    <w:rsid w:val="00122FA8"/>
    <w:rsid w:val="001238FC"/>
    <w:rsid w:val="00123D16"/>
    <w:rsid w:val="00123E70"/>
    <w:rsid w:val="00124594"/>
    <w:rsid w:val="00124BD9"/>
    <w:rsid w:val="001253A0"/>
    <w:rsid w:val="001257D5"/>
    <w:rsid w:val="00127A68"/>
    <w:rsid w:val="00130A64"/>
    <w:rsid w:val="00130ACE"/>
    <w:rsid w:val="00132374"/>
    <w:rsid w:val="00132407"/>
    <w:rsid w:val="00133819"/>
    <w:rsid w:val="00134920"/>
    <w:rsid w:val="00135F6C"/>
    <w:rsid w:val="00140927"/>
    <w:rsid w:val="00140B13"/>
    <w:rsid w:val="00141B68"/>
    <w:rsid w:val="00141FFC"/>
    <w:rsid w:val="00142F51"/>
    <w:rsid w:val="0014339A"/>
    <w:rsid w:val="00144B63"/>
    <w:rsid w:val="00145F20"/>
    <w:rsid w:val="001466DA"/>
    <w:rsid w:val="00146BEB"/>
    <w:rsid w:val="001474D9"/>
    <w:rsid w:val="00150718"/>
    <w:rsid w:val="00151218"/>
    <w:rsid w:val="00153C28"/>
    <w:rsid w:val="00154B77"/>
    <w:rsid w:val="00154DE1"/>
    <w:rsid w:val="0015557F"/>
    <w:rsid w:val="00155B40"/>
    <w:rsid w:val="00157435"/>
    <w:rsid w:val="001574C5"/>
    <w:rsid w:val="00157F77"/>
    <w:rsid w:val="0016082A"/>
    <w:rsid w:val="00161DBF"/>
    <w:rsid w:val="00161EB9"/>
    <w:rsid w:val="00163EEA"/>
    <w:rsid w:val="00164469"/>
    <w:rsid w:val="00164D13"/>
    <w:rsid w:val="0016548A"/>
    <w:rsid w:val="00165778"/>
    <w:rsid w:val="00167603"/>
    <w:rsid w:val="00167A07"/>
    <w:rsid w:val="0017005A"/>
    <w:rsid w:val="0017046A"/>
    <w:rsid w:val="001704A3"/>
    <w:rsid w:val="001707AD"/>
    <w:rsid w:val="00172510"/>
    <w:rsid w:val="00172525"/>
    <w:rsid w:val="00172A27"/>
    <w:rsid w:val="0017504D"/>
    <w:rsid w:val="001752B6"/>
    <w:rsid w:val="001756B9"/>
    <w:rsid w:val="0017657B"/>
    <w:rsid w:val="00177229"/>
    <w:rsid w:val="00177422"/>
    <w:rsid w:val="00177590"/>
    <w:rsid w:val="0018040E"/>
    <w:rsid w:val="001814E1"/>
    <w:rsid w:val="00184CDD"/>
    <w:rsid w:val="00184F10"/>
    <w:rsid w:val="00185546"/>
    <w:rsid w:val="001856BD"/>
    <w:rsid w:val="0019019E"/>
    <w:rsid w:val="00190655"/>
    <w:rsid w:val="0019146B"/>
    <w:rsid w:val="001918D6"/>
    <w:rsid w:val="00191E12"/>
    <w:rsid w:val="001924AD"/>
    <w:rsid w:val="001931BD"/>
    <w:rsid w:val="00193DAB"/>
    <w:rsid w:val="00194398"/>
    <w:rsid w:val="001945CE"/>
    <w:rsid w:val="00195A79"/>
    <w:rsid w:val="001961BD"/>
    <w:rsid w:val="0019678E"/>
    <w:rsid w:val="00196A83"/>
    <w:rsid w:val="00197666"/>
    <w:rsid w:val="00197940"/>
    <w:rsid w:val="00197E18"/>
    <w:rsid w:val="001A039A"/>
    <w:rsid w:val="001A1674"/>
    <w:rsid w:val="001A2C3D"/>
    <w:rsid w:val="001A2E11"/>
    <w:rsid w:val="001A3996"/>
    <w:rsid w:val="001A3B87"/>
    <w:rsid w:val="001A493E"/>
    <w:rsid w:val="001A4F89"/>
    <w:rsid w:val="001A51A5"/>
    <w:rsid w:val="001A6249"/>
    <w:rsid w:val="001A6C45"/>
    <w:rsid w:val="001A7D2A"/>
    <w:rsid w:val="001A7D93"/>
    <w:rsid w:val="001B105F"/>
    <w:rsid w:val="001B196B"/>
    <w:rsid w:val="001B1D06"/>
    <w:rsid w:val="001B2E38"/>
    <w:rsid w:val="001B41C6"/>
    <w:rsid w:val="001B536C"/>
    <w:rsid w:val="001B574C"/>
    <w:rsid w:val="001B5C54"/>
    <w:rsid w:val="001B61E2"/>
    <w:rsid w:val="001C0AF9"/>
    <w:rsid w:val="001C155A"/>
    <w:rsid w:val="001C2371"/>
    <w:rsid w:val="001C36AE"/>
    <w:rsid w:val="001C43D6"/>
    <w:rsid w:val="001C48C0"/>
    <w:rsid w:val="001C56CC"/>
    <w:rsid w:val="001C64D5"/>
    <w:rsid w:val="001C6F65"/>
    <w:rsid w:val="001D041B"/>
    <w:rsid w:val="001D2779"/>
    <w:rsid w:val="001D3A16"/>
    <w:rsid w:val="001D3D35"/>
    <w:rsid w:val="001D592F"/>
    <w:rsid w:val="001D60E3"/>
    <w:rsid w:val="001D6726"/>
    <w:rsid w:val="001D6AFA"/>
    <w:rsid w:val="001D6CAB"/>
    <w:rsid w:val="001E0208"/>
    <w:rsid w:val="001E0DD7"/>
    <w:rsid w:val="001E126A"/>
    <w:rsid w:val="001E137B"/>
    <w:rsid w:val="001E2488"/>
    <w:rsid w:val="001E3C67"/>
    <w:rsid w:val="001E4285"/>
    <w:rsid w:val="001E6F58"/>
    <w:rsid w:val="001E7F5A"/>
    <w:rsid w:val="001E7F69"/>
    <w:rsid w:val="001F17DF"/>
    <w:rsid w:val="001F3347"/>
    <w:rsid w:val="001F3A5F"/>
    <w:rsid w:val="001F417C"/>
    <w:rsid w:val="001F4440"/>
    <w:rsid w:val="001F449B"/>
    <w:rsid w:val="001F53B9"/>
    <w:rsid w:val="001F69E4"/>
    <w:rsid w:val="00201BCD"/>
    <w:rsid w:val="00202CAE"/>
    <w:rsid w:val="00204F9B"/>
    <w:rsid w:val="00206967"/>
    <w:rsid w:val="00206A65"/>
    <w:rsid w:val="00206BD9"/>
    <w:rsid w:val="00206EEA"/>
    <w:rsid w:val="002078B6"/>
    <w:rsid w:val="00207E9B"/>
    <w:rsid w:val="0021011B"/>
    <w:rsid w:val="0021075E"/>
    <w:rsid w:val="00212D31"/>
    <w:rsid w:val="002130C7"/>
    <w:rsid w:val="002132BF"/>
    <w:rsid w:val="00214F00"/>
    <w:rsid w:val="002152FB"/>
    <w:rsid w:val="00217562"/>
    <w:rsid w:val="00217731"/>
    <w:rsid w:val="0021790F"/>
    <w:rsid w:val="00217DE9"/>
    <w:rsid w:val="002203C3"/>
    <w:rsid w:val="002207D0"/>
    <w:rsid w:val="00221819"/>
    <w:rsid w:val="002218A8"/>
    <w:rsid w:val="0022306D"/>
    <w:rsid w:val="0022349D"/>
    <w:rsid w:val="002248AE"/>
    <w:rsid w:val="00224B0B"/>
    <w:rsid w:val="00224FEC"/>
    <w:rsid w:val="00225F1F"/>
    <w:rsid w:val="00226574"/>
    <w:rsid w:val="00226A17"/>
    <w:rsid w:val="002278EC"/>
    <w:rsid w:val="00230425"/>
    <w:rsid w:val="00230FF4"/>
    <w:rsid w:val="00232DDA"/>
    <w:rsid w:val="002357C7"/>
    <w:rsid w:val="00235808"/>
    <w:rsid w:val="00235FFF"/>
    <w:rsid w:val="00236476"/>
    <w:rsid w:val="002367C4"/>
    <w:rsid w:val="0023699C"/>
    <w:rsid w:val="00237EFF"/>
    <w:rsid w:val="002406A0"/>
    <w:rsid w:val="00240A13"/>
    <w:rsid w:val="00240A84"/>
    <w:rsid w:val="00242A8D"/>
    <w:rsid w:val="0024309A"/>
    <w:rsid w:val="002446E6"/>
    <w:rsid w:val="00245C26"/>
    <w:rsid w:val="002461F1"/>
    <w:rsid w:val="00247DF9"/>
    <w:rsid w:val="0025346B"/>
    <w:rsid w:val="0025382F"/>
    <w:rsid w:val="00254620"/>
    <w:rsid w:val="0025483A"/>
    <w:rsid w:val="00255480"/>
    <w:rsid w:val="00255946"/>
    <w:rsid w:val="00255A30"/>
    <w:rsid w:val="0025679E"/>
    <w:rsid w:val="00257951"/>
    <w:rsid w:val="00260C68"/>
    <w:rsid w:val="002617E0"/>
    <w:rsid w:val="002628CA"/>
    <w:rsid w:val="00262FD5"/>
    <w:rsid w:val="002648B0"/>
    <w:rsid w:val="0026539B"/>
    <w:rsid w:val="00265A39"/>
    <w:rsid w:val="002669E9"/>
    <w:rsid w:val="00267244"/>
    <w:rsid w:val="00271D7F"/>
    <w:rsid w:val="00271DF8"/>
    <w:rsid w:val="002724AD"/>
    <w:rsid w:val="00275271"/>
    <w:rsid w:val="0027535E"/>
    <w:rsid w:val="00275AA6"/>
    <w:rsid w:val="00275B37"/>
    <w:rsid w:val="00275BC1"/>
    <w:rsid w:val="002770D1"/>
    <w:rsid w:val="002803A8"/>
    <w:rsid w:val="002807D5"/>
    <w:rsid w:val="00280AD3"/>
    <w:rsid w:val="00281176"/>
    <w:rsid w:val="0028118E"/>
    <w:rsid w:val="002811E1"/>
    <w:rsid w:val="00281F12"/>
    <w:rsid w:val="002827B3"/>
    <w:rsid w:val="00282CCD"/>
    <w:rsid w:val="00282F8E"/>
    <w:rsid w:val="002833E1"/>
    <w:rsid w:val="0028595F"/>
    <w:rsid w:val="00291196"/>
    <w:rsid w:val="00292381"/>
    <w:rsid w:val="0029315E"/>
    <w:rsid w:val="00293976"/>
    <w:rsid w:val="0029433E"/>
    <w:rsid w:val="00295058"/>
    <w:rsid w:val="00297E72"/>
    <w:rsid w:val="002A0142"/>
    <w:rsid w:val="002A0C63"/>
    <w:rsid w:val="002A0F32"/>
    <w:rsid w:val="002A168C"/>
    <w:rsid w:val="002A173C"/>
    <w:rsid w:val="002A18E1"/>
    <w:rsid w:val="002A1A3C"/>
    <w:rsid w:val="002A1DBB"/>
    <w:rsid w:val="002A2BC3"/>
    <w:rsid w:val="002A2C48"/>
    <w:rsid w:val="002A3239"/>
    <w:rsid w:val="002A3EED"/>
    <w:rsid w:val="002A3F13"/>
    <w:rsid w:val="002A4A39"/>
    <w:rsid w:val="002A5A17"/>
    <w:rsid w:val="002A6425"/>
    <w:rsid w:val="002A6DA6"/>
    <w:rsid w:val="002A7D0D"/>
    <w:rsid w:val="002A7DB6"/>
    <w:rsid w:val="002B1AEC"/>
    <w:rsid w:val="002B2273"/>
    <w:rsid w:val="002B2500"/>
    <w:rsid w:val="002B3B69"/>
    <w:rsid w:val="002B4519"/>
    <w:rsid w:val="002B458E"/>
    <w:rsid w:val="002B49E2"/>
    <w:rsid w:val="002B4F65"/>
    <w:rsid w:val="002B5188"/>
    <w:rsid w:val="002B6556"/>
    <w:rsid w:val="002B6905"/>
    <w:rsid w:val="002B6C7B"/>
    <w:rsid w:val="002B6E5F"/>
    <w:rsid w:val="002B705F"/>
    <w:rsid w:val="002B7132"/>
    <w:rsid w:val="002B7380"/>
    <w:rsid w:val="002B79DD"/>
    <w:rsid w:val="002B7A3A"/>
    <w:rsid w:val="002B7B00"/>
    <w:rsid w:val="002B7C44"/>
    <w:rsid w:val="002C1388"/>
    <w:rsid w:val="002C204E"/>
    <w:rsid w:val="002C3C6A"/>
    <w:rsid w:val="002C3C78"/>
    <w:rsid w:val="002C3D8C"/>
    <w:rsid w:val="002C523B"/>
    <w:rsid w:val="002D24A8"/>
    <w:rsid w:val="002D30AD"/>
    <w:rsid w:val="002D42DB"/>
    <w:rsid w:val="002D4DA7"/>
    <w:rsid w:val="002D4EA2"/>
    <w:rsid w:val="002E1109"/>
    <w:rsid w:val="002E1F3A"/>
    <w:rsid w:val="002E232E"/>
    <w:rsid w:val="002E298A"/>
    <w:rsid w:val="002E570C"/>
    <w:rsid w:val="002E73A9"/>
    <w:rsid w:val="002F02A4"/>
    <w:rsid w:val="002F2208"/>
    <w:rsid w:val="002F272B"/>
    <w:rsid w:val="002F2D93"/>
    <w:rsid w:val="002F3DBE"/>
    <w:rsid w:val="002F51B8"/>
    <w:rsid w:val="002F5617"/>
    <w:rsid w:val="002F7C6D"/>
    <w:rsid w:val="002F7D99"/>
    <w:rsid w:val="00300026"/>
    <w:rsid w:val="00300365"/>
    <w:rsid w:val="003003DA"/>
    <w:rsid w:val="00300F0C"/>
    <w:rsid w:val="003027E4"/>
    <w:rsid w:val="0030332C"/>
    <w:rsid w:val="00305E19"/>
    <w:rsid w:val="00306AF1"/>
    <w:rsid w:val="00307037"/>
    <w:rsid w:val="0030789A"/>
    <w:rsid w:val="00307C05"/>
    <w:rsid w:val="00310B37"/>
    <w:rsid w:val="00310F67"/>
    <w:rsid w:val="0031192B"/>
    <w:rsid w:val="00311BEE"/>
    <w:rsid w:val="00312296"/>
    <w:rsid w:val="003132A9"/>
    <w:rsid w:val="0031340E"/>
    <w:rsid w:val="00314919"/>
    <w:rsid w:val="00315B69"/>
    <w:rsid w:val="00316464"/>
    <w:rsid w:val="0032073A"/>
    <w:rsid w:val="00320964"/>
    <w:rsid w:val="00320969"/>
    <w:rsid w:val="003217D5"/>
    <w:rsid w:val="00321D8E"/>
    <w:rsid w:val="00323D6A"/>
    <w:rsid w:val="00324310"/>
    <w:rsid w:val="003248F4"/>
    <w:rsid w:val="00325ED7"/>
    <w:rsid w:val="0032603F"/>
    <w:rsid w:val="00326A97"/>
    <w:rsid w:val="00327D8C"/>
    <w:rsid w:val="00327DFA"/>
    <w:rsid w:val="0033280E"/>
    <w:rsid w:val="00334996"/>
    <w:rsid w:val="00335299"/>
    <w:rsid w:val="00335496"/>
    <w:rsid w:val="00336969"/>
    <w:rsid w:val="00336C52"/>
    <w:rsid w:val="003378FF"/>
    <w:rsid w:val="003403A7"/>
    <w:rsid w:val="00340A98"/>
    <w:rsid w:val="00341B3E"/>
    <w:rsid w:val="00341B42"/>
    <w:rsid w:val="0034459A"/>
    <w:rsid w:val="00344879"/>
    <w:rsid w:val="00344D7A"/>
    <w:rsid w:val="00345154"/>
    <w:rsid w:val="0034560E"/>
    <w:rsid w:val="00350523"/>
    <w:rsid w:val="0035081C"/>
    <w:rsid w:val="00352975"/>
    <w:rsid w:val="00352E00"/>
    <w:rsid w:val="00353F4C"/>
    <w:rsid w:val="003552C4"/>
    <w:rsid w:val="00356457"/>
    <w:rsid w:val="00356868"/>
    <w:rsid w:val="00356E42"/>
    <w:rsid w:val="00360FBD"/>
    <w:rsid w:val="00361B18"/>
    <w:rsid w:val="0036485B"/>
    <w:rsid w:val="00365867"/>
    <w:rsid w:val="00366285"/>
    <w:rsid w:val="00373B0D"/>
    <w:rsid w:val="003747AC"/>
    <w:rsid w:val="0037538E"/>
    <w:rsid w:val="00375664"/>
    <w:rsid w:val="00375A21"/>
    <w:rsid w:val="00376988"/>
    <w:rsid w:val="00380120"/>
    <w:rsid w:val="003813DE"/>
    <w:rsid w:val="00381A72"/>
    <w:rsid w:val="00381FD9"/>
    <w:rsid w:val="00382EA6"/>
    <w:rsid w:val="00385CCD"/>
    <w:rsid w:val="00387075"/>
    <w:rsid w:val="00387BC7"/>
    <w:rsid w:val="00387BF7"/>
    <w:rsid w:val="00387FFA"/>
    <w:rsid w:val="003904CE"/>
    <w:rsid w:val="003906EE"/>
    <w:rsid w:val="003925DF"/>
    <w:rsid w:val="00394736"/>
    <w:rsid w:val="003948B9"/>
    <w:rsid w:val="00394D60"/>
    <w:rsid w:val="00394D7A"/>
    <w:rsid w:val="00394EEC"/>
    <w:rsid w:val="0039601E"/>
    <w:rsid w:val="003963A9"/>
    <w:rsid w:val="0039652C"/>
    <w:rsid w:val="00396DC4"/>
    <w:rsid w:val="00397148"/>
    <w:rsid w:val="00397529"/>
    <w:rsid w:val="00397FA2"/>
    <w:rsid w:val="003A0543"/>
    <w:rsid w:val="003A1948"/>
    <w:rsid w:val="003A4073"/>
    <w:rsid w:val="003A58A1"/>
    <w:rsid w:val="003A6B83"/>
    <w:rsid w:val="003A799C"/>
    <w:rsid w:val="003A7FDE"/>
    <w:rsid w:val="003B0401"/>
    <w:rsid w:val="003B152A"/>
    <w:rsid w:val="003B19BF"/>
    <w:rsid w:val="003B264D"/>
    <w:rsid w:val="003B29DC"/>
    <w:rsid w:val="003B3B9A"/>
    <w:rsid w:val="003B4D9B"/>
    <w:rsid w:val="003B545B"/>
    <w:rsid w:val="003B5967"/>
    <w:rsid w:val="003B758D"/>
    <w:rsid w:val="003C0AAD"/>
    <w:rsid w:val="003C2C3D"/>
    <w:rsid w:val="003C300D"/>
    <w:rsid w:val="003C384F"/>
    <w:rsid w:val="003C55DE"/>
    <w:rsid w:val="003C5A36"/>
    <w:rsid w:val="003C5A5B"/>
    <w:rsid w:val="003C65FF"/>
    <w:rsid w:val="003C6F55"/>
    <w:rsid w:val="003C71A0"/>
    <w:rsid w:val="003C7417"/>
    <w:rsid w:val="003D1C9E"/>
    <w:rsid w:val="003D331F"/>
    <w:rsid w:val="003D3EE9"/>
    <w:rsid w:val="003D53F3"/>
    <w:rsid w:val="003D5898"/>
    <w:rsid w:val="003D780B"/>
    <w:rsid w:val="003D7A5A"/>
    <w:rsid w:val="003E091E"/>
    <w:rsid w:val="003E0AE0"/>
    <w:rsid w:val="003E1925"/>
    <w:rsid w:val="003E1ACA"/>
    <w:rsid w:val="003E1F7B"/>
    <w:rsid w:val="003E2258"/>
    <w:rsid w:val="003E7681"/>
    <w:rsid w:val="003E7847"/>
    <w:rsid w:val="003F0809"/>
    <w:rsid w:val="003F2123"/>
    <w:rsid w:val="003F3AAF"/>
    <w:rsid w:val="003F4AD2"/>
    <w:rsid w:val="003F4B74"/>
    <w:rsid w:val="003F58EC"/>
    <w:rsid w:val="003F611C"/>
    <w:rsid w:val="003F6F42"/>
    <w:rsid w:val="003F755C"/>
    <w:rsid w:val="003F7625"/>
    <w:rsid w:val="00400C6C"/>
    <w:rsid w:val="00400F25"/>
    <w:rsid w:val="00401060"/>
    <w:rsid w:val="0040192B"/>
    <w:rsid w:val="0040528A"/>
    <w:rsid w:val="0040573B"/>
    <w:rsid w:val="004059A2"/>
    <w:rsid w:val="004062C4"/>
    <w:rsid w:val="00406F01"/>
    <w:rsid w:val="004106C3"/>
    <w:rsid w:val="00410891"/>
    <w:rsid w:val="00410B0B"/>
    <w:rsid w:val="00410E18"/>
    <w:rsid w:val="00411B36"/>
    <w:rsid w:val="004121D7"/>
    <w:rsid w:val="00413440"/>
    <w:rsid w:val="00413B41"/>
    <w:rsid w:val="00413D5B"/>
    <w:rsid w:val="0041422A"/>
    <w:rsid w:val="004143BB"/>
    <w:rsid w:val="0041689A"/>
    <w:rsid w:val="00416D50"/>
    <w:rsid w:val="00417772"/>
    <w:rsid w:val="004177FB"/>
    <w:rsid w:val="0041782D"/>
    <w:rsid w:val="00420E6A"/>
    <w:rsid w:val="00421361"/>
    <w:rsid w:val="0042142E"/>
    <w:rsid w:val="00422AD8"/>
    <w:rsid w:val="004249DA"/>
    <w:rsid w:val="00424A03"/>
    <w:rsid w:val="00424BBC"/>
    <w:rsid w:val="00426F80"/>
    <w:rsid w:val="00427FF8"/>
    <w:rsid w:val="00431D7F"/>
    <w:rsid w:val="00431DC5"/>
    <w:rsid w:val="00432462"/>
    <w:rsid w:val="004328BF"/>
    <w:rsid w:val="00433CA9"/>
    <w:rsid w:val="0043521D"/>
    <w:rsid w:val="00435C92"/>
    <w:rsid w:val="00435CAA"/>
    <w:rsid w:val="00435CC5"/>
    <w:rsid w:val="00436671"/>
    <w:rsid w:val="004369DB"/>
    <w:rsid w:val="004375F7"/>
    <w:rsid w:val="00437EE4"/>
    <w:rsid w:val="00440D34"/>
    <w:rsid w:val="00442024"/>
    <w:rsid w:val="0044254C"/>
    <w:rsid w:val="00443755"/>
    <w:rsid w:val="00443A2A"/>
    <w:rsid w:val="00443F6A"/>
    <w:rsid w:val="004441EC"/>
    <w:rsid w:val="00444442"/>
    <w:rsid w:val="004457CD"/>
    <w:rsid w:val="004504DE"/>
    <w:rsid w:val="00450A17"/>
    <w:rsid w:val="0045177B"/>
    <w:rsid w:val="0045183E"/>
    <w:rsid w:val="00451BA2"/>
    <w:rsid w:val="0045244A"/>
    <w:rsid w:val="00452A37"/>
    <w:rsid w:val="00453E24"/>
    <w:rsid w:val="00455F94"/>
    <w:rsid w:val="00456403"/>
    <w:rsid w:val="00456523"/>
    <w:rsid w:val="00460384"/>
    <w:rsid w:val="0046039D"/>
    <w:rsid w:val="004604D9"/>
    <w:rsid w:val="00461368"/>
    <w:rsid w:val="00463872"/>
    <w:rsid w:val="004638B8"/>
    <w:rsid w:val="004644BC"/>
    <w:rsid w:val="00464B36"/>
    <w:rsid w:val="00464BAE"/>
    <w:rsid w:val="004654DC"/>
    <w:rsid w:val="004661C2"/>
    <w:rsid w:val="00466321"/>
    <w:rsid w:val="00466902"/>
    <w:rsid w:val="004669F5"/>
    <w:rsid w:val="004672AF"/>
    <w:rsid w:val="00470D15"/>
    <w:rsid w:val="00471548"/>
    <w:rsid w:val="004727B0"/>
    <w:rsid w:val="00472848"/>
    <w:rsid w:val="00473984"/>
    <w:rsid w:val="00473E38"/>
    <w:rsid w:val="0047446F"/>
    <w:rsid w:val="004746D2"/>
    <w:rsid w:val="004766EE"/>
    <w:rsid w:val="00476AF7"/>
    <w:rsid w:val="004774E7"/>
    <w:rsid w:val="00480094"/>
    <w:rsid w:val="00480247"/>
    <w:rsid w:val="0048081D"/>
    <w:rsid w:val="00480BD5"/>
    <w:rsid w:val="0048101B"/>
    <w:rsid w:val="0048117E"/>
    <w:rsid w:val="004816EE"/>
    <w:rsid w:val="004832F4"/>
    <w:rsid w:val="004855F6"/>
    <w:rsid w:val="00486F0C"/>
    <w:rsid w:val="004878CF"/>
    <w:rsid w:val="0049079E"/>
    <w:rsid w:val="00490C80"/>
    <w:rsid w:val="004910E7"/>
    <w:rsid w:val="00491138"/>
    <w:rsid w:val="00492B93"/>
    <w:rsid w:val="00492D9B"/>
    <w:rsid w:val="0049327A"/>
    <w:rsid w:val="00494439"/>
    <w:rsid w:val="00494670"/>
    <w:rsid w:val="00494A27"/>
    <w:rsid w:val="004957AC"/>
    <w:rsid w:val="00497C5C"/>
    <w:rsid w:val="004A01A7"/>
    <w:rsid w:val="004A0264"/>
    <w:rsid w:val="004A0EB4"/>
    <w:rsid w:val="004A19D1"/>
    <w:rsid w:val="004A2D3D"/>
    <w:rsid w:val="004A35F9"/>
    <w:rsid w:val="004A3646"/>
    <w:rsid w:val="004A3823"/>
    <w:rsid w:val="004A45CB"/>
    <w:rsid w:val="004A48C5"/>
    <w:rsid w:val="004A4E53"/>
    <w:rsid w:val="004A58D8"/>
    <w:rsid w:val="004A59BB"/>
    <w:rsid w:val="004A78DC"/>
    <w:rsid w:val="004B3DD7"/>
    <w:rsid w:val="004B4030"/>
    <w:rsid w:val="004B43A3"/>
    <w:rsid w:val="004B4C49"/>
    <w:rsid w:val="004B4DAD"/>
    <w:rsid w:val="004B57A8"/>
    <w:rsid w:val="004B58A5"/>
    <w:rsid w:val="004B63D9"/>
    <w:rsid w:val="004B6835"/>
    <w:rsid w:val="004B7299"/>
    <w:rsid w:val="004C0882"/>
    <w:rsid w:val="004C3184"/>
    <w:rsid w:val="004C4AB7"/>
    <w:rsid w:val="004C5383"/>
    <w:rsid w:val="004C55BE"/>
    <w:rsid w:val="004C5DA1"/>
    <w:rsid w:val="004C5ED4"/>
    <w:rsid w:val="004C6D59"/>
    <w:rsid w:val="004C6D67"/>
    <w:rsid w:val="004C7525"/>
    <w:rsid w:val="004C77CC"/>
    <w:rsid w:val="004D0C24"/>
    <w:rsid w:val="004D10D7"/>
    <w:rsid w:val="004D269E"/>
    <w:rsid w:val="004D2D62"/>
    <w:rsid w:val="004D6175"/>
    <w:rsid w:val="004E07F5"/>
    <w:rsid w:val="004E2555"/>
    <w:rsid w:val="004E2D7B"/>
    <w:rsid w:val="004E3E24"/>
    <w:rsid w:val="004E4C3E"/>
    <w:rsid w:val="004E4C92"/>
    <w:rsid w:val="004E5ADC"/>
    <w:rsid w:val="004E5B30"/>
    <w:rsid w:val="004E662E"/>
    <w:rsid w:val="004E6BDB"/>
    <w:rsid w:val="004E6D47"/>
    <w:rsid w:val="004F0779"/>
    <w:rsid w:val="004F1230"/>
    <w:rsid w:val="004F156F"/>
    <w:rsid w:val="004F173F"/>
    <w:rsid w:val="004F177C"/>
    <w:rsid w:val="004F2665"/>
    <w:rsid w:val="004F2DCE"/>
    <w:rsid w:val="004F4F53"/>
    <w:rsid w:val="004F6A2E"/>
    <w:rsid w:val="004F7875"/>
    <w:rsid w:val="0050017A"/>
    <w:rsid w:val="005039CB"/>
    <w:rsid w:val="00504492"/>
    <w:rsid w:val="0050558F"/>
    <w:rsid w:val="005057E0"/>
    <w:rsid w:val="00505B44"/>
    <w:rsid w:val="00506286"/>
    <w:rsid w:val="005064F9"/>
    <w:rsid w:val="00506527"/>
    <w:rsid w:val="00507F1C"/>
    <w:rsid w:val="005102AD"/>
    <w:rsid w:val="00510813"/>
    <w:rsid w:val="00510BB5"/>
    <w:rsid w:val="00511148"/>
    <w:rsid w:val="00511DE0"/>
    <w:rsid w:val="00511DE6"/>
    <w:rsid w:val="00512ED6"/>
    <w:rsid w:val="00515A7E"/>
    <w:rsid w:val="00515D97"/>
    <w:rsid w:val="005166D7"/>
    <w:rsid w:val="00516C66"/>
    <w:rsid w:val="005179F6"/>
    <w:rsid w:val="00517F02"/>
    <w:rsid w:val="00522034"/>
    <w:rsid w:val="005234F6"/>
    <w:rsid w:val="00524547"/>
    <w:rsid w:val="00524663"/>
    <w:rsid w:val="005257DB"/>
    <w:rsid w:val="005258A2"/>
    <w:rsid w:val="00526003"/>
    <w:rsid w:val="005277DD"/>
    <w:rsid w:val="00527E90"/>
    <w:rsid w:val="00530155"/>
    <w:rsid w:val="00530787"/>
    <w:rsid w:val="00530CE5"/>
    <w:rsid w:val="00530F7C"/>
    <w:rsid w:val="0053149F"/>
    <w:rsid w:val="00531DB2"/>
    <w:rsid w:val="005340E4"/>
    <w:rsid w:val="00534567"/>
    <w:rsid w:val="00534F43"/>
    <w:rsid w:val="00535A84"/>
    <w:rsid w:val="00535C0A"/>
    <w:rsid w:val="00535D73"/>
    <w:rsid w:val="00535E21"/>
    <w:rsid w:val="00536889"/>
    <w:rsid w:val="005416B1"/>
    <w:rsid w:val="005416DA"/>
    <w:rsid w:val="00541F0E"/>
    <w:rsid w:val="00542DC8"/>
    <w:rsid w:val="00542E07"/>
    <w:rsid w:val="005438D5"/>
    <w:rsid w:val="00543936"/>
    <w:rsid w:val="00543A12"/>
    <w:rsid w:val="005444D8"/>
    <w:rsid w:val="00544728"/>
    <w:rsid w:val="00544CA4"/>
    <w:rsid w:val="005455F9"/>
    <w:rsid w:val="00545C4D"/>
    <w:rsid w:val="005461CC"/>
    <w:rsid w:val="00546A34"/>
    <w:rsid w:val="0054709F"/>
    <w:rsid w:val="005474D5"/>
    <w:rsid w:val="0054769C"/>
    <w:rsid w:val="00550517"/>
    <w:rsid w:val="005508C5"/>
    <w:rsid w:val="00551F42"/>
    <w:rsid w:val="00552D02"/>
    <w:rsid w:val="00553D83"/>
    <w:rsid w:val="005549FE"/>
    <w:rsid w:val="00554A7B"/>
    <w:rsid w:val="0055572C"/>
    <w:rsid w:val="0055671B"/>
    <w:rsid w:val="0055757F"/>
    <w:rsid w:val="005603EC"/>
    <w:rsid w:val="00560647"/>
    <w:rsid w:val="0056064F"/>
    <w:rsid w:val="00561B84"/>
    <w:rsid w:val="0056295D"/>
    <w:rsid w:val="005631A8"/>
    <w:rsid w:val="00563336"/>
    <w:rsid w:val="0056440D"/>
    <w:rsid w:val="00564FFC"/>
    <w:rsid w:val="00565EDA"/>
    <w:rsid w:val="005660B0"/>
    <w:rsid w:val="005662B5"/>
    <w:rsid w:val="00570297"/>
    <w:rsid w:val="00570CFD"/>
    <w:rsid w:val="00571D98"/>
    <w:rsid w:val="005720AE"/>
    <w:rsid w:val="005726D6"/>
    <w:rsid w:val="0057271C"/>
    <w:rsid w:val="00572E23"/>
    <w:rsid w:val="00574FA8"/>
    <w:rsid w:val="0058030D"/>
    <w:rsid w:val="005804BE"/>
    <w:rsid w:val="00581156"/>
    <w:rsid w:val="005817A1"/>
    <w:rsid w:val="00581E10"/>
    <w:rsid w:val="00581E1A"/>
    <w:rsid w:val="00582045"/>
    <w:rsid w:val="005845FD"/>
    <w:rsid w:val="00584BEE"/>
    <w:rsid w:val="00590520"/>
    <w:rsid w:val="00590525"/>
    <w:rsid w:val="00590AE3"/>
    <w:rsid w:val="005918F1"/>
    <w:rsid w:val="005925CD"/>
    <w:rsid w:val="005926B0"/>
    <w:rsid w:val="00593380"/>
    <w:rsid w:val="00593D2D"/>
    <w:rsid w:val="00595839"/>
    <w:rsid w:val="00595D7D"/>
    <w:rsid w:val="00595E84"/>
    <w:rsid w:val="00596430"/>
    <w:rsid w:val="005978A3"/>
    <w:rsid w:val="005A06B7"/>
    <w:rsid w:val="005A0885"/>
    <w:rsid w:val="005A1759"/>
    <w:rsid w:val="005A232F"/>
    <w:rsid w:val="005A2446"/>
    <w:rsid w:val="005A3BEC"/>
    <w:rsid w:val="005A3EAA"/>
    <w:rsid w:val="005A413C"/>
    <w:rsid w:val="005A47C3"/>
    <w:rsid w:val="005A4D25"/>
    <w:rsid w:val="005A5653"/>
    <w:rsid w:val="005A7675"/>
    <w:rsid w:val="005B17B5"/>
    <w:rsid w:val="005B21B8"/>
    <w:rsid w:val="005B2236"/>
    <w:rsid w:val="005B2A5D"/>
    <w:rsid w:val="005B3CD2"/>
    <w:rsid w:val="005B446E"/>
    <w:rsid w:val="005B59DD"/>
    <w:rsid w:val="005B6087"/>
    <w:rsid w:val="005C234C"/>
    <w:rsid w:val="005C3194"/>
    <w:rsid w:val="005C3ADB"/>
    <w:rsid w:val="005C3B65"/>
    <w:rsid w:val="005C3F2F"/>
    <w:rsid w:val="005C426F"/>
    <w:rsid w:val="005C4A27"/>
    <w:rsid w:val="005C584A"/>
    <w:rsid w:val="005D0369"/>
    <w:rsid w:val="005D1A65"/>
    <w:rsid w:val="005D2002"/>
    <w:rsid w:val="005D2222"/>
    <w:rsid w:val="005D32BA"/>
    <w:rsid w:val="005D4574"/>
    <w:rsid w:val="005D53FE"/>
    <w:rsid w:val="005D582B"/>
    <w:rsid w:val="005D5A88"/>
    <w:rsid w:val="005D5B57"/>
    <w:rsid w:val="005D6521"/>
    <w:rsid w:val="005D719B"/>
    <w:rsid w:val="005D7A0F"/>
    <w:rsid w:val="005D7C87"/>
    <w:rsid w:val="005E0438"/>
    <w:rsid w:val="005E1445"/>
    <w:rsid w:val="005E1791"/>
    <w:rsid w:val="005E17E1"/>
    <w:rsid w:val="005E185A"/>
    <w:rsid w:val="005E1BE6"/>
    <w:rsid w:val="005E2C66"/>
    <w:rsid w:val="005E2CE6"/>
    <w:rsid w:val="005E5A54"/>
    <w:rsid w:val="005E6324"/>
    <w:rsid w:val="005E733D"/>
    <w:rsid w:val="005F0674"/>
    <w:rsid w:val="005F228B"/>
    <w:rsid w:val="005F29CD"/>
    <w:rsid w:val="005F38EC"/>
    <w:rsid w:val="005F47A7"/>
    <w:rsid w:val="005F4DFB"/>
    <w:rsid w:val="005F5D4E"/>
    <w:rsid w:val="005F61DE"/>
    <w:rsid w:val="005F6CC0"/>
    <w:rsid w:val="005F7441"/>
    <w:rsid w:val="00601C55"/>
    <w:rsid w:val="0060229E"/>
    <w:rsid w:val="006032EC"/>
    <w:rsid w:val="00603B40"/>
    <w:rsid w:val="00603B91"/>
    <w:rsid w:val="00603E5B"/>
    <w:rsid w:val="00604BC8"/>
    <w:rsid w:val="00605528"/>
    <w:rsid w:val="006061C5"/>
    <w:rsid w:val="00606929"/>
    <w:rsid w:val="00610349"/>
    <w:rsid w:val="00610599"/>
    <w:rsid w:val="006108E1"/>
    <w:rsid w:val="00610AF2"/>
    <w:rsid w:val="006122F7"/>
    <w:rsid w:val="00613F77"/>
    <w:rsid w:val="00614AEE"/>
    <w:rsid w:val="00614C20"/>
    <w:rsid w:val="00615B4C"/>
    <w:rsid w:val="00615B5D"/>
    <w:rsid w:val="00616241"/>
    <w:rsid w:val="0061624B"/>
    <w:rsid w:val="006166C0"/>
    <w:rsid w:val="00616BE6"/>
    <w:rsid w:val="00617A90"/>
    <w:rsid w:val="00620DC4"/>
    <w:rsid w:val="00621246"/>
    <w:rsid w:val="00621456"/>
    <w:rsid w:val="0062146F"/>
    <w:rsid w:val="00622E2E"/>
    <w:rsid w:val="00624569"/>
    <w:rsid w:val="00624BC3"/>
    <w:rsid w:val="00624C91"/>
    <w:rsid w:val="006253AB"/>
    <w:rsid w:val="00625D87"/>
    <w:rsid w:val="006268BF"/>
    <w:rsid w:val="00626D14"/>
    <w:rsid w:val="00626D32"/>
    <w:rsid w:val="00627180"/>
    <w:rsid w:val="0063300E"/>
    <w:rsid w:val="0063352D"/>
    <w:rsid w:val="00633750"/>
    <w:rsid w:val="006343AF"/>
    <w:rsid w:val="0063459C"/>
    <w:rsid w:val="006347AF"/>
    <w:rsid w:val="00635E19"/>
    <w:rsid w:val="0063634A"/>
    <w:rsid w:val="00636E45"/>
    <w:rsid w:val="006377DE"/>
    <w:rsid w:val="00640864"/>
    <w:rsid w:val="006415E6"/>
    <w:rsid w:val="0064250D"/>
    <w:rsid w:val="0064576B"/>
    <w:rsid w:val="00645A21"/>
    <w:rsid w:val="00646039"/>
    <w:rsid w:val="006505F7"/>
    <w:rsid w:val="006510EE"/>
    <w:rsid w:val="0065126F"/>
    <w:rsid w:val="0065152A"/>
    <w:rsid w:val="00652211"/>
    <w:rsid w:val="00652DA4"/>
    <w:rsid w:val="00652F0C"/>
    <w:rsid w:val="006535EB"/>
    <w:rsid w:val="00654812"/>
    <w:rsid w:val="00654915"/>
    <w:rsid w:val="00655A9E"/>
    <w:rsid w:val="006561FC"/>
    <w:rsid w:val="0065653B"/>
    <w:rsid w:val="00656DA1"/>
    <w:rsid w:val="00657100"/>
    <w:rsid w:val="0066007E"/>
    <w:rsid w:val="0066166A"/>
    <w:rsid w:val="00662678"/>
    <w:rsid w:val="006626E0"/>
    <w:rsid w:val="00662EE3"/>
    <w:rsid w:val="00662F20"/>
    <w:rsid w:val="00663016"/>
    <w:rsid w:val="00663B64"/>
    <w:rsid w:val="00664ABD"/>
    <w:rsid w:val="00664FAC"/>
    <w:rsid w:val="00665FC3"/>
    <w:rsid w:val="0067190E"/>
    <w:rsid w:val="00671F0F"/>
    <w:rsid w:val="00674282"/>
    <w:rsid w:val="00674605"/>
    <w:rsid w:val="006746C8"/>
    <w:rsid w:val="006748B8"/>
    <w:rsid w:val="006751BD"/>
    <w:rsid w:val="00675FF3"/>
    <w:rsid w:val="00677006"/>
    <w:rsid w:val="006771B9"/>
    <w:rsid w:val="00680F3F"/>
    <w:rsid w:val="006817B1"/>
    <w:rsid w:val="00681B31"/>
    <w:rsid w:val="006826E5"/>
    <w:rsid w:val="00682B1E"/>
    <w:rsid w:val="00683398"/>
    <w:rsid w:val="0068355D"/>
    <w:rsid w:val="0068448E"/>
    <w:rsid w:val="006845D0"/>
    <w:rsid w:val="006852E3"/>
    <w:rsid w:val="0068535B"/>
    <w:rsid w:val="0068736E"/>
    <w:rsid w:val="0068762D"/>
    <w:rsid w:val="0069290A"/>
    <w:rsid w:val="006935CE"/>
    <w:rsid w:val="00693FA4"/>
    <w:rsid w:val="006958F4"/>
    <w:rsid w:val="00696197"/>
    <w:rsid w:val="00696A0C"/>
    <w:rsid w:val="00697032"/>
    <w:rsid w:val="006975AC"/>
    <w:rsid w:val="00697BAA"/>
    <w:rsid w:val="006A0654"/>
    <w:rsid w:val="006A1062"/>
    <w:rsid w:val="006A13D7"/>
    <w:rsid w:val="006A15FB"/>
    <w:rsid w:val="006A3DE7"/>
    <w:rsid w:val="006A4610"/>
    <w:rsid w:val="006A4A01"/>
    <w:rsid w:val="006A63C2"/>
    <w:rsid w:val="006A72BF"/>
    <w:rsid w:val="006B00D9"/>
    <w:rsid w:val="006B169F"/>
    <w:rsid w:val="006B332A"/>
    <w:rsid w:val="006B33BD"/>
    <w:rsid w:val="006B45C7"/>
    <w:rsid w:val="006B5837"/>
    <w:rsid w:val="006B5A4A"/>
    <w:rsid w:val="006B67F0"/>
    <w:rsid w:val="006C0DA5"/>
    <w:rsid w:val="006C24E1"/>
    <w:rsid w:val="006C2FAE"/>
    <w:rsid w:val="006C2FCE"/>
    <w:rsid w:val="006C332B"/>
    <w:rsid w:val="006C3F75"/>
    <w:rsid w:val="006D0123"/>
    <w:rsid w:val="006D1137"/>
    <w:rsid w:val="006D170E"/>
    <w:rsid w:val="006D215F"/>
    <w:rsid w:val="006D2397"/>
    <w:rsid w:val="006D3739"/>
    <w:rsid w:val="006D532B"/>
    <w:rsid w:val="006D67FF"/>
    <w:rsid w:val="006E010C"/>
    <w:rsid w:val="006E0202"/>
    <w:rsid w:val="006E06AF"/>
    <w:rsid w:val="006E086D"/>
    <w:rsid w:val="006E41E0"/>
    <w:rsid w:val="006E5FE7"/>
    <w:rsid w:val="006E60E1"/>
    <w:rsid w:val="006E695B"/>
    <w:rsid w:val="006E6AD1"/>
    <w:rsid w:val="006E6B0E"/>
    <w:rsid w:val="006F135A"/>
    <w:rsid w:val="006F1789"/>
    <w:rsid w:val="006F3007"/>
    <w:rsid w:val="006F4E64"/>
    <w:rsid w:val="006F5112"/>
    <w:rsid w:val="006F55B6"/>
    <w:rsid w:val="006F5668"/>
    <w:rsid w:val="006F5826"/>
    <w:rsid w:val="006F703B"/>
    <w:rsid w:val="00700B6E"/>
    <w:rsid w:val="00700D86"/>
    <w:rsid w:val="00700F6A"/>
    <w:rsid w:val="007011EE"/>
    <w:rsid w:val="007035EF"/>
    <w:rsid w:val="00703D18"/>
    <w:rsid w:val="00706C5D"/>
    <w:rsid w:val="00706E90"/>
    <w:rsid w:val="007101F7"/>
    <w:rsid w:val="00710A28"/>
    <w:rsid w:val="00711474"/>
    <w:rsid w:val="007118E6"/>
    <w:rsid w:val="00712CF1"/>
    <w:rsid w:val="0071305A"/>
    <w:rsid w:val="00714C19"/>
    <w:rsid w:val="007152DA"/>
    <w:rsid w:val="00715636"/>
    <w:rsid w:val="007156EF"/>
    <w:rsid w:val="00716356"/>
    <w:rsid w:val="0071792E"/>
    <w:rsid w:val="00720AA7"/>
    <w:rsid w:val="00720F19"/>
    <w:rsid w:val="00721AC7"/>
    <w:rsid w:val="00721E1F"/>
    <w:rsid w:val="00721F57"/>
    <w:rsid w:val="007225C9"/>
    <w:rsid w:val="0072319D"/>
    <w:rsid w:val="00723396"/>
    <w:rsid w:val="00725AE4"/>
    <w:rsid w:val="00730B62"/>
    <w:rsid w:val="00731888"/>
    <w:rsid w:val="00731E71"/>
    <w:rsid w:val="00731F8A"/>
    <w:rsid w:val="00732173"/>
    <w:rsid w:val="007331DE"/>
    <w:rsid w:val="00734195"/>
    <w:rsid w:val="007344C4"/>
    <w:rsid w:val="0073487C"/>
    <w:rsid w:val="00734D9D"/>
    <w:rsid w:val="00735CD7"/>
    <w:rsid w:val="00740023"/>
    <w:rsid w:val="0074094A"/>
    <w:rsid w:val="007412E9"/>
    <w:rsid w:val="00741771"/>
    <w:rsid w:val="00741C18"/>
    <w:rsid w:val="007445FF"/>
    <w:rsid w:val="0074749A"/>
    <w:rsid w:val="00750988"/>
    <w:rsid w:val="00750AB2"/>
    <w:rsid w:val="00752AB1"/>
    <w:rsid w:val="00752BF3"/>
    <w:rsid w:val="00752F02"/>
    <w:rsid w:val="00754034"/>
    <w:rsid w:val="00754BF1"/>
    <w:rsid w:val="00755A30"/>
    <w:rsid w:val="00755D9F"/>
    <w:rsid w:val="00755E1C"/>
    <w:rsid w:val="00755F8C"/>
    <w:rsid w:val="00756556"/>
    <w:rsid w:val="00756B94"/>
    <w:rsid w:val="0076132B"/>
    <w:rsid w:val="007623AE"/>
    <w:rsid w:val="0076310A"/>
    <w:rsid w:val="00763331"/>
    <w:rsid w:val="007633E0"/>
    <w:rsid w:val="00764B04"/>
    <w:rsid w:val="007700F1"/>
    <w:rsid w:val="0077065B"/>
    <w:rsid w:val="007709B3"/>
    <w:rsid w:val="00770B19"/>
    <w:rsid w:val="00771093"/>
    <w:rsid w:val="0077171E"/>
    <w:rsid w:val="00772118"/>
    <w:rsid w:val="00772893"/>
    <w:rsid w:val="00773717"/>
    <w:rsid w:val="00774FA0"/>
    <w:rsid w:val="00775410"/>
    <w:rsid w:val="007757B2"/>
    <w:rsid w:val="0077648E"/>
    <w:rsid w:val="00776620"/>
    <w:rsid w:val="007776D7"/>
    <w:rsid w:val="0077797A"/>
    <w:rsid w:val="00777B6D"/>
    <w:rsid w:val="00781DB2"/>
    <w:rsid w:val="007821D1"/>
    <w:rsid w:val="007846B2"/>
    <w:rsid w:val="00784855"/>
    <w:rsid w:val="00784F39"/>
    <w:rsid w:val="00785314"/>
    <w:rsid w:val="0078545C"/>
    <w:rsid w:val="007854B5"/>
    <w:rsid w:val="007864A6"/>
    <w:rsid w:val="007867A2"/>
    <w:rsid w:val="00786A8F"/>
    <w:rsid w:val="0078751B"/>
    <w:rsid w:val="007906C4"/>
    <w:rsid w:val="0079150A"/>
    <w:rsid w:val="007940EA"/>
    <w:rsid w:val="00794331"/>
    <w:rsid w:val="00795152"/>
    <w:rsid w:val="007967E8"/>
    <w:rsid w:val="00796ECC"/>
    <w:rsid w:val="007970B8"/>
    <w:rsid w:val="00797939"/>
    <w:rsid w:val="00797FB3"/>
    <w:rsid w:val="007A07AE"/>
    <w:rsid w:val="007A4AB3"/>
    <w:rsid w:val="007A4FA3"/>
    <w:rsid w:val="007A5CF2"/>
    <w:rsid w:val="007A63F2"/>
    <w:rsid w:val="007A641C"/>
    <w:rsid w:val="007A6993"/>
    <w:rsid w:val="007A69B6"/>
    <w:rsid w:val="007A733E"/>
    <w:rsid w:val="007A7643"/>
    <w:rsid w:val="007B0FDC"/>
    <w:rsid w:val="007B2020"/>
    <w:rsid w:val="007B2B3C"/>
    <w:rsid w:val="007B3296"/>
    <w:rsid w:val="007B3FA1"/>
    <w:rsid w:val="007B40BB"/>
    <w:rsid w:val="007B51A0"/>
    <w:rsid w:val="007B5D18"/>
    <w:rsid w:val="007B5E42"/>
    <w:rsid w:val="007B6603"/>
    <w:rsid w:val="007B6754"/>
    <w:rsid w:val="007B68DE"/>
    <w:rsid w:val="007B78BC"/>
    <w:rsid w:val="007C1857"/>
    <w:rsid w:val="007C3C8C"/>
    <w:rsid w:val="007C514F"/>
    <w:rsid w:val="007C685D"/>
    <w:rsid w:val="007C734D"/>
    <w:rsid w:val="007D0A33"/>
    <w:rsid w:val="007D0F95"/>
    <w:rsid w:val="007D164E"/>
    <w:rsid w:val="007D19CC"/>
    <w:rsid w:val="007D25C2"/>
    <w:rsid w:val="007D2AC4"/>
    <w:rsid w:val="007D33DC"/>
    <w:rsid w:val="007D360E"/>
    <w:rsid w:val="007D3A53"/>
    <w:rsid w:val="007D43B2"/>
    <w:rsid w:val="007D58E3"/>
    <w:rsid w:val="007D5BE6"/>
    <w:rsid w:val="007D723A"/>
    <w:rsid w:val="007D74E4"/>
    <w:rsid w:val="007D7ECB"/>
    <w:rsid w:val="007E0799"/>
    <w:rsid w:val="007E0D9D"/>
    <w:rsid w:val="007E25A1"/>
    <w:rsid w:val="007E2687"/>
    <w:rsid w:val="007E4069"/>
    <w:rsid w:val="007E42E5"/>
    <w:rsid w:val="007E4BD2"/>
    <w:rsid w:val="007E5AEC"/>
    <w:rsid w:val="007E7145"/>
    <w:rsid w:val="007F01BA"/>
    <w:rsid w:val="007F05C6"/>
    <w:rsid w:val="007F0F36"/>
    <w:rsid w:val="007F3916"/>
    <w:rsid w:val="007F3CE1"/>
    <w:rsid w:val="007F4269"/>
    <w:rsid w:val="007F5C68"/>
    <w:rsid w:val="007F6C08"/>
    <w:rsid w:val="00800823"/>
    <w:rsid w:val="00801179"/>
    <w:rsid w:val="00801555"/>
    <w:rsid w:val="00802401"/>
    <w:rsid w:val="00802479"/>
    <w:rsid w:val="008026E3"/>
    <w:rsid w:val="00802D1B"/>
    <w:rsid w:val="00805372"/>
    <w:rsid w:val="00805B7B"/>
    <w:rsid w:val="00810C6E"/>
    <w:rsid w:val="00810D07"/>
    <w:rsid w:val="008112E2"/>
    <w:rsid w:val="008123F1"/>
    <w:rsid w:val="0081293E"/>
    <w:rsid w:val="0081413D"/>
    <w:rsid w:val="00814CB3"/>
    <w:rsid w:val="00814FFB"/>
    <w:rsid w:val="0081507E"/>
    <w:rsid w:val="00815E21"/>
    <w:rsid w:val="0081703B"/>
    <w:rsid w:val="00817F88"/>
    <w:rsid w:val="00820568"/>
    <w:rsid w:val="00821A52"/>
    <w:rsid w:val="00822294"/>
    <w:rsid w:val="008235F2"/>
    <w:rsid w:val="00824811"/>
    <w:rsid w:val="00826185"/>
    <w:rsid w:val="008266E7"/>
    <w:rsid w:val="0082732F"/>
    <w:rsid w:val="00827608"/>
    <w:rsid w:val="00830670"/>
    <w:rsid w:val="00831A80"/>
    <w:rsid w:val="00831F67"/>
    <w:rsid w:val="008332C8"/>
    <w:rsid w:val="00833743"/>
    <w:rsid w:val="008340A4"/>
    <w:rsid w:val="00836799"/>
    <w:rsid w:val="008367D4"/>
    <w:rsid w:val="00837028"/>
    <w:rsid w:val="00837131"/>
    <w:rsid w:val="008378B7"/>
    <w:rsid w:val="008423EF"/>
    <w:rsid w:val="00844DAB"/>
    <w:rsid w:val="00844DDB"/>
    <w:rsid w:val="00845F57"/>
    <w:rsid w:val="00846563"/>
    <w:rsid w:val="00851AA3"/>
    <w:rsid w:val="008521E0"/>
    <w:rsid w:val="008525B0"/>
    <w:rsid w:val="00852B29"/>
    <w:rsid w:val="00855422"/>
    <w:rsid w:val="00856B81"/>
    <w:rsid w:val="008572FC"/>
    <w:rsid w:val="008607E0"/>
    <w:rsid w:val="0086154D"/>
    <w:rsid w:val="00862228"/>
    <w:rsid w:val="008625F2"/>
    <w:rsid w:val="00862D8E"/>
    <w:rsid w:val="00864ADB"/>
    <w:rsid w:val="00865186"/>
    <w:rsid w:val="008652DB"/>
    <w:rsid w:val="008655CC"/>
    <w:rsid w:val="00865B50"/>
    <w:rsid w:val="00866327"/>
    <w:rsid w:val="00867CBC"/>
    <w:rsid w:val="00867DD2"/>
    <w:rsid w:val="00867EA1"/>
    <w:rsid w:val="00871119"/>
    <w:rsid w:val="008714DB"/>
    <w:rsid w:val="008715D4"/>
    <w:rsid w:val="0087179A"/>
    <w:rsid w:val="008719FE"/>
    <w:rsid w:val="00873B10"/>
    <w:rsid w:val="00875055"/>
    <w:rsid w:val="0087596C"/>
    <w:rsid w:val="00875E66"/>
    <w:rsid w:val="00876C30"/>
    <w:rsid w:val="00877017"/>
    <w:rsid w:val="008772CD"/>
    <w:rsid w:val="008773C0"/>
    <w:rsid w:val="00877554"/>
    <w:rsid w:val="00877D3F"/>
    <w:rsid w:val="00877D7C"/>
    <w:rsid w:val="00877E2E"/>
    <w:rsid w:val="00880122"/>
    <w:rsid w:val="0088034A"/>
    <w:rsid w:val="00880364"/>
    <w:rsid w:val="00880AFF"/>
    <w:rsid w:val="00881930"/>
    <w:rsid w:val="00882D67"/>
    <w:rsid w:val="008843CF"/>
    <w:rsid w:val="00884AAD"/>
    <w:rsid w:val="00885542"/>
    <w:rsid w:val="00886C4C"/>
    <w:rsid w:val="00886E56"/>
    <w:rsid w:val="0088711C"/>
    <w:rsid w:val="0088757E"/>
    <w:rsid w:val="00891212"/>
    <w:rsid w:val="008922B5"/>
    <w:rsid w:val="00892ECF"/>
    <w:rsid w:val="00892F06"/>
    <w:rsid w:val="0089322A"/>
    <w:rsid w:val="00894285"/>
    <w:rsid w:val="00894F3D"/>
    <w:rsid w:val="00895210"/>
    <w:rsid w:val="00895705"/>
    <w:rsid w:val="008959C4"/>
    <w:rsid w:val="00896CB4"/>
    <w:rsid w:val="008A355F"/>
    <w:rsid w:val="008A3B81"/>
    <w:rsid w:val="008A401F"/>
    <w:rsid w:val="008A40AE"/>
    <w:rsid w:val="008A4E19"/>
    <w:rsid w:val="008A563E"/>
    <w:rsid w:val="008A67C5"/>
    <w:rsid w:val="008A7B6A"/>
    <w:rsid w:val="008B1CCA"/>
    <w:rsid w:val="008B22E1"/>
    <w:rsid w:val="008B3028"/>
    <w:rsid w:val="008B3847"/>
    <w:rsid w:val="008B3C78"/>
    <w:rsid w:val="008B3E12"/>
    <w:rsid w:val="008B41C5"/>
    <w:rsid w:val="008B4766"/>
    <w:rsid w:val="008B4AE9"/>
    <w:rsid w:val="008B5E4E"/>
    <w:rsid w:val="008B6B2D"/>
    <w:rsid w:val="008B6E40"/>
    <w:rsid w:val="008B719D"/>
    <w:rsid w:val="008C01C0"/>
    <w:rsid w:val="008C30AD"/>
    <w:rsid w:val="008C3C09"/>
    <w:rsid w:val="008C45B3"/>
    <w:rsid w:val="008C4BA0"/>
    <w:rsid w:val="008C4BFA"/>
    <w:rsid w:val="008D068E"/>
    <w:rsid w:val="008D0D09"/>
    <w:rsid w:val="008D0F7A"/>
    <w:rsid w:val="008D1323"/>
    <w:rsid w:val="008D2525"/>
    <w:rsid w:val="008D28AB"/>
    <w:rsid w:val="008D301A"/>
    <w:rsid w:val="008D3A08"/>
    <w:rsid w:val="008D3CA2"/>
    <w:rsid w:val="008D4CE2"/>
    <w:rsid w:val="008D4EBA"/>
    <w:rsid w:val="008D62BE"/>
    <w:rsid w:val="008D63BE"/>
    <w:rsid w:val="008D6470"/>
    <w:rsid w:val="008D671F"/>
    <w:rsid w:val="008D7F51"/>
    <w:rsid w:val="008E009F"/>
    <w:rsid w:val="008E04C1"/>
    <w:rsid w:val="008E0CFF"/>
    <w:rsid w:val="008E0E4D"/>
    <w:rsid w:val="008E32B6"/>
    <w:rsid w:val="008E3646"/>
    <w:rsid w:val="008E4D59"/>
    <w:rsid w:val="008E5D6B"/>
    <w:rsid w:val="008E689B"/>
    <w:rsid w:val="008E76F0"/>
    <w:rsid w:val="008F15FE"/>
    <w:rsid w:val="008F1E33"/>
    <w:rsid w:val="008F2A94"/>
    <w:rsid w:val="008F33B6"/>
    <w:rsid w:val="008F48F8"/>
    <w:rsid w:val="008F50FE"/>
    <w:rsid w:val="008F5187"/>
    <w:rsid w:val="008F5F2A"/>
    <w:rsid w:val="008F6794"/>
    <w:rsid w:val="008F6F28"/>
    <w:rsid w:val="008F709C"/>
    <w:rsid w:val="0090052E"/>
    <w:rsid w:val="00900685"/>
    <w:rsid w:val="009017EE"/>
    <w:rsid w:val="00901EDB"/>
    <w:rsid w:val="009024B9"/>
    <w:rsid w:val="0090312B"/>
    <w:rsid w:val="009033CE"/>
    <w:rsid w:val="009038AF"/>
    <w:rsid w:val="00904961"/>
    <w:rsid w:val="00904A7B"/>
    <w:rsid w:val="009059B5"/>
    <w:rsid w:val="00910807"/>
    <w:rsid w:val="00910E9D"/>
    <w:rsid w:val="00912863"/>
    <w:rsid w:val="00916CAE"/>
    <w:rsid w:val="0091736D"/>
    <w:rsid w:val="0092196F"/>
    <w:rsid w:val="00921F05"/>
    <w:rsid w:val="00922F5E"/>
    <w:rsid w:val="009277B7"/>
    <w:rsid w:val="0093099F"/>
    <w:rsid w:val="00931001"/>
    <w:rsid w:val="009316B4"/>
    <w:rsid w:val="00931863"/>
    <w:rsid w:val="00931FCF"/>
    <w:rsid w:val="0093279E"/>
    <w:rsid w:val="00933524"/>
    <w:rsid w:val="00933C45"/>
    <w:rsid w:val="00933DFC"/>
    <w:rsid w:val="009407D0"/>
    <w:rsid w:val="0094106D"/>
    <w:rsid w:val="009414CA"/>
    <w:rsid w:val="0094278D"/>
    <w:rsid w:val="009428B6"/>
    <w:rsid w:val="0094378E"/>
    <w:rsid w:val="00944ACD"/>
    <w:rsid w:val="009463CE"/>
    <w:rsid w:val="009470A5"/>
    <w:rsid w:val="0095177F"/>
    <w:rsid w:val="0095308A"/>
    <w:rsid w:val="00953F0D"/>
    <w:rsid w:val="00954E2A"/>
    <w:rsid w:val="0095585B"/>
    <w:rsid w:val="00955A58"/>
    <w:rsid w:val="00955AEE"/>
    <w:rsid w:val="00956F14"/>
    <w:rsid w:val="00956F50"/>
    <w:rsid w:val="009573A9"/>
    <w:rsid w:val="00957530"/>
    <w:rsid w:val="00957FAE"/>
    <w:rsid w:val="009602B7"/>
    <w:rsid w:val="00960E0D"/>
    <w:rsid w:val="009614B4"/>
    <w:rsid w:val="009620FD"/>
    <w:rsid w:val="0096247A"/>
    <w:rsid w:val="00962AFB"/>
    <w:rsid w:val="00962B1D"/>
    <w:rsid w:val="00962C0F"/>
    <w:rsid w:val="00963669"/>
    <w:rsid w:val="0096418F"/>
    <w:rsid w:val="00964917"/>
    <w:rsid w:val="00964EFF"/>
    <w:rsid w:val="00965F4B"/>
    <w:rsid w:val="00967FFC"/>
    <w:rsid w:val="00970F8A"/>
    <w:rsid w:val="00971692"/>
    <w:rsid w:val="00971F83"/>
    <w:rsid w:val="00971FB5"/>
    <w:rsid w:val="0097250A"/>
    <w:rsid w:val="00972C66"/>
    <w:rsid w:val="00972D2A"/>
    <w:rsid w:val="00973D4D"/>
    <w:rsid w:val="00973DD3"/>
    <w:rsid w:val="00975CC5"/>
    <w:rsid w:val="00976328"/>
    <w:rsid w:val="00976B4E"/>
    <w:rsid w:val="0097752F"/>
    <w:rsid w:val="009775B0"/>
    <w:rsid w:val="009812DD"/>
    <w:rsid w:val="00981B7E"/>
    <w:rsid w:val="00982C65"/>
    <w:rsid w:val="00982FCC"/>
    <w:rsid w:val="00983052"/>
    <w:rsid w:val="00983660"/>
    <w:rsid w:val="009838AD"/>
    <w:rsid w:val="00983D5F"/>
    <w:rsid w:val="00984458"/>
    <w:rsid w:val="009846B2"/>
    <w:rsid w:val="00984811"/>
    <w:rsid w:val="00985283"/>
    <w:rsid w:val="009854F7"/>
    <w:rsid w:val="009857E9"/>
    <w:rsid w:val="00986DB4"/>
    <w:rsid w:val="00987322"/>
    <w:rsid w:val="00987727"/>
    <w:rsid w:val="00987789"/>
    <w:rsid w:val="00987AAF"/>
    <w:rsid w:val="009905E3"/>
    <w:rsid w:val="00990975"/>
    <w:rsid w:val="0099116A"/>
    <w:rsid w:val="009911AF"/>
    <w:rsid w:val="00991532"/>
    <w:rsid w:val="00992F3D"/>
    <w:rsid w:val="00993B26"/>
    <w:rsid w:val="00994A5C"/>
    <w:rsid w:val="00996136"/>
    <w:rsid w:val="009A05E2"/>
    <w:rsid w:val="009A0F3B"/>
    <w:rsid w:val="009A1497"/>
    <w:rsid w:val="009A16F1"/>
    <w:rsid w:val="009A20E3"/>
    <w:rsid w:val="009A2BB8"/>
    <w:rsid w:val="009A44B5"/>
    <w:rsid w:val="009A47C4"/>
    <w:rsid w:val="009A4A0C"/>
    <w:rsid w:val="009A4B23"/>
    <w:rsid w:val="009A4CFE"/>
    <w:rsid w:val="009A559F"/>
    <w:rsid w:val="009A58F3"/>
    <w:rsid w:val="009A72C7"/>
    <w:rsid w:val="009A76BE"/>
    <w:rsid w:val="009A76E2"/>
    <w:rsid w:val="009A7DEA"/>
    <w:rsid w:val="009B0897"/>
    <w:rsid w:val="009B2CC7"/>
    <w:rsid w:val="009B36B1"/>
    <w:rsid w:val="009B3C8F"/>
    <w:rsid w:val="009B5C08"/>
    <w:rsid w:val="009B67FE"/>
    <w:rsid w:val="009B6CB1"/>
    <w:rsid w:val="009C340E"/>
    <w:rsid w:val="009C3D3E"/>
    <w:rsid w:val="009C3DCD"/>
    <w:rsid w:val="009C5747"/>
    <w:rsid w:val="009C58BC"/>
    <w:rsid w:val="009C5A24"/>
    <w:rsid w:val="009C6811"/>
    <w:rsid w:val="009C6914"/>
    <w:rsid w:val="009C7AE9"/>
    <w:rsid w:val="009D0852"/>
    <w:rsid w:val="009D1BD1"/>
    <w:rsid w:val="009D1FBF"/>
    <w:rsid w:val="009D3AA4"/>
    <w:rsid w:val="009D48C0"/>
    <w:rsid w:val="009D4CA6"/>
    <w:rsid w:val="009D5182"/>
    <w:rsid w:val="009D7234"/>
    <w:rsid w:val="009D738A"/>
    <w:rsid w:val="009E26A0"/>
    <w:rsid w:val="009E270D"/>
    <w:rsid w:val="009E2AE0"/>
    <w:rsid w:val="009E3282"/>
    <w:rsid w:val="009E399C"/>
    <w:rsid w:val="009E3A7C"/>
    <w:rsid w:val="009E43C1"/>
    <w:rsid w:val="009E51D8"/>
    <w:rsid w:val="009E5954"/>
    <w:rsid w:val="009E7D40"/>
    <w:rsid w:val="009E7E95"/>
    <w:rsid w:val="009F116F"/>
    <w:rsid w:val="009F2AC4"/>
    <w:rsid w:val="009F3271"/>
    <w:rsid w:val="009F329E"/>
    <w:rsid w:val="009F45F9"/>
    <w:rsid w:val="009F4A48"/>
    <w:rsid w:val="009F553B"/>
    <w:rsid w:val="009F5C7A"/>
    <w:rsid w:val="009F6DEA"/>
    <w:rsid w:val="009F74F2"/>
    <w:rsid w:val="009F7ED3"/>
    <w:rsid w:val="00A016E9"/>
    <w:rsid w:val="00A01942"/>
    <w:rsid w:val="00A03607"/>
    <w:rsid w:val="00A03DFB"/>
    <w:rsid w:val="00A04185"/>
    <w:rsid w:val="00A047FF"/>
    <w:rsid w:val="00A04B18"/>
    <w:rsid w:val="00A04FEF"/>
    <w:rsid w:val="00A054C9"/>
    <w:rsid w:val="00A0589B"/>
    <w:rsid w:val="00A0661E"/>
    <w:rsid w:val="00A06744"/>
    <w:rsid w:val="00A070F9"/>
    <w:rsid w:val="00A071E4"/>
    <w:rsid w:val="00A122CD"/>
    <w:rsid w:val="00A12A32"/>
    <w:rsid w:val="00A1404B"/>
    <w:rsid w:val="00A14248"/>
    <w:rsid w:val="00A14947"/>
    <w:rsid w:val="00A17CA2"/>
    <w:rsid w:val="00A22E1F"/>
    <w:rsid w:val="00A23DC5"/>
    <w:rsid w:val="00A24C98"/>
    <w:rsid w:val="00A2571C"/>
    <w:rsid w:val="00A26ED2"/>
    <w:rsid w:val="00A27544"/>
    <w:rsid w:val="00A3019D"/>
    <w:rsid w:val="00A302C4"/>
    <w:rsid w:val="00A321B1"/>
    <w:rsid w:val="00A34028"/>
    <w:rsid w:val="00A34907"/>
    <w:rsid w:val="00A34986"/>
    <w:rsid w:val="00A35568"/>
    <w:rsid w:val="00A36649"/>
    <w:rsid w:val="00A367AC"/>
    <w:rsid w:val="00A36833"/>
    <w:rsid w:val="00A36CD0"/>
    <w:rsid w:val="00A37056"/>
    <w:rsid w:val="00A40A56"/>
    <w:rsid w:val="00A41105"/>
    <w:rsid w:val="00A42F3D"/>
    <w:rsid w:val="00A4358F"/>
    <w:rsid w:val="00A45A2A"/>
    <w:rsid w:val="00A46346"/>
    <w:rsid w:val="00A46F67"/>
    <w:rsid w:val="00A47CF0"/>
    <w:rsid w:val="00A502CF"/>
    <w:rsid w:val="00A52275"/>
    <w:rsid w:val="00A5294A"/>
    <w:rsid w:val="00A54AA1"/>
    <w:rsid w:val="00A55F8E"/>
    <w:rsid w:val="00A568FF"/>
    <w:rsid w:val="00A57124"/>
    <w:rsid w:val="00A5729D"/>
    <w:rsid w:val="00A61496"/>
    <w:rsid w:val="00A61833"/>
    <w:rsid w:val="00A61F01"/>
    <w:rsid w:val="00A624C6"/>
    <w:rsid w:val="00A626E6"/>
    <w:rsid w:val="00A62A5B"/>
    <w:rsid w:val="00A63CEC"/>
    <w:rsid w:val="00A6659A"/>
    <w:rsid w:val="00A6754A"/>
    <w:rsid w:val="00A67E98"/>
    <w:rsid w:val="00A7031E"/>
    <w:rsid w:val="00A7121F"/>
    <w:rsid w:val="00A71295"/>
    <w:rsid w:val="00A7274D"/>
    <w:rsid w:val="00A72826"/>
    <w:rsid w:val="00A728B1"/>
    <w:rsid w:val="00A728C4"/>
    <w:rsid w:val="00A72ACF"/>
    <w:rsid w:val="00A730C0"/>
    <w:rsid w:val="00A73428"/>
    <w:rsid w:val="00A73885"/>
    <w:rsid w:val="00A74780"/>
    <w:rsid w:val="00A748D7"/>
    <w:rsid w:val="00A74C35"/>
    <w:rsid w:val="00A75108"/>
    <w:rsid w:val="00A763DE"/>
    <w:rsid w:val="00A76425"/>
    <w:rsid w:val="00A76D02"/>
    <w:rsid w:val="00A771FA"/>
    <w:rsid w:val="00A77E60"/>
    <w:rsid w:val="00A8032C"/>
    <w:rsid w:val="00A803D6"/>
    <w:rsid w:val="00A80F32"/>
    <w:rsid w:val="00A81282"/>
    <w:rsid w:val="00A812FE"/>
    <w:rsid w:val="00A83B7D"/>
    <w:rsid w:val="00A83E61"/>
    <w:rsid w:val="00A85291"/>
    <w:rsid w:val="00A8711C"/>
    <w:rsid w:val="00A8713F"/>
    <w:rsid w:val="00A87B55"/>
    <w:rsid w:val="00A9066A"/>
    <w:rsid w:val="00A906D4"/>
    <w:rsid w:val="00A91167"/>
    <w:rsid w:val="00A9171C"/>
    <w:rsid w:val="00A92080"/>
    <w:rsid w:val="00A9247B"/>
    <w:rsid w:val="00A926DB"/>
    <w:rsid w:val="00A92FFD"/>
    <w:rsid w:val="00A93141"/>
    <w:rsid w:val="00A9377C"/>
    <w:rsid w:val="00A944C1"/>
    <w:rsid w:val="00A94702"/>
    <w:rsid w:val="00A95975"/>
    <w:rsid w:val="00A961DA"/>
    <w:rsid w:val="00A96DC7"/>
    <w:rsid w:val="00A9708D"/>
    <w:rsid w:val="00AA0013"/>
    <w:rsid w:val="00AA06F2"/>
    <w:rsid w:val="00AA06F5"/>
    <w:rsid w:val="00AA2C17"/>
    <w:rsid w:val="00AA2E91"/>
    <w:rsid w:val="00AA3038"/>
    <w:rsid w:val="00AA3399"/>
    <w:rsid w:val="00AA4172"/>
    <w:rsid w:val="00AA5C3E"/>
    <w:rsid w:val="00AA5FD1"/>
    <w:rsid w:val="00AA608C"/>
    <w:rsid w:val="00AA6F75"/>
    <w:rsid w:val="00AA76F2"/>
    <w:rsid w:val="00AA7D3F"/>
    <w:rsid w:val="00AB0767"/>
    <w:rsid w:val="00AB1914"/>
    <w:rsid w:val="00AB2243"/>
    <w:rsid w:val="00AB23C4"/>
    <w:rsid w:val="00AB3B30"/>
    <w:rsid w:val="00AB3FFF"/>
    <w:rsid w:val="00AB4BFE"/>
    <w:rsid w:val="00AB52B5"/>
    <w:rsid w:val="00AB5330"/>
    <w:rsid w:val="00AB69ED"/>
    <w:rsid w:val="00AB75C7"/>
    <w:rsid w:val="00AB7747"/>
    <w:rsid w:val="00AC1EDA"/>
    <w:rsid w:val="00AC205C"/>
    <w:rsid w:val="00AC2532"/>
    <w:rsid w:val="00AC2AA6"/>
    <w:rsid w:val="00AC3145"/>
    <w:rsid w:val="00AC344F"/>
    <w:rsid w:val="00AC36AE"/>
    <w:rsid w:val="00AC3F30"/>
    <w:rsid w:val="00AC5B20"/>
    <w:rsid w:val="00AC6A38"/>
    <w:rsid w:val="00AC6E0E"/>
    <w:rsid w:val="00AC716D"/>
    <w:rsid w:val="00AD0EF9"/>
    <w:rsid w:val="00AD1149"/>
    <w:rsid w:val="00AD12E7"/>
    <w:rsid w:val="00AD1507"/>
    <w:rsid w:val="00AD3915"/>
    <w:rsid w:val="00AD3948"/>
    <w:rsid w:val="00AD3DEB"/>
    <w:rsid w:val="00AD41BB"/>
    <w:rsid w:val="00AD4538"/>
    <w:rsid w:val="00AD4C87"/>
    <w:rsid w:val="00AD56D4"/>
    <w:rsid w:val="00AD5A70"/>
    <w:rsid w:val="00AD5E55"/>
    <w:rsid w:val="00AD69EB"/>
    <w:rsid w:val="00AD738B"/>
    <w:rsid w:val="00AE08A6"/>
    <w:rsid w:val="00AE0DE3"/>
    <w:rsid w:val="00AE1BF4"/>
    <w:rsid w:val="00AE2247"/>
    <w:rsid w:val="00AE227D"/>
    <w:rsid w:val="00AE315E"/>
    <w:rsid w:val="00AE4780"/>
    <w:rsid w:val="00AE5AB2"/>
    <w:rsid w:val="00AE5C48"/>
    <w:rsid w:val="00AE5D97"/>
    <w:rsid w:val="00AE652A"/>
    <w:rsid w:val="00AE65C9"/>
    <w:rsid w:val="00AE6794"/>
    <w:rsid w:val="00AE6905"/>
    <w:rsid w:val="00AE71B0"/>
    <w:rsid w:val="00AF2031"/>
    <w:rsid w:val="00AF2AE7"/>
    <w:rsid w:val="00AF3D0E"/>
    <w:rsid w:val="00AF6472"/>
    <w:rsid w:val="00AF6485"/>
    <w:rsid w:val="00B00252"/>
    <w:rsid w:val="00B00443"/>
    <w:rsid w:val="00B00652"/>
    <w:rsid w:val="00B0105F"/>
    <w:rsid w:val="00B01110"/>
    <w:rsid w:val="00B02191"/>
    <w:rsid w:val="00B02262"/>
    <w:rsid w:val="00B0306D"/>
    <w:rsid w:val="00B033F2"/>
    <w:rsid w:val="00B034F3"/>
    <w:rsid w:val="00B03BDC"/>
    <w:rsid w:val="00B03CEC"/>
    <w:rsid w:val="00B04E94"/>
    <w:rsid w:val="00B05810"/>
    <w:rsid w:val="00B05C7E"/>
    <w:rsid w:val="00B1120D"/>
    <w:rsid w:val="00B11817"/>
    <w:rsid w:val="00B1209F"/>
    <w:rsid w:val="00B12A84"/>
    <w:rsid w:val="00B12AD0"/>
    <w:rsid w:val="00B16280"/>
    <w:rsid w:val="00B16858"/>
    <w:rsid w:val="00B20424"/>
    <w:rsid w:val="00B20506"/>
    <w:rsid w:val="00B2095A"/>
    <w:rsid w:val="00B20D18"/>
    <w:rsid w:val="00B215D9"/>
    <w:rsid w:val="00B22442"/>
    <w:rsid w:val="00B22DAB"/>
    <w:rsid w:val="00B23D11"/>
    <w:rsid w:val="00B24110"/>
    <w:rsid w:val="00B24E88"/>
    <w:rsid w:val="00B24F30"/>
    <w:rsid w:val="00B2732E"/>
    <w:rsid w:val="00B30021"/>
    <w:rsid w:val="00B31ABF"/>
    <w:rsid w:val="00B32550"/>
    <w:rsid w:val="00B32A9D"/>
    <w:rsid w:val="00B335AE"/>
    <w:rsid w:val="00B33C6F"/>
    <w:rsid w:val="00B349AB"/>
    <w:rsid w:val="00B35EBA"/>
    <w:rsid w:val="00B37098"/>
    <w:rsid w:val="00B378E1"/>
    <w:rsid w:val="00B37C14"/>
    <w:rsid w:val="00B37CE1"/>
    <w:rsid w:val="00B37CF8"/>
    <w:rsid w:val="00B37F76"/>
    <w:rsid w:val="00B40ACF"/>
    <w:rsid w:val="00B41C4B"/>
    <w:rsid w:val="00B43735"/>
    <w:rsid w:val="00B4376A"/>
    <w:rsid w:val="00B46BAA"/>
    <w:rsid w:val="00B46D88"/>
    <w:rsid w:val="00B509BA"/>
    <w:rsid w:val="00B50B5F"/>
    <w:rsid w:val="00B51C62"/>
    <w:rsid w:val="00B5328C"/>
    <w:rsid w:val="00B532A8"/>
    <w:rsid w:val="00B534C3"/>
    <w:rsid w:val="00B53E47"/>
    <w:rsid w:val="00B54128"/>
    <w:rsid w:val="00B55826"/>
    <w:rsid w:val="00B56909"/>
    <w:rsid w:val="00B56B12"/>
    <w:rsid w:val="00B570B2"/>
    <w:rsid w:val="00B60426"/>
    <w:rsid w:val="00B606D1"/>
    <w:rsid w:val="00B622DD"/>
    <w:rsid w:val="00B625EA"/>
    <w:rsid w:val="00B63522"/>
    <w:rsid w:val="00B63E4A"/>
    <w:rsid w:val="00B64B82"/>
    <w:rsid w:val="00B65180"/>
    <w:rsid w:val="00B661F9"/>
    <w:rsid w:val="00B704FF"/>
    <w:rsid w:val="00B71761"/>
    <w:rsid w:val="00B71824"/>
    <w:rsid w:val="00B7363F"/>
    <w:rsid w:val="00B745B8"/>
    <w:rsid w:val="00B74C29"/>
    <w:rsid w:val="00B754D9"/>
    <w:rsid w:val="00B756CB"/>
    <w:rsid w:val="00B75DFC"/>
    <w:rsid w:val="00B76F1D"/>
    <w:rsid w:val="00B8122D"/>
    <w:rsid w:val="00B81388"/>
    <w:rsid w:val="00B81BF9"/>
    <w:rsid w:val="00B846E9"/>
    <w:rsid w:val="00B863CA"/>
    <w:rsid w:val="00B866C8"/>
    <w:rsid w:val="00B925B1"/>
    <w:rsid w:val="00B92A19"/>
    <w:rsid w:val="00B92FA6"/>
    <w:rsid w:val="00B9544C"/>
    <w:rsid w:val="00B96162"/>
    <w:rsid w:val="00B964A5"/>
    <w:rsid w:val="00B974AC"/>
    <w:rsid w:val="00BA11A5"/>
    <w:rsid w:val="00BA29E9"/>
    <w:rsid w:val="00BA3079"/>
    <w:rsid w:val="00BA6A11"/>
    <w:rsid w:val="00BA7812"/>
    <w:rsid w:val="00BB0CEE"/>
    <w:rsid w:val="00BB0D8C"/>
    <w:rsid w:val="00BB23B1"/>
    <w:rsid w:val="00BB2C25"/>
    <w:rsid w:val="00BB3618"/>
    <w:rsid w:val="00BB37B6"/>
    <w:rsid w:val="00BB3DD7"/>
    <w:rsid w:val="00BB4B66"/>
    <w:rsid w:val="00BB501C"/>
    <w:rsid w:val="00BB50B2"/>
    <w:rsid w:val="00BB7248"/>
    <w:rsid w:val="00BC0C9E"/>
    <w:rsid w:val="00BC32DC"/>
    <w:rsid w:val="00BC4128"/>
    <w:rsid w:val="00BC4D59"/>
    <w:rsid w:val="00BC5439"/>
    <w:rsid w:val="00BC7067"/>
    <w:rsid w:val="00BD08DD"/>
    <w:rsid w:val="00BD1B51"/>
    <w:rsid w:val="00BD375A"/>
    <w:rsid w:val="00BD47F6"/>
    <w:rsid w:val="00BD4910"/>
    <w:rsid w:val="00BE01AE"/>
    <w:rsid w:val="00BE0276"/>
    <w:rsid w:val="00BE0307"/>
    <w:rsid w:val="00BE312D"/>
    <w:rsid w:val="00BE3E42"/>
    <w:rsid w:val="00BE3FCA"/>
    <w:rsid w:val="00BE4A28"/>
    <w:rsid w:val="00BE4FB5"/>
    <w:rsid w:val="00BE5933"/>
    <w:rsid w:val="00BE65B0"/>
    <w:rsid w:val="00BE67E1"/>
    <w:rsid w:val="00BE7614"/>
    <w:rsid w:val="00BF09DD"/>
    <w:rsid w:val="00BF10E6"/>
    <w:rsid w:val="00BF31E4"/>
    <w:rsid w:val="00BF47AE"/>
    <w:rsid w:val="00BF4FE8"/>
    <w:rsid w:val="00BF533D"/>
    <w:rsid w:val="00BF5DE9"/>
    <w:rsid w:val="00BF5E0D"/>
    <w:rsid w:val="00BF713E"/>
    <w:rsid w:val="00BF7BCB"/>
    <w:rsid w:val="00C006DA"/>
    <w:rsid w:val="00C00D71"/>
    <w:rsid w:val="00C02D6A"/>
    <w:rsid w:val="00C031FF"/>
    <w:rsid w:val="00C050F5"/>
    <w:rsid w:val="00C05719"/>
    <w:rsid w:val="00C10578"/>
    <w:rsid w:val="00C107A0"/>
    <w:rsid w:val="00C1154A"/>
    <w:rsid w:val="00C12346"/>
    <w:rsid w:val="00C12C50"/>
    <w:rsid w:val="00C14885"/>
    <w:rsid w:val="00C14C2B"/>
    <w:rsid w:val="00C14E58"/>
    <w:rsid w:val="00C16AB9"/>
    <w:rsid w:val="00C171AE"/>
    <w:rsid w:val="00C17D62"/>
    <w:rsid w:val="00C17ED5"/>
    <w:rsid w:val="00C20546"/>
    <w:rsid w:val="00C2059E"/>
    <w:rsid w:val="00C212C3"/>
    <w:rsid w:val="00C21FDC"/>
    <w:rsid w:val="00C22639"/>
    <w:rsid w:val="00C237FD"/>
    <w:rsid w:val="00C24EE7"/>
    <w:rsid w:val="00C2596A"/>
    <w:rsid w:val="00C259D5"/>
    <w:rsid w:val="00C25B6F"/>
    <w:rsid w:val="00C2706C"/>
    <w:rsid w:val="00C271BE"/>
    <w:rsid w:val="00C27425"/>
    <w:rsid w:val="00C3123B"/>
    <w:rsid w:val="00C31AD9"/>
    <w:rsid w:val="00C328FE"/>
    <w:rsid w:val="00C33A05"/>
    <w:rsid w:val="00C33B20"/>
    <w:rsid w:val="00C359DB"/>
    <w:rsid w:val="00C37E7E"/>
    <w:rsid w:val="00C421EB"/>
    <w:rsid w:val="00C42500"/>
    <w:rsid w:val="00C4258A"/>
    <w:rsid w:val="00C43522"/>
    <w:rsid w:val="00C4363E"/>
    <w:rsid w:val="00C436D8"/>
    <w:rsid w:val="00C43929"/>
    <w:rsid w:val="00C43B09"/>
    <w:rsid w:val="00C43BDB"/>
    <w:rsid w:val="00C4409D"/>
    <w:rsid w:val="00C445B0"/>
    <w:rsid w:val="00C455BE"/>
    <w:rsid w:val="00C45D15"/>
    <w:rsid w:val="00C46047"/>
    <w:rsid w:val="00C460BB"/>
    <w:rsid w:val="00C46D26"/>
    <w:rsid w:val="00C4760B"/>
    <w:rsid w:val="00C5046E"/>
    <w:rsid w:val="00C50E8E"/>
    <w:rsid w:val="00C51E5F"/>
    <w:rsid w:val="00C52912"/>
    <w:rsid w:val="00C53576"/>
    <w:rsid w:val="00C53E39"/>
    <w:rsid w:val="00C55911"/>
    <w:rsid w:val="00C55A00"/>
    <w:rsid w:val="00C56CAD"/>
    <w:rsid w:val="00C57F47"/>
    <w:rsid w:val="00C60BC1"/>
    <w:rsid w:val="00C60F10"/>
    <w:rsid w:val="00C61E4B"/>
    <w:rsid w:val="00C623E7"/>
    <w:rsid w:val="00C627E1"/>
    <w:rsid w:val="00C62914"/>
    <w:rsid w:val="00C62E3A"/>
    <w:rsid w:val="00C64231"/>
    <w:rsid w:val="00C64503"/>
    <w:rsid w:val="00C64A1F"/>
    <w:rsid w:val="00C64BFF"/>
    <w:rsid w:val="00C668B2"/>
    <w:rsid w:val="00C67BD8"/>
    <w:rsid w:val="00C67CE8"/>
    <w:rsid w:val="00C70038"/>
    <w:rsid w:val="00C70238"/>
    <w:rsid w:val="00C70F3A"/>
    <w:rsid w:val="00C717FB"/>
    <w:rsid w:val="00C72A44"/>
    <w:rsid w:val="00C73E57"/>
    <w:rsid w:val="00C75418"/>
    <w:rsid w:val="00C75F78"/>
    <w:rsid w:val="00C763C9"/>
    <w:rsid w:val="00C76F9A"/>
    <w:rsid w:val="00C77421"/>
    <w:rsid w:val="00C77700"/>
    <w:rsid w:val="00C77E2B"/>
    <w:rsid w:val="00C80057"/>
    <w:rsid w:val="00C802EC"/>
    <w:rsid w:val="00C825E4"/>
    <w:rsid w:val="00C82C25"/>
    <w:rsid w:val="00C82C79"/>
    <w:rsid w:val="00C82FD7"/>
    <w:rsid w:val="00C830ED"/>
    <w:rsid w:val="00C84581"/>
    <w:rsid w:val="00C84753"/>
    <w:rsid w:val="00C8630C"/>
    <w:rsid w:val="00C87C2E"/>
    <w:rsid w:val="00C87C60"/>
    <w:rsid w:val="00C91012"/>
    <w:rsid w:val="00C91611"/>
    <w:rsid w:val="00C9223B"/>
    <w:rsid w:val="00C9439D"/>
    <w:rsid w:val="00C94A50"/>
    <w:rsid w:val="00C951D7"/>
    <w:rsid w:val="00C95AED"/>
    <w:rsid w:val="00CA1719"/>
    <w:rsid w:val="00CA1B88"/>
    <w:rsid w:val="00CA3585"/>
    <w:rsid w:val="00CA3809"/>
    <w:rsid w:val="00CA3A65"/>
    <w:rsid w:val="00CA3D5A"/>
    <w:rsid w:val="00CA410E"/>
    <w:rsid w:val="00CA4C7C"/>
    <w:rsid w:val="00CA5928"/>
    <w:rsid w:val="00CA5B39"/>
    <w:rsid w:val="00CB0183"/>
    <w:rsid w:val="00CB1EA3"/>
    <w:rsid w:val="00CB2BD4"/>
    <w:rsid w:val="00CB31BC"/>
    <w:rsid w:val="00CB3314"/>
    <w:rsid w:val="00CB4B78"/>
    <w:rsid w:val="00CB552C"/>
    <w:rsid w:val="00CB5A51"/>
    <w:rsid w:val="00CB5FB0"/>
    <w:rsid w:val="00CB6A9E"/>
    <w:rsid w:val="00CB6F5F"/>
    <w:rsid w:val="00CB732D"/>
    <w:rsid w:val="00CB7E38"/>
    <w:rsid w:val="00CB7EB7"/>
    <w:rsid w:val="00CC0D26"/>
    <w:rsid w:val="00CC1539"/>
    <w:rsid w:val="00CC18BE"/>
    <w:rsid w:val="00CC1D24"/>
    <w:rsid w:val="00CC3B1A"/>
    <w:rsid w:val="00CC3B87"/>
    <w:rsid w:val="00CC52FD"/>
    <w:rsid w:val="00CC6181"/>
    <w:rsid w:val="00CC64EC"/>
    <w:rsid w:val="00CC6D4B"/>
    <w:rsid w:val="00CC71AE"/>
    <w:rsid w:val="00CC72B7"/>
    <w:rsid w:val="00CC7ECE"/>
    <w:rsid w:val="00CD06B8"/>
    <w:rsid w:val="00CD0E0E"/>
    <w:rsid w:val="00CD2BCD"/>
    <w:rsid w:val="00CD33A6"/>
    <w:rsid w:val="00CD36AA"/>
    <w:rsid w:val="00CD3791"/>
    <w:rsid w:val="00CD37F0"/>
    <w:rsid w:val="00CD3BEF"/>
    <w:rsid w:val="00CD4DDF"/>
    <w:rsid w:val="00CD4F37"/>
    <w:rsid w:val="00CD638B"/>
    <w:rsid w:val="00CD65B0"/>
    <w:rsid w:val="00CD6EAC"/>
    <w:rsid w:val="00CD765B"/>
    <w:rsid w:val="00CD7AAE"/>
    <w:rsid w:val="00CE02CD"/>
    <w:rsid w:val="00CE10E9"/>
    <w:rsid w:val="00CE1C24"/>
    <w:rsid w:val="00CE1C75"/>
    <w:rsid w:val="00CE2493"/>
    <w:rsid w:val="00CE3222"/>
    <w:rsid w:val="00CE7FC3"/>
    <w:rsid w:val="00CF221B"/>
    <w:rsid w:val="00CF4965"/>
    <w:rsid w:val="00CF7977"/>
    <w:rsid w:val="00D00327"/>
    <w:rsid w:val="00D003D0"/>
    <w:rsid w:val="00D0072E"/>
    <w:rsid w:val="00D01289"/>
    <w:rsid w:val="00D02E2F"/>
    <w:rsid w:val="00D03A38"/>
    <w:rsid w:val="00D0408C"/>
    <w:rsid w:val="00D06092"/>
    <w:rsid w:val="00D106DA"/>
    <w:rsid w:val="00D10930"/>
    <w:rsid w:val="00D127B2"/>
    <w:rsid w:val="00D12EF7"/>
    <w:rsid w:val="00D1373A"/>
    <w:rsid w:val="00D13EAD"/>
    <w:rsid w:val="00D14130"/>
    <w:rsid w:val="00D15310"/>
    <w:rsid w:val="00D15727"/>
    <w:rsid w:val="00D15FAF"/>
    <w:rsid w:val="00D16332"/>
    <w:rsid w:val="00D165ED"/>
    <w:rsid w:val="00D17349"/>
    <w:rsid w:val="00D17FEC"/>
    <w:rsid w:val="00D20EE1"/>
    <w:rsid w:val="00D214E0"/>
    <w:rsid w:val="00D21571"/>
    <w:rsid w:val="00D2247A"/>
    <w:rsid w:val="00D225EF"/>
    <w:rsid w:val="00D22706"/>
    <w:rsid w:val="00D23D19"/>
    <w:rsid w:val="00D24972"/>
    <w:rsid w:val="00D2515E"/>
    <w:rsid w:val="00D2680E"/>
    <w:rsid w:val="00D269BD"/>
    <w:rsid w:val="00D307B9"/>
    <w:rsid w:val="00D308ED"/>
    <w:rsid w:val="00D31B76"/>
    <w:rsid w:val="00D325A6"/>
    <w:rsid w:val="00D32F02"/>
    <w:rsid w:val="00D33F48"/>
    <w:rsid w:val="00D35003"/>
    <w:rsid w:val="00D377EB"/>
    <w:rsid w:val="00D37988"/>
    <w:rsid w:val="00D41C0D"/>
    <w:rsid w:val="00D42B67"/>
    <w:rsid w:val="00D4489A"/>
    <w:rsid w:val="00D45165"/>
    <w:rsid w:val="00D459B2"/>
    <w:rsid w:val="00D459FC"/>
    <w:rsid w:val="00D45A20"/>
    <w:rsid w:val="00D4612E"/>
    <w:rsid w:val="00D46559"/>
    <w:rsid w:val="00D465FF"/>
    <w:rsid w:val="00D4738A"/>
    <w:rsid w:val="00D4754D"/>
    <w:rsid w:val="00D47741"/>
    <w:rsid w:val="00D50E82"/>
    <w:rsid w:val="00D51BFA"/>
    <w:rsid w:val="00D52865"/>
    <w:rsid w:val="00D54343"/>
    <w:rsid w:val="00D54443"/>
    <w:rsid w:val="00D54C15"/>
    <w:rsid w:val="00D552FD"/>
    <w:rsid w:val="00D55422"/>
    <w:rsid w:val="00D55BE6"/>
    <w:rsid w:val="00D56178"/>
    <w:rsid w:val="00D5667D"/>
    <w:rsid w:val="00D56CF0"/>
    <w:rsid w:val="00D56F5C"/>
    <w:rsid w:val="00D622BC"/>
    <w:rsid w:val="00D63ADF"/>
    <w:rsid w:val="00D64E43"/>
    <w:rsid w:val="00D64EA1"/>
    <w:rsid w:val="00D65901"/>
    <w:rsid w:val="00D65D19"/>
    <w:rsid w:val="00D66222"/>
    <w:rsid w:val="00D66B98"/>
    <w:rsid w:val="00D67008"/>
    <w:rsid w:val="00D70117"/>
    <w:rsid w:val="00D704B1"/>
    <w:rsid w:val="00D709FE"/>
    <w:rsid w:val="00D70B63"/>
    <w:rsid w:val="00D72A6A"/>
    <w:rsid w:val="00D72B92"/>
    <w:rsid w:val="00D72ED4"/>
    <w:rsid w:val="00D7327D"/>
    <w:rsid w:val="00D73F61"/>
    <w:rsid w:val="00D74860"/>
    <w:rsid w:val="00D7504A"/>
    <w:rsid w:val="00D75421"/>
    <w:rsid w:val="00D754C0"/>
    <w:rsid w:val="00D75B2E"/>
    <w:rsid w:val="00D75E35"/>
    <w:rsid w:val="00D761A5"/>
    <w:rsid w:val="00D76646"/>
    <w:rsid w:val="00D776A2"/>
    <w:rsid w:val="00D801C4"/>
    <w:rsid w:val="00D80240"/>
    <w:rsid w:val="00D80AB4"/>
    <w:rsid w:val="00D81A38"/>
    <w:rsid w:val="00D81E87"/>
    <w:rsid w:val="00D81F02"/>
    <w:rsid w:val="00D82D8E"/>
    <w:rsid w:val="00D8386B"/>
    <w:rsid w:val="00D84FF0"/>
    <w:rsid w:val="00D851E7"/>
    <w:rsid w:val="00D8557B"/>
    <w:rsid w:val="00D90836"/>
    <w:rsid w:val="00D91D0A"/>
    <w:rsid w:val="00D92C9C"/>
    <w:rsid w:val="00D92D05"/>
    <w:rsid w:val="00D9376F"/>
    <w:rsid w:val="00D954F4"/>
    <w:rsid w:val="00D95896"/>
    <w:rsid w:val="00D95CC6"/>
    <w:rsid w:val="00D960CE"/>
    <w:rsid w:val="00D97BBC"/>
    <w:rsid w:val="00DA0233"/>
    <w:rsid w:val="00DA0B89"/>
    <w:rsid w:val="00DA1F10"/>
    <w:rsid w:val="00DA20B8"/>
    <w:rsid w:val="00DA20BC"/>
    <w:rsid w:val="00DA2244"/>
    <w:rsid w:val="00DA2990"/>
    <w:rsid w:val="00DA29EC"/>
    <w:rsid w:val="00DA2CB8"/>
    <w:rsid w:val="00DA2DA3"/>
    <w:rsid w:val="00DA428D"/>
    <w:rsid w:val="00DA5F7A"/>
    <w:rsid w:val="00DA6615"/>
    <w:rsid w:val="00DA76AE"/>
    <w:rsid w:val="00DA7B41"/>
    <w:rsid w:val="00DB0252"/>
    <w:rsid w:val="00DB1257"/>
    <w:rsid w:val="00DB162F"/>
    <w:rsid w:val="00DB181E"/>
    <w:rsid w:val="00DB1C7A"/>
    <w:rsid w:val="00DB207D"/>
    <w:rsid w:val="00DB2983"/>
    <w:rsid w:val="00DB2A8B"/>
    <w:rsid w:val="00DB343D"/>
    <w:rsid w:val="00DB3494"/>
    <w:rsid w:val="00DB4098"/>
    <w:rsid w:val="00DB41B6"/>
    <w:rsid w:val="00DB4D9D"/>
    <w:rsid w:val="00DB5579"/>
    <w:rsid w:val="00DB57D1"/>
    <w:rsid w:val="00DB5CFE"/>
    <w:rsid w:val="00DB63B8"/>
    <w:rsid w:val="00DC06DB"/>
    <w:rsid w:val="00DC1356"/>
    <w:rsid w:val="00DC163D"/>
    <w:rsid w:val="00DC6022"/>
    <w:rsid w:val="00DC63F9"/>
    <w:rsid w:val="00DC72A6"/>
    <w:rsid w:val="00DD0321"/>
    <w:rsid w:val="00DD03D0"/>
    <w:rsid w:val="00DD14C2"/>
    <w:rsid w:val="00DD1527"/>
    <w:rsid w:val="00DD1E28"/>
    <w:rsid w:val="00DD2113"/>
    <w:rsid w:val="00DD265E"/>
    <w:rsid w:val="00DD26FA"/>
    <w:rsid w:val="00DD297B"/>
    <w:rsid w:val="00DD3708"/>
    <w:rsid w:val="00DD3B75"/>
    <w:rsid w:val="00DD3DF8"/>
    <w:rsid w:val="00DD59B3"/>
    <w:rsid w:val="00DD5D70"/>
    <w:rsid w:val="00DD6514"/>
    <w:rsid w:val="00DD6A41"/>
    <w:rsid w:val="00DD6B6F"/>
    <w:rsid w:val="00DE0C8E"/>
    <w:rsid w:val="00DE0D63"/>
    <w:rsid w:val="00DE1313"/>
    <w:rsid w:val="00DE1DBD"/>
    <w:rsid w:val="00DE2202"/>
    <w:rsid w:val="00DE231D"/>
    <w:rsid w:val="00DE3D77"/>
    <w:rsid w:val="00DE602E"/>
    <w:rsid w:val="00DE67FA"/>
    <w:rsid w:val="00DF1930"/>
    <w:rsid w:val="00DF1ED1"/>
    <w:rsid w:val="00DF37C6"/>
    <w:rsid w:val="00DF514A"/>
    <w:rsid w:val="00DF6625"/>
    <w:rsid w:val="00E00637"/>
    <w:rsid w:val="00E0142A"/>
    <w:rsid w:val="00E016CF"/>
    <w:rsid w:val="00E018F2"/>
    <w:rsid w:val="00E02765"/>
    <w:rsid w:val="00E0358D"/>
    <w:rsid w:val="00E036E3"/>
    <w:rsid w:val="00E036F5"/>
    <w:rsid w:val="00E0429B"/>
    <w:rsid w:val="00E052DC"/>
    <w:rsid w:val="00E06283"/>
    <w:rsid w:val="00E06327"/>
    <w:rsid w:val="00E06AAA"/>
    <w:rsid w:val="00E06E2B"/>
    <w:rsid w:val="00E073DE"/>
    <w:rsid w:val="00E100E6"/>
    <w:rsid w:val="00E10FF8"/>
    <w:rsid w:val="00E11408"/>
    <w:rsid w:val="00E11B20"/>
    <w:rsid w:val="00E12417"/>
    <w:rsid w:val="00E125BD"/>
    <w:rsid w:val="00E13FEA"/>
    <w:rsid w:val="00E14266"/>
    <w:rsid w:val="00E14293"/>
    <w:rsid w:val="00E1497E"/>
    <w:rsid w:val="00E14B66"/>
    <w:rsid w:val="00E1504D"/>
    <w:rsid w:val="00E1650D"/>
    <w:rsid w:val="00E2064B"/>
    <w:rsid w:val="00E212AB"/>
    <w:rsid w:val="00E2194F"/>
    <w:rsid w:val="00E2281E"/>
    <w:rsid w:val="00E231C4"/>
    <w:rsid w:val="00E232FD"/>
    <w:rsid w:val="00E2379A"/>
    <w:rsid w:val="00E2406B"/>
    <w:rsid w:val="00E245C4"/>
    <w:rsid w:val="00E25239"/>
    <w:rsid w:val="00E259CF"/>
    <w:rsid w:val="00E265B1"/>
    <w:rsid w:val="00E2745C"/>
    <w:rsid w:val="00E275B0"/>
    <w:rsid w:val="00E30E47"/>
    <w:rsid w:val="00E311F7"/>
    <w:rsid w:val="00E34D89"/>
    <w:rsid w:val="00E35603"/>
    <w:rsid w:val="00E37B6A"/>
    <w:rsid w:val="00E37DBC"/>
    <w:rsid w:val="00E40120"/>
    <w:rsid w:val="00E412D0"/>
    <w:rsid w:val="00E41FAF"/>
    <w:rsid w:val="00E4269C"/>
    <w:rsid w:val="00E43FE4"/>
    <w:rsid w:val="00E44374"/>
    <w:rsid w:val="00E44C12"/>
    <w:rsid w:val="00E4518F"/>
    <w:rsid w:val="00E45A72"/>
    <w:rsid w:val="00E46BE0"/>
    <w:rsid w:val="00E47010"/>
    <w:rsid w:val="00E47206"/>
    <w:rsid w:val="00E47B6A"/>
    <w:rsid w:val="00E47CDB"/>
    <w:rsid w:val="00E52028"/>
    <w:rsid w:val="00E52605"/>
    <w:rsid w:val="00E52777"/>
    <w:rsid w:val="00E53F05"/>
    <w:rsid w:val="00E54421"/>
    <w:rsid w:val="00E550B0"/>
    <w:rsid w:val="00E5513B"/>
    <w:rsid w:val="00E55618"/>
    <w:rsid w:val="00E55E36"/>
    <w:rsid w:val="00E566BC"/>
    <w:rsid w:val="00E567C6"/>
    <w:rsid w:val="00E60982"/>
    <w:rsid w:val="00E60C8D"/>
    <w:rsid w:val="00E6162F"/>
    <w:rsid w:val="00E61CE3"/>
    <w:rsid w:val="00E6265F"/>
    <w:rsid w:val="00E6311B"/>
    <w:rsid w:val="00E63163"/>
    <w:rsid w:val="00E64394"/>
    <w:rsid w:val="00E6586E"/>
    <w:rsid w:val="00E65D97"/>
    <w:rsid w:val="00E662AE"/>
    <w:rsid w:val="00E6636C"/>
    <w:rsid w:val="00E67EFD"/>
    <w:rsid w:val="00E70291"/>
    <w:rsid w:val="00E702DC"/>
    <w:rsid w:val="00E71831"/>
    <w:rsid w:val="00E71FFB"/>
    <w:rsid w:val="00E742EE"/>
    <w:rsid w:val="00E7545C"/>
    <w:rsid w:val="00E760F7"/>
    <w:rsid w:val="00E763BD"/>
    <w:rsid w:val="00E76453"/>
    <w:rsid w:val="00E76D1D"/>
    <w:rsid w:val="00E77511"/>
    <w:rsid w:val="00E806F8"/>
    <w:rsid w:val="00E8147C"/>
    <w:rsid w:val="00E83810"/>
    <w:rsid w:val="00E83F10"/>
    <w:rsid w:val="00E8464A"/>
    <w:rsid w:val="00E85068"/>
    <w:rsid w:val="00E85AB4"/>
    <w:rsid w:val="00E874C3"/>
    <w:rsid w:val="00E87752"/>
    <w:rsid w:val="00E87802"/>
    <w:rsid w:val="00E8793B"/>
    <w:rsid w:val="00E90823"/>
    <w:rsid w:val="00E90F81"/>
    <w:rsid w:val="00E91971"/>
    <w:rsid w:val="00E91A6D"/>
    <w:rsid w:val="00E91DBE"/>
    <w:rsid w:val="00E9242D"/>
    <w:rsid w:val="00E93344"/>
    <w:rsid w:val="00E94898"/>
    <w:rsid w:val="00E94AD1"/>
    <w:rsid w:val="00E956C8"/>
    <w:rsid w:val="00E960AC"/>
    <w:rsid w:val="00E9621E"/>
    <w:rsid w:val="00E96DB2"/>
    <w:rsid w:val="00E97211"/>
    <w:rsid w:val="00E97A91"/>
    <w:rsid w:val="00E97DFA"/>
    <w:rsid w:val="00EA07E3"/>
    <w:rsid w:val="00EA239E"/>
    <w:rsid w:val="00EA3535"/>
    <w:rsid w:val="00EA4126"/>
    <w:rsid w:val="00EA656F"/>
    <w:rsid w:val="00EB041C"/>
    <w:rsid w:val="00EB143B"/>
    <w:rsid w:val="00EB24E7"/>
    <w:rsid w:val="00EB2909"/>
    <w:rsid w:val="00EB358D"/>
    <w:rsid w:val="00EB3B58"/>
    <w:rsid w:val="00EB65EB"/>
    <w:rsid w:val="00EB7641"/>
    <w:rsid w:val="00EC0BB0"/>
    <w:rsid w:val="00EC2A7F"/>
    <w:rsid w:val="00EC2BE6"/>
    <w:rsid w:val="00EC3816"/>
    <w:rsid w:val="00EC3DCA"/>
    <w:rsid w:val="00EC5874"/>
    <w:rsid w:val="00EC5A5F"/>
    <w:rsid w:val="00ED14E1"/>
    <w:rsid w:val="00ED192D"/>
    <w:rsid w:val="00ED1EF3"/>
    <w:rsid w:val="00ED2764"/>
    <w:rsid w:val="00ED30B4"/>
    <w:rsid w:val="00ED31F5"/>
    <w:rsid w:val="00ED3BB1"/>
    <w:rsid w:val="00ED400C"/>
    <w:rsid w:val="00ED4BF1"/>
    <w:rsid w:val="00ED5457"/>
    <w:rsid w:val="00ED5647"/>
    <w:rsid w:val="00ED7A6B"/>
    <w:rsid w:val="00EE1029"/>
    <w:rsid w:val="00EE1081"/>
    <w:rsid w:val="00EE1D3B"/>
    <w:rsid w:val="00EE43FA"/>
    <w:rsid w:val="00EE498E"/>
    <w:rsid w:val="00EE5433"/>
    <w:rsid w:val="00EE6B13"/>
    <w:rsid w:val="00EE76F7"/>
    <w:rsid w:val="00EF1184"/>
    <w:rsid w:val="00EF2759"/>
    <w:rsid w:val="00EF2785"/>
    <w:rsid w:val="00EF45EB"/>
    <w:rsid w:val="00EF4F43"/>
    <w:rsid w:val="00EF5099"/>
    <w:rsid w:val="00EF5E33"/>
    <w:rsid w:val="00EF66F8"/>
    <w:rsid w:val="00EF6781"/>
    <w:rsid w:val="00EF6E1D"/>
    <w:rsid w:val="00EF768F"/>
    <w:rsid w:val="00F00075"/>
    <w:rsid w:val="00F00D1B"/>
    <w:rsid w:val="00F01209"/>
    <w:rsid w:val="00F01DED"/>
    <w:rsid w:val="00F0231C"/>
    <w:rsid w:val="00F038A1"/>
    <w:rsid w:val="00F043DD"/>
    <w:rsid w:val="00F0522E"/>
    <w:rsid w:val="00F06778"/>
    <w:rsid w:val="00F07822"/>
    <w:rsid w:val="00F1039B"/>
    <w:rsid w:val="00F10783"/>
    <w:rsid w:val="00F11DF8"/>
    <w:rsid w:val="00F11E18"/>
    <w:rsid w:val="00F14379"/>
    <w:rsid w:val="00F15C95"/>
    <w:rsid w:val="00F15D17"/>
    <w:rsid w:val="00F15F2E"/>
    <w:rsid w:val="00F1661E"/>
    <w:rsid w:val="00F21E7F"/>
    <w:rsid w:val="00F225D8"/>
    <w:rsid w:val="00F22985"/>
    <w:rsid w:val="00F23046"/>
    <w:rsid w:val="00F241AB"/>
    <w:rsid w:val="00F25798"/>
    <w:rsid w:val="00F26D9B"/>
    <w:rsid w:val="00F3007C"/>
    <w:rsid w:val="00F30910"/>
    <w:rsid w:val="00F31382"/>
    <w:rsid w:val="00F32B38"/>
    <w:rsid w:val="00F33905"/>
    <w:rsid w:val="00F354F2"/>
    <w:rsid w:val="00F35829"/>
    <w:rsid w:val="00F36FA4"/>
    <w:rsid w:val="00F4198D"/>
    <w:rsid w:val="00F420EE"/>
    <w:rsid w:val="00F42868"/>
    <w:rsid w:val="00F43007"/>
    <w:rsid w:val="00F435D1"/>
    <w:rsid w:val="00F43D81"/>
    <w:rsid w:val="00F4403E"/>
    <w:rsid w:val="00F44344"/>
    <w:rsid w:val="00F465A7"/>
    <w:rsid w:val="00F474EE"/>
    <w:rsid w:val="00F47E98"/>
    <w:rsid w:val="00F504EB"/>
    <w:rsid w:val="00F50B7C"/>
    <w:rsid w:val="00F5202D"/>
    <w:rsid w:val="00F5225D"/>
    <w:rsid w:val="00F52CF6"/>
    <w:rsid w:val="00F53B1B"/>
    <w:rsid w:val="00F53CBB"/>
    <w:rsid w:val="00F54496"/>
    <w:rsid w:val="00F5494C"/>
    <w:rsid w:val="00F561B5"/>
    <w:rsid w:val="00F56F8E"/>
    <w:rsid w:val="00F57544"/>
    <w:rsid w:val="00F60D41"/>
    <w:rsid w:val="00F61097"/>
    <w:rsid w:val="00F62512"/>
    <w:rsid w:val="00F63ECC"/>
    <w:rsid w:val="00F647EC"/>
    <w:rsid w:val="00F648ED"/>
    <w:rsid w:val="00F6504C"/>
    <w:rsid w:val="00F656FB"/>
    <w:rsid w:val="00F67BAC"/>
    <w:rsid w:val="00F70AD2"/>
    <w:rsid w:val="00F71A71"/>
    <w:rsid w:val="00F71E5D"/>
    <w:rsid w:val="00F73AF0"/>
    <w:rsid w:val="00F74345"/>
    <w:rsid w:val="00F74441"/>
    <w:rsid w:val="00F74E83"/>
    <w:rsid w:val="00F764BE"/>
    <w:rsid w:val="00F76CDC"/>
    <w:rsid w:val="00F76CEC"/>
    <w:rsid w:val="00F76DA9"/>
    <w:rsid w:val="00F77F30"/>
    <w:rsid w:val="00F8074D"/>
    <w:rsid w:val="00F811E9"/>
    <w:rsid w:val="00F815AB"/>
    <w:rsid w:val="00F81823"/>
    <w:rsid w:val="00F81C49"/>
    <w:rsid w:val="00F82589"/>
    <w:rsid w:val="00F827E5"/>
    <w:rsid w:val="00F8286D"/>
    <w:rsid w:val="00F82B19"/>
    <w:rsid w:val="00F82DA3"/>
    <w:rsid w:val="00F8536D"/>
    <w:rsid w:val="00F853EC"/>
    <w:rsid w:val="00F866FB"/>
    <w:rsid w:val="00F870E7"/>
    <w:rsid w:val="00F90161"/>
    <w:rsid w:val="00F90AA7"/>
    <w:rsid w:val="00F91085"/>
    <w:rsid w:val="00F9212D"/>
    <w:rsid w:val="00F92465"/>
    <w:rsid w:val="00F932B7"/>
    <w:rsid w:val="00F9461D"/>
    <w:rsid w:val="00F9662F"/>
    <w:rsid w:val="00F96AAC"/>
    <w:rsid w:val="00F96F98"/>
    <w:rsid w:val="00F975C4"/>
    <w:rsid w:val="00FA1C50"/>
    <w:rsid w:val="00FA301A"/>
    <w:rsid w:val="00FA406A"/>
    <w:rsid w:val="00FA5CB6"/>
    <w:rsid w:val="00FB0DB5"/>
    <w:rsid w:val="00FB12B0"/>
    <w:rsid w:val="00FB12C5"/>
    <w:rsid w:val="00FB2438"/>
    <w:rsid w:val="00FB2504"/>
    <w:rsid w:val="00FB3064"/>
    <w:rsid w:val="00FB4C97"/>
    <w:rsid w:val="00FB5E4B"/>
    <w:rsid w:val="00FC0C38"/>
    <w:rsid w:val="00FC1897"/>
    <w:rsid w:val="00FC2937"/>
    <w:rsid w:val="00FC2C76"/>
    <w:rsid w:val="00FC3446"/>
    <w:rsid w:val="00FC3C8D"/>
    <w:rsid w:val="00FC542C"/>
    <w:rsid w:val="00FC5CED"/>
    <w:rsid w:val="00FC6633"/>
    <w:rsid w:val="00FC66AC"/>
    <w:rsid w:val="00FC78AD"/>
    <w:rsid w:val="00FD18F4"/>
    <w:rsid w:val="00FD1A2A"/>
    <w:rsid w:val="00FD33C7"/>
    <w:rsid w:val="00FD34E9"/>
    <w:rsid w:val="00FD3C40"/>
    <w:rsid w:val="00FD3FB5"/>
    <w:rsid w:val="00FD4AC0"/>
    <w:rsid w:val="00FD4CF5"/>
    <w:rsid w:val="00FD592E"/>
    <w:rsid w:val="00FD5C83"/>
    <w:rsid w:val="00FD609B"/>
    <w:rsid w:val="00FD74B4"/>
    <w:rsid w:val="00FE0AC6"/>
    <w:rsid w:val="00FE3622"/>
    <w:rsid w:val="00FE4AA9"/>
    <w:rsid w:val="00FE5130"/>
    <w:rsid w:val="00FF0DB5"/>
    <w:rsid w:val="00FF477D"/>
    <w:rsid w:val="00FF4A8A"/>
    <w:rsid w:val="00FF6FCE"/>
    <w:rsid w:val="00FF7518"/>
    <w:rsid w:val="00FF7D3D"/>
    <w:rsid w:val="00FF7FD8"/>
    <w:rsid w:val="016C58A7"/>
    <w:rsid w:val="01BD2D8E"/>
    <w:rsid w:val="02CB3FCC"/>
    <w:rsid w:val="033E2358"/>
    <w:rsid w:val="035E6FA6"/>
    <w:rsid w:val="037003B2"/>
    <w:rsid w:val="03E03FC4"/>
    <w:rsid w:val="03FD5018"/>
    <w:rsid w:val="04167F2D"/>
    <w:rsid w:val="04295F9B"/>
    <w:rsid w:val="047A6918"/>
    <w:rsid w:val="05742AC8"/>
    <w:rsid w:val="06352F05"/>
    <w:rsid w:val="063E7D85"/>
    <w:rsid w:val="06BB30B7"/>
    <w:rsid w:val="070875E0"/>
    <w:rsid w:val="07293586"/>
    <w:rsid w:val="07295285"/>
    <w:rsid w:val="07727FD6"/>
    <w:rsid w:val="07770C56"/>
    <w:rsid w:val="07A85981"/>
    <w:rsid w:val="07D83973"/>
    <w:rsid w:val="08291002"/>
    <w:rsid w:val="087F5054"/>
    <w:rsid w:val="089F4936"/>
    <w:rsid w:val="08D2695D"/>
    <w:rsid w:val="0900156C"/>
    <w:rsid w:val="092217DD"/>
    <w:rsid w:val="093A7294"/>
    <w:rsid w:val="09ED5DC5"/>
    <w:rsid w:val="0A17497A"/>
    <w:rsid w:val="0A8C2F33"/>
    <w:rsid w:val="0AC229C7"/>
    <w:rsid w:val="0BD27BF6"/>
    <w:rsid w:val="0CE90DA3"/>
    <w:rsid w:val="0CEE7F6A"/>
    <w:rsid w:val="0D1531E8"/>
    <w:rsid w:val="0E110D06"/>
    <w:rsid w:val="0E47362E"/>
    <w:rsid w:val="0E57276D"/>
    <w:rsid w:val="0EB62480"/>
    <w:rsid w:val="0F13775A"/>
    <w:rsid w:val="0F466A9D"/>
    <w:rsid w:val="0F9A112B"/>
    <w:rsid w:val="0FDF2210"/>
    <w:rsid w:val="0FE7165D"/>
    <w:rsid w:val="102F0C5A"/>
    <w:rsid w:val="106D2F64"/>
    <w:rsid w:val="109460A5"/>
    <w:rsid w:val="10B63710"/>
    <w:rsid w:val="10E76115"/>
    <w:rsid w:val="10FD5001"/>
    <w:rsid w:val="111C2F7A"/>
    <w:rsid w:val="113013DE"/>
    <w:rsid w:val="113C7F55"/>
    <w:rsid w:val="11F9392E"/>
    <w:rsid w:val="11FE7E6C"/>
    <w:rsid w:val="120F0980"/>
    <w:rsid w:val="122B06C2"/>
    <w:rsid w:val="136D4B7D"/>
    <w:rsid w:val="13951726"/>
    <w:rsid w:val="13F52475"/>
    <w:rsid w:val="14090E8A"/>
    <w:rsid w:val="14396509"/>
    <w:rsid w:val="1447165C"/>
    <w:rsid w:val="14770ED7"/>
    <w:rsid w:val="14B618BC"/>
    <w:rsid w:val="14D47916"/>
    <w:rsid w:val="14EB22AE"/>
    <w:rsid w:val="159D2375"/>
    <w:rsid w:val="174A2B48"/>
    <w:rsid w:val="17735226"/>
    <w:rsid w:val="178F37EF"/>
    <w:rsid w:val="17DD6C03"/>
    <w:rsid w:val="182D09B4"/>
    <w:rsid w:val="186E7023"/>
    <w:rsid w:val="188820EB"/>
    <w:rsid w:val="189F36BD"/>
    <w:rsid w:val="18EC56F3"/>
    <w:rsid w:val="18F43EED"/>
    <w:rsid w:val="1A1C66C0"/>
    <w:rsid w:val="1A42393B"/>
    <w:rsid w:val="1AC2061C"/>
    <w:rsid w:val="1B046F80"/>
    <w:rsid w:val="1B0A178C"/>
    <w:rsid w:val="1B3267B5"/>
    <w:rsid w:val="1BC25DC8"/>
    <w:rsid w:val="1BE10D9D"/>
    <w:rsid w:val="1C1C74B2"/>
    <w:rsid w:val="1C5E7925"/>
    <w:rsid w:val="1C887FC8"/>
    <w:rsid w:val="1CFB47E0"/>
    <w:rsid w:val="1D017F47"/>
    <w:rsid w:val="1D5F6196"/>
    <w:rsid w:val="1D6132A5"/>
    <w:rsid w:val="1D8E56D5"/>
    <w:rsid w:val="1DBD04DA"/>
    <w:rsid w:val="1E1E39F6"/>
    <w:rsid w:val="1E261B55"/>
    <w:rsid w:val="1E7A43DA"/>
    <w:rsid w:val="1EAA00C4"/>
    <w:rsid w:val="1EB277FE"/>
    <w:rsid w:val="1ED20205"/>
    <w:rsid w:val="1F185EBD"/>
    <w:rsid w:val="1F6903CB"/>
    <w:rsid w:val="1F695351"/>
    <w:rsid w:val="1FD14903"/>
    <w:rsid w:val="1FE7539E"/>
    <w:rsid w:val="20963CB8"/>
    <w:rsid w:val="20A77DFF"/>
    <w:rsid w:val="20B07FB6"/>
    <w:rsid w:val="20EF6AB1"/>
    <w:rsid w:val="20F967EA"/>
    <w:rsid w:val="213B74B1"/>
    <w:rsid w:val="215A2310"/>
    <w:rsid w:val="21BD10FA"/>
    <w:rsid w:val="21DE318A"/>
    <w:rsid w:val="21EF5B80"/>
    <w:rsid w:val="220F2DD2"/>
    <w:rsid w:val="22576990"/>
    <w:rsid w:val="227F6D2B"/>
    <w:rsid w:val="228A571F"/>
    <w:rsid w:val="229C4EAB"/>
    <w:rsid w:val="22AA3538"/>
    <w:rsid w:val="23256CB7"/>
    <w:rsid w:val="23AD5F88"/>
    <w:rsid w:val="23CB7EF9"/>
    <w:rsid w:val="2412672A"/>
    <w:rsid w:val="24137ABA"/>
    <w:rsid w:val="24440AF7"/>
    <w:rsid w:val="244D39F0"/>
    <w:rsid w:val="252D53FE"/>
    <w:rsid w:val="25C81111"/>
    <w:rsid w:val="25EC2D81"/>
    <w:rsid w:val="25F14B7B"/>
    <w:rsid w:val="264528BD"/>
    <w:rsid w:val="26C06299"/>
    <w:rsid w:val="27D15DD1"/>
    <w:rsid w:val="28236790"/>
    <w:rsid w:val="28365928"/>
    <w:rsid w:val="28A76295"/>
    <w:rsid w:val="29206EB8"/>
    <w:rsid w:val="29357A83"/>
    <w:rsid w:val="29AC36EE"/>
    <w:rsid w:val="29E325E0"/>
    <w:rsid w:val="29ED1E63"/>
    <w:rsid w:val="29FE44E7"/>
    <w:rsid w:val="2A452503"/>
    <w:rsid w:val="2B8D320E"/>
    <w:rsid w:val="2B9F3F51"/>
    <w:rsid w:val="2BA936A8"/>
    <w:rsid w:val="2C315A5A"/>
    <w:rsid w:val="2CBA03F2"/>
    <w:rsid w:val="2D540E2C"/>
    <w:rsid w:val="2D580BA0"/>
    <w:rsid w:val="2D9D5428"/>
    <w:rsid w:val="2D9E56F5"/>
    <w:rsid w:val="2DB94F6D"/>
    <w:rsid w:val="2DBE000D"/>
    <w:rsid w:val="2DF12319"/>
    <w:rsid w:val="2E667F96"/>
    <w:rsid w:val="2E7A0C30"/>
    <w:rsid w:val="2E8226AB"/>
    <w:rsid w:val="2EA7010F"/>
    <w:rsid w:val="2EBB6621"/>
    <w:rsid w:val="2EED5808"/>
    <w:rsid w:val="2F4306E5"/>
    <w:rsid w:val="2F492943"/>
    <w:rsid w:val="2F832C79"/>
    <w:rsid w:val="2F84580A"/>
    <w:rsid w:val="2F852301"/>
    <w:rsid w:val="2FBC513F"/>
    <w:rsid w:val="2FEE43F2"/>
    <w:rsid w:val="2FEF2D58"/>
    <w:rsid w:val="30580BC9"/>
    <w:rsid w:val="3068035B"/>
    <w:rsid w:val="308E4484"/>
    <w:rsid w:val="311E2ED7"/>
    <w:rsid w:val="315C449C"/>
    <w:rsid w:val="3165707A"/>
    <w:rsid w:val="31B82709"/>
    <w:rsid w:val="32046628"/>
    <w:rsid w:val="32400B34"/>
    <w:rsid w:val="329E6876"/>
    <w:rsid w:val="329F4EDB"/>
    <w:rsid w:val="335412E5"/>
    <w:rsid w:val="33C878ED"/>
    <w:rsid w:val="33D934D4"/>
    <w:rsid w:val="33FE2F6A"/>
    <w:rsid w:val="34B9662A"/>
    <w:rsid w:val="34DF3206"/>
    <w:rsid w:val="35B32FEA"/>
    <w:rsid w:val="35C07A3B"/>
    <w:rsid w:val="35FF410C"/>
    <w:rsid w:val="36074A7F"/>
    <w:rsid w:val="36923549"/>
    <w:rsid w:val="36B47233"/>
    <w:rsid w:val="36B75FBF"/>
    <w:rsid w:val="36FB4891"/>
    <w:rsid w:val="385A57C6"/>
    <w:rsid w:val="38EC476B"/>
    <w:rsid w:val="38F12CD3"/>
    <w:rsid w:val="38F94775"/>
    <w:rsid w:val="39253398"/>
    <w:rsid w:val="392971ED"/>
    <w:rsid w:val="39415C83"/>
    <w:rsid w:val="394C4818"/>
    <w:rsid w:val="397511E8"/>
    <w:rsid w:val="3987236F"/>
    <w:rsid w:val="39A6062B"/>
    <w:rsid w:val="39F24C0A"/>
    <w:rsid w:val="3A620DD9"/>
    <w:rsid w:val="3A630B62"/>
    <w:rsid w:val="3A9722F7"/>
    <w:rsid w:val="3AB26166"/>
    <w:rsid w:val="3AC40E20"/>
    <w:rsid w:val="3B3763D1"/>
    <w:rsid w:val="3BAB4719"/>
    <w:rsid w:val="3BB12518"/>
    <w:rsid w:val="3BBA760F"/>
    <w:rsid w:val="3CDA245A"/>
    <w:rsid w:val="3CEE0A37"/>
    <w:rsid w:val="3D3E22BC"/>
    <w:rsid w:val="3D4B5047"/>
    <w:rsid w:val="3D803EAC"/>
    <w:rsid w:val="3DEC0025"/>
    <w:rsid w:val="3E650AB9"/>
    <w:rsid w:val="3E7E32EB"/>
    <w:rsid w:val="3E8879CA"/>
    <w:rsid w:val="3F5E6C02"/>
    <w:rsid w:val="3F660E74"/>
    <w:rsid w:val="3FDB4427"/>
    <w:rsid w:val="407A6407"/>
    <w:rsid w:val="40B23B0B"/>
    <w:rsid w:val="41016453"/>
    <w:rsid w:val="414A1D13"/>
    <w:rsid w:val="41C0567F"/>
    <w:rsid w:val="41D32BD9"/>
    <w:rsid w:val="423A3BCC"/>
    <w:rsid w:val="425F2298"/>
    <w:rsid w:val="42A514A1"/>
    <w:rsid w:val="42CE70B2"/>
    <w:rsid w:val="433A6FE6"/>
    <w:rsid w:val="4350713C"/>
    <w:rsid w:val="4357231E"/>
    <w:rsid w:val="436653E0"/>
    <w:rsid w:val="44CD14E0"/>
    <w:rsid w:val="453D3726"/>
    <w:rsid w:val="458946E9"/>
    <w:rsid w:val="458A67FF"/>
    <w:rsid w:val="45B47435"/>
    <w:rsid w:val="4678706D"/>
    <w:rsid w:val="46D955A7"/>
    <w:rsid w:val="47133957"/>
    <w:rsid w:val="4725384C"/>
    <w:rsid w:val="47363475"/>
    <w:rsid w:val="47613FA5"/>
    <w:rsid w:val="4779329E"/>
    <w:rsid w:val="47A07E0C"/>
    <w:rsid w:val="47B800C3"/>
    <w:rsid w:val="47B84039"/>
    <w:rsid w:val="47F913CB"/>
    <w:rsid w:val="48062D7A"/>
    <w:rsid w:val="4870272E"/>
    <w:rsid w:val="49183B9F"/>
    <w:rsid w:val="49390315"/>
    <w:rsid w:val="49BA18BC"/>
    <w:rsid w:val="49CA0350"/>
    <w:rsid w:val="49DC7715"/>
    <w:rsid w:val="4A023139"/>
    <w:rsid w:val="4A726D3B"/>
    <w:rsid w:val="4A7B576F"/>
    <w:rsid w:val="4BA23F8E"/>
    <w:rsid w:val="4BD07893"/>
    <w:rsid w:val="4C4A0649"/>
    <w:rsid w:val="4CE470D3"/>
    <w:rsid w:val="4DE056DD"/>
    <w:rsid w:val="4DEC4FB0"/>
    <w:rsid w:val="4E075D8A"/>
    <w:rsid w:val="4E687349"/>
    <w:rsid w:val="4FC62A8C"/>
    <w:rsid w:val="4FD42F3F"/>
    <w:rsid w:val="4FE20F0D"/>
    <w:rsid w:val="50041387"/>
    <w:rsid w:val="502027CD"/>
    <w:rsid w:val="503C2C04"/>
    <w:rsid w:val="50504C4B"/>
    <w:rsid w:val="508F3C37"/>
    <w:rsid w:val="509C6E7C"/>
    <w:rsid w:val="50A86F44"/>
    <w:rsid w:val="50D654B6"/>
    <w:rsid w:val="51061D56"/>
    <w:rsid w:val="5162104E"/>
    <w:rsid w:val="529B0814"/>
    <w:rsid w:val="529B5672"/>
    <w:rsid w:val="52B94C95"/>
    <w:rsid w:val="53033D26"/>
    <w:rsid w:val="53565F14"/>
    <w:rsid w:val="53A039CC"/>
    <w:rsid w:val="53A1505A"/>
    <w:rsid w:val="53A72D40"/>
    <w:rsid w:val="540370CC"/>
    <w:rsid w:val="54063E08"/>
    <w:rsid w:val="54211CF7"/>
    <w:rsid w:val="543437E8"/>
    <w:rsid w:val="548B1D84"/>
    <w:rsid w:val="54D55184"/>
    <w:rsid w:val="550F0E7B"/>
    <w:rsid w:val="55972C22"/>
    <w:rsid w:val="559B174B"/>
    <w:rsid w:val="55B10A76"/>
    <w:rsid w:val="55CE0CF4"/>
    <w:rsid w:val="564256D0"/>
    <w:rsid w:val="56682991"/>
    <w:rsid w:val="56891149"/>
    <w:rsid w:val="568F506D"/>
    <w:rsid w:val="56B22A9C"/>
    <w:rsid w:val="57195385"/>
    <w:rsid w:val="57AE2B30"/>
    <w:rsid w:val="57B72A76"/>
    <w:rsid w:val="57BD3467"/>
    <w:rsid w:val="58150CDE"/>
    <w:rsid w:val="58CB6B9B"/>
    <w:rsid w:val="590265C6"/>
    <w:rsid w:val="591244B6"/>
    <w:rsid w:val="592912FE"/>
    <w:rsid w:val="596953BF"/>
    <w:rsid w:val="59944D57"/>
    <w:rsid w:val="59AF13E5"/>
    <w:rsid w:val="5A21405F"/>
    <w:rsid w:val="5A3C747D"/>
    <w:rsid w:val="5A7610F3"/>
    <w:rsid w:val="5AAD5D22"/>
    <w:rsid w:val="5ABE2233"/>
    <w:rsid w:val="5ACA2EB0"/>
    <w:rsid w:val="5B0E1CCC"/>
    <w:rsid w:val="5B276D18"/>
    <w:rsid w:val="5BDF1611"/>
    <w:rsid w:val="5BDF5D95"/>
    <w:rsid w:val="5BE73590"/>
    <w:rsid w:val="5C3A37FB"/>
    <w:rsid w:val="5C6B574B"/>
    <w:rsid w:val="5C931A08"/>
    <w:rsid w:val="5C9A634F"/>
    <w:rsid w:val="5CF519CA"/>
    <w:rsid w:val="5D514C25"/>
    <w:rsid w:val="5D745E23"/>
    <w:rsid w:val="5DF87A0F"/>
    <w:rsid w:val="5E0919F9"/>
    <w:rsid w:val="5E561DE3"/>
    <w:rsid w:val="5F1A2B43"/>
    <w:rsid w:val="5F4B63C2"/>
    <w:rsid w:val="5FB837BB"/>
    <w:rsid w:val="60180C16"/>
    <w:rsid w:val="604C75BF"/>
    <w:rsid w:val="60822846"/>
    <w:rsid w:val="61035BC2"/>
    <w:rsid w:val="616E7F97"/>
    <w:rsid w:val="622369C6"/>
    <w:rsid w:val="62364782"/>
    <w:rsid w:val="63D40BE9"/>
    <w:rsid w:val="63E0211F"/>
    <w:rsid w:val="64277DBE"/>
    <w:rsid w:val="65203883"/>
    <w:rsid w:val="65373578"/>
    <w:rsid w:val="65C26E3E"/>
    <w:rsid w:val="65E833EF"/>
    <w:rsid w:val="6625085C"/>
    <w:rsid w:val="664F7340"/>
    <w:rsid w:val="673F2C7A"/>
    <w:rsid w:val="67451179"/>
    <w:rsid w:val="67B243DF"/>
    <w:rsid w:val="681F6961"/>
    <w:rsid w:val="68463E38"/>
    <w:rsid w:val="68610A2F"/>
    <w:rsid w:val="68805514"/>
    <w:rsid w:val="68C5521B"/>
    <w:rsid w:val="694E2071"/>
    <w:rsid w:val="697A3B33"/>
    <w:rsid w:val="699E2456"/>
    <w:rsid w:val="69A96386"/>
    <w:rsid w:val="6ACA1B48"/>
    <w:rsid w:val="6AF1152D"/>
    <w:rsid w:val="6B322639"/>
    <w:rsid w:val="6BC76103"/>
    <w:rsid w:val="6BD1273E"/>
    <w:rsid w:val="6C1135E5"/>
    <w:rsid w:val="6C636C38"/>
    <w:rsid w:val="6C8F2EFB"/>
    <w:rsid w:val="6D853DB6"/>
    <w:rsid w:val="6D89015A"/>
    <w:rsid w:val="6DB34098"/>
    <w:rsid w:val="6DB545B6"/>
    <w:rsid w:val="6DE17D30"/>
    <w:rsid w:val="6E023365"/>
    <w:rsid w:val="6E0D7C15"/>
    <w:rsid w:val="6E0E333F"/>
    <w:rsid w:val="6E4375A0"/>
    <w:rsid w:val="6E514CED"/>
    <w:rsid w:val="6E79491A"/>
    <w:rsid w:val="6E992E30"/>
    <w:rsid w:val="6EB563D5"/>
    <w:rsid w:val="6F225983"/>
    <w:rsid w:val="6FA81986"/>
    <w:rsid w:val="6FFC5590"/>
    <w:rsid w:val="70231744"/>
    <w:rsid w:val="70301DA3"/>
    <w:rsid w:val="706D1DD0"/>
    <w:rsid w:val="70856B87"/>
    <w:rsid w:val="70B76B7F"/>
    <w:rsid w:val="70D527EE"/>
    <w:rsid w:val="70FC0268"/>
    <w:rsid w:val="714109EC"/>
    <w:rsid w:val="715B5300"/>
    <w:rsid w:val="715F4BD7"/>
    <w:rsid w:val="719D7ABD"/>
    <w:rsid w:val="71D27F8A"/>
    <w:rsid w:val="71F744C6"/>
    <w:rsid w:val="71F960CF"/>
    <w:rsid w:val="72D059FA"/>
    <w:rsid w:val="72E852C5"/>
    <w:rsid w:val="731F5D5E"/>
    <w:rsid w:val="741E793C"/>
    <w:rsid w:val="74861417"/>
    <w:rsid w:val="74B16A46"/>
    <w:rsid w:val="750B5C77"/>
    <w:rsid w:val="755107B5"/>
    <w:rsid w:val="75754BF5"/>
    <w:rsid w:val="758D75E2"/>
    <w:rsid w:val="75A50A54"/>
    <w:rsid w:val="75F13ECD"/>
    <w:rsid w:val="75F90556"/>
    <w:rsid w:val="761D7F16"/>
    <w:rsid w:val="762B3E72"/>
    <w:rsid w:val="76731931"/>
    <w:rsid w:val="769C1D2A"/>
    <w:rsid w:val="76C26E3C"/>
    <w:rsid w:val="76DA5479"/>
    <w:rsid w:val="77160B65"/>
    <w:rsid w:val="772C6482"/>
    <w:rsid w:val="773D5A97"/>
    <w:rsid w:val="77762421"/>
    <w:rsid w:val="780F09F4"/>
    <w:rsid w:val="789C4F47"/>
    <w:rsid w:val="78A90480"/>
    <w:rsid w:val="78D07CF1"/>
    <w:rsid w:val="78D87F49"/>
    <w:rsid w:val="79811327"/>
    <w:rsid w:val="79F13415"/>
    <w:rsid w:val="7A305422"/>
    <w:rsid w:val="7A364017"/>
    <w:rsid w:val="7A8265E1"/>
    <w:rsid w:val="7AC8706C"/>
    <w:rsid w:val="7AE8187D"/>
    <w:rsid w:val="7B3413B3"/>
    <w:rsid w:val="7B686D42"/>
    <w:rsid w:val="7B841746"/>
    <w:rsid w:val="7BFB2A4A"/>
    <w:rsid w:val="7C060640"/>
    <w:rsid w:val="7C282869"/>
    <w:rsid w:val="7C3D77B5"/>
    <w:rsid w:val="7C4B003D"/>
    <w:rsid w:val="7C6325EF"/>
    <w:rsid w:val="7CD06D8B"/>
    <w:rsid w:val="7D0239FF"/>
    <w:rsid w:val="7D4B3D2C"/>
    <w:rsid w:val="7D514F7E"/>
    <w:rsid w:val="7D5E40CD"/>
    <w:rsid w:val="7D693BED"/>
    <w:rsid w:val="7D733D8C"/>
    <w:rsid w:val="7D762090"/>
    <w:rsid w:val="7DA6003D"/>
    <w:rsid w:val="7DE5583A"/>
    <w:rsid w:val="7DED1CAB"/>
    <w:rsid w:val="7E2800E1"/>
    <w:rsid w:val="7E310155"/>
    <w:rsid w:val="7E3E68DB"/>
    <w:rsid w:val="7F321C9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iPriority="39"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86"/>
    <w:qFormat/>
    <w:locked/>
    <w:uiPriority w:val="0"/>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link w:val="49"/>
    <w:qFormat/>
    <w:locked/>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0"/>
    <w:pPr>
      <w:keepNext/>
      <w:keepLines/>
      <w:numPr>
        <w:ilvl w:val="3"/>
        <w:numId w:val="1"/>
      </w:numPr>
      <w:adjustRightInd w:val="0"/>
      <w:snapToGrid w:val="0"/>
      <w:spacing w:before="93" w:beforeLines="30" w:line="360" w:lineRule="auto"/>
      <w:jc w:val="left"/>
      <w:outlineLvl w:val="3"/>
    </w:pPr>
    <w:rPr>
      <w:rFonts w:ascii="Arial" w:hAnsi="Arial" w:eastAsia="黑体"/>
      <w:color w:val="000000"/>
      <w:sz w:val="3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51"/>
    <w:qFormat/>
    <w:uiPriority w:val="99"/>
    <w:pPr>
      <w:tabs>
        <w:tab w:val="center" w:pos="4153"/>
        <w:tab w:val="right" w:pos="8306"/>
      </w:tabs>
      <w:snapToGrid w:val="0"/>
      <w:jc w:val="left"/>
    </w:pPr>
    <w:rPr>
      <w:kern w:val="0"/>
      <w:sz w:val="18"/>
      <w:szCs w:val="18"/>
    </w:rPr>
  </w:style>
  <w:style w:type="paragraph" w:styleId="7">
    <w:name w:val="toc 7"/>
    <w:basedOn w:val="1"/>
    <w:next w:val="1"/>
    <w:unhideWhenUsed/>
    <w:qFormat/>
    <w:locked/>
    <w:uiPriority w:val="39"/>
    <w:pPr>
      <w:ind w:left="2520" w:leftChars="1200"/>
    </w:pPr>
    <w:rPr>
      <w:rFonts w:ascii="Calibri" w:hAnsi="Calibri"/>
      <w:szCs w:val="22"/>
    </w:rPr>
  </w:style>
  <w:style w:type="paragraph" w:styleId="8">
    <w:name w:val="Normal Indent"/>
    <w:basedOn w:val="1"/>
    <w:link w:val="67"/>
    <w:qFormat/>
    <w:uiPriority w:val="0"/>
    <w:pPr>
      <w:spacing w:line="560" w:lineRule="exact"/>
      <w:ind w:firstLine="200" w:firstLineChars="200"/>
    </w:pPr>
  </w:style>
  <w:style w:type="paragraph" w:styleId="9">
    <w:name w:val="caption"/>
    <w:basedOn w:val="10"/>
    <w:next w:val="11"/>
    <w:link w:val="70"/>
    <w:qFormat/>
    <w:locked/>
    <w:uiPriority w:val="0"/>
    <w:pPr>
      <w:adjustRightInd w:val="0"/>
      <w:snapToGrid w:val="0"/>
    </w:pPr>
    <w:rPr>
      <w:rFonts w:ascii="Calibri Light" w:hAnsi="Calibri Light" w:eastAsia="黑体"/>
      <w:szCs w:val="20"/>
    </w:rPr>
  </w:style>
  <w:style w:type="paragraph" w:styleId="10">
    <w:name w:val="Plain Text"/>
    <w:basedOn w:val="1"/>
    <w:link w:val="85"/>
    <w:qFormat/>
    <w:uiPriority w:val="0"/>
    <w:rPr>
      <w:rFonts w:ascii="宋体" w:hAnsi="Courier New"/>
      <w:szCs w:val="21"/>
    </w:rPr>
  </w:style>
  <w:style w:type="paragraph" w:customStyle="1" w:styleId="11">
    <w:name w:val="zw"/>
    <w:basedOn w:val="10"/>
    <w:link w:val="55"/>
    <w:qFormat/>
    <w:uiPriority w:val="0"/>
    <w:pPr>
      <w:spacing w:line="360" w:lineRule="auto"/>
      <w:ind w:firstLine="480" w:firstLineChars="200"/>
    </w:pPr>
    <w:rPr>
      <w:rFonts w:ascii="Times New Roman" w:hAnsi="Times New Roman"/>
      <w:sz w:val="24"/>
      <w:szCs w:val="20"/>
    </w:rPr>
  </w:style>
  <w:style w:type="paragraph" w:styleId="12">
    <w:name w:val="List Bullet"/>
    <w:basedOn w:val="1"/>
    <w:qFormat/>
    <w:uiPriority w:val="0"/>
    <w:pPr>
      <w:numPr>
        <w:ilvl w:val="0"/>
        <w:numId w:val="2"/>
      </w:numPr>
    </w:pPr>
    <w:rPr>
      <w:rFonts w:eastAsia="仿宋_GB2312"/>
      <w:sz w:val="28"/>
    </w:rPr>
  </w:style>
  <w:style w:type="paragraph" w:styleId="13">
    <w:name w:val="Document Map"/>
    <w:basedOn w:val="1"/>
    <w:link w:val="61"/>
    <w:qFormat/>
    <w:uiPriority w:val="0"/>
    <w:rPr>
      <w:rFonts w:ascii="宋体"/>
      <w:sz w:val="18"/>
      <w:szCs w:val="18"/>
    </w:rPr>
  </w:style>
  <w:style w:type="paragraph" w:styleId="14">
    <w:name w:val="annotation text"/>
    <w:basedOn w:val="1"/>
    <w:link w:val="53"/>
    <w:qFormat/>
    <w:uiPriority w:val="0"/>
    <w:pPr>
      <w:jc w:val="left"/>
    </w:pPr>
    <w:rPr>
      <w:kern w:val="0"/>
      <w:sz w:val="24"/>
      <w:szCs w:val="20"/>
    </w:rPr>
  </w:style>
  <w:style w:type="paragraph" w:styleId="15">
    <w:name w:val="Body Text"/>
    <w:basedOn w:val="1"/>
    <w:link w:val="56"/>
    <w:qFormat/>
    <w:uiPriority w:val="0"/>
    <w:pPr>
      <w:widowControl/>
      <w:snapToGrid w:val="0"/>
      <w:spacing w:before="60" w:after="160" w:line="259" w:lineRule="auto"/>
      <w:ind w:right="113"/>
    </w:pPr>
    <w:rPr>
      <w:kern w:val="0"/>
      <w:sz w:val="18"/>
      <w:szCs w:val="20"/>
    </w:rPr>
  </w:style>
  <w:style w:type="paragraph" w:styleId="16">
    <w:name w:val="Body Text Indent"/>
    <w:basedOn w:val="1"/>
    <w:link w:val="74"/>
    <w:semiHidden/>
    <w:qFormat/>
    <w:uiPriority w:val="0"/>
    <w:pPr>
      <w:spacing w:after="120"/>
      <w:ind w:left="420" w:leftChars="200"/>
    </w:pPr>
    <w:rPr>
      <w:kern w:val="0"/>
      <w:sz w:val="24"/>
    </w:rPr>
  </w:style>
  <w:style w:type="paragraph" w:styleId="17">
    <w:name w:val="index 4"/>
    <w:basedOn w:val="1"/>
    <w:next w:val="1"/>
    <w:qFormat/>
    <w:uiPriority w:val="0"/>
    <w:pPr>
      <w:adjustRightInd w:val="0"/>
      <w:spacing w:line="360" w:lineRule="atLeast"/>
      <w:ind w:left="1260"/>
      <w:textAlignment w:val="baseline"/>
    </w:pPr>
    <w:rPr>
      <w:rFonts w:eastAsia="Times New Roman"/>
      <w:szCs w:val="20"/>
    </w:rPr>
  </w:style>
  <w:style w:type="paragraph" w:styleId="18">
    <w:name w:val="toc 5"/>
    <w:basedOn w:val="1"/>
    <w:next w:val="1"/>
    <w:unhideWhenUsed/>
    <w:qFormat/>
    <w:locked/>
    <w:uiPriority w:val="39"/>
    <w:pPr>
      <w:ind w:left="1680" w:leftChars="800"/>
    </w:pPr>
    <w:rPr>
      <w:rFonts w:ascii="Calibri" w:hAnsi="Calibri"/>
      <w:szCs w:val="22"/>
    </w:rPr>
  </w:style>
  <w:style w:type="paragraph" w:styleId="19">
    <w:name w:val="toc 3"/>
    <w:basedOn w:val="1"/>
    <w:next w:val="1"/>
    <w:unhideWhenUsed/>
    <w:qFormat/>
    <w:locked/>
    <w:uiPriority w:val="39"/>
    <w:pPr>
      <w:ind w:left="840" w:leftChars="400"/>
    </w:pPr>
    <w:rPr>
      <w:rFonts w:ascii="Calibri" w:hAnsi="Calibri"/>
      <w:szCs w:val="22"/>
    </w:rPr>
  </w:style>
  <w:style w:type="paragraph" w:styleId="20">
    <w:name w:val="List Bullet 5"/>
    <w:basedOn w:val="1"/>
    <w:qFormat/>
    <w:uiPriority w:val="0"/>
    <w:pPr>
      <w:numPr>
        <w:ilvl w:val="0"/>
        <w:numId w:val="3"/>
      </w:numPr>
      <w:contextualSpacing/>
    </w:pPr>
  </w:style>
  <w:style w:type="paragraph" w:styleId="21">
    <w:name w:val="toc 8"/>
    <w:basedOn w:val="1"/>
    <w:next w:val="1"/>
    <w:unhideWhenUsed/>
    <w:qFormat/>
    <w:locked/>
    <w:uiPriority w:val="39"/>
    <w:pPr>
      <w:ind w:left="2940" w:leftChars="1400"/>
    </w:pPr>
    <w:rPr>
      <w:rFonts w:ascii="Calibri" w:hAnsi="Calibri"/>
      <w:szCs w:val="22"/>
    </w:rPr>
  </w:style>
  <w:style w:type="paragraph" w:styleId="22">
    <w:name w:val="Date"/>
    <w:basedOn w:val="1"/>
    <w:next w:val="1"/>
    <w:link w:val="48"/>
    <w:qFormat/>
    <w:uiPriority w:val="0"/>
    <w:pPr>
      <w:ind w:left="100" w:leftChars="2500"/>
    </w:pPr>
    <w:rPr>
      <w:kern w:val="0"/>
      <w:sz w:val="24"/>
      <w:szCs w:val="20"/>
    </w:rPr>
  </w:style>
  <w:style w:type="paragraph" w:styleId="23">
    <w:name w:val="Balloon Text"/>
    <w:basedOn w:val="1"/>
    <w:link w:val="47"/>
    <w:semiHidden/>
    <w:qFormat/>
    <w:uiPriority w:val="0"/>
    <w:rPr>
      <w:kern w:val="0"/>
      <w:sz w:val="18"/>
      <w:szCs w:val="18"/>
    </w:rPr>
  </w:style>
  <w:style w:type="paragraph" w:styleId="24">
    <w:name w:val="header"/>
    <w:basedOn w:val="1"/>
    <w:link w:val="52"/>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qFormat/>
    <w:locked/>
    <w:uiPriority w:val="39"/>
    <w:pPr>
      <w:spacing w:line="360" w:lineRule="auto"/>
      <w:jc w:val="left"/>
    </w:pPr>
    <w:rPr>
      <w:b/>
      <w:bCs/>
      <w:caps/>
      <w:sz w:val="28"/>
      <w:szCs w:val="20"/>
    </w:rPr>
  </w:style>
  <w:style w:type="paragraph" w:styleId="26">
    <w:name w:val="toc 4"/>
    <w:basedOn w:val="1"/>
    <w:next w:val="1"/>
    <w:unhideWhenUsed/>
    <w:qFormat/>
    <w:locked/>
    <w:uiPriority w:val="39"/>
    <w:pPr>
      <w:ind w:left="1260" w:leftChars="600"/>
    </w:pPr>
    <w:rPr>
      <w:rFonts w:ascii="Calibri" w:hAnsi="Calibri"/>
      <w:szCs w:val="22"/>
    </w:rPr>
  </w:style>
  <w:style w:type="paragraph" w:styleId="27">
    <w:name w:val="toc 6"/>
    <w:basedOn w:val="1"/>
    <w:next w:val="1"/>
    <w:unhideWhenUsed/>
    <w:qFormat/>
    <w:locked/>
    <w:uiPriority w:val="39"/>
    <w:pPr>
      <w:ind w:left="2100" w:leftChars="1000"/>
    </w:pPr>
    <w:rPr>
      <w:rFonts w:ascii="Calibri" w:hAnsi="Calibri"/>
      <w:szCs w:val="22"/>
    </w:rPr>
  </w:style>
  <w:style w:type="paragraph" w:styleId="28">
    <w:name w:val="toc 2"/>
    <w:basedOn w:val="1"/>
    <w:next w:val="1"/>
    <w:unhideWhenUsed/>
    <w:qFormat/>
    <w:locked/>
    <w:uiPriority w:val="39"/>
    <w:pPr>
      <w:ind w:left="420" w:leftChars="200"/>
    </w:pPr>
    <w:rPr>
      <w:rFonts w:ascii="Calibri" w:hAnsi="Calibri"/>
      <w:szCs w:val="22"/>
    </w:rPr>
  </w:style>
  <w:style w:type="paragraph" w:styleId="29">
    <w:name w:val="toc 9"/>
    <w:basedOn w:val="1"/>
    <w:next w:val="1"/>
    <w:unhideWhenUsed/>
    <w:qFormat/>
    <w:locked/>
    <w:uiPriority w:val="39"/>
    <w:pPr>
      <w:ind w:left="3360" w:leftChars="1600"/>
    </w:pPr>
    <w:rPr>
      <w:rFonts w:ascii="Calibri" w:hAnsi="Calibri"/>
      <w:szCs w:val="22"/>
    </w:rPr>
  </w:style>
  <w:style w:type="paragraph" w:styleId="30">
    <w:name w:val="HTML Preformatted"/>
    <w:basedOn w:val="1"/>
    <w:link w:val="9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link w:val="79"/>
    <w:qFormat/>
    <w:uiPriority w:val="99"/>
    <w:pPr>
      <w:widowControl/>
      <w:spacing w:before="100" w:beforeAutospacing="1" w:after="100" w:afterAutospacing="1"/>
      <w:jc w:val="left"/>
    </w:pPr>
    <w:rPr>
      <w:rFonts w:ascii="宋体" w:hAnsi="宋体"/>
      <w:kern w:val="0"/>
      <w:sz w:val="24"/>
      <w:szCs w:val="20"/>
    </w:rPr>
  </w:style>
  <w:style w:type="paragraph" w:styleId="32">
    <w:name w:val="annotation subject"/>
    <w:basedOn w:val="14"/>
    <w:next w:val="14"/>
    <w:link w:val="78"/>
    <w:semiHidden/>
    <w:qFormat/>
    <w:uiPriority w:val="0"/>
    <w:rPr>
      <w:b/>
      <w:bCs/>
      <w:kern w:val="2"/>
      <w:szCs w:val="24"/>
    </w:rPr>
  </w:style>
  <w:style w:type="paragraph" w:styleId="33">
    <w:name w:val="Body Text First Indent 2"/>
    <w:basedOn w:val="16"/>
    <w:unhideWhenUsed/>
    <w:qFormat/>
    <w:uiPriority w:val="99"/>
    <w:pPr>
      <w:ind w:firstLine="420"/>
    </w:p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qFormat/>
    <w:uiPriority w:val="0"/>
  </w:style>
  <w:style w:type="character" w:styleId="38">
    <w:name w:val="HTML Definition"/>
    <w:qFormat/>
    <w:uiPriority w:val="0"/>
    <w:rPr>
      <w:i/>
      <w:iCs/>
    </w:rPr>
  </w:style>
  <w:style w:type="character" w:styleId="39">
    <w:name w:val="HTML Acronym"/>
    <w:qFormat/>
    <w:uiPriority w:val="0"/>
    <w:rPr>
      <w:rFonts w:ascii="ˎ̥" w:hAnsi="ˎ̥" w:eastAsia="宋体" w:cs="宋体"/>
      <w:color w:val="51585D"/>
      <w:sz w:val="21"/>
      <w:szCs w:val="18"/>
      <w:lang w:val="en-US" w:eastAsia="zh-CN" w:bidi="ar-SA"/>
    </w:rPr>
  </w:style>
  <w:style w:type="character" w:styleId="40">
    <w:name w:val="Hyperlink"/>
    <w:qFormat/>
    <w:uiPriority w:val="99"/>
    <w:rPr>
      <w:color w:val="0000FF"/>
      <w:u w:val="single"/>
    </w:rPr>
  </w:style>
  <w:style w:type="character" w:styleId="41">
    <w:name w:val="annotation reference"/>
    <w:qFormat/>
    <w:uiPriority w:val="0"/>
    <w:rPr>
      <w:sz w:val="21"/>
    </w:rPr>
  </w:style>
  <w:style w:type="paragraph" w:customStyle="1" w:styleId="4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3">
    <w:name w:val="NormalIndent"/>
    <w:basedOn w:val="1"/>
    <w:qFormat/>
    <w:uiPriority w:val="0"/>
    <w:pPr>
      <w:ind w:firstLine="420" w:firstLineChars="200"/>
    </w:pPr>
  </w:style>
  <w:style w:type="character" w:customStyle="1" w:styleId="44">
    <w:name w:val="日期 字符"/>
    <w:qFormat/>
    <w:uiPriority w:val="0"/>
    <w:rPr>
      <w:rFonts w:ascii="Times New Roman" w:hAnsi="Times New Roman" w:eastAsia="宋体" w:cs="Times New Roman"/>
      <w:sz w:val="24"/>
      <w:szCs w:val="24"/>
    </w:rPr>
  </w:style>
  <w:style w:type="character" w:customStyle="1" w:styleId="45">
    <w:name w:val="批注文字 字符"/>
    <w:qFormat/>
    <w:uiPriority w:val="0"/>
    <w:rPr>
      <w:rFonts w:eastAsia="Arial"/>
      <w:kern w:val="2"/>
      <w:sz w:val="28"/>
      <w:szCs w:val="24"/>
    </w:rPr>
  </w:style>
  <w:style w:type="character" w:customStyle="1" w:styleId="46">
    <w:name w:val="正文文本 字符1"/>
    <w:semiHidden/>
    <w:qFormat/>
    <w:uiPriority w:val="0"/>
    <w:rPr>
      <w:rFonts w:ascii="Times New Roman" w:hAnsi="Times New Roman" w:eastAsia="宋体" w:cs="Times New Roman"/>
      <w:sz w:val="24"/>
      <w:szCs w:val="24"/>
    </w:rPr>
  </w:style>
  <w:style w:type="character" w:customStyle="1" w:styleId="47">
    <w:name w:val="批注框文本 字符"/>
    <w:link w:val="23"/>
    <w:semiHidden/>
    <w:qFormat/>
    <w:locked/>
    <w:uiPriority w:val="0"/>
    <w:rPr>
      <w:rFonts w:ascii="Times New Roman" w:hAnsi="Times New Roman" w:eastAsia="宋体" w:cs="Times New Roman"/>
      <w:sz w:val="18"/>
      <w:szCs w:val="18"/>
    </w:rPr>
  </w:style>
  <w:style w:type="character" w:customStyle="1" w:styleId="48">
    <w:name w:val="日期 字符1"/>
    <w:link w:val="22"/>
    <w:qFormat/>
    <w:locked/>
    <w:uiPriority w:val="0"/>
    <w:rPr>
      <w:rFonts w:ascii="Times New Roman" w:hAnsi="Times New Roman" w:eastAsia="宋体"/>
      <w:sz w:val="24"/>
    </w:rPr>
  </w:style>
  <w:style w:type="character" w:customStyle="1" w:styleId="49">
    <w:name w:val="标题 3 字符"/>
    <w:link w:val="5"/>
    <w:semiHidden/>
    <w:qFormat/>
    <w:uiPriority w:val="0"/>
    <w:rPr>
      <w:b/>
      <w:bCs/>
      <w:kern w:val="2"/>
      <w:sz w:val="32"/>
      <w:szCs w:val="32"/>
    </w:rPr>
  </w:style>
  <w:style w:type="character" w:customStyle="1" w:styleId="50">
    <w:name w:val="zw Char"/>
    <w:qFormat/>
    <w:uiPriority w:val="0"/>
    <w:rPr>
      <w:rFonts w:ascii="Times New Roman" w:hAnsi="Times New Roman" w:eastAsia="宋体" w:cs="Courier New"/>
      <w:kern w:val="0"/>
      <w:sz w:val="24"/>
    </w:rPr>
  </w:style>
  <w:style w:type="character" w:customStyle="1" w:styleId="51">
    <w:name w:val="页脚 字符"/>
    <w:link w:val="2"/>
    <w:qFormat/>
    <w:locked/>
    <w:uiPriority w:val="99"/>
    <w:rPr>
      <w:rFonts w:cs="Times New Roman"/>
      <w:sz w:val="18"/>
      <w:szCs w:val="18"/>
    </w:rPr>
  </w:style>
  <w:style w:type="character" w:customStyle="1" w:styleId="52">
    <w:name w:val="页眉 字符"/>
    <w:link w:val="24"/>
    <w:qFormat/>
    <w:locked/>
    <w:uiPriority w:val="99"/>
    <w:rPr>
      <w:rFonts w:cs="Times New Roman"/>
      <w:sz w:val="18"/>
      <w:szCs w:val="18"/>
    </w:rPr>
  </w:style>
  <w:style w:type="character" w:customStyle="1" w:styleId="53">
    <w:name w:val="批注文字 字符2"/>
    <w:link w:val="14"/>
    <w:qFormat/>
    <w:locked/>
    <w:uiPriority w:val="99"/>
    <w:rPr>
      <w:rFonts w:ascii="Times New Roman" w:hAnsi="Times New Roman" w:eastAsia="宋体"/>
      <w:sz w:val="24"/>
    </w:rPr>
  </w:style>
  <w:style w:type="character" w:customStyle="1" w:styleId="54">
    <w:name w:val="普通(网站) Char"/>
    <w:qFormat/>
    <w:locked/>
    <w:uiPriority w:val="0"/>
    <w:rPr>
      <w:rFonts w:ascii="宋体" w:hAnsi="宋体" w:eastAsia="宋体"/>
      <w:sz w:val="24"/>
    </w:rPr>
  </w:style>
  <w:style w:type="character" w:customStyle="1" w:styleId="55">
    <w:name w:val="zw Char Char"/>
    <w:link w:val="11"/>
    <w:qFormat/>
    <w:uiPriority w:val="0"/>
    <w:rPr>
      <w:kern w:val="2"/>
      <w:sz w:val="24"/>
    </w:rPr>
  </w:style>
  <w:style w:type="character" w:customStyle="1" w:styleId="56">
    <w:name w:val="正文文本 字符"/>
    <w:link w:val="15"/>
    <w:qFormat/>
    <w:locked/>
    <w:uiPriority w:val="0"/>
    <w:rPr>
      <w:sz w:val="18"/>
    </w:rPr>
  </w:style>
  <w:style w:type="character" w:customStyle="1" w:styleId="57">
    <w:name w:val="样式 样式 样式 样式 正文缩进s4 + 首行缩进:  2 字符 + 首行缩进:  2 字符 + Char + 仿宋_GB231..."/>
    <w:qFormat/>
    <w:uiPriority w:val="0"/>
    <w:rPr>
      <w:rFonts w:ascii="Wingdings" w:eastAsia="Wingdings" w:cs="Wingdings"/>
      <w:color w:val="auto"/>
      <w:kern w:val="2"/>
      <w:sz w:val="24"/>
      <w:szCs w:val="28"/>
      <w:lang w:val="en-US" w:eastAsia="zh-CN" w:bidi="ar-SA"/>
    </w:rPr>
  </w:style>
  <w:style w:type="character" w:customStyle="1" w:styleId="58">
    <w:name w:val="表格 Char"/>
    <w:link w:val="59"/>
    <w:qFormat/>
    <w:locked/>
    <w:uiPriority w:val="0"/>
    <w:rPr>
      <w:rFonts w:ascii="宋体"/>
      <w:sz w:val="21"/>
    </w:rPr>
  </w:style>
  <w:style w:type="paragraph" w:customStyle="1" w:styleId="59">
    <w:name w:val="表格"/>
    <w:basedOn w:val="1"/>
    <w:next w:val="1"/>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fontstyle21"/>
    <w:qFormat/>
    <w:uiPriority w:val="0"/>
    <w:rPr>
      <w:rFonts w:ascii="仿宋_GB2312" w:eastAsia="仿宋_GB2312" w:cs="仿宋_GB2312"/>
      <w:color w:val="000000"/>
      <w:sz w:val="28"/>
      <w:szCs w:val="28"/>
    </w:rPr>
  </w:style>
  <w:style w:type="character" w:customStyle="1" w:styleId="61">
    <w:name w:val="文档结构图 字符"/>
    <w:link w:val="13"/>
    <w:qFormat/>
    <w:uiPriority w:val="0"/>
    <w:rPr>
      <w:rFonts w:ascii="宋体"/>
      <w:kern w:val="2"/>
      <w:sz w:val="18"/>
      <w:szCs w:val="18"/>
    </w:rPr>
  </w:style>
  <w:style w:type="character" w:customStyle="1" w:styleId="62">
    <w:name w:val="批注文字 字符1"/>
    <w:semiHidden/>
    <w:qFormat/>
    <w:uiPriority w:val="0"/>
    <w:rPr>
      <w:rFonts w:ascii="Times New Roman" w:hAnsi="Times New Roman" w:eastAsia="宋体" w:cs="Times New Roman"/>
      <w:sz w:val="24"/>
      <w:szCs w:val="24"/>
    </w:rPr>
  </w:style>
  <w:style w:type="character" w:customStyle="1" w:styleId="63">
    <w:name w:val="正文 宋体 小四 Char"/>
    <w:link w:val="64"/>
    <w:qFormat/>
    <w:uiPriority w:val="0"/>
    <w:rPr>
      <w:sz w:val="24"/>
      <w:szCs w:val="24"/>
    </w:rPr>
  </w:style>
  <w:style w:type="paragraph" w:customStyle="1" w:styleId="64">
    <w:name w:val="正文 宋体 小四"/>
    <w:basedOn w:val="1"/>
    <w:link w:val="63"/>
    <w:qFormat/>
    <w:uiPriority w:val="0"/>
    <w:pPr>
      <w:widowControl/>
      <w:spacing w:line="360" w:lineRule="auto"/>
      <w:ind w:firstLine="200" w:firstLineChars="200"/>
    </w:pPr>
    <w:rPr>
      <w:kern w:val="0"/>
      <w:sz w:val="24"/>
    </w:rPr>
  </w:style>
  <w:style w:type="character" w:customStyle="1" w:styleId="65">
    <w:name w:val="正文文本首行缩进 2 字符"/>
    <w:link w:val="66"/>
    <w:qFormat/>
    <w:uiPriority w:val="99"/>
    <w:rPr>
      <w:sz w:val="24"/>
      <w:szCs w:val="24"/>
    </w:rPr>
  </w:style>
  <w:style w:type="paragraph" w:customStyle="1" w:styleId="66">
    <w:name w:val="1"/>
    <w:basedOn w:val="16"/>
    <w:next w:val="33"/>
    <w:link w:val="65"/>
    <w:unhideWhenUsed/>
    <w:qFormat/>
    <w:uiPriority w:val="99"/>
    <w:pPr>
      <w:ind w:firstLine="420"/>
    </w:pPr>
  </w:style>
  <w:style w:type="character" w:customStyle="1" w:styleId="67">
    <w:name w:val="正文缩进 字符"/>
    <w:link w:val="8"/>
    <w:qFormat/>
    <w:uiPriority w:val="0"/>
    <w:rPr>
      <w:kern w:val="2"/>
      <w:sz w:val="21"/>
      <w:szCs w:val="24"/>
    </w:rPr>
  </w:style>
  <w:style w:type="character" w:customStyle="1" w:styleId="68">
    <w:name w:val="表格文字   居中 Char Char"/>
    <w:link w:val="69"/>
    <w:qFormat/>
    <w:uiPriority w:val="0"/>
    <w:rPr>
      <w:rFonts w:ascii="ˎ̥" w:hAnsi="ˎ̥" w:cs="宋体"/>
      <w:color w:val="51585D"/>
      <w:sz w:val="21"/>
      <w:szCs w:val="21"/>
      <w:shd w:val="clear" w:color="auto" w:fill="FFFFFF"/>
    </w:rPr>
  </w:style>
  <w:style w:type="paragraph" w:customStyle="1" w:styleId="69">
    <w:name w:val="表格文字   居中"/>
    <w:basedOn w:val="1"/>
    <w:link w:val="68"/>
    <w:qFormat/>
    <w:uiPriority w:val="0"/>
    <w:pPr>
      <w:shd w:val="clear" w:color="auto" w:fill="FFFFFF"/>
      <w:adjustRightInd w:val="0"/>
      <w:snapToGrid w:val="0"/>
      <w:jc w:val="center"/>
    </w:pPr>
    <w:rPr>
      <w:rFonts w:ascii="ˎ̥" w:hAnsi="ˎ̥" w:cs="宋体"/>
      <w:color w:val="51585D"/>
      <w:kern w:val="0"/>
      <w:szCs w:val="21"/>
    </w:rPr>
  </w:style>
  <w:style w:type="character" w:customStyle="1" w:styleId="70">
    <w:name w:val="题注 字符1"/>
    <w:link w:val="9"/>
    <w:qFormat/>
    <w:uiPriority w:val="0"/>
    <w:rPr>
      <w:rFonts w:ascii="Calibri Light" w:hAnsi="Calibri Light" w:eastAsia="黑体"/>
      <w:kern w:val="2"/>
      <w:sz w:val="21"/>
    </w:rPr>
  </w:style>
  <w:style w:type="character" w:customStyle="1" w:styleId="71">
    <w:name w:val="题注 字符"/>
    <w:qFormat/>
    <w:uiPriority w:val="0"/>
    <w:rPr>
      <w:rFonts w:ascii="Calibri Light" w:hAnsi="Calibri Light" w:eastAsia="黑体"/>
      <w:kern w:val="2"/>
      <w:sz w:val="21"/>
    </w:rPr>
  </w:style>
  <w:style w:type="character" w:customStyle="1" w:styleId="72">
    <w:name w:val="表格文字 Char"/>
    <w:link w:val="73"/>
    <w:qFormat/>
    <w:uiPriority w:val="0"/>
    <w:rPr>
      <w:rFonts w:cs="幼圆"/>
      <w:sz w:val="21"/>
    </w:rPr>
  </w:style>
  <w:style w:type="paragraph" w:customStyle="1" w:styleId="73">
    <w:name w:val="表格文字"/>
    <w:basedOn w:val="10"/>
    <w:next w:val="1"/>
    <w:link w:val="72"/>
    <w:qFormat/>
    <w:uiPriority w:val="0"/>
    <w:pPr>
      <w:tabs>
        <w:tab w:val="left" w:pos="3720"/>
      </w:tabs>
      <w:topLinePunct/>
      <w:adjustRightInd w:val="0"/>
      <w:snapToGrid w:val="0"/>
      <w:jc w:val="center"/>
      <w:textAlignment w:val="center"/>
    </w:pPr>
    <w:rPr>
      <w:rFonts w:ascii="Times New Roman" w:hAnsi="Times New Roman"/>
      <w:kern w:val="0"/>
      <w:szCs w:val="20"/>
    </w:rPr>
  </w:style>
  <w:style w:type="character" w:customStyle="1" w:styleId="74">
    <w:name w:val="正文文本缩进 字符"/>
    <w:link w:val="16"/>
    <w:qFormat/>
    <w:locked/>
    <w:uiPriority w:val="0"/>
    <w:rPr>
      <w:rFonts w:ascii="Times New Roman" w:hAnsi="Times New Roman" w:eastAsia="宋体" w:cs="Times New Roman"/>
      <w:sz w:val="24"/>
      <w:szCs w:val="24"/>
    </w:rPr>
  </w:style>
  <w:style w:type="character" w:customStyle="1" w:styleId="75">
    <w:name w:val="样式 样式 样式 正文缩进s4 + 首行缩进:  2 字符 + 首行缩进:  2 字符 + Char1"/>
    <w:link w:val="76"/>
    <w:qFormat/>
    <w:uiPriority w:val="0"/>
    <w:rPr>
      <w:rFonts w:ascii="Wingdings" w:hAnsi="Wingdings" w:eastAsia="Wingdings"/>
      <w:color w:val="000000"/>
      <w:kern w:val="2"/>
      <w:sz w:val="21"/>
      <w:szCs w:val="28"/>
    </w:rPr>
  </w:style>
  <w:style w:type="paragraph" w:customStyle="1" w:styleId="76">
    <w:name w:val="样式 样式 样式 正文缩进s4 + 首行缩进:  2 字符 + 首行缩进:  2 字符 +"/>
    <w:basedOn w:val="1"/>
    <w:link w:val="75"/>
    <w:qFormat/>
    <w:uiPriority w:val="0"/>
    <w:pPr>
      <w:adjustRightInd w:val="0"/>
      <w:snapToGrid w:val="0"/>
      <w:spacing w:line="360" w:lineRule="auto"/>
      <w:ind w:firstLine="480" w:firstLineChars="200"/>
    </w:pPr>
    <w:rPr>
      <w:rFonts w:ascii="Wingdings" w:hAnsi="Wingdings" w:eastAsia="Wingdings"/>
      <w:color w:val="000000"/>
      <w:szCs w:val="28"/>
    </w:rPr>
  </w:style>
  <w:style w:type="character" w:customStyle="1" w:styleId="77">
    <w:name w:val="表格文字 Char Char"/>
    <w:qFormat/>
    <w:uiPriority w:val="0"/>
    <w:rPr>
      <w:rFonts w:ascii="宋体" w:hAnsi="宋体" w:eastAsia="宋体" w:cs="Times New Roman"/>
      <w:kern w:val="0"/>
      <w:szCs w:val="20"/>
    </w:rPr>
  </w:style>
  <w:style w:type="character" w:customStyle="1" w:styleId="78">
    <w:name w:val="批注主题 字符"/>
    <w:link w:val="32"/>
    <w:semiHidden/>
    <w:qFormat/>
    <w:locked/>
    <w:uiPriority w:val="0"/>
    <w:rPr>
      <w:rFonts w:ascii="Times New Roman" w:hAnsi="Times New Roman" w:eastAsia="宋体" w:cs="Times New Roman"/>
      <w:b/>
      <w:bCs/>
      <w:kern w:val="2"/>
      <w:sz w:val="24"/>
      <w:szCs w:val="24"/>
    </w:rPr>
  </w:style>
  <w:style w:type="character" w:customStyle="1" w:styleId="79">
    <w:name w:val="普通(网站) 字符"/>
    <w:link w:val="31"/>
    <w:qFormat/>
    <w:locked/>
    <w:uiPriority w:val="0"/>
    <w:rPr>
      <w:rFonts w:ascii="宋体" w:hAnsi="宋体" w:eastAsia="宋体"/>
      <w:sz w:val="24"/>
    </w:rPr>
  </w:style>
  <w:style w:type="character" w:customStyle="1" w:styleId="80">
    <w:name w:val="zw居中 Char"/>
    <w:link w:val="81"/>
    <w:qFormat/>
    <w:uiPriority w:val="0"/>
    <w:rPr>
      <w:rFonts w:cs="幼圆"/>
      <w:kern w:val="2"/>
      <w:sz w:val="24"/>
      <w:szCs w:val="21"/>
    </w:rPr>
  </w:style>
  <w:style w:type="paragraph" w:customStyle="1" w:styleId="81">
    <w:name w:val="zw居中"/>
    <w:basedOn w:val="10"/>
    <w:link w:val="80"/>
    <w:qFormat/>
    <w:uiPriority w:val="0"/>
    <w:pPr>
      <w:adjustRightInd w:val="0"/>
      <w:snapToGrid w:val="0"/>
      <w:jc w:val="center"/>
    </w:pPr>
    <w:rPr>
      <w:rFonts w:ascii="Times New Roman" w:hAnsi="Times New Roman"/>
      <w:sz w:val="24"/>
    </w:rPr>
  </w:style>
  <w:style w:type="character" w:customStyle="1" w:styleId="82">
    <w:name w:val="fontstyle01"/>
    <w:qFormat/>
    <w:uiPriority w:val="0"/>
    <w:rPr>
      <w:rFonts w:ascii="仿宋_GB2312" w:eastAsia="仿宋_GB2312" w:cs="仿宋_GB2312"/>
      <w:color w:val="000000"/>
      <w:sz w:val="28"/>
      <w:szCs w:val="28"/>
    </w:rPr>
  </w:style>
  <w:style w:type="character" w:customStyle="1" w:styleId="83">
    <w:name w:val="样式 样式 首行缩进:  2 字符 + 首行缩进:  2 字符 Char Char"/>
    <w:link w:val="84"/>
    <w:qFormat/>
    <w:uiPriority w:val="0"/>
    <w:rPr>
      <w:rFonts w:eastAsia="仿宋_GB2312" w:cs="宋体"/>
      <w:sz w:val="28"/>
      <w:szCs w:val="28"/>
    </w:rPr>
  </w:style>
  <w:style w:type="paragraph" w:customStyle="1" w:styleId="84">
    <w:name w:val="样式 样式 首行缩进:  2 字符 + 首行缩进:  2 字符"/>
    <w:basedOn w:val="1"/>
    <w:link w:val="83"/>
    <w:qFormat/>
    <w:uiPriority w:val="0"/>
    <w:pPr>
      <w:widowControl/>
      <w:tabs>
        <w:tab w:val="left" w:pos="3735"/>
      </w:tabs>
      <w:spacing w:line="510" w:lineRule="exact"/>
      <w:ind w:firstLine="560" w:firstLineChars="200"/>
    </w:pPr>
    <w:rPr>
      <w:rFonts w:eastAsia="仿宋_GB2312" w:cs="宋体"/>
      <w:kern w:val="0"/>
      <w:sz w:val="28"/>
      <w:szCs w:val="28"/>
    </w:rPr>
  </w:style>
  <w:style w:type="character" w:customStyle="1" w:styleId="85">
    <w:name w:val="纯文本 字符"/>
    <w:link w:val="10"/>
    <w:qFormat/>
    <w:uiPriority w:val="0"/>
    <w:rPr>
      <w:rFonts w:ascii="宋体" w:hAnsi="Courier New" w:cs="Courier New"/>
      <w:kern w:val="2"/>
      <w:sz w:val="21"/>
      <w:szCs w:val="21"/>
    </w:rPr>
  </w:style>
  <w:style w:type="character" w:customStyle="1" w:styleId="86">
    <w:name w:val="标题 2 字符"/>
    <w:link w:val="4"/>
    <w:semiHidden/>
    <w:qFormat/>
    <w:uiPriority w:val="0"/>
    <w:rPr>
      <w:rFonts w:ascii="Calibri Light" w:hAnsi="Calibri Light" w:eastAsia="宋体" w:cs="Times New Roman"/>
      <w:b/>
      <w:bCs/>
      <w:kern w:val="2"/>
      <w:sz w:val="32"/>
      <w:szCs w:val="32"/>
    </w:rPr>
  </w:style>
  <w:style w:type="character" w:customStyle="1" w:styleId="87">
    <w:name w:val="样式 左侧:  0.98 厘米 Char1"/>
    <w:link w:val="88"/>
    <w:qFormat/>
    <w:uiPriority w:val="0"/>
    <w:rPr>
      <w:rFonts w:eastAsia="仿宋_GB2312"/>
      <w:kern w:val="2"/>
      <w:sz w:val="28"/>
    </w:rPr>
  </w:style>
  <w:style w:type="paragraph" w:customStyle="1" w:styleId="88">
    <w:name w:val="样式 左侧:  0.98 厘米"/>
    <w:basedOn w:val="1"/>
    <w:link w:val="87"/>
    <w:qFormat/>
    <w:uiPriority w:val="0"/>
    <w:pPr>
      <w:adjustRightInd w:val="0"/>
      <w:snapToGrid w:val="0"/>
      <w:spacing w:line="490" w:lineRule="exact"/>
      <w:ind w:firstLine="560" w:firstLineChars="200"/>
    </w:pPr>
    <w:rPr>
      <w:rFonts w:eastAsia="仿宋_GB2312"/>
      <w:sz w:val="28"/>
      <w:szCs w:val="20"/>
    </w:rPr>
  </w:style>
  <w:style w:type="character" w:customStyle="1" w:styleId="89">
    <w:name w:val="表格文字（小五） Char"/>
    <w:link w:val="90"/>
    <w:qFormat/>
    <w:uiPriority w:val="0"/>
    <w:rPr>
      <w:rFonts w:ascii="Arial" w:hAnsi="Arial"/>
      <w:kern w:val="2"/>
      <w:sz w:val="21"/>
    </w:rPr>
  </w:style>
  <w:style w:type="paragraph" w:customStyle="1" w:styleId="90">
    <w:name w:val="表格文字（小五）"/>
    <w:basedOn w:val="1"/>
    <w:next w:val="8"/>
    <w:link w:val="89"/>
    <w:qFormat/>
    <w:uiPriority w:val="0"/>
    <w:pPr>
      <w:tabs>
        <w:tab w:val="left" w:pos="746"/>
      </w:tabs>
      <w:spacing w:line="360" w:lineRule="exact"/>
      <w:jc w:val="center"/>
      <w:textAlignment w:val="center"/>
    </w:pPr>
    <w:rPr>
      <w:rFonts w:ascii="Arial" w:hAnsi="Arial"/>
      <w:szCs w:val="20"/>
    </w:rPr>
  </w:style>
  <w:style w:type="character" w:customStyle="1" w:styleId="91">
    <w:name w:val="fontstyle11"/>
    <w:qFormat/>
    <w:uiPriority w:val="0"/>
    <w:rPr>
      <w:rFonts w:hint="default" w:ascii="Times New Roman" w:hAnsi="Times New Roman" w:cs="Times New Roman"/>
      <w:color w:val="000000"/>
      <w:sz w:val="28"/>
      <w:szCs w:val="28"/>
    </w:rPr>
  </w:style>
  <w:style w:type="character" w:customStyle="1" w:styleId="92">
    <w:name w:val="题注 Char1"/>
    <w:qFormat/>
    <w:uiPriority w:val="35"/>
    <w:rPr>
      <w:rFonts w:ascii="Arial" w:hAnsi="Arial" w:eastAsia="黑体" w:cs="Arial"/>
      <w:sz w:val="20"/>
      <w:szCs w:val="20"/>
    </w:rPr>
  </w:style>
  <w:style w:type="character" w:customStyle="1" w:styleId="93">
    <w:name w:val="HTML 预设格式 字符"/>
    <w:link w:val="30"/>
    <w:qFormat/>
    <w:uiPriority w:val="0"/>
    <w:rPr>
      <w:rFonts w:ascii="宋体" w:hAnsi="宋体"/>
      <w:sz w:val="24"/>
      <w:szCs w:val="24"/>
    </w:rPr>
  </w:style>
  <w:style w:type="character" w:customStyle="1" w:styleId="94">
    <w:name w:val="项目编号 Char"/>
    <w:link w:val="95"/>
    <w:qFormat/>
    <w:locked/>
    <w:uiPriority w:val="0"/>
    <w:rPr>
      <w:b/>
      <w:bCs/>
      <w:kern w:val="2"/>
      <w:sz w:val="28"/>
      <w:szCs w:val="28"/>
    </w:rPr>
  </w:style>
  <w:style w:type="paragraph" w:customStyle="1" w:styleId="95">
    <w:name w:val="项目编号"/>
    <w:basedOn w:val="10"/>
    <w:next w:val="1"/>
    <w:link w:val="94"/>
    <w:qFormat/>
    <w:uiPriority w:val="0"/>
    <w:rPr>
      <w:rFonts w:ascii="Times New Roman" w:hAnsi="Times New Roman"/>
      <w:b/>
      <w:bCs/>
      <w:sz w:val="28"/>
      <w:szCs w:val="28"/>
    </w:rPr>
  </w:style>
  <w:style w:type="paragraph" w:customStyle="1" w:styleId="96">
    <w:name w:val="表中"/>
    <w:basedOn w:val="1"/>
    <w:qFormat/>
    <w:uiPriority w:val="0"/>
    <w:pPr>
      <w:adjustRightInd w:val="0"/>
      <w:snapToGrid w:val="0"/>
      <w:spacing w:line="360" w:lineRule="atLeast"/>
      <w:jc w:val="center"/>
    </w:pPr>
    <w:rPr>
      <w:rFonts w:ascii="宋体" w:hAnsi="宋体" w:cs="宋体"/>
      <w:snapToGrid w:val="0"/>
      <w:kern w:val="0"/>
      <w:szCs w:val="21"/>
    </w:rPr>
  </w:style>
  <w:style w:type="paragraph" w:customStyle="1" w:styleId="9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98">
    <w:name w:val="修改索引"/>
    <w:basedOn w:val="10"/>
    <w:qFormat/>
    <w:uiPriority w:val="0"/>
    <w:pPr>
      <w:adjustRightInd w:val="0"/>
      <w:snapToGrid w:val="0"/>
      <w:jc w:val="left"/>
    </w:pPr>
    <w:rPr>
      <w:rFonts w:ascii="Arial" w:hAnsi="Arial" w:cs="宋体"/>
      <w:sz w:val="24"/>
    </w:rPr>
  </w:style>
  <w:style w:type="paragraph" w:customStyle="1" w:styleId="99">
    <w:name w:val="样式 (中文) 宋体 小四 行距: 1.5 倍行距 首行缩进:  2 字符"/>
    <w:basedOn w:val="1"/>
    <w:qFormat/>
    <w:uiPriority w:val="0"/>
    <w:pPr>
      <w:spacing w:line="360" w:lineRule="auto"/>
      <w:ind w:firstLine="200" w:firstLineChars="200"/>
    </w:pPr>
    <w:rPr>
      <w:sz w:val="24"/>
      <w:szCs w:val="20"/>
    </w:rPr>
  </w:style>
  <w:style w:type="paragraph" w:customStyle="1" w:styleId="100">
    <w:name w:val="样式 正文缩进s4标题4表正文正文非缩进图标题段1Body Text(ch)缩进ALT+Z特点四号正文不..."/>
    <w:basedOn w:val="8"/>
    <w:qFormat/>
    <w:uiPriority w:val="0"/>
    <w:pPr>
      <w:adjustRightInd w:val="0"/>
      <w:snapToGrid w:val="0"/>
      <w:spacing w:line="360" w:lineRule="auto"/>
      <w:ind w:firstLine="480"/>
    </w:pPr>
    <w:rPr>
      <w:sz w:val="24"/>
    </w:rPr>
  </w:style>
  <w:style w:type="paragraph" w:customStyle="1" w:styleId="101">
    <w:name w:val="编制说明"/>
    <w:basedOn w:val="10"/>
    <w:next w:val="11"/>
    <w:qFormat/>
    <w:uiPriority w:val="0"/>
    <w:pPr>
      <w:spacing w:before="120"/>
      <w:jc w:val="center"/>
    </w:pPr>
    <w:rPr>
      <w:rFonts w:hAnsi="宋体" w:eastAsia="微软雅黑"/>
      <w:b/>
      <w:sz w:val="32"/>
    </w:rPr>
  </w:style>
  <w:style w:type="paragraph" w:customStyle="1" w:styleId="102">
    <w:name w:val="Char Char20"/>
    <w:basedOn w:val="1"/>
    <w:qFormat/>
    <w:uiPriority w:val="0"/>
    <w:pPr>
      <w:widowControl/>
      <w:spacing w:after="160" w:line="240" w:lineRule="exact"/>
      <w:jc w:val="left"/>
    </w:pPr>
    <w:rPr>
      <w:rFonts w:eastAsia="仿宋_GB2312"/>
      <w:sz w:val="28"/>
    </w:rPr>
  </w:style>
  <w:style w:type="paragraph" w:customStyle="1" w:styleId="10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04">
    <w:name w:val="样式（ 表格 ）"/>
    <w:basedOn w:val="59"/>
    <w:qFormat/>
    <w:uiPriority w:val="0"/>
    <w:pPr>
      <w:spacing w:beforeLines="0" w:afterLines="0" w:line="320" w:lineRule="exact"/>
    </w:pPr>
    <w:rPr>
      <w:rFonts w:cs="宋体"/>
      <w:color w:val="0000FF"/>
    </w:rPr>
  </w:style>
  <w:style w:type="paragraph" w:styleId="105">
    <w:name w:val="List Paragraph"/>
    <w:basedOn w:val="1"/>
    <w:qFormat/>
    <w:uiPriority w:val="99"/>
    <w:pPr>
      <w:ind w:firstLine="420" w:firstLineChars="200"/>
    </w:pPr>
  </w:style>
  <w:style w:type="paragraph" w:customStyle="1" w:styleId="106">
    <w:name w:val="证书编号"/>
    <w:basedOn w:val="1"/>
    <w:qFormat/>
    <w:uiPriority w:val="0"/>
    <w:pPr>
      <w:adjustRightInd w:val="0"/>
      <w:snapToGrid w:val="0"/>
    </w:pPr>
    <w:rPr>
      <w:rFonts w:ascii="黑体" w:hAnsi="宋体" w:eastAsia="黑体"/>
      <w:szCs w:val="21"/>
    </w:rPr>
  </w:style>
  <w:style w:type="paragraph" w:customStyle="1" w:styleId="107">
    <w:name w:val="2 Char Char Char Char Char Char Char Char Char Char Char Char Char Char Char Char"/>
    <w:basedOn w:val="1"/>
    <w:qFormat/>
    <w:uiPriority w:val="0"/>
    <w:pPr>
      <w:spacing w:line="360" w:lineRule="auto"/>
      <w:ind w:firstLine="200" w:firstLineChars="200"/>
    </w:pPr>
  </w:style>
  <w:style w:type="paragraph" w:customStyle="1" w:styleId="108">
    <w:name w:val="编制日期"/>
    <w:basedOn w:val="1"/>
    <w:next w:val="11"/>
    <w:qFormat/>
    <w:uiPriority w:val="0"/>
    <w:pPr>
      <w:jc w:val="center"/>
    </w:pPr>
    <w:rPr>
      <w:rFonts w:eastAsia="仿宋_GB2312"/>
      <w:sz w:val="32"/>
    </w:rPr>
  </w:style>
  <w:style w:type="paragraph" w:customStyle="1" w:styleId="10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0">
    <w:name w:val="正文缩进1"/>
    <w:basedOn w:val="1"/>
    <w:qFormat/>
    <w:uiPriority w:val="0"/>
    <w:pPr>
      <w:ind w:firstLine="420" w:firstLineChars="200"/>
    </w:pPr>
    <w:rPr>
      <w:sz w:val="24"/>
    </w:rPr>
  </w:style>
  <w:style w:type="paragraph" w:customStyle="1" w:styleId="111">
    <w:name w:val="正文 + 首行缩进:  2 字符"/>
    <w:basedOn w:val="1"/>
    <w:qFormat/>
    <w:uiPriority w:val="0"/>
    <w:pPr>
      <w:tabs>
        <w:tab w:val="left" w:pos="2940"/>
      </w:tabs>
      <w:adjustRightInd w:val="0"/>
      <w:snapToGrid w:val="0"/>
      <w:spacing w:line="360" w:lineRule="auto"/>
      <w:ind w:firstLine="480" w:firstLineChars="200"/>
    </w:pPr>
    <w:rPr>
      <w:snapToGrid w:val="0"/>
      <w:sz w:val="24"/>
    </w:rPr>
  </w:style>
  <w:style w:type="character" w:customStyle="1" w:styleId="112">
    <w:name w:val="标题 1 字符"/>
    <w:link w:val="3"/>
    <w:qFormat/>
    <w:uiPriority w:val="9"/>
    <w:rPr>
      <w:rFonts w:eastAsia="黑体"/>
      <w:b/>
      <w:bCs/>
      <w:color w:val="000000"/>
      <w:kern w:val="44"/>
      <w:sz w:val="30"/>
      <w:szCs w:val="30"/>
    </w:rPr>
  </w:style>
  <w:style w:type="character" w:customStyle="1" w:styleId="113">
    <w:name w:val="font11"/>
    <w:basedOn w:val="36"/>
    <w:qFormat/>
    <w:uiPriority w:val="0"/>
    <w:rPr>
      <w:rFonts w:hint="eastAsia" w:ascii="宋体" w:hAnsi="宋体" w:eastAsia="宋体" w:cs="宋体"/>
      <w:color w:val="000000"/>
      <w:sz w:val="21"/>
      <w:szCs w:val="21"/>
      <w:u w:val="none"/>
    </w:rPr>
  </w:style>
  <w:style w:type="character" w:customStyle="1" w:styleId="114">
    <w:name w:val="font21"/>
    <w:basedOn w:val="36"/>
    <w:qFormat/>
    <w:uiPriority w:val="0"/>
    <w:rPr>
      <w:rFonts w:hint="eastAsia" w:ascii="宋体" w:hAnsi="宋体" w:eastAsia="宋体"/>
      <w:color w:val="000000"/>
      <w:sz w:val="22"/>
      <w:szCs w:val="22"/>
      <w:u w:val="none"/>
    </w:rPr>
  </w:style>
  <w:style w:type="character" w:customStyle="1" w:styleId="115">
    <w:name w:val="font31"/>
    <w:basedOn w:val="36"/>
    <w:qFormat/>
    <w:uiPriority w:val="0"/>
    <w:rPr>
      <w:rFonts w:hint="eastAsia" w:ascii="宋体" w:hAnsi="宋体" w:eastAsia="宋体"/>
      <w:color w:val="000000"/>
      <w:sz w:val="21"/>
      <w:szCs w:val="21"/>
      <w:u w:val="none"/>
    </w:rPr>
  </w:style>
  <w:style w:type="paragraph" w:customStyle="1" w:styleId="116">
    <w:name w:val="样式 四号"/>
    <w:qFormat/>
    <w:uiPriority w:val="0"/>
    <w:pPr>
      <w:widowControl w:val="0"/>
      <w:autoSpaceDE w:val="0"/>
      <w:autoSpaceDN w:val="0"/>
      <w:spacing w:line="360" w:lineRule="auto"/>
      <w:ind w:firstLine="480" w:firstLineChars="200"/>
    </w:pPr>
    <w:rPr>
      <w:rFonts w:ascii="宋体" w:hAnsi="宋体" w:eastAsia="宋体" w:cs="宋体"/>
      <w:sz w:val="24"/>
      <w:lang w:val="zh-CN" w:eastAsia="zh-CN" w:bidi="zh-CN"/>
    </w:rPr>
  </w:style>
  <w:style w:type="paragraph" w:customStyle="1" w:styleId="117">
    <w:name w:val="样式（ 题注 ）"/>
    <w:basedOn w:val="1"/>
    <w:qFormat/>
    <w:uiPriority w:val="0"/>
    <w:pPr>
      <w:adjustRightInd w:val="0"/>
      <w:snapToGrid w:val="0"/>
    </w:pPr>
    <w:rPr>
      <w:rFonts w:hAnsi="黑体" w:eastAsia="黑体"/>
      <w:snapToGrid w:val="0"/>
      <w:kern w:val="0"/>
    </w:rPr>
  </w:style>
  <w:style w:type="paragraph" w:customStyle="1" w:styleId="118">
    <w:name w:val="样式 样式 首行缩进:  1.92 字符 + 仿宋_GB2312 首行缩进:  2 字符"/>
    <w:basedOn w:val="1"/>
    <w:qFormat/>
    <w:uiPriority w:val="0"/>
    <w:pPr>
      <w:adjustRightInd w:val="0"/>
      <w:snapToGrid w:val="0"/>
      <w:spacing w:line="360" w:lineRule="auto"/>
      <w:ind w:firstLine="480" w:firstLineChars="200"/>
    </w:pPr>
    <w:rPr>
      <w:sz w:val="24"/>
    </w:rPr>
  </w:style>
  <w:style w:type="character" w:customStyle="1" w:styleId="119">
    <w:name w:val="样式 样式 样式 首行缩进:  2 字符3 + 首行缩进:  2 字符 + 首行缩进:  2 字符 Char Char"/>
    <w:link w:val="120"/>
    <w:qFormat/>
    <w:uiPriority w:val="0"/>
    <w:rPr>
      <w:rFonts w:ascii="宋体" w:hAnsi="宋体" w:cs="幼圆"/>
      <w:sz w:val="24"/>
    </w:rPr>
  </w:style>
  <w:style w:type="paragraph" w:customStyle="1" w:styleId="120">
    <w:name w:val="样式 样式 样式 首行缩进:  2 字符3 + 首行缩进:  2 字符 + 首行缩进:  2 字符"/>
    <w:basedOn w:val="1"/>
    <w:link w:val="119"/>
    <w:qFormat/>
    <w:uiPriority w:val="0"/>
    <w:pPr>
      <w:tabs>
        <w:tab w:val="left" w:pos="9070"/>
      </w:tabs>
      <w:adjustRightInd w:val="0"/>
      <w:snapToGrid w:val="0"/>
      <w:spacing w:line="360" w:lineRule="auto"/>
      <w:ind w:right="-2" w:firstLine="480" w:firstLineChars="200"/>
      <w:textAlignment w:val="baseline"/>
    </w:pPr>
    <w:rPr>
      <w:rFonts w:ascii="宋体" w:hAnsi="宋体" w:cs="幼圆"/>
      <w:kern w:val="0"/>
      <w:sz w:val="24"/>
      <w:szCs w:val="20"/>
    </w:rPr>
  </w:style>
  <w:style w:type="paragraph" w:customStyle="1" w:styleId="121">
    <w:name w:val="_Style 119"/>
    <w:basedOn w:val="16"/>
    <w:next w:val="33"/>
    <w:unhideWhenUsed/>
    <w:qFormat/>
    <w:uiPriority w:val="99"/>
    <w:pPr>
      <w:ind w:firstLine="420"/>
    </w:pPr>
  </w:style>
  <w:style w:type="paragraph" w:customStyle="1" w:styleId="122">
    <w:name w:val="_Style 13"/>
    <w:basedOn w:val="1"/>
    <w:qFormat/>
    <w:uiPriority w:val="0"/>
    <w:pPr>
      <w:adjustRightInd w:val="0"/>
      <w:snapToGrid w:val="0"/>
      <w:spacing w:line="360" w:lineRule="auto"/>
      <w:ind w:firstLine="643" w:firstLineChars="200"/>
    </w:pPr>
    <w:rPr>
      <w:szCs w:val="20"/>
    </w:rPr>
  </w:style>
  <w:style w:type="paragraph" w:customStyle="1" w:styleId="123">
    <w:name w:val="_Style 121"/>
    <w:basedOn w:val="16"/>
    <w:next w:val="33"/>
    <w:unhideWhenUsed/>
    <w:qFormat/>
    <w:uiPriority w:val="99"/>
    <w:pPr>
      <w:ind w:firstLine="420"/>
    </w:pPr>
  </w:style>
  <w:style w:type="paragraph" w:customStyle="1" w:styleId="124">
    <w:name w:val="表格xz"/>
    <w:basedOn w:val="1"/>
    <w:qFormat/>
    <w:uiPriority w:val="0"/>
    <w:pPr>
      <w:widowControl/>
      <w:adjustRightInd w:val="0"/>
      <w:snapToGrid w:val="0"/>
      <w:jc w:val="center"/>
    </w:pPr>
    <w:rPr>
      <w:color w:val="000000"/>
      <w:szCs w:val="21"/>
    </w:rPr>
  </w:style>
  <w:style w:type="paragraph" w:customStyle="1" w:styleId="125">
    <w:name w:val="表（标题）"/>
    <w:qFormat/>
    <w:uiPriority w:val="0"/>
    <w:pPr>
      <w:widowControl w:val="0"/>
      <w:spacing w:line="490" w:lineRule="exact"/>
      <w:jc w:val="center"/>
    </w:pPr>
    <w:rPr>
      <w:rFonts w:ascii="楷体_GB2312" w:hAnsi="Times New Roman" w:eastAsia="楷体_GB2312" w:cs="宋体"/>
      <w:b/>
      <w:bCs/>
      <w:sz w:val="32"/>
      <w:szCs w:val="21"/>
      <w:lang w:val="en-US" w:eastAsia="zh-CN" w:bidi="ar-SA"/>
    </w:rPr>
  </w:style>
  <w:style w:type="paragraph" w:customStyle="1" w:styleId="126">
    <w:name w:val="列出段落91"/>
    <w:basedOn w:val="1"/>
    <w:qFormat/>
    <w:uiPriority w:val="99"/>
    <w:pPr>
      <w:adjustRightInd/>
      <w:snapToGrid/>
      <w:spacing w:line="360" w:lineRule="auto"/>
      <w:ind w:firstLine="420"/>
    </w:pPr>
    <w:rPr>
      <w:rFonts w:ascii="宋体" w:hAnsi="宋体" w:cs="宋体"/>
    </w:rPr>
  </w:style>
  <w:style w:type="paragraph" w:customStyle="1" w:styleId="127">
    <w:name w:val="Table Paragraph"/>
    <w:basedOn w:val="1"/>
    <w:qFormat/>
    <w:uiPriority w:val="1"/>
    <w:rPr>
      <w:rFonts w:ascii="宋体" w:hAnsi="宋体" w:eastAsia="宋体" w:cs="宋体"/>
      <w:lang w:val="en-US" w:eastAsia="zh-CN" w:bidi="ar-SA"/>
    </w:rPr>
  </w:style>
  <w:style w:type="character" w:customStyle="1" w:styleId="128">
    <w:name w:val="font71"/>
    <w:basedOn w:val="36"/>
    <w:qFormat/>
    <w:uiPriority w:val="0"/>
    <w:rPr>
      <w:rFonts w:ascii="Microsoft JhengHei" w:hAnsi="Microsoft JhengHei" w:eastAsia="Microsoft JhengHei" w:cs="Microsoft JhengHei"/>
      <w:b/>
      <w:bCs/>
      <w:color w:val="000000"/>
      <w:sz w:val="21"/>
      <w:szCs w:val="21"/>
      <w:u w:val="none"/>
    </w:rPr>
  </w:style>
  <w:style w:type="character" w:customStyle="1" w:styleId="129">
    <w:name w:val="font81"/>
    <w:basedOn w:val="3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wmf"/><Relationship Id="rId22" Type="http://schemas.openxmlformats.org/officeDocument/2006/relationships/oleObject" Target="embeddings/oleObject1.bin"/><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9C4D3-EFE4-4077-A7D6-8A536F6FCE0C}">
  <ds:schemaRefs/>
</ds:datastoreItem>
</file>

<file path=docProps/app.xml><?xml version="1.0" encoding="utf-8"?>
<Properties xmlns="http://schemas.openxmlformats.org/officeDocument/2006/extended-properties" xmlns:vt="http://schemas.openxmlformats.org/officeDocument/2006/docPropsVTypes">
  <Template>Normal</Template>
  <Company>csepdi</Company>
  <Pages>85</Pages>
  <Words>4418</Words>
  <Characters>5254</Characters>
  <Lines>140</Lines>
  <Paragraphs>137</Paragraphs>
  <TotalTime>11</TotalTime>
  <ScaleCrop>false</ScaleCrop>
  <LinksUpToDate>false</LinksUpToDate>
  <CharactersWithSpaces>5482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2020-12-14T11:42:00Z</dcterms:created>
  <dc:creator>王辉</dc:creator>
  <cp:lastModifiedBy>WPS_1484207631</cp:lastModifiedBy>
  <cp:lastPrinted>2025-02-08T04:19:00Z</cp:lastPrinted>
  <dcterms:modified xsi:type="dcterms:W3CDTF">2025-09-01T08:52:41Z</dcterms:modified>
  <dc:title>中南院环评报告表模板</dc:title>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_DocHome">
    <vt:r8>878298889</vt:r8>
  </property>
  <property fmtid="{D5CDD505-2E9C-101B-9397-08002B2CF9AE}" pid="4" name="ICV">
    <vt:lpwstr>ED278E4CBA89499E922A17FBA6DC7181</vt:lpwstr>
  </property>
  <property fmtid="{D5CDD505-2E9C-101B-9397-08002B2CF9AE}" pid="5" name="KSOTemplateDocerSaveRecord">
    <vt:lpwstr>eyJoZGlkIjoiN2FkMjBhN2I1N2NhZThiYWZiMmRhMGQ1ZjM1NDJlZDYiLCJ1c2VySWQiOiIyNjA4NzA3NjUifQ==</vt:lpwstr>
  </property>
</Properties>
</file>